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_GBK" w:hAnsi="仿宋" w:eastAsia="方正小标宋_GBK"/>
          <w:sz w:val="38"/>
          <w:szCs w:val="38"/>
        </w:rPr>
      </w:pPr>
      <w:bookmarkStart w:id="1" w:name="_GoBack"/>
      <w:bookmarkEnd w:id="1"/>
      <w:r>
        <w:rPr>
          <w:rFonts w:hint="eastAsia" w:ascii="方正小标宋_GBK" w:hAnsi="仿宋" w:eastAsia="方正小标宋_GBK"/>
          <w:sz w:val="38"/>
          <w:szCs w:val="38"/>
        </w:rPr>
        <w:t>技术服务机构信息公开表</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楷体_GB2312" w:hAnsi="仿宋" w:eastAsia="楷体_GB2312"/>
          <w:sz w:val="32"/>
          <w:szCs w:val="32"/>
        </w:rPr>
      </w:pPr>
      <w:r>
        <w:rPr>
          <w:rFonts w:hint="eastAsia" w:ascii="楷体_GB2312" w:hAnsi="仿宋" w:eastAsia="楷体_GB2312"/>
          <w:sz w:val="32"/>
          <w:szCs w:val="32"/>
        </w:rPr>
        <w:t>（</w:t>
      </w:r>
      <w:r>
        <w:rPr>
          <w:rFonts w:ascii="楷体_GB2312" w:hAnsi="仿宋" w:eastAsia="楷体_GB2312"/>
          <w:sz w:val="32"/>
          <w:szCs w:val="32"/>
        </w:rPr>
        <w:t>2021</w:t>
      </w:r>
      <w:r>
        <w:rPr>
          <w:rFonts w:hint="eastAsia" w:ascii="楷体_GB2312" w:hAnsi="仿宋" w:eastAsia="楷体_GB2312"/>
          <w:sz w:val="32"/>
          <w:szCs w:val="32"/>
        </w:rPr>
        <w:t>年度核查）</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楷体_GB2312" w:hAnsi="仿宋" w:eastAsia="楷体_GB2312"/>
          <w:sz w:val="32"/>
          <w:szCs w:val="32"/>
        </w:rPr>
      </w:pPr>
    </w:p>
    <w:tbl>
      <w:tblPr>
        <w:tblStyle w:val="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415"/>
        <w:gridCol w:w="952"/>
        <w:gridCol w:w="614"/>
        <w:gridCol w:w="653"/>
        <w:gridCol w:w="1089"/>
        <w:gridCol w:w="401"/>
        <w:gridCol w:w="700"/>
        <w:gridCol w:w="659"/>
        <w:gridCol w:w="659"/>
        <w:gridCol w:w="666"/>
        <w:gridCol w:w="701"/>
        <w:gridCol w:w="700"/>
        <w:gridCol w:w="6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000" w:type="pct"/>
            <w:gridSpan w:val="13"/>
            <w:vAlign w:val="center"/>
          </w:tcPr>
          <w:p>
            <w:pPr>
              <w:widowControl/>
              <w:adjustRightInd w:val="0"/>
              <w:snapToGrid w:val="0"/>
              <w:jc w:val="center"/>
              <w:rPr>
                <w:rFonts w:ascii="仿宋_GB2312" w:hAnsi="仿宋" w:eastAsia="仿宋_GB2312"/>
                <w:b/>
                <w:sz w:val="20"/>
                <w:szCs w:val="20"/>
              </w:rPr>
            </w:pPr>
            <w:r>
              <w:rPr>
                <w:rFonts w:hint="eastAsia" w:ascii="仿宋_GB2312" w:hAnsi="仿宋" w:eastAsia="仿宋_GB2312"/>
                <w:b/>
                <w:sz w:val="20"/>
                <w:szCs w:val="20"/>
              </w:rPr>
              <w:t>一、技术服务机构基本信息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13" w:type="pct"/>
            <w:gridSpan w:val="3"/>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技术服务机构名称</w:t>
            </w:r>
          </w:p>
        </w:tc>
        <w:tc>
          <w:tcPr>
            <w:tcW w:w="3887" w:type="pct"/>
            <w:gridSpan w:val="10"/>
            <w:tcBorders>
              <w:top w:val="single" w:color="auto" w:sz="4" w:space="0"/>
            </w:tcBorders>
            <w:vAlign w:val="center"/>
          </w:tcPr>
          <w:p>
            <w:pPr>
              <w:widowControl/>
              <w:adjustRightInd w:val="0"/>
              <w:snapToGrid w:val="0"/>
              <w:rPr>
                <w:rFonts w:ascii="仿宋_GB2312" w:hAnsi="仿宋" w:eastAsia="仿宋_GB2312"/>
                <w:b/>
                <w:bCs/>
                <w:sz w:val="20"/>
                <w:szCs w:val="20"/>
              </w:rPr>
            </w:pPr>
            <w:r>
              <w:rPr>
                <w:rFonts w:hint="eastAsia" w:ascii="仿宋_GB2312" w:hAnsi="仿宋" w:eastAsia="仿宋_GB2312"/>
                <w:b/>
                <w:bCs/>
                <w:sz w:val="20"/>
                <w:szCs w:val="20"/>
              </w:rPr>
              <w:t>北京市</w:t>
            </w:r>
            <w:r>
              <w:rPr>
                <w:rFonts w:ascii="仿宋_GB2312" w:hAnsi="仿宋" w:eastAsia="仿宋_GB2312"/>
                <w:b/>
                <w:bCs/>
                <w:sz w:val="20"/>
                <w:szCs w:val="20"/>
              </w:rPr>
              <w:t>生态环境保护科学</w:t>
            </w:r>
            <w:r>
              <w:rPr>
                <w:rFonts w:hint="eastAsia" w:ascii="仿宋_GB2312" w:hAnsi="仿宋" w:eastAsia="仿宋_GB2312"/>
                <w:b/>
                <w:bCs/>
                <w:sz w:val="20"/>
                <w:szCs w:val="20"/>
              </w:rPr>
              <w:t>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13" w:type="pct"/>
            <w:gridSpan w:val="3"/>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统一社会信用代码</w:t>
            </w:r>
          </w:p>
        </w:tc>
        <w:tc>
          <w:tcPr>
            <w:tcW w:w="1204" w:type="pct"/>
            <w:gridSpan w:val="3"/>
            <w:vAlign w:val="center"/>
          </w:tcPr>
          <w:p>
            <w:pPr>
              <w:widowControl/>
              <w:adjustRightInd w:val="0"/>
              <w:snapToGrid w:val="0"/>
              <w:rPr>
                <w:rFonts w:ascii="仿宋_GB2312" w:hAnsi="仿宋" w:eastAsia="仿宋_GB2312"/>
                <w:b/>
                <w:bCs/>
                <w:sz w:val="20"/>
                <w:szCs w:val="20"/>
              </w:rPr>
            </w:pPr>
            <w:r>
              <w:rPr>
                <w:rFonts w:hint="eastAsia" w:ascii="仿宋_GB2312" w:hAnsi="仿宋" w:eastAsia="仿宋_GB2312"/>
                <w:b/>
                <w:bCs/>
                <w:sz w:val="20"/>
                <w:szCs w:val="20"/>
              </w:rPr>
              <w:t>121100004006</w:t>
            </w:r>
            <w:r>
              <w:rPr>
                <w:rFonts w:ascii="仿宋_GB2312" w:hAnsi="仿宋" w:eastAsia="仿宋_GB2312"/>
                <w:b/>
                <w:bCs/>
                <w:sz w:val="20"/>
                <w:szCs w:val="20"/>
              </w:rPr>
              <w:t>88481A</w:t>
            </w:r>
          </w:p>
        </w:tc>
        <w:tc>
          <w:tcPr>
            <w:tcW w:w="1507" w:type="pct"/>
            <w:gridSpan w:val="4"/>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法定代表人</w:t>
            </w:r>
          </w:p>
        </w:tc>
        <w:tc>
          <w:tcPr>
            <w:tcW w:w="1176" w:type="pct"/>
            <w:gridSpan w:val="3"/>
            <w:vAlign w:val="center"/>
          </w:tcPr>
          <w:p>
            <w:pPr>
              <w:widowControl/>
              <w:adjustRightInd w:val="0"/>
              <w:snapToGrid w:val="0"/>
              <w:rPr>
                <w:rFonts w:ascii="仿宋_GB2312" w:hAnsi="仿宋" w:eastAsia="仿宋_GB2312"/>
                <w:b/>
                <w:bCs/>
                <w:sz w:val="20"/>
                <w:szCs w:val="20"/>
              </w:rPr>
            </w:pPr>
            <w:r>
              <w:rPr>
                <w:rFonts w:hint="eastAsia" w:ascii="仿宋_GB2312" w:hAnsi="仿宋" w:eastAsia="仿宋_GB2312"/>
                <w:b/>
                <w:bCs/>
                <w:sz w:val="20"/>
                <w:szCs w:val="20"/>
              </w:rPr>
              <w:t>姜林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13" w:type="pct"/>
            <w:gridSpan w:val="3"/>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注册资金</w:t>
            </w:r>
          </w:p>
        </w:tc>
        <w:tc>
          <w:tcPr>
            <w:tcW w:w="1204" w:type="pct"/>
            <w:gridSpan w:val="3"/>
            <w:vAlign w:val="center"/>
          </w:tcPr>
          <w:p>
            <w:pPr>
              <w:widowControl/>
              <w:adjustRightInd w:val="0"/>
              <w:snapToGrid w:val="0"/>
              <w:rPr>
                <w:rFonts w:ascii="仿宋_GB2312" w:hAnsi="仿宋" w:eastAsia="仿宋_GB2312"/>
                <w:b/>
                <w:bCs/>
                <w:sz w:val="20"/>
                <w:szCs w:val="20"/>
              </w:rPr>
            </w:pPr>
            <w:r>
              <w:rPr>
                <w:rFonts w:hint="eastAsia" w:ascii="仿宋_GB2312" w:hAnsi="仿宋" w:eastAsia="仿宋_GB2312"/>
                <w:b/>
                <w:bCs/>
                <w:sz w:val="20"/>
                <w:szCs w:val="20"/>
              </w:rPr>
              <w:t>1000万</w:t>
            </w:r>
            <w:r>
              <w:rPr>
                <w:rFonts w:ascii="仿宋_GB2312" w:hAnsi="仿宋" w:eastAsia="仿宋_GB2312"/>
                <w:b/>
                <w:bCs/>
                <w:sz w:val="20"/>
                <w:szCs w:val="20"/>
              </w:rPr>
              <w:t>元</w:t>
            </w:r>
          </w:p>
        </w:tc>
        <w:tc>
          <w:tcPr>
            <w:tcW w:w="1507" w:type="pct"/>
            <w:gridSpan w:val="4"/>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办公场所</w:t>
            </w:r>
          </w:p>
        </w:tc>
        <w:tc>
          <w:tcPr>
            <w:tcW w:w="1176" w:type="pct"/>
            <w:gridSpan w:val="3"/>
            <w:vAlign w:val="center"/>
          </w:tcPr>
          <w:p>
            <w:pPr>
              <w:widowControl/>
              <w:adjustRightInd w:val="0"/>
              <w:snapToGrid w:val="0"/>
              <w:rPr>
                <w:rFonts w:ascii="仿宋_GB2312" w:hAnsi="仿宋" w:eastAsia="仿宋_GB2312"/>
                <w:b/>
                <w:bCs/>
                <w:sz w:val="20"/>
                <w:szCs w:val="20"/>
              </w:rPr>
            </w:pPr>
            <w:r>
              <w:rPr>
                <w:rFonts w:hint="eastAsia" w:ascii="仿宋_GB2312" w:hAnsi="仿宋" w:eastAsia="仿宋_GB2312"/>
                <w:b/>
                <w:bCs/>
                <w:sz w:val="20"/>
                <w:szCs w:val="20"/>
              </w:rPr>
              <w:t>北京市</w:t>
            </w:r>
            <w:r>
              <w:rPr>
                <w:rFonts w:ascii="仿宋_GB2312" w:hAnsi="仿宋" w:eastAsia="仿宋_GB2312"/>
                <w:b/>
                <w:bCs/>
                <w:sz w:val="20"/>
                <w:szCs w:val="20"/>
              </w:rPr>
              <w:t>西城区北营房中街</w:t>
            </w:r>
            <w:r>
              <w:rPr>
                <w:rFonts w:hint="eastAsia" w:ascii="仿宋_GB2312" w:hAnsi="仿宋" w:eastAsia="仿宋_GB2312"/>
                <w:b/>
                <w:bCs/>
                <w:sz w:val="20"/>
                <w:szCs w:val="20"/>
              </w:rPr>
              <w:t>59号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13" w:type="pct"/>
            <w:gridSpan w:val="3"/>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联系人</w:t>
            </w:r>
          </w:p>
        </w:tc>
        <w:tc>
          <w:tcPr>
            <w:tcW w:w="1204" w:type="pct"/>
            <w:gridSpan w:val="3"/>
            <w:vAlign w:val="center"/>
          </w:tcPr>
          <w:p>
            <w:pPr>
              <w:widowControl/>
              <w:adjustRightInd w:val="0"/>
              <w:snapToGrid w:val="0"/>
              <w:rPr>
                <w:rFonts w:ascii="仿宋_GB2312" w:hAnsi="仿宋" w:eastAsia="仿宋_GB2312"/>
                <w:b/>
                <w:bCs/>
                <w:sz w:val="20"/>
                <w:szCs w:val="20"/>
              </w:rPr>
            </w:pPr>
            <w:r>
              <w:rPr>
                <w:rFonts w:hint="eastAsia" w:ascii="仿宋_GB2312" w:hAnsi="仿宋" w:eastAsia="仿宋_GB2312"/>
                <w:b/>
                <w:bCs/>
                <w:sz w:val="20"/>
                <w:szCs w:val="20"/>
              </w:rPr>
              <w:t>关婧</w:t>
            </w:r>
          </w:p>
        </w:tc>
        <w:tc>
          <w:tcPr>
            <w:tcW w:w="1507" w:type="pct"/>
            <w:gridSpan w:val="4"/>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联系方式（电话、email）</w:t>
            </w:r>
          </w:p>
        </w:tc>
        <w:tc>
          <w:tcPr>
            <w:tcW w:w="1176" w:type="pct"/>
            <w:gridSpan w:val="3"/>
            <w:vAlign w:val="center"/>
          </w:tcPr>
          <w:p>
            <w:pPr>
              <w:widowControl/>
              <w:adjustRightInd w:val="0"/>
              <w:snapToGrid w:val="0"/>
              <w:rPr>
                <w:rFonts w:ascii="仿宋_GB2312" w:hAnsi="仿宋" w:eastAsia="仿宋_GB2312"/>
                <w:b/>
                <w:bCs/>
                <w:sz w:val="20"/>
                <w:szCs w:val="20"/>
              </w:rPr>
            </w:pPr>
            <w:r>
              <w:rPr>
                <w:rFonts w:hint="eastAsia" w:ascii="仿宋_GB2312" w:hAnsi="仿宋" w:eastAsia="仿宋_GB2312"/>
                <w:b/>
                <w:bCs/>
                <w:sz w:val="20"/>
                <w:szCs w:val="20"/>
              </w:rPr>
              <w:t>18600677500</w:t>
            </w:r>
          </w:p>
          <w:p>
            <w:pPr>
              <w:widowControl/>
              <w:adjustRightInd w:val="0"/>
              <w:snapToGrid w:val="0"/>
              <w:rPr>
                <w:rFonts w:ascii="仿宋_GB2312" w:hAnsi="仿宋" w:eastAsia="仿宋_GB2312"/>
                <w:b/>
                <w:bCs/>
                <w:sz w:val="20"/>
                <w:szCs w:val="20"/>
              </w:rPr>
            </w:pPr>
            <w:r>
              <w:rPr>
                <w:rFonts w:ascii="仿宋_GB2312" w:hAnsi="仿宋" w:eastAsia="仿宋_GB2312"/>
                <w:b/>
                <w:bCs/>
                <w:sz w:val="20"/>
                <w:szCs w:val="20"/>
              </w:rPr>
              <w:t>Guanjing_bit@163.com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000" w:type="pct"/>
            <w:gridSpan w:val="13"/>
            <w:vAlign w:val="center"/>
          </w:tcPr>
          <w:p>
            <w:pPr>
              <w:widowControl/>
              <w:adjustRightInd w:val="0"/>
              <w:snapToGrid w:val="0"/>
              <w:jc w:val="center"/>
              <w:rPr>
                <w:rFonts w:ascii="仿宋_GB2312" w:hAnsi="仿宋" w:eastAsia="仿宋_GB2312"/>
                <w:b/>
                <w:sz w:val="20"/>
                <w:szCs w:val="20"/>
              </w:rPr>
            </w:pPr>
            <w:r>
              <w:rPr>
                <w:rFonts w:hint="eastAsia" w:ascii="仿宋_GB2312" w:hAnsi="仿宋" w:eastAsia="仿宋_GB2312"/>
                <w:b/>
                <w:sz w:val="20"/>
                <w:szCs w:val="20"/>
              </w:rPr>
              <w:t>二、技术服务机构内部管理情况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13" w:type="pct"/>
            <w:gridSpan w:val="3"/>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内部质量管理措施</w:t>
            </w:r>
          </w:p>
        </w:tc>
        <w:tc>
          <w:tcPr>
            <w:tcW w:w="3887" w:type="pct"/>
            <w:gridSpan w:val="10"/>
            <w:vAlign w:val="center"/>
          </w:tcPr>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1.建立质量保证制度。</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为确保核查工作的顺利开展，环科院制定了碳排放权交易核查内部质量管理制度，对核查工作的质量方针、质量目标，人力资源管理，组织机构及职责分工及责任，核查过程管理，质量管理体系等进行了明确。实施组长负责制、技术评审员复核制、环科院各机构负责人批准三级质量管理体系。即对每个项目的《文件评审表》、《现场核查清单》、《不符合项清单》及《核查结论》均执行三级的质量校核程序，且实行质量控制前移的措施及时把控每一环节的核查质量；</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2.质量控制机制。</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质量控制机制包括适用于所有与计算、数据处理、完整性和归档相关的通用质量检查。包括检查主要活动水平及排放因子并归档、检查活动数据与碳排放量计算的正确性、检查是否正确测试和记录了参数、单位及适当的转换系数、检查数据库文件的内在一致性、检查数据的一致性、检查处理步骤中数据移动的正确性、检查综合碳排放量的不确定性估算和计算的正确性、检查完整性、评审内部文件和存档。</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3.工作质量控制要点。</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按照生态环境部《企业温室气体排放报告核查指南》，企业碳排放数据应具有完整性、一致性、透明性和客观性；</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应该以透明的方式获得、记录、分析二氧化碳排放相关数据，包括活动水平数据、排放因子数据等，从而确保核查人员和主管机构能够复原二氧化碳排放的计算；</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应保证排放量的核算和相关数据的确定没有系统性的错误或者人为的故意错误，排放量核算结果能够真实地反映报告单位的实际情况。</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鉴于以上要求，为了保证企业碳排放数据质量，环科院根据核查流程中数据流动的方向，构建核查数据树，对碳排放核查涉及的核查边界的确定、核算方法、排放量计算、活动水平数据和排放因子等进行了研究确定，以保证达到相关要求，保障企业排放数据质量。</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通过对核查数据的分析和构建，从核查工作全流程角度控制核查数据的质量，保证数据传递过程的准确性，从而保证核查数据的可重复性和可再现性。</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4.保密措施。</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环科院要求所有相关人员对在从事核查活动时获得或产生的保密信息予以保密。对于有特定要求的企业或个人信息，环科院在未经当事客户或个人书面同意的情况下，不得向第三方披露。业务对应标准、规范或主管机构要求公开的信息不得视为保密信息，企业不得以保密为由拒绝提供业务活动所需的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13" w:type="pct"/>
            <w:gridSpan w:val="3"/>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公正性管理措施</w:t>
            </w:r>
          </w:p>
        </w:tc>
        <w:tc>
          <w:tcPr>
            <w:tcW w:w="3887" w:type="pct"/>
            <w:gridSpan w:val="10"/>
            <w:vAlign w:val="center"/>
          </w:tcPr>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为了保证公平公正性，环科院严格禁止开展以下活动：</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1.禁止向重点排放单位提供碳排放配额计算、咨询或管理服务；</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2.禁止接受任何对核查活动的客观公正性产生影响的资助、合同或其他形式的服务或产品；</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3.禁止参与碳资产管理、碳交易的活动，或与从事碳咨询和交易的单位存在资产和管理方面的利益关系，如隶属于同一个上级机构等；</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4.禁止与被核查的重点排放单位存在资产和管理方面的利益关系，如隶属于同一个上级机构等；</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5.禁止为被核查的重点排放单位提供有关温室气体排放和减排、监测、测量、报告和校准的咨询服务；</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6.禁止与被核查的重点排放单位共享管理人员，或者在 3 年之内曾在彼此机构内相互受聘过管理人员；</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7.禁止使用具有利益冲突的核查人员，如 3 年之内与被核查重点排放单位存在雇佣关系或为被核查的重点排放单位提供过温室气体排放或碳交易的咨询服务等；</w:t>
            </w:r>
          </w:p>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8.禁止宣称或暗示如果使用指定的咨询或培训服务，对重点排放单位的排放报告的核查将更为简单、容易等。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13" w:type="pct"/>
            <w:gridSpan w:val="3"/>
            <w:vAlign w:val="center"/>
          </w:tcPr>
          <w:p>
            <w:pPr>
              <w:widowControl/>
              <w:adjustRightInd w:val="0"/>
              <w:snapToGrid w:val="0"/>
              <w:rPr>
                <w:rFonts w:ascii="仿宋_GB2312" w:hAnsi="仿宋" w:eastAsia="仿宋_GB2312"/>
                <w:sz w:val="20"/>
                <w:szCs w:val="20"/>
              </w:rPr>
            </w:pPr>
            <w:r>
              <w:rPr>
                <w:rFonts w:hint="eastAsia" w:ascii="仿宋_GB2312" w:hAnsi="仿宋" w:eastAsia="仿宋_GB2312"/>
                <w:sz w:val="20"/>
                <w:szCs w:val="20"/>
              </w:rPr>
              <w:t>不良记录</w:t>
            </w:r>
          </w:p>
        </w:tc>
        <w:tc>
          <w:tcPr>
            <w:tcW w:w="3887" w:type="pct"/>
            <w:gridSpan w:val="10"/>
            <w:vAlign w:val="center"/>
          </w:tcPr>
          <w:p>
            <w:pPr>
              <w:widowControl/>
              <w:adjustRightInd w:val="0"/>
              <w:snapToGrid w:val="0"/>
              <w:jc w:val="left"/>
              <w:rPr>
                <w:rFonts w:ascii="仿宋_GB2312" w:hAnsi="仿宋" w:eastAsia="仿宋_GB2312"/>
                <w:bCs/>
                <w:sz w:val="20"/>
                <w:szCs w:val="20"/>
              </w:rPr>
            </w:pPr>
            <w:r>
              <w:rPr>
                <w:rFonts w:hint="eastAsia" w:ascii="仿宋_GB2312" w:hAnsi="仿宋" w:eastAsia="仿宋_GB2312"/>
                <w:bCs/>
                <w:sz w:val="20"/>
                <w:szCs w:val="20"/>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000" w:type="pct"/>
            <w:gridSpan w:val="13"/>
            <w:vAlign w:val="center"/>
          </w:tcPr>
          <w:p>
            <w:pPr>
              <w:widowControl/>
              <w:adjustRightInd w:val="0"/>
              <w:snapToGrid w:val="0"/>
              <w:jc w:val="center"/>
              <w:rPr>
                <w:rFonts w:ascii="仿宋_GB2312" w:hAnsi="仿宋" w:eastAsia="仿宋_GB2312"/>
                <w:b/>
                <w:bCs/>
                <w:sz w:val="20"/>
                <w:szCs w:val="20"/>
              </w:rPr>
            </w:pPr>
            <w:r>
              <w:rPr>
                <w:rFonts w:hint="eastAsia" w:ascii="仿宋_GB2312" w:hAnsi="仿宋" w:eastAsia="仿宋_GB2312"/>
                <w:b/>
                <w:sz w:val="20"/>
                <w:szCs w:val="20"/>
              </w:rPr>
              <w:t>三、核查工作及时性和工作质量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233" w:type="pct"/>
            <w:vMerge w:val="restar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序号</w:t>
            </w:r>
          </w:p>
        </w:tc>
        <w:tc>
          <w:tcPr>
            <w:tcW w:w="535" w:type="pct"/>
            <w:vMerge w:val="restar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重点排放</w:t>
            </w:r>
          </w:p>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单位名称</w:t>
            </w:r>
          </w:p>
        </w:tc>
        <w:tc>
          <w:tcPr>
            <w:tcW w:w="712" w:type="pct"/>
            <w:gridSpan w:val="2"/>
            <w:vMerge w:val="restart"/>
            <w:vAlign w:val="center"/>
          </w:tcPr>
          <w:p>
            <w:pPr>
              <w:widowControl/>
              <w:adjustRightInd w:val="0"/>
              <w:snapToGrid w:val="0"/>
              <w:jc w:val="center"/>
              <w:rPr>
                <w:rFonts w:ascii="仿宋_GB2312" w:hAnsi="仿宋" w:eastAsia="仿宋_GB2312"/>
                <w:sz w:val="20"/>
                <w:szCs w:val="20"/>
              </w:rPr>
            </w:pPr>
            <w:bookmarkStart w:id="0" w:name="_Toc65135930"/>
            <w:r>
              <w:rPr>
                <w:rFonts w:hint="eastAsia" w:ascii="仿宋_GB2312" w:hAnsi="仿宋" w:eastAsia="仿宋_GB2312"/>
                <w:sz w:val="20"/>
                <w:szCs w:val="20"/>
              </w:rPr>
              <w:t>组织机构代码</w:t>
            </w:r>
            <w:bookmarkEnd w:id="0"/>
          </w:p>
        </w:tc>
        <w:tc>
          <w:tcPr>
            <w:tcW w:w="612" w:type="pct"/>
            <w:vMerge w:val="restar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核查及时性</w:t>
            </w:r>
          </w:p>
          <w:p>
            <w:pPr>
              <w:adjustRightInd w:val="0"/>
              <w:snapToGrid w:val="0"/>
              <w:jc w:val="center"/>
              <w:rPr>
                <w:rFonts w:ascii="仿宋_GB2312" w:hAnsi="仿宋" w:eastAsia="仿宋_GB2312"/>
                <w:sz w:val="20"/>
                <w:szCs w:val="20"/>
              </w:rPr>
            </w:pPr>
            <w:r>
              <w:rPr>
                <w:rFonts w:hint="eastAsia" w:ascii="仿宋_GB2312" w:hAnsi="仿宋" w:eastAsia="仿宋_GB2312"/>
                <w:sz w:val="20"/>
                <w:szCs w:val="20"/>
              </w:rPr>
              <w:t>（填写及时或不及时）</w:t>
            </w:r>
          </w:p>
        </w:tc>
        <w:tc>
          <w:tcPr>
            <w:tcW w:w="2908" w:type="pct"/>
            <w:gridSpan w:val="8"/>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核查质量</w:t>
            </w:r>
          </w:p>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（如符合要求填写符合，如不符合要求，简述不符合的具体内容）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233" w:type="pct"/>
            <w:vMerge w:val="continue"/>
            <w:vAlign w:val="center"/>
          </w:tcPr>
          <w:p>
            <w:pPr>
              <w:keepNext/>
              <w:keepLines/>
              <w:widowControl/>
              <w:adjustRightInd w:val="0"/>
              <w:snapToGrid w:val="0"/>
              <w:jc w:val="center"/>
              <w:outlineLvl w:val="0"/>
              <w:rPr>
                <w:rFonts w:ascii="仿宋_GB2312" w:hAnsi="仿宋" w:eastAsia="仿宋_GB2312"/>
                <w:b/>
                <w:bCs/>
                <w:sz w:val="20"/>
                <w:szCs w:val="20"/>
              </w:rPr>
            </w:pPr>
          </w:p>
        </w:tc>
        <w:tc>
          <w:tcPr>
            <w:tcW w:w="535" w:type="pct"/>
            <w:vMerge w:val="continue"/>
            <w:vAlign w:val="center"/>
          </w:tcPr>
          <w:p>
            <w:pPr>
              <w:keepNext/>
              <w:keepLines/>
              <w:widowControl/>
              <w:adjustRightInd w:val="0"/>
              <w:snapToGrid w:val="0"/>
              <w:jc w:val="center"/>
              <w:outlineLvl w:val="0"/>
              <w:rPr>
                <w:rFonts w:ascii="仿宋_GB2312" w:hAnsi="仿宋" w:eastAsia="仿宋_GB2312"/>
                <w:b/>
                <w:bCs/>
                <w:sz w:val="20"/>
                <w:szCs w:val="20"/>
              </w:rPr>
            </w:pPr>
          </w:p>
        </w:tc>
        <w:tc>
          <w:tcPr>
            <w:tcW w:w="712" w:type="pct"/>
            <w:gridSpan w:val="2"/>
            <w:vMerge w:val="continue"/>
          </w:tcPr>
          <w:p>
            <w:pPr>
              <w:keepNext/>
              <w:keepLines/>
              <w:widowControl/>
              <w:adjustRightInd w:val="0"/>
              <w:snapToGrid w:val="0"/>
              <w:jc w:val="center"/>
              <w:outlineLvl w:val="0"/>
              <w:rPr>
                <w:rFonts w:ascii="仿宋_GB2312" w:hAnsi="仿宋" w:eastAsia="仿宋_GB2312"/>
                <w:b/>
                <w:bCs/>
                <w:sz w:val="20"/>
                <w:szCs w:val="20"/>
              </w:rPr>
            </w:pPr>
          </w:p>
        </w:tc>
        <w:tc>
          <w:tcPr>
            <w:tcW w:w="612" w:type="pct"/>
            <w:vMerge w:val="continue"/>
            <w:vAlign w:val="center"/>
          </w:tcPr>
          <w:p>
            <w:pPr>
              <w:keepNext/>
              <w:keepLines/>
              <w:widowControl/>
              <w:adjustRightInd w:val="0"/>
              <w:snapToGrid w:val="0"/>
              <w:jc w:val="center"/>
              <w:outlineLvl w:val="0"/>
              <w:rPr>
                <w:rFonts w:ascii="仿宋_GB2312" w:hAnsi="仿宋" w:eastAsia="仿宋_GB2312"/>
                <w:b/>
                <w:bCs/>
                <w:sz w:val="20"/>
                <w:szCs w:val="20"/>
              </w:rPr>
            </w:pPr>
          </w:p>
        </w:tc>
        <w:tc>
          <w:tcPr>
            <w:tcW w:w="618" w:type="pct"/>
            <w:gridSpan w:val="2"/>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1重点排放单位基本</w:t>
            </w:r>
          </w:p>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情况</w:t>
            </w:r>
          </w:p>
        </w:tc>
        <w:tc>
          <w:tcPr>
            <w:tcW w:w="370" w:type="pc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2核算边界</w:t>
            </w:r>
          </w:p>
        </w:tc>
        <w:tc>
          <w:tcPr>
            <w:tcW w:w="370" w:type="pc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3核算方法</w:t>
            </w:r>
          </w:p>
        </w:tc>
        <w:tc>
          <w:tcPr>
            <w:tcW w:w="374" w:type="pc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4核算数据</w:t>
            </w:r>
          </w:p>
        </w:tc>
        <w:tc>
          <w:tcPr>
            <w:tcW w:w="394" w:type="pc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5质量控制和文件存档</w:t>
            </w:r>
          </w:p>
        </w:tc>
        <w:tc>
          <w:tcPr>
            <w:tcW w:w="393" w:type="pc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6数据质量控制计划及执行</w:t>
            </w:r>
          </w:p>
        </w:tc>
        <w:tc>
          <w:tcPr>
            <w:tcW w:w="389" w:type="pct"/>
            <w:vAlign w:val="center"/>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7其他内容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华电（北京）热电有限公司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801105793</w:t>
            </w:r>
          </w:p>
        </w:tc>
        <w:tc>
          <w:tcPr>
            <w:tcW w:w="612" w:type="pct"/>
            <w:vAlign w:val="center"/>
          </w:tcPr>
          <w:p>
            <w:pPr>
              <w:widowControl/>
              <w:spacing w:before="96" w:beforeLines="40"/>
              <w:jc w:val="center"/>
              <w:rPr>
                <w:rFonts w:ascii="仿宋_GB2312" w:hAnsi="仿宋" w:eastAsia="仿宋_GB2312"/>
                <w:b/>
                <w:bCs/>
                <w:sz w:val="18"/>
                <w:szCs w:val="18"/>
              </w:rP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2</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华能北京热电有限责任公司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X26000551</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3</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北京正东电子动力集团有限公司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101101150</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4</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国能国华（北京）燃气热电有限公司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596040272</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5</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北京京能高安屯燃气热电有限责任公司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567455874</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6</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北京太阳宫燃气热电有限公司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781700113</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7</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北京上庄燃气热电有限公司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597688310</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8</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北京京桥热电有限责任公司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758231814</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9</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北京京丰燃气发电有限责任公司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754678926</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ascii="仿宋_GB2312" w:hAnsi="仿宋" w:eastAsia="仿宋_GB2312"/>
                <w:sz w:val="18"/>
                <w:szCs w:val="18"/>
              </w:rPr>
              <w:t>1</w:t>
            </w:r>
            <w:r>
              <w:rPr>
                <w:rFonts w:hint="eastAsia" w:ascii="仿宋_GB2312" w:hAnsi="仿宋" w:eastAsia="仿宋_GB2312"/>
                <w:sz w:val="18"/>
                <w:szCs w:val="18"/>
              </w:rPr>
              <w:t>0</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北京京西燃气热电有限公司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59387006X</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11</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大唐国际发电股份有限公司北京高井热电厂</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X00093147</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12</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北京华电北燃能源有限公司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599647352</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13</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北京京能未来燃气热电有限公司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067316755</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14</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华润协鑫（北京）热电有限公司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765505908</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15</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中国石油化工股份有限公司北京燕山分公司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802763501</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16</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北京中石化燕山石化聚碳酸酯有限公司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717884325</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17</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北京燕山集联石油化工有限公司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102764191</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18</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北京金隅琉水环保科技有限公司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102746487</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19</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北京金隅北水环保科技有限公司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634391832</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20</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北京首钢冷轧薄板有限公司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678206539</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21</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北京首都国际机场股份有限公司</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710925403</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233" w:type="pct"/>
            <w:vAlign w:val="center"/>
          </w:tcPr>
          <w:p>
            <w:pPr>
              <w:widowControl/>
              <w:spacing w:before="96" w:beforeLines="40"/>
              <w:jc w:val="center"/>
              <w:rPr>
                <w:rFonts w:ascii="仿宋_GB2312" w:hAnsi="仿宋" w:eastAsia="仿宋_GB2312"/>
                <w:sz w:val="18"/>
                <w:szCs w:val="18"/>
              </w:rPr>
            </w:pPr>
            <w:r>
              <w:rPr>
                <w:rFonts w:hint="eastAsia" w:ascii="仿宋_GB2312" w:hAnsi="仿宋" w:eastAsia="仿宋_GB2312"/>
                <w:sz w:val="18"/>
                <w:szCs w:val="18"/>
              </w:rPr>
              <w:t>22</w:t>
            </w:r>
          </w:p>
        </w:tc>
        <w:tc>
          <w:tcPr>
            <w:tcW w:w="535" w:type="pct"/>
          </w:tcPr>
          <w:p>
            <w:pPr>
              <w:widowControl/>
              <w:adjustRightInd w:val="0"/>
              <w:snapToGrid w:val="0"/>
              <w:jc w:val="center"/>
              <w:rPr>
                <w:rFonts w:ascii="仿宋_GB2312" w:hAnsi="仿宋" w:eastAsia="仿宋_GB2312"/>
                <w:sz w:val="20"/>
                <w:szCs w:val="20"/>
              </w:rPr>
            </w:pPr>
            <w:r>
              <w:rPr>
                <w:rFonts w:hint="eastAsia" w:ascii="仿宋_GB2312" w:hAnsi="仿宋" w:eastAsia="仿宋_GB2312"/>
                <w:sz w:val="20"/>
                <w:szCs w:val="20"/>
              </w:rPr>
              <w:t>首都机场集团公司北京大兴国际机场</w:t>
            </w:r>
          </w:p>
        </w:tc>
        <w:tc>
          <w:tcPr>
            <w:tcW w:w="712" w:type="pct"/>
            <w:gridSpan w:val="2"/>
            <w:vAlign w:val="center"/>
          </w:tcPr>
          <w:p>
            <w:pPr>
              <w:widowControl/>
              <w:spacing w:line="4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MA01DDGN4</w:t>
            </w:r>
          </w:p>
        </w:tc>
        <w:tc>
          <w:tcPr>
            <w:tcW w:w="612" w:type="pct"/>
            <w:vAlign w:val="center"/>
          </w:tcPr>
          <w:p>
            <w:pPr>
              <w:jc w:val="center"/>
            </w:pPr>
            <w:r>
              <w:rPr>
                <w:rFonts w:hint="eastAsia" w:ascii="仿宋_GB2312" w:hAnsi="仿宋" w:eastAsia="仿宋_GB2312"/>
                <w:sz w:val="20"/>
                <w:szCs w:val="20"/>
              </w:rPr>
              <w:t>及时</w:t>
            </w:r>
          </w:p>
        </w:tc>
        <w:tc>
          <w:tcPr>
            <w:tcW w:w="618" w:type="pct"/>
            <w:gridSpan w:val="2"/>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0" w:type="pct"/>
            <w:vAlign w:val="center"/>
          </w:tcPr>
          <w:p>
            <w:pPr>
              <w:jc w:val="center"/>
            </w:pPr>
            <w:r>
              <w:rPr>
                <w:rFonts w:hint="eastAsia" w:ascii="仿宋_GB2312" w:hAnsi="仿宋" w:eastAsia="仿宋_GB2312"/>
                <w:sz w:val="20"/>
                <w:szCs w:val="20"/>
              </w:rPr>
              <w:t>符合要求</w:t>
            </w:r>
          </w:p>
        </w:tc>
        <w:tc>
          <w:tcPr>
            <w:tcW w:w="374" w:type="pct"/>
            <w:vAlign w:val="center"/>
          </w:tcPr>
          <w:p>
            <w:pPr>
              <w:jc w:val="center"/>
            </w:pPr>
            <w:r>
              <w:rPr>
                <w:rFonts w:hint="eastAsia" w:ascii="仿宋_GB2312" w:hAnsi="仿宋" w:eastAsia="仿宋_GB2312"/>
                <w:sz w:val="20"/>
                <w:szCs w:val="20"/>
              </w:rPr>
              <w:t>符合要求</w:t>
            </w:r>
          </w:p>
        </w:tc>
        <w:tc>
          <w:tcPr>
            <w:tcW w:w="394" w:type="pct"/>
            <w:vAlign w:val="center"/>
          </w:tcPr>
          <w:p>
            <w:pPr>
              <w:jc w:val="center"/>
            </w:pPr>
            <w:r>
              <w:rPr>
                <w:rFonts w:hint="eastAsia" w:ascii="仿宋_GB2312" w:hAnsi="仿宋" w:eastAsia="仿宋_GB2312"/>
                <w:sz w:val="20"/>
                <w:szCs w:val="20"/>
              </w:rPr>
              <w:t>符合要求</w:t>
            </w:r>
          </w:p>
        </w:tc>
        <w:tc>
          <w:tcPr>
            <w:tcW w:w="393" w:type="pct"/>
            <w:vAlign w:val="center"/>
          </w:tcPr>
          <w:p>
            <w:pPr>
              <w:jc w:val="center"/>
            </w:pPr>
            <w:r>
              <w:rPr>
                <w:rFonts w:hint="eastAsia" w:ascii="仿宋_GB2312" w:hAnsi="仿宋" w:eastAsia="仿宋_GB2312"/>
                <w:sz w:val="20"/>
                <w:szCs w:val="20"/>
              </w:rPr>
              <w:t>符合要求</w:t>
            </w:r>
          </w:p>
        </w:tc>
        <w:tc>
          <w:tcPr>
            <w:tcW w:w="389" w:type="pct"/>
            <w:vAlign w:val="center"/>
          </w:tcPr>
          <w:p>
            <w:pPr>
              <w:jc w:val="center"/>
            </w:pPr>
            <w:r>
              <w:rPr>
                <w:rFonts w:hint="eastAsia" w:ascii="仿宋_GB2312" w:hAnsi="仿宋" w:eastAsia="仿宋_GB2312"/>
                <w:sz w:val="20"/>
                <w:szCs w:val="20"/>
              </w:rPr>
              <w:t>符合要求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5000" w:type="pct"/>
            <w:gridSpan w:val="13"/>
          </w:tcPr>
          <w:p>
            <w:pPr>
              <w:widowControl/>
              <w:spacing w:before="96" w:beforeLines="40"/>
              <w:jc w:val="left"/>
              <w:rPr>
                <w:rFonts w:ascii="仿宋_GB2312" w:hAnsi="仿宋" w:eastAsia="仿宋_GB2312"/>
                <w:sz w:val="18"/>
                <w:szCs w:val="18"/>
              </w:rPr>
            </w:pPr>
            <w:r>
              <w:rPr>
                <w:rFonts w:hint="eastAsia" w:ascii="仿宋_GB2312" w:hAnsi="仿宋" w:eastAsia="仿宋_GB2312"/>
                <w:sz w:val="18"/>
                <w:szCs w:val="18"/>
              </w:rPr>
              <w:t>共出具</w:t>
            </w:r>
            <w:r>
              <w:rPr>
                <w:rFonts w:ascii="仿宋_GB2312" w:hAnsi="仿宋" w:eastAsia="仿宋_GB2312"/>
                <w:sz w:val="18"/>
                <w:szCs w:val="18"/>
              </w:rPr>
              <w:t>22</w:t>
            </w:r>
            <w:r>
              <w:rPr>
                <w:rFonts w:hint="eastAsia" w:ascii="仿宋_GB2312" w:hAnsi="仿宋" w:eastAsia="仿宋_GB2312"/>
                <w:sz w:val="18"/>
                <w:szCs w:val="18"/>
              </w:rPr>
              <w:t>份《核查结论》。其中：</w:t>
            </w:r>
            <w:r>
              <w:rPr>
                <w:rFonts w:ascii="仿宋_GB2312" w:hAnsi="仿宋" w:eastAsia="仿宋_GB2312"/>
                <w:sz w:val="18"/>
                <w:szCs w:val="18"/>
              </w:rPr>
              <w:t>22</w:t>
            </w:r>
            <w:r>
              <w:rPr>
                <w:rFonts w:hint="eastAsia" w:ascii="仿宋_GB2312" w:hAnsi="仿宋" w:eastAsia="仿宋_GB2312"/>
                <w:sz w:val="18"/>
                <w:szCs w:val="18"/>
              </w:rPr>
              <w:t>份合格，</w:t>
            </w:r>
            <w:r>
              <w:rPr>
                <w:rFonts w:ascii="仿宋_GB2312" w:hAnsi="仿宋" w:eastAsia="仿宋_GB2312"/>
                <w:sz w:val="18"/>
                <w:szCs w:val="18"/>
              </w:rPr>
              <w:t>0</w:t>
            </w:r>
            <w:r>
              <w:rPr>
                <w:rFonts w:hint="eastAsia" w:ascii="仿宋_GB2312" w:hAnsi="仿宋" w:eastAsia="仿宋_GB2312"/>
                <w:sz w:val="18"/>
                <w:szCs w:val="18"/>
              </w:rPr>
              <w:t>份不合格，合格率</w:t>
            </w:r>
            <w:r>
              <w:rPr>
                <w:rFonts w:ascii="仿宋_GB2312" w:hAnsi="仿宋" w:eastAsia="仿宋_GB2312"/>
                <w:sz w:val="18"/>
                <w:szCs w:val="18"/>
              </w:rPr>
              <w:t>100</w:t>
            </w:r>
            <w:r>
              <w:rPr>
                <w:rFonts w:hint="eastAsia" w:ascii="仿宋_GB2312" w:hAnsi="仿宋" w:eastAsia="仿宋_GB2312"/>
                <w:sz w:val="18"/>
                <w:szCs w:val="18"/>
              </w:rPr>
              <w:t xml:space="preserve"> %。</w:t>
            </w:r>
          </w:p>
          <w:p>
            <w:pPr>
              <w:widowControl/>
              <w:spacing w:before="96" w:beforeLines="40"/>
              <w:jc w:val="left"/>
              <w:rPr>
                <w:rFonts w:ascii="仿宋_GB2312" w:hAnsi="仿宋" w:eastAsia="仿宋_GB2312"/>
                <w:sz w:val="18"/>
                <w:szCs w:val="18"/>
              </w:rPr>
            </w:pPr>
            <w:r>
              <w:rPr>
                <w:rFonts w:hint="eastAsia" w:ascii="仿宋_GB2312" w:hAnsi="仿宋" w:eastAsia="仿宋_GB2312"/>
                <w:sz w:val="18"/>
                <w:szCs w:val="18"/>
              </w:rPr>
              <w:t>《核查结论》不合格情况如下：</w:t>
            </w:r>
          </w:p>
          <w:p>
            <w:pPr>
              <w:pStyle w:val="6"/>
              <w:widowControl/>
              <w:numPr>
                <w:ilvl w:val="0"/>
                <w:numId w:val="1"/>
              </w:numPr>
              <w:spacing w:before="96" w:beforeLines="40"/>
              <w:ind w:firstLineChars="0"/>
              <w:jc w:val="left"/>
              <w:rPr>
                <w:rFonts w:ascii="仿宋_GB2312" w:hAnsi="仿宋" w:eastAsia="仿宋_GB2312"/>
                <w:sz w:val="18"/>
                <w:szCs w:val="18"/>
              </w:rPr>
            </w:pPr>
            <w:r>
              <w:rPr>
                <w:rFonts w:hint="eastAsia" w:ascii="仿宋_GB2312" w:hAnsi="仿宋" w:eastAsia="仿宋_GB2312"/>
                <w:sz w:val="18"/>
                <w:szCs w:val="18"/>
              </w:rPr>
              <w:t xml:space="preserve">重点排放单位基本情况核查存在不合格的 </w:t>
            </w:r>
            <w:r>
              <w:rPr>
                <w:rFonts w:ascii="仿宋_GB2312" w:hAnsi="仿宋" w:eastAsia="仿宋_GB2312"/>
                <w:sz w:val="18"/>
                <w:szCs w:val="18"/>
              </w:rPr>
              <w:t>0</w:t>
            </w:r>
            <w:r>
              <w:rPr>
                <w:rFonts w:hint="eastAsia" w:ascii="仿宋_GB2312" w:hAnsi="仿宋" w:eastAsia="仿宋_GB2312"/>
                <w:sz w:val="18"/>
                <w:szCs w:val="18"/>
              </w:rPr>
              <w:t xml:space="preserve"> 份；</w:t>
            </w:r>
          </w:p>
          <w:p>
            <w:pPr>
              <w:pStyle w:val="6"/>
              <w:widowControl/>
              <w:numPr>
                <w:ilvl w:val="0"/>
                <w:numId w:val="1"/>
              </w:numPr>
              <w:spacing w:before="96" w:beforeLines="40"/>
              <w:ind w:firstLineChars="0"/>
              <w:jc w:val="left"/>
              <w:rPr>
                <w:rFonts w:ascii="仿宋_GB2312" w:hAnsi="仿宋" w:eastAsia="仿宋_GB2312"/>
                <w:sz w:val="18"/>
                <w:szCs w:val="18"/>
              </w:rPr>
            </w:pPr>
            <w:r>
              <w:rPr>
                <w:rFonts w:hint="eastAsia" w:ascii="仿宋_GB2312" w:hAnsi="仿宋" w:eastAsia="仿宋_GB2312"/>
                <w:sz w:val="18"/>
                <w:szCs w:val="18"/>
              </w:rPr>
              <w:t xml:space="preserve">核算边界的核查存在不合格的 </w:t>
            </w:r>
            <w:r>
              <w:rPr>
                <w:rFonts w:ascii="仿宋_GB2312" w:hAnsi="仿宋" w:eastAsia="仿宋_GB2312"/>
                <w:sz w:val="18"/>
                <w:szCs w:val="18"/>
              </w:rPr>
              <w:t>0</w:t>
            </w:r>
            <w:r>
              <w:rPr>
                <w:rFonts w:hint="eastAsia" w:ascii="仿宋_GB2312" w:hAnsi="仿宋" w:eastAsia="仿宋_GB2312"/>
                <w:sz w:val="18"/>
                <w:szCs w:val="18"/>
              </w:rPr>
              <w:t xml:space="preserve"> 份；</w:t>
            </w:r>
          </w:p>
          <w:p>
            <w:pPr>
              <w:pStyle w:val="6"/>
              <w:widowControl/>
              <w:numPr>
                <w:ilvl w:val="0"/>
                <w:numId w:val="1"/>
              </w:numPr>
              <w:spacing w:before="96" w:beforeLines="40"/>
              <w:ind w:firstLineChars="0"/>
              <w:jc w:val="left"/>
              <w:rPr>
                <w:rFonts w:ascii="仿宋_GB2312" w:hAnsi="仿宋" w:eastAsia="仿宋_GB2312"/>
                <w:sz w:val="18"/>
                <w:szCs w:val="18"/>
              </w:rPr>
            </w:pPr>
            <w:r>
              <w:rPr>
                <w:rFonts w:hint="eastAsia" w:ascii="仿宋_GB2312" w:hAnsi="仿宋" w:eastAsia="仿宋_GB2312"/>
                <w:sz w:val="18"/>
                <w:szCs w:val="18"/>
              </w:rPr>
              <w:t xml:space="preserve">核算方法的核查存在不合格的 </w:t>
            </w:r>
            <w:r>
              <w:rPr>
                <w:rFonts w:ascii="仿宋_GB2312" w:hAnsi="仿宋" w:eastAsia="仿宋_GB2312"/>
                <w:sz w:val="18"/>
                <w:szCs w:val="18"/>
              </w:rPr>
              <w:t>0</w:t>
            </w:r>
            <w:r>
              <w:rPr>
                <w:rFonts w:hint="eastAsia" w:ascii="仿宋_GB2312" w:hAnsi="仿宋" w:eastAsia="仿宋_GB2312"/>
                <w:sz w:val="18"/>
                <w:szCs w:val="18"/>
              </w:rPr>
              <w:t xml:space="preserve"> 份；</w:t>
            </w:r>
          </w:p>
          <w:p>
            <w:pPr>
              <w:pStyle w:val="6"/>
              <w:widowControl/>
              <w:numPr>
                <w:ilvl w:val="0"/>
                <w:numId w:val="1"/>
              </w:numPr>
              <w:spacing w:before="96" w:beforeLines="40"/>
              <w:ind w:firstLineChars="0"/>
              <w:jc w:val="left"/>
              <w:rPr>
                <w:rFonts w:ascii="仿宋_GB2312" w:hAnsi="仿宋" w:eastAsia="仿宋_GB2312"/>
                <w:sz w:val="18"/>
                <w:szCs w:val="18"/>
              </w:rPr>
            </w:pPr>
            <w:r>
              <w:rPr>
                <w:rFonts w:hint="eastAsia" w:ascii="仿宋_GB2312" w:hAnsi="仿宋" w:eastAsia="仿宋_GB2312"/>
                <w:sz w:val="18"/>
                <w:szCs w:val="18"/>
              </w:rPr>
              <w:t xml:space="preserve">核算数据的核查存在不合格的 </w:t>
            </w:r>
            <w:r>
              <w:rPr>
                <w:rFonts w:ascii="仿宋_GB2312" w:hAnsi="仿宋" w:eastAsia="仿宋_GB2312"/>
                <w:sz w:val="18"/>
                <w:szCs w:val="18"/>
              </w:rPr>
              <w:t>0</w:t>
            </w:r>
            <w:r>
              <w:rPr>
                <w:rFonts w:hint="eastAsia" w:ascii="仿宋_GB2312" w:hAnsi="仿宋" w:eastAsia="仿宋_GB2312"/>
                <w:sz w:val="18"/>
                <w:szCs w:val="18"/>
              </w:rPr>
              <w:t xml:space="preserve"> 份；</w:t>
            </w:r>
          </w:p>
          <w:p>
            <w:pPr>
              <w:pStyle w:val="6"/>
              <w:widowControl/>
              <w:numPr>
                <w:ilvl w:val="0"/>
                <w:numId w:val="1"/>
              </w:numPr>
              <w:spacing w:before="96" w:beforeLines="40"/>
              <w:ind w:firstLineChars="0"/>
              <w:jc w:val="left"/>
              <w:rPr>
                <w:rFonts w:ascii="仿宋_GB2312" w:hAnsi="仿宋" w:eastAsia="仿宋_GB2312"/>
                <w:sz w:val="18"/>
                <w:szCs w:val="18"/>
              </w:rPr>
            </w:pPr>
            <w:r>
              <w:rPr>
                <w:rFonts w:hint="eastAsia" w:ascii="仿宋_GB2312" w:hAnsi="仿宋" w:eastAsia="仿宋_GB2312"/>
                <w:sz w:val="18"/>
                <w:szCs w:val="18"/>
              </w:rPr>
              <w:t xml:space="preserve">质量控制和文件存档的核查存在不合格的 </w:t>
            </w:r>
            <w:r>
              <w:rPr>
                <w:rFonts w:ascii="仿宋_GB2312" w:hAnsi="仿宋" w:eastAsia="仿宋_GB2312"/>
                <w:sz w:val="18"/>
                <w:szCs w:val="18"/>
              </w:rPr>
              <w:t>0</w:t>
            </w:r>
            <w:r>
              <w:rPr>
                <w:rFonts w:hint="eastAsia" w:ascii="仿宋_GB2312" w:hAnsi="仿宋" w:eastAsia="仿宋_GB2312"/>
                <w:sz w:val="18"/>
                <w:szCs w:val="18"/>
              </w:rPr>
              <w:t xml:space="preserve"> 份；</w:t>
            </w:r>
          </w:p>
          <w:p>
            <w:pPr>
              <w:pStyle w:val="6"/>
              <w:widowControl/>
              <w:numPr>
                <w:ilvl w:val="0"/>
                <w:numId w:val="1"/>
              </w:numPr>
              <w:spacing w:before="96" w:beforeLines="40"/>
              <w:ind w:firstLineChars="0"/>
              <w:jc w:val="left"/>
              <w:rPr>
                <w:rFonts w:ascii="仿宋_GB2312" w:hAnsi="仿宋" w:eastAsia="仿宋_GB2312"/>
                <w:sz w:val="18"/>
                <w:szCs w:val="18"/>
              </w:rPr>
            </w:pPr>
            <w:r>
              <w:rPr>
                <w:rFonts w:hint="eastAsia" w:ascii="仿宋_GB2312" w:hAnsi="仿宋" w:eastAsia="仿宋_GB2312"/>
                <w:sz w:val="18"/>
                <w:szCs w:val="18"/>
              </w:rPr>
              <w:t xml:space="preserve">数据质量控制计划及执行的核查存在不合格的 </w:t>
            </w:r>
            <w:r>
              <w:rPr>
                <w:rFonts w:ascii="仿宋_GB2312" w:hAnsi="仿宋" w:eastAsia="仿宋_GB2312"/>
                <w:sz w:val="18"/>
                <w:szCs w:val="18"/>
              </w:rPr>
              <w:t>0</w:t>
            </w:r>
            <w:r>
              <w:rPr>
                <w:rFonts w:hint="eastAsia" w:ascii="仿宋_GB2312" w:hAnsi="仿宋" w:eastAsia="仿宋_GB2312"/>
                <w:sz w:val="18"/>
                <w:szCs w:val="18"/>
              </w:rPr>
              <w:t xml:space="preserve"> 份；</w:t>
            </w:r>
          </w:p>
          <w:p>
            <w:pPr>
              <w:pStyle w:val="6"/>
              <w:widowControl/>
              <w:numPr>
                <w:ilvl w:val="0"/>
                <w:numId w:val="1"/>
              </w:numPr>
              <w:spacing w:before="96" w:beforeLines="40"/>
              <w:ind w:firstLineChars="0"/>
              <w:jc w:val="left"/>
              <w:rPr>
                <w:rFonts w:ascii="仿宋_GB2312" w:hAnsi="仿宋" w:eastAsia="仿宋_GB2312"/>
                <w:sz w:val="18"/>
                <w:szCs w:val="18"/>
              </w:rPr>
            </w:pPr>
            <w:r>
              <w:rPr>
                <w:rFonts w:hint="eastAsia" w:ascii="仿宋_GB2312" w:hAnsi="仿宋" w:eastAsia="仿宋_GB2312"/>
                <w:sz w:val="18"/>
                <w:szCs w:val="18"/>
              </w:rPr>
              <w:t xml:space="preserve">其他内容的核查存在不合格的 </w:t>
            </w:r>
            <w:r>
              <w:rPr>
                <w:rFonts w:ascii="仿宋_GB2312" w:hAnsi="仿宋" w:eastAsia="仿宋_GB2312"/>
                <w:sz w:val="18"/>
                <w:szCs w:val="18"/>
              </w:rPr>
              <w:t>0</w:t>
            </w:r>
            <w:r>
              <w:rPr>
                <w:rFonts w:hint="eastAsia" w:ascii="仿宋_GB2312" w:hAnsi="仿宋" w:eastAsia="仿宋_GB2312"/>
                <w:sz w:val="18"/>
                <w:szCs w:val="18"/>
              </w:rPr>
              <w:t xml:space="preserve"> 份。</w:t>
            </w:r>
          </w:p>
        </w:tc>
      </w:tr>
    </w:tbl>
    <w:p>
      <w:pPr>
        <w:widowControl/>
        <w:adjustRightInd w:val="0"/>
        <w:snapToGrid w:val="0"/>
        <w:spacing w:before="192" w:beforeLines="80" w:line="288" w:lineRule="auto"/>
        <w:jc w:val="left"/>
        <w:rPr>
          <w:rFonts w:ascii="宋体" w:hAnsi="宋体"/>
          <w:sz w:val="18"/>
          <w:szCs w:val="18"/>
        </w:rPr>
      </w:pPr>
      <w:r>
        <w:rPr>
          <w:rFonts w:hint="eastAsia" w:ascii="宋体" w:hAnsi="宋体"/>
          <w:sz w:val="18"/>
          <w:szCs w:val="18"/>
        </w:rPr>
        <w:t>附：</w:t>
      </w:r>
    </w:p>
    <w:p>
      <w:pPr>
        <w:widowControl/>
        <w:adjustRightInd w:val="0"/>
        <w:snapToGrid w:val="0"/>
        <w:spacing w:line="288" w:lineRule="auto"/>
        <w:jc w:val="left"/>
        <w:rPr>
          <w:rFonts w:ascii="宋体" w:hAnsi="宋体"/>
          <w:sz w:val="18"/>
          <w:szCs w:val="18"/>
        </w:rPr>
      </w:pPr>
      <w:r>
        <w:rPr>
          <w:rFonts w:ascii="宋体" w:hAnsi="宋体"/>
          <w:sz w:val="18"/>
          <w:szCs w:val="18"/>
        </w:rPr>
        <w:t>1.</w:t>
      </w:r>
      <w:r>
        <w:rPr>
          <w:rFonts w:hint="eastAsia" w:ascii="宋体" w:hAnsi="宋体"/>
          <w:sz w:val="18"/>
          <w:szCs w:val="18"/>
        </w:rPr>
        <w:t>技术服务机构内部质量管理相关文件</w:t>
      </w:r>
    </w:p>
    <w:p>
      <w:pPr>
        <w:widowControl/>
        <w:adjustRightInd w:val="0"/>
        <w:snapToGrid w:val="0"/>
        <w:spacing w:line="288" w:lineRule="auto"/>
        <w:jc w:val="left"/>
        <w:rPr>
          <w:rFonts w:ascii="宋体" w:hAnsi="宋体"/>
          <w:sz w:val="18"/>
          <w:szCs w:val="18"/>
        </w:rPr>
      </w:pPr>
      <w:r>
        <w:rPr>
          <w:rFonts w:ascii="宋体" w:hAnsi="宋体"/>
          <w:sz w:val="18"/>
          <w:szCs w:val="18"/>
        </w:rPr>
        <w:t>2.</w:t>
      </w:r>
      <w:r>
        <w:rPr>
          <w:rFonts w:hint="eastAsia" w:ascii="宋体" w:hAnsi="宋体"/>
          <w:sz w:val="18"/>
          <w:szCs w:val="18"/>
        </w:rPr>
        <w:t>技术服务机构《年度公正性自查报告》</w:t>
      </w:r>
    </w:p>
    <w:p/>
    <w:p/>
    <w:sectPr>
      <w:footerReference r:id="rId3" w:type="default"/>
      <w:pgSz w:w="11907" w:h="16840"/>
      <w:pgMar w:top="1701" w:right="1531" w:bottom="1701" w:left="1531" w:header="851" w:footer="10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hint="eastAsia" w:ascii="宋体" w:hAnsi="宋体"/>
        <w:sz w:val="28"/>
        <w:szCs w:val="28"/>
      </w:rPr>
      <w:t>—</w:t>
    </w:r>
    <w:r>
      <w:rPr>
        <w:rStyle w:val="5"/>
        <w:rFonts w:hint="eastAsia" w:ascii="宋体" w:hAnsi="宋体"/>
        <w:sz w:val="20"/>
        <w:szCs w:val="20"/>
      </w:rPr>
      <w:t xml:space="preserve">  </w:t>
    </w:r>
    <w:r>
      <w:rPr>
        <w:rStyle w:val="5"/>
        <w:rFonts w:ascii="宋体" w:hAnsi="宋体"/>
        <w:sz w:val="26"/>
        <w:szCs w:val="26"/>
      </w:rPr>
      <w:fldChar w:fldCharType="begin"/>
    </w:r>
    <w:r>
      <w:rPr>
        <w:rStyle w:val="5"/>
        <w:rFonts w:ascii="宋体" w:hAnsi="宋体"/>
        <w:sz w:val="26"/>
        <w:szCs w:val="26"/>
      </w:rPr>
      <w:instrText xml:space="preserve">PAGE  </w:instrText>
    </w:r>
    <w:r>
      <w:rPr>
        <w:rStyle w:val="5"/>
        <w:rFonts w:ascii="宋体" w:hAnsi="宋体"/>
        <w:sz w:val="26"/>
        <w:szCs w:val="26"/>
      </w:rPr>
      <w:fldChar w:fldCharType="separate"/>
    </w:r>
    <w:r>
      <w:rPr>
        <w:rStyle w:val="5"/>
        <w:rFonts w:ascii="宋体" w:hAnsi="宋体"/>
        <w:sz w:val="26"/>
        <w:szCs w:val="26"/>
      </w:rPr>
      <w:t>3</w:t>
    </w:r>
    <w:r>
      <w:rPr>
        <w:rStyle w:val="5"/>
        <w:rFonts w:ascii="宋体" w:hAnsi="宋体"/>
        <w:sz w:val="26"/>
        <w:szCs w:val="26"/>
      </w:rPr>
      <w:fldChar w:fldCharType="end"/>
    </w:r>
    <w:r>
      <w:rPr>
        <w:rStyle w:val="5"/>
        <w:rFonts w:hint="eastAsia" w:ascii="宋体" w:hAnsi="宋体"/>
        <w:sz w:val="20"/>
        <w:szCs w:val="20"/>
      </w:rPr>
      <w:t xml:space="preserve">  </w:t>
    </w:r>
    <w:r>
      <w:rPr>
        <w:rStyle w:val="5"/>
        <w:rFonts w:hint="eastAsia" w:ascii="宋体" w:hAnsi="宋体"/>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bullet"/>
      <w:lvlText w:val="-"/>
      <w:lvlJc w:val="left"/>
      <w:pPr>
        <w:ind w:left="420" w:hanging="420"/>
      </w:pPr>
      <w:rPr>
        <w:rFonts w:hint="eastAsia" w:ascii="仿宋" w:hAnsi="仿宋" w:eastAsia="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77B963"/>
    <w:rsid w:val="DD77B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列出段落3"/>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2022-11-15T18:03:00Z</dcterms:created>
  <dc:creator>user</dc:creator>
  <cp:lastModifiedBy>user</cp:lastModifiedBy>
  <dcterms:modified xsi:type="dcterms:W3CDTF">2022-11-15T18:15:56Z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