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 w:cs="方正小标宋简体"/>
          <w:sz w:val="44"/>
          <w:szCs w:val="44"/>
        </w:rPr>
        <w:t>关于实施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国家在用汽油车和柴油车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排放标准</w:t>
      </w:r>
      <w:r>
        <w:rPr>
          <w:rFonts w:hint="eastAsia" w:ascii="方正小标宋简体" w:eastAsia="方正小标宋简体" w:cs="方正小标宋简体"/>
          <w:sz w:val="44"/>
          <w:szCs w:val="44"/>
        </w:rPr>
        <w:t>限值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b</w:t>
      </w:r>
      <w:r>
        <w:rPr>
          <w:rFonts w:hint="eastAsia" w:ascii="方正小标宋简体" w:eastAsia="方正小标宋简体" w:cs="方正小标宋简体"/>
          <w:sz w:val="44"/>
          <w:szCs w:val="44"/>
        </w:rPr>
        <w:t>有关要求的通告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按照《汽油车污染物排放限值及测量方法（双怠速法及简易工况法）》（GB 18285-2018，以下简称《汽油车排放标准》）和《柴油车污染物排放限值及测量方法（自由加速法及加载减速法）》（GB 3847-2018，以下简称《柴油车排放标准》）规定，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本市计划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实施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上述两项标准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限值b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，并编制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  <w:t>关于实施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国家在用汽油车和柴油车排放标准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  <w:t>限值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  <w:t>有关要求的通告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（征求意见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稿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》（以下简称《通告》）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现将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《通告》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有关情况说明如下：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t>一、背景情况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国家标准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《汽油车排放标准》和《柴油车排放标准》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2019年以来本市在用汽车排放污染物检测执行国标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限值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。同时，标准规定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对于汽车保有量达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到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万辆以上，或机动车为当地首要空气污染源，可提前选用限值b。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2022年底，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市汽车保有量超过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62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万辆，移动源是本地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PM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vertAlign w:val="subscript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vertAlign w:val="subscript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vertAlign w:val="baseline"/>
        </w:rPr>
        <w:t>污染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的首要来源，具备提前执行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限值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的基本条件。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为进一步减少本市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机动车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污染排放，持续改善大气环境质量，本市计划提前实施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国家在用汽油车和柴油车排放标准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</w:rPr>
        <w:t>限值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t>制定依据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《汽油车排放标准》和《柴油车排放标准》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两项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国家标准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本市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具备执行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限值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的基本条件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按照《中华人民共和国大气污染防治法》第五十条第三款规定，省、自治区、直辖市人民政府可以在条件具备的地区，提前执行国家机动车大气污染物排放标准中相应阶段限值，并报国务院生态环境主管部门备案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因此，本市实施相应排放限值，有充分的法律依据。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3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三、《通告》的主要内容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1.实施时间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楷体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>自2024年7 月1日起实施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2.实施范围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 w:cs="Calibri"/>
          <w:sz w:val="32"/>
          <w:szCs w:val="32"/>
        </w:rPr>
        <w:t>本市</w:t>
      </w:r>
      <w:r>
        <w:rPr>
          <w:rFonts w:hint="eastAsia" w:ascii="仿宋_GB2312" w:hAnsi="楷体" w:eastAsia="仿宋_GB2312" w:cs="Calibri"/>
          <w:sz w:val="32"/>
          <w:szCs w:val="32"/>
          <w:lang w:eastAsia="zh-CN"/>
        </w:rPr>
        <w:t>注册登记的车辆或在本市机动车排放检验机构进行检测的车辆，排放污染物检测应符合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《汽油车排放标准》和《柴油车排放标准》规定的限值b要求。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" w:eastAsia="仿宋_GB2312" w:cs="Calibri"/>
          <w:sz w:val="32"/>
          <w:szCs w:val="32"/>
          <w:lang w:val="en-US" w:eastAsia="zh-CN"/>
        </w:rPr>
        <w:t>采取双怠速法、自由加速法等对在用汽车进行监督抽测时，采用限值b的1.1倍进行判定。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四、环境效益评估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初步分析评估，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加严检测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限值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能更有效识别高排放车辆，与经济鼓励、交通限行等政策形成“组合拳”，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有利于促进高排放车淘汰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。初步测算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年均减排各项污染物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总计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约570吨</w:t>
      </w: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AD0D1"/>
    <w:multiLevelType w:val="singleLevel"/>
    <w:tmpl w:val="7CEAD0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13FB"/>
    <w:rsid w:val="2A452466"/>
    <w:rsid w:val="2BE80049"/>
    <w:rsid w:val="6D4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2023-08-10T09:18:00Z</dcterms:created>
  <dc:creator>赵旭</dc:creator>
  <cp:lastModifiedBy>赵旭</cp:lastModifiedBy>
  <dcterms:modified xsi:type="dcterms:W3CDTF">2023-08-10T09:20:16Z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