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p>
    <w:p>
      <w:pPr>
        <w:pStyle w:val="2"/>
        <w:rPr>
          <w:rFonts w:hint="eastAsia"/>
          <w:highlight w:val="none"/>
        </w:rPr>
      </w:pPr>
    </w:p>
    <w:p>
      <w:pPr>
        <w:spacing w:line="560" w:lineRule="exact"/>
        <w:jc w:val="center"/>
        <w:outlineLvl w:val="0"/>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绿色绩效评价指标体系</w:t>
      </w:r>
    </w:p>
    <w:p>
      <w:pPr>
        <w:pStyle w:val="2"/>
        <w:ind w:left="420"/>
        <w:rPr>
          <w:rFonts w:hint="eastAsia"/>
          <w:highlight w:val="non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64"/>
        <w:gridCol w:w="5171"/>
        <w:gridCol w:w="167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b/>
                <w:bCs/>
                <w:sz w:val="24"/>
                <w:highlight w:val="none"/>
              </w:rPr>
            </w:pPr>
            <w:r>
              <w:rPr>
                <w:rFonts w:hint="eastAsia" w:ascii="仿宋_GB2312" w:eastAsia="仿宋_GB2312"/>
                <w:b/>
                <w:bCs/>
                <w:sz w:val="24"/>
                <w:highlight w:val="none"/>
              </w:rPr>
              <w:t>序号</w:t>
            </w:r>
          </w:p>
        </w:tc>
        <w:tc>
          <w:tcPr>
            <w:tcW w:w="5171" w:type="dxa"/>
            <w:noWrap w:val="0"/>
            <w:vAlign w:val="center"/>
          </w:tcPr>
          <w:p>
            <w:pPr>
              <w:spacing w:line="240" w:lineRule="atLeast"/>
              <w:jc w:val="center"/>
              <w:rPr>
                <w:rFonts w:hint="eastAsia" w:ascii="仿宋_GB2312" w:eastAsia="仿宋_GB2312"/>
                <w:b/>
                <w:bCs/>
                <w:sz w:val="24"/>
                <w:highlight w:val="none"/>
              </w:rPr>
            </w:pPr>
            <w:r>
              <w:rPr>
                <w:rFonts w:hint="eastAsia" w:ascii="仿宋_GB2312" w:eastAsia="仿宋_GB2312"/>
                <w:b/>
                <w:bCs/>
                <w:sz w:val="24"/>
                <w:highlight w:val="none"/>
              </w:rPr>
              <w:t>评价导则</w:t>
            </w:r>
          </w:p>
        </w:tc>
        <w:tc>
          <w:tcPr>
            <w:tcW w:w="1670" w:type="dxa"/>
            <w:noWrap w:val="0"/>
            <w:vAlign w:val="center"/>
          </w:tcPr>
          <w:p>
            <w:pPr>
              <w:spacing w:line="240" w:lineRule="atLeast"/>
              <w:jc w:val="center"/>
              <w:rPr>
                <w:rFonts w:hint="eastAsia" w:ascii="仿宋_GB2312" w:eastAsia="仿宋_GB2312"/>
                <w:b/>
                <w:bCs/>
                <w:sz w:val="24"/>
                <w:highlight w:val="none"/>
              </w:rPr>
            </w:pPr>
            <w:r>
              <w:rPr>
                <w:rFonts w:hint="eastAsia" w:ascii="仿宋_GB2312" w:eastAsia="仿宋_GB2312"/>
                <w:b/>
                <w:bCs/>
                <w:sz w:val="24"/>
                <w:highlight w:val="none"/>
              </w:rPr>
              <w:t>首次发布时间</w:t>
            </w:r>
          </w:p>
        </w:tc>
        <w:tc>
          <w:tcPr>
            <w:tcW w:w="1374" w:type="dxa"/>
            <w:noWrap w:val="0"/>
            <w:vAlign w:val="center"/>
          </w:tcPr>
          <w:p>
            <w:pPr>
              <w:spacing w:line="240" w:lineRule="atLeast"/>
              <w:jc w:val="center"/>
              <w:rPr>
                <w:rFonts w:hint="eastAsia" w:ascii="仿宋_GB2312" w:eastAsia="仿宋_GB2312"/>
                <w:b/>
                <w:bCs/>
                <w:sz w:val="24"/>
                <w:highlight w:val="none"/>
              </w:rPr>
            </w:pPr>
            <w:r>
              <w:rPr>
                <w:rFonts w:hint="eastAsia" w:ascii="仿宋_GB2312" w:eastAsia="仿宋_GB2312"/>
                <w:b/>
                <w:bCs/>
                <w:sz w:val="24"/>
                <w:highlight w:val="none"/>
              </w:rPr>
              <w:t>更新时间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1</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制造业（C）企业绿色绩效评价总则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ascii="仿宋_GB2312" w:eastAsia="仿宋_GB2312"/>
                <w:sz w:val="24"/>
                <w:highlight w:val="none"/>
              </w:rPr>
            </w:pPr>
            <w:r>
              <w:rPr>
                <w:rFonts w:hint="eastAsia" w:ascii="仿宋_GB2312" w:eastAsia="仿宋_GB2312"/>
                <w:sz w:val="24"/>
                <w:highlight w:val="none"/>
              </w:rPr>
              <w:t>1.1</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汽车整车制造（361）企业绿色绩效评价细则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1.2</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印刷（231）企业绿色绩效评价细则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1.3</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木质家具制造（211）企业绿色绩效评价细则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其他非制造业行业企业绿色绩效评价总则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ascii="仿宋_GB2312" w:eastAsia="仿宋_GB2312"/>
                <w:sz w:val="24"/>
                <w:highlight w:val="none"/>
              </w:rPr>
            </w:pPr>
            <w:r>
              <w:rPr>
                <w:rFonts w:hint="eastAsia" w:ascii="仿宋_GB2312" w:eastAsia="仿宋_GB2312"/>
                <w:sz w:val="24"/>
                <w:highlight w:val="none"/>
              </w:rPr>
              <w:t>2.1</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电力生产（441）企业绿色绩效评价细则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ascii="仿宋_GB2312" w:eastAsia="仿宋_GB2312"/>
                <w:sz w:val="24"/>
                <w:highlight w:val="none"/>
              </w:rPr>
            </w:pPr>
            <w:r>
              <w:rPr>
                <w:rFonts w:hint="eastAsia" w:ascii="仿宋_GB2312" w:eastAsia="仿宋_GB2312"/>
                <w:sz w:val="24"/>
                <w:highlight w:val="none"/>
              </w:rPr>
              <w:t>2.2</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热力生产和供应（443）企业绿色绩效评价细则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ascii="仿宋_GB2312" w:eastAsia="仿宋_GB2312"/>
                <w:sz w:val="24"/>
                <w:highlight w:val="none"/>
              </w:rPr>
            </w:pPr>
            <w:r>
              <w:rPr>
                <w:rFonts w:hint="eastAsia" w:ascii="仿宋_GB2312" w:eastAsia="仿宋_GB2312"/>
                <w:sz w:val="24"/>
                <w:highlight w:val="none"/>
              </w:rPr>
              <w:t>2.3</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房屋建筑业（47）企业绿色绩效评价细则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ascii="仿宋_GB2312" w:eastAsia="仿宋_GB2312"/>
                <w:sz w:val="24"/>
                <w:highlight w:val="none"/>
              </w:rPr>
            </w:pPr>
            <w:r>
              <w:rPr>
                <w:rFonts w:hint="eastAsia" w:ascii="仿宋_GB2312" w:eastAsia="仿宋_GB2312"/>
                <w:sz w:val="24"/>
                <w:highlight w:val="none"/>
              </w:rPr>
              <w:t>2.4</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道路运输业（54）企业绿色绩效评价细则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2.5</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住宿业（61）企业评价细则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2.6</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餐饮业（62）企业评价细则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24"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2.7</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信息传输、软件和信息技术服务业（</w:t>
            </w:r>
            <w:r>
              <w:rPr>
                <w:rFonts w:ascii="仿宋_GB2312" w:eastAsia="仿宋_GB2312"/>
                <w:sz w:val="24"/>
                <w:highlight w:val="none"/>
                <w:lang w:val="en"/>
              </w:rPr>
              <w:t>63</w:t>
            </w:r>
            <w:r>
              <w:rPr>
                <w:rFonts w:hint="eastAsia" w:ascii="仿宋_GB2312" w:eastAsia="仿宋_GB2312"/>
                <w:sz w:val="24"/>
                <w:highlight w:val="none"/>
                <w:lang w:val="en"/>
              </w:rPr>
              <w:t>、</w:t>
            </w:r>
            <w:r>
              <w:rPr>
                <w:rFonts w:hint="eastAsia" w:ascii="仿宋_GB2312" w:eastAsia="仿宋_GB2312"/>
                <w:sz w:val="24"/>
                <w:highlight w:val="none"/>
              </w:rPr>
              <w:t>64、65）企业评价细则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31" w:hRule="atLeast"/>
          <w:jc w:val="center"/>
        </w:trPr>
        <w:tc>
          <w:tcPr>
            <w:tcW w:w="764" w:type="dxa"/>
            <w:noWrap w:val="0"/>
            <w:vAlign w:val="center"/>
          </w:tcPr>
          <w:p>
            <w:pPr>
              <w:spacing w:line="240" w:lineRule="atLeast"/>
              <w:jc w:val="center"/>
              <w:rPr>
                <w:rFonts w:ascii="仿宋_GB2312" w:eastAsia="仿宋_GB2312"/>
                <w:sz w:val="24"/>
                <w:highlight w:val="none"/>
              </w:rPr>
            </w:pPr>
            <w:r>
              <w:rPr>
                <w:rFonts w:hint="eastAsia" w:ascii="仿宋_GB2312" w:eastAsia="仿宋_GB2312"/>
                <w:sz w:val="24"/>
                <w:highlight w:val="none"/>
              </w:rPr>
              <w:t>2.8</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房地产业（</w:t>
            </w:r>
            <w:r>
              <w:rPr>
                <w:rFonts w:ascii="仿宋_GB2312" w:eastAsia="仿宋_GB2312"/>
                <w:sz w:val="24"/>
                <w:highlight w:val="none"/>
                <w:lang w:val="en"/>
              </w:rPr>
              <w:t>70</w:t>
            </w:r>
            <w:r>
              <w:rPr>
                <w:rFonts w:hint="eastAsia" w:ascii="仿宋_GB2312" w:eastAsia="仿宋_GB2312"/>
                <w:sz w:val="24"/>
                <w:highlight w:val="none"/>
              </w:rPr>
              <w:t>）企业绿色绩效评价细则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60" w:hRule="atLeast"/>
          <w:jc w:val="center"/>
        </w:trPr>
        <w:tc>
          <w:tcPr>
            <w:tcW w:w="764"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3</w:t>
            </w:r>
          </w:p>
        </w:tc>
        <w:tc>
          <w:tcPr>
            <w:tcW w:w="5171" w:type="dxa"/>
            <w:noWrap w:val="0"/>
            <w:vAlign w:val="center"/>
          </w:tcPr>
          <w:p>
            <w:pPr>
              <w:spacing w:line="240" w:lineRule="atLeast"/>
              <w:jc w:val="both"/>
              <w:rPr>
                <w:rFonts w:hint="eastAsia" w:ascii="仿宋_GB2312" w:eastAsia="仿宋_GB2312"/>
                <w:sz w:val="24"/>
                <w:highlight w:val="none"/>
              </w:rPr>
            </w:pPr>
            <w:r>
              <w:rPr>
                <w:rFonts w:hint="eastAsia" w:ascii="仿宋_GB2312" w:eastAsia="仿宋_GB2312"/>
                <w:sz w:val="24"/>
                <w:highlight w:val="none"/>
              </w:rPr>
              <w:t>绿色项目综合评价总则</w:t>
            </w:r>
          </w:p>
        </w:tc>
        <w:tc>
          <w:tcPr>
            <w:tcW w:w="1670" w:type="dxa"/>
            <w:noWrap w:val="0"/>
            <w:vAlign w:val="center"/>
          </w:tcPr>
          <w:p>
            <w:pPr>
              <w:spacing w:line="240" w:lineRule="atLeast"/>
              <w:jc w:val="center"/>
              <w:rPr>
                <w:rFonts w:hint="eastAsia" w:ascii="仿宋_GB2312" w:eastAsia="仿宋_GB2312"/>
                <w:sz w:val="24"/>
                <w:highlight w:val="none"/>
              </w:rPr>
            </w:pPr>
            <w:r>
              <w:rPr>
                <w:rFonts w:hint="eastAsia" w:ascii="仿宋_GB2312" w:eastAsia="仿宋_GB2312"/>
                <w:sz w:val="24"/>
                <w:highlight w:val="none"/>
              </w:rPr>
              <w:t>2023.7</w:t>
            </w:r>
          </w:p>
        </w:tc>
        <w:tc>
          <w:tcPr>
            <w:tcW w:w="1374" w:type="dxa"/>
            <w:noWrap w:val="0"/>
            <w:vAlign w:val="center"/>
          </w:tcPr>
          <w:p>
            <w:pPr>
              <w:spacing w:line="240" w:lineRule="atLeast"/>
              <w:jc w:val="both"/>
              <w:rPr>
                <w:rFonts w:hint="eastAsia" w:ascii="仿宋_GB2312" w:eastAsia="仿宋_GB2312"/>
                <w:sz w:val="24"/>
                <w:highlight w:val="none"/>
              </w:rPr>
            </w:pPr>
          </w:p>
        </w:tc>
      </w:tr>
    </w:tbl>
    <w:p>
      <w:pPr>
        <w:spacing w:line="560" w:lineRule="exact"/>
        <w:rPr>
          <w:rFonts w:hint="eastAsia" w:ascii="仿宋_GB2312" w:eastAsia="仿宋_GB2312"/>
          <w:sz w:val="32"/>
          <w:szCs w:val="32"/>
          <w:highlight w:val="none"/>
        </w:rPr>
        <w:sectPr>
          <w:headerReference r:id="rId3" w:type="default"/>
          <w:footerReference r:id="rId5" w:type="default"/>
          <w:headerReference r:id="rId4" w:type="even"/>
          <w:footerReference r:id="rId6" w:type="even"/>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rtlGutter w:val="0"/>
          <w:docGrid w:type="lines" w:linePitch="319" w:charSpace="0"/>
        </w:sectPr>
      </w:pPr>
    </w:p>
    <w:p>
      <w:pPr>
        <w:numPr>
          <w:ilvl w:val="0"/>
          <w:numId w:val="1"/>
        </w:numPr>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制造业（C）企业绿色绩效评价总则</w:t>
      </w:r>
    </w:p>
    <w:p>
      <w:pPr>
        <w:rPr>
          <w:rFonts w:hint="eastAsia"/>
          <w:highlight w:val="none"/>
        </w:rPr>
      </w:pPr>
    </w:p>
    <w:tbl>
      <w:tblPr>
        <w:tblStyle w:val="8"/>
        <w:tblW w:w="14526" w:type="dxa"/>
        <w:jc w:val="center"/>
        <w:tblLayout w:type="fixed"/>
        <w:tblCellMar>
          <w:top w:w="0" w:type="dxa"/>
          <w:left w:w="0" w:type="dxa"/>
          <w:bottom w:w="0" w:type="dxa"/>
          <w:right w:w="0" w:type="dxa"/>
        </w:tblCellMar>
      </w:tblPr>
      <w:tblGrid>
        <w:gridCol w:w="535"/>
        <w:gridCol w:w="1432"/>
        <w:gridCol w:w="1417"/>
        <w:gridCol w:w="3999"/>
        <w:gridCol w:w="3941"/>
        <w:gridCol w:w="3202"/>
      </w:tblGrid>
      <w:tr>
        <w:tblPrEx>
          <w:tblCellMar>
            <w:top w:w="0" w:type="dxa"/>
            <w:left w:w="0" w:type="dxa"/>
            <w:bottom w:w="0" w:type="dxa"/>
            <w:right w:w="0" w:type="dxa"/>
          </w:tblCellMar>
        </w:tblPrEx>
        <w:trPr>
          <w:trHeight w:val="460" w:hRule="atLeast"/>
          <w:tblHeader/>
          <w:jc w:val="center"/>
        </w:trPr>
        <w:tc>
          <w:tcPr>
            <w:tcW w:w="5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序号</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一级指标</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二级指标</w:t>
            </w:r>
          </w:p>
        </w:tc>
        <w:tc>
          <w:tcPr>
            <w:tcW w:w="3999" w:type="dxa"/>
            <w:tcBorders>
              <w:top w:val="single" w:color="000000" w:sz="4" w:space="0"/>
              <w:left w:val="single" w:color="000000" w:sz="4" w:space="0"/>
              <w:bottom w:val="single" w:color="000000" w:sz="4" w:space="0"/>
              <w:right w:val="single" w:color="auto"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绿色标杆企业(深绿)</w:t>
            </w:r>
          </w:p>
        </w:tc>
        <w:tc>
          <w:tcPr>
            <w:tcW w:w="3941" w:type="dxa"/>
            <w:tcBorders>
              <w:top w:val="single" w:color="000000" w:sz="4" w:space="0"/>
              <w:left w:val="single" w:color="auto"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绿色基准企业(浅绿)</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普通合法企业</w:t>
            </w:r>
          </w:p>
        </w:tc>
      </w:tr>
      <w:tr>
        <w:tblPrEx>
          <w:tblCellMar>
            <w:top w:w="0" w:type="dxa"/>
            <w:left w:w="0" w:type="dxa"/>
            <w:bottom w:w="0" w:type="dxa"/>
            <w:right w:w="0" w:type="dxa"/>
          </w:tblCellMar>
        </w:tblPrEx>
        <w:trPr>
          <w:trHeight w:val="817" w:hRule="atLeast"/>
          <w:jc w:val="center"/>
        </w:trPr>
        <w:tc>
          <w:tcPr>
            <w:tcW w:w="535"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43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办公楼宇</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节能降耗</w:t>
            </w:r>
          </w:p>
        </w:tc>
        <w:tc>
          <w:tcPr>
            <w:tcW w:w="141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kern w:val="0"/>
                <w:szCs w:val="21"/>
                <w:highlight w:val="none"/>
                <w:vertAlign w:val="superscript"/>
                <w:lang w:bidi="ar"/>
              </w:rPr>
              <w:t>1</w:t>
            </w:r>
          </w:p>
        </w:tc>
        <w:tc>
          <w:tcPr>
            <w:tcW w:w="3999"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采用太阳能光热系统、太阳能光伏系统、地源热泵系统、空气源热泵热水系统其中之一</w:t>
            </w:r>
          </w:p>
        </w:tc>
        <w:tc>
          <w:tcPr>
            <w:tcW w:w="3941" w:type="dxa"/>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采用太阳能热水供应系统、LED照明灯具其中之一</w:t>
            </w:r>
          </w:p>
        </w:tc>
        <w:tc>
          <w:tcPr>
            <w:tcW w:w="3202" w:type="dxa"/>
            <w:tcBorders>
              <w:top w:val="single" w:color="000000" w:sz="4" w:space="0"/>
              <w:left w:val="single" w:color="auto"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814" w:hRule="atLeast"/>
          <w:jc w:val="center"/>
        </w:trPr>
        <w:tc>
          <w:tcPr>
            <w:tcW w:w="535"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32"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17"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941"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202" w:type="dxa"/>
            <w:tcBorders>
              <w:top w:val="single" w:color="000000" w:sz="4" w:space="0"/>
              <w:left w:val="single" w:color="auto"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650" w:hRule="atLeast"/>
          <w:jc w:val="center"/>
        </w:trPr>
        <w:tc>
          <w:tcPr>
            <w:tcW w:w="535"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32"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17"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232" w:hRule="atLeast"/>
          <w:jc w:val="center"/>
        </w:trPr>
        <w:tc>
          <w:tcPr>
            <w:tcW w:w="535"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32"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17" w:type="dxa"/>
            <w:vMerge w:val="continue"/>
            <w:tcBorders>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1142"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CellMar>
            <w:top w:w="0" w:type="dxa"/>
            <w:left w:w="0" w:type="dxa"/>
            <w:bottom w:w="0" w:type="dxa"/>
            <w:right w:w="0" w:type="dxa"/>
          </w:tblCellMar>
        </w:tblPrEx>
        <w:trPr>
          <w:trHeight w:val="515" w:hRule="atLeast"/>
          <w:jc w:val="center"/>
        </w:trPr>
        <w:tc>
          <w:tcPr>
            <w:tcW w:w="535"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32"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505" w:hRule="atLeast"/>
          <w:jc w:val="center"/>
        </w:trPr>
        <w:tc>
          <w:tcPr>
            <w:tcW w:w="535" w:type="dxa"/>
            <w:vMerge w:val="continue"/>
            <w:tcBorders>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32" w:type="dxa"/>
            <w:vMerge w:val="continue"/>
            <w:tcBorders>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611" w:hRule="atLeast"/>
          <w:jc w:val="center"/>
        </w:trPr>
        <w:tc>
          <w:tcPr>
            <w:tcW w:w="5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2</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原辅材料</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清洁原辅料</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1</w:t>
            </w:r>
            <w:r>
              <w:rPr>
                <w:rFonts w:hint="eastAsia" w:ascii="仿宋_GB2312" w:hAnsi="仿宋_GB2312" w:eastAsia="仿宋_GB2312" w:cs="仿宋_GB2312"/>
                <w:bCs/>
                <w:color w:val="000000"/>
                <w:kern w:val="0"/>
                <w:szCs w:val="21"/>
                <w:highlight w:val="none"/>
              </w:rPr>
              <w:t>.</w:t>
            </w:r>
            <w:r>
              <w:rPr>
                <w:rFonts w:hint="eastAsia" w:ascii="仿宋_GB2312" w:hAnsi="宋体" w:eastAsia="仿宋_GB2312"/>
                <w:color w:val="0C0C0C"/>
                <w:szCs w:val="21"/>
                <w:highlight w:val="none"/>
                <w:lang w:eastAsia="zh-CN"/>
              </w:rPr>
              <w:t>不</w:t>
            </w:r>
            <w:r>
              <w:rPr>
                <w:rFonts w:hint="eastAsia" w:ascii="仿宋_GB2312" w:hAnsi="宋体" w:eastAsia="仿宋_GB2312"/>
                <w:color w:val="0C0C0C"/>
                <w:szCs w:val="21"/>
                <w:highlight w:val="none"/>
              </w:rPr>
              <w:t>使用国家、行业明令禁止和淘汰的原辅材料；</w:t>
            </w:r>
          </w:p>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lang w:val="en-US" w:eastAsia="zh-CN"/>
              </w:rPr>
              <w:t>2</w:t>
            </w:r>
            <w:r>
              <w:rPr>
                <w:rFonts w:hint="eastAsia" w:ascii="仿宋_GB2312" w:hAnsi="仿宋_GB2312" w:eastAsia="仿宋_GB2312" w:cs="仿宋_GB2312"/>
                <w:bCs/>
                <w:color w:val="000000"/>
                <w:kern w:val="0"/>
                <w:szCs w:val="21"/>
                <w:highlight w:val="none"/>
              </w:rPr>
              <w:t>.</w:t>
            </w:r>
            <w:r>
              <w:rPr>
                <w:rFonts w:hint="eastAsia" w:ascii="仿宋_GB2312" w:hAnsi="宋体" w:eastAsia="仿宋_GB2312"/>
                <w:color w:val="0C0C0C"/>
                <w:szCs w:val="21"/>
                <w:highlight w:val="none"/>
              </w:rPr>
              <w:t>若使用含VOCs原辅料，应符合有关涂料、胶粘剂、清洗剂、油墨等低VOCs含量限值要求</w:t>
            </w:r>
          </w:p>
        </w:tc>
        <w:tc>
          <w:tcPr>
            <w:tcW w:w="71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1</w:t>
            </w:r>
            <w:r>
              <w:rPr>
                <w:rFonts w:hint="eastAsia" w:ascii="仿宋_GB2312" w:hAnsi="仿宋_GB2312" w:eastAsia="仿宋_GB2312" w:cs="仿宋_GB2312"/>
                <w:bCs/>
                <w:color w:val="000000"/>
                <w:kern w:val="0"/>
                <w:szCs w:val="21"/>
                <w:highlight w:val="none"/>
              </w:rPr>
              <w:t>.</w:t>
            </w:r>
            <w:r>
              <w:rPr>
                <w:rFonts w:hint="eastAsia" w:ascii="仿宋_GB2312" w:hAnsi="宋体" w:eastAsia="仿宋_GB2312"/>
                <w:color w:val="0C0C0C"/>
                <w:szCs w:val="21"/>
                <w:highlight w:val="none"/>
                <w:lang w:eastAsia="zh-CN"/>
              </w:rPr>
              <w:t>不</w:t>
            </w:r>
            <w:r>
              <w:rPr>
                <w:rFonts w:hint="eastAsia" w:ascii="仿宋_GB2312" w:hAnsi="宋体" w:eastAsia="仿宋_GB2312"/>
                <w:color w:val="0C0C0C"/>
                <w:szCs w:val="21"/>
                <w:highlight w:val="none"/>
              </w:rPr>
              <w:t>使用国家、行业明令禁止和淘汰的原辅材料；</w:t>
            </w:r>
          </w:p>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lang w:val="en-US" w:eastAsia="zh-CN"/>
              </w:rPr>
              <w:t>2</w:t>
            </w:r>
            <w:r>
              <w:rPr>
                <w:rFonts w:hint="eastAsia" w:ascii="仿宋_GB2312" w:hAnsi="仿宋_GB2312" w:eastAsia="仿宋_GB2312" w:cs="仿宋_GB2312"/>
                <w:bCs/>
                <w:color w:val="000000"/>
                <w:kern w:val="0"/>
                <w:szCs w:val="21"/>
                <w:highlight w:val="none"/>
              </w:rPr>
              <w:t>.</w:t>
            </w:r>
            <w:r>
              <w:rPr>
                <w:rFonts w:hint="eastAsia" w:ascii="仿宋_GB2312" w:hAnsi="宋体" w:eastAsia="仿宋_GB2312"/>
                <w:color w:val="0C0C0C"/>
                <w:szCs w:val="21"/>
                <w:highlight w:val="none"/>
              </w:rPr>
              <w:t>若使用含VOCs原辅料，应符合涂料、胶粘剂、清洗剂、油墨等有害物质限量标准要求</w:t>
            </w:r>
          </w:p>
        </w:tc>
      </w:tr>
      <w:tr>
        <w:tblPrEx>
          <w:tblCellMar>
            <w:top w:w="0" w:type="dxa"/>
            <w:left w:w="0" w:type="dxa"/>
            <w:bottom w:w="0" w:type="dxa"/>
            <w:right w:w="0" w:type="dxa"/>
          </w:tblCellMar>
        </w:tblPrEx>
        <w:trPr>
          <w:trHeight w:val="864" w:hRule="atLeast"/>
          <w:jc w:val="center"/>
        </w:trPr>
        <w:tc>
          <w:tcPr>
            <w:tcW w:w="5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3</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生产工艺及</w:t>
            </w:r>
          </w:p>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装备</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绿色装备</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和工艺</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lang w:eastAsia="zh-CN"/>
              </w:rPr>
              <w:t>主要生产设备</w:t>
            </w:r>
            <w:r>
              <w:rPr>
                <w:rFonts w:hint="eastAsia" w:ascii="仿宋_GB2312" w:hAnsi="宋体" w:eastAsia="仿宋_GB2312"/>
                <w:color w:val="0C0C0C"/>
                <w:szCs w:val="21"/>
                <w:highlight w:val="none"/>
              </w:rPr>
              <w:t>使用《国家工业和信息化领域节能技术装备推荐目录》《北京市节能技术产品推荐目录》所列推荐的技术</w:t>
            </w:r>
            <w:r>
              <w:rPr>
                <w:rFonts w:hint="eastAsia" w:ascii="仿宋_GB2312" w:hAnsi="宋体" w:eastAsia="仿宋_GB2312"/>
                <w:color w:val="0C0C0C"/>
                <w:szCs w:val="21"/>
                <w:highlight w:val="none"/>
                <w:lang w:eastAsia="zh-CN"/>
              </w:rPr>
              <w:t>装备</w:t>
            </w:r>
            <w:r>
              <w:rPr>
                <w:rFonts w:hint="eastAsia" w:ascii="仿宋_GB2312" w:hAnsi="宋体" w:eastAsia="仿宋_GB2312"/>
                <w:color w:val="0C0C0C"/>
                <w:szCs w:val="21"/>
                <w:highlight w:val="none"/>
              </w:rPr>
              <w:t>或者产品</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未使用国家和</w:t>
            </w:r>
            <w:r>
              <w:rPr>
                <w:rFonts w:hint="eastAsia" w:ascii="仿宋_GB2312" w:hAnsi="宋体" w:eastAsia="仿宋_GB2312"/>
                <w:color w:val="0C0C0C"/>
                <w:szCs w:val="21"/>
                <w:highlight w:val="none"/>
                <w:lang w:eastAsia="zh-CN"/>
              </w:rPr>
              <w:t>本</w:t>
            </w:r>
            <w:r>
              <w:rPr>
                <w:rFonts w:hint="eastAsia" w:ascii="仿宋_GB2312" w:hAnsi="宋体" w:eastAsia="仿宋_GB2312"/>
                <w:color w:val="0C0C0C"/>
                <w:szCs w:val="21"/>
                <w:highlight w:val="none"/>
              </w:rPr>
              <w:t>市明令禁止生产、使用的落后设备和工艺</w:t>
            </w:r>
          </w:p>
        </w:tc>
      </w:tr>
      <w:tr>
        <w:tblPrEx>
          <w:tblCellMar>
            <w:top w:w="0" w:type="dxa"/>
            <w:left w:w="0" w:type="dxa"/>
            <w:bottom w:w="0" w:type="dxa"/>
            <w:right w:w="0" w:type="dxa"/>
          </w:tblCellMar>
        </w:tblPrEx>
        <w:trPr>
          <w:trHeight w:val="729" w:hRule="atLeast"/>
          <w:jc w:val="center"/>
        </w:trPr>
        <w:tc>
          <w:tcPr>
            <w:tcW w:w="5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4</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vertAlign w:val="superscript"/>
              </w:rPr>
            </w:pPr>
            <w:r>
              <w:rPr>
                <w:rFonts w:hint="eastAsia" w:ascii="仿宋_GB2312" w:hAnsi="仿宋_GB2312" w:eastAsia="仿宋_GB2312" w:cs="仿宋_GB2312"/>
                <w:color w:val="0C0C0C"/>
                <w:kern w:val="0"/>
                <w:szCs w:val="21"/>
                <w:highlight w:val="none"/>
                <w:lang w:bidi="ar"/>
              </w:rPr>
              <w:t>污染治理技术</w:t>
            </w:r>
            <w:r>
              <w:rPr>
                <w:rFonts w:hint="eastAsia" w:ascii="仿宋_GB2312" w:hAnsi="仿宋_GB2312" w:eastAsia="仿宋_GB2312" w:cs="仿宋_GB2312"/>
                <w:color w:val="0C0C0C"/>
                <w:kern w:val="0"/>
                <w:szCs w:val="21"/>
                <w:highlight w:val="none"/>
                <w:vertAlign w:val="superscript"/>
                <w:lang w:bidi="ar"/>
              </w:rPr>
              <w:t>2</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污染物治理</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技术</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采用国家已发布行业污染防治可行技术指南要求的污染治理技术</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044" w:hRule="atLeast"/>
          <w:jc w:val="center"/>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5</w:t>
            </w:r>
          </w:p>
        </w:tc>
        <w:tc>
          <w:tcPr>
            <w:tcW w:w="14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污染物排放</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管理</w:t>
            </w:r>
            <w:r>
              <w:rPr>
                <w:rFonts w:hint="eastAsia" w:ascii="仿宋_GB2312" w:hAnsi="仿宋_GB2312" w:eastAsia="仿宋_GB2312" w:cs="仿宋_GB2312"/>
                <w:color w:val="0C0C0C"/>
                <w:kern w:val="0"/>
                <w:szCs w:val="21"/>
                <w:highlight w:val="none"/>
                <w:vertAlign w:val="superscript"/>
                <w:lang w:bidi="ar"/>
              </w:rPr>
              <w:t>3</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大气污染物</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排放</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一年内自行监测主要大气污染物浓度值低于国家和本市规定的污染物排放标准</w:t>
            </w:r>
            <w:r>
              <w:rPr>
                <w:rFonts w:hint="eastAsia" w:ascii="仿宋_GB2312" w:hAnsi="宋体" w:eastAsia="仿宋_GB2312"/>
                <w:color w:val="0C0C0C"/>
                <w:szCs w:val="21"/>
                <w:highlight w:val="none"/>
                <w:lang w:val="en-US" w:eastAsia="zh-CN"/>
              </w:rPr>
              <w:t>50</w:t>
            </w:r>
            <w:r>
              <w:rPr>
                <w:rFonts w:hint="eastAsia" w:ascii="仿宋_GB2312" w:hAnsi="宋体" w:eastAsia="仿宋_GB2312"/>
                <w:color w:val="0C0C0C"/>
                <w:szCs w:val="21"/>
                <w:highlight w:val="none"/>
              </w:rPr>
              <w:t>%，</w:t>
            </w:r>
            <w:r>
              <w:rPr>
                <w:rFonts w:ascii="仿宋_GB2312" w:hAnsi="宋体" w:eastAsia="仿宋_GB2312"/>
                <w:color w:val="0C0C0C"/>
                <w:szCs w:val="21"/>
                <w:highlight w:val="none"/>
              </w:rPr>
              <w:t>其</w:t>
            </w:r>
            <w:r>
              <w:rPr>
                <w:rFonts w:hint="eastAsia" w:ascii="仿宋_GB2312" w:hAnsi="宋体" w:eastAsia="仿宋_GB2312"/>
                <w:color w:val="0C0C0C"/>
                <w:szCs w:val="21"/>
                <w:highlight w:val="none"/>
                <w:lang w:eastAsia="zh-CN"/>
              </w:rPr>
              <w:t>他</w:t>
            </w:r>
            <w:r>
              <w:rPr>
                <w:rFonts w:hint="eastAsia" w:ascii="仿宋_GB2312" w:hAnsi="宋体" w:eastAsia="仿宋_GB2312"/>
                <w:color w:val="0C0C0C"/>
                <w:szCs w:val="21"/>
                <w:highlight w:val="none"/>
              </w:rPr>
              <w:t>大气</w:t>
            </w:r>
            <w:r>
              <w:rPr>
                <w:rFonts w:ascii="仿宋_GB2312" w:hAnsi="宋体" w:eastAsia="仿宋_GB2312"/>
                <w:color w:val="0C0C0C"/>
                <w:szCs w:val="21"/>
                <w:highlight w:val="none"/>
              </w:rPr>
              <w:t>污染物</w:t>
            </w:r>
            <w:r>
              <w:rPr>
                <w:rFonts w:hint="eastAsia" w:ascii="仿宋_GB2312" w:hAnsi="宋体" w:eastAsia="仿宋_GB2312"/>
                <w:color w:val="0C0C0C"/>
                <w:szCs w:val="21"/>
                <w:highlight w:val="none"/>
                <w:lang w:eastAsia="zh-CN"/>
              </w:rPr>
              <w:t>排放</w:t>
            </w:r>
            <w:r>
              <w:rPr>
                <w:rFonts w:ascii="仿宋_GB2312" w:hAnsi="宋体" w:eastAsia="仿宋_GB2312"/>
                <w:color w:val="0C0C0C"/>
                <w:szCs w:val="21"/>
                <w:highlight w:val="none"/>
              </w:rPr>
              <w:t>符合</w:t>
            </w:r>
            <w:r>
              <w:rPr>
                <w:rFonts w:hint="eastAsia" w:ascii="仿宋_GB2312" w:hAnsi="宋体" w:eastAsia="仿宋_GB2312"/>
                <w:color w:val="0C0C0C"/>
                <w:szCs w:val="21"/>
                <w:highlight w:val="none"/>
              </w:rPr>
              <w:t>国家及本市地方标准要求</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一年内自行监测</w:t>
            </w:r>
            <w:r>
              <w:rPr>
                <w:rFonts w:hint="eastAsia" w:ascii="仿宋_GB2312" w:hAnsi="宋体" w:eastAsia="仿宋_GB2312"/>
                <w:color w:val="0C0C0C"/>
                <w:szCs w:val="21"/>
                <w:highlight w:val="none"/>
                <w:lang w:eastAsia="zh-CN"/>
              </w:rPr>
              <w:t>主</w:t>
            </w:r>
            <w:r>
              <w:rPr>
                <w:rFonts w:hint="eastAsia" w:ascii="仿宋_GB2312" w:hAnsi="宋体" w:eastAsia="仿宋_GB2312"/>
                <w:color w:val="0C0C0C"/>
                <w:szCs w:val="21"/>
                <w:highlight w:val="none"/>
              </w:rPr>
              <w:t>要大气污染物浓度值低于国家和本市规定的污染物排放标准</w:t>
            </w:r>
            <w:r>
              <w:rPr>
                <w:rFonts w:hint="eastAsia" w:ascii="仿宋_GB2312" w:hAnsi="宋体" w:eastAsia="仿宋_GB2312"/>
                <w:color w:val="0C0C0C"/>
                <w:szCs w:val="21"/>
                <w:highlight w:val="none"/>
                <w:lang w:val="en-US" w:eastAsia="zh-CN"/>
              </w:rPr>
              <w:t>30</w:t>
            </w:r>
            <w:r>
              <w:rPr>
                <w:rFonts w:hint="eastAsia" w:ascii="仿宋_GB2312" w:hAnsi="宋体" w:eastAsia="仿宋_GB2312"/>
                <w:color w:val="0C0C0C"/>
                <w:szCs w:val="21"/>
                <w:highlight w:val="none"/>
              </w:rPr>
              <w:t>%，</w:t>
            </w:r>
            <w:r>
              <w:rPr>
                <w:rFonts w:ascii="仿宋_GB2312" w:hAnsi="宋体" w:eastAsia="仿宋_GB2312"/>
                <w:color w:val="0C0C0C"/>
                <w:szCs w:val="21"/>
                <w:highlight w:val="none"/>
              </w:rPr>
              <w:t>其</w:t>
            </w:r>
            <w:r>
              <w:rPr>
                <w:rFonts w:hint="eastAsia" w:ascii="仿宋_GB2312" w:hAnsi="宋体" w:eastAsia="仿宋_GB2312"/>
                <w:color w:val="0C0C0C"/>
                <w:szCs w:val="21"/>
                <w:highlight w:val="none"/>
                <w:lang w:eastAsia="zh-CN"/>
              </w:rPr>
              <w:t>他</w:t>
            </w:r>
            <w:r>
              <w:rPr>
                <w:rFonts w:hint="eastAsia" w:ascii="仿宋_GB2312" w:hAnsi="宋体" w:eastAsia="仿宋_GB2312"/>
                <w:color w:val="0C0C0C"/>
                <w:szCs w:val="21"/>
                <w:highlight w:val="none"/>
              </w:rPr>
              <w:t>大气</w:t>
            </w:r>
            <w:r>
              <w:rPr>
                <w:rFonts w:ascii="仿宋_GB2312" w:hAnsi="宋体" w:eastAsia="仿宋_GB2312"/>
                <w:color w:val="0C0C0C"/>
                <w:szCs w:val="21"/>
                <w:highlight w:val="none"/>
              </w:rPr>
              <w:t>污染物</w:t>
            </w:r>
            <w:r>
              <w:rPr>
                <w:rFonts w:hint="eastAsia" w:ascii="仿宋_GB2312" w:hAnsi="宋体" w:eastAsia="仿宋_GB2312"/>
                <w:color w:val="0C0C0C"/>
                <w:szCs w:val="21"/>
                <w:highlight w:val="none"/>
                <w:lang w:eastAsia="zh-CN"/>
              </w:rPr>
              <w:t>排放</w:t>
            </w:r>
            <w:r>
              <w:rPr>
                <w:rFonts w:ascii="仿宋_GB2312" w:hAnsi="宋体" w:eastAsia="仿宋_GB2312"/>
                <w:color w:val="0C0C0C"/>
                <w:szCs w:val="21"/>
                <w:highlight w:val="none"/>
              </w:rPr>
              <w:t>符合</w:t>
            </w:r>
            <w:r>
              <w:rPr>
                <w:rFonts w:hint="eastAsia" w:ascii="仿宋_GB2312" w:hAnsi="宋体" w:eastAsia="仿宋_GB2312"/>
                <w:color w:val="0C0C0C"/>
                <w:szCs w:val="21"/>
                <w:highlight w:val="none"/>
              </w:rPr>
              <w:t>国家及本市地方标准要求</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自行监测主要大气污染物排放</w:t>
            </w:r>
            <w:r>
              <w:rPr>
                <w:rFonts w:hint="eastAsia" w:ascii="仿宋_GB2312" w:hAnsi="宋体" w:eastAsia="仿宋_GB2312"/>
                <w:color w:val="0C0C0C"/>
                <w:szCs w:val="21"/>
                <w:highlight w:val="none"/>
                <w:lang w:eastAsia="zh-CN"/>
              </w:rPr>
              <w:t>浓度</w:t>
            </w:r>
            <w:r>
              <w:rPr>
                <w:rFonts w:hint="eastAsia" w:ascii="仿宋_GB2312" w:hAnsi="宋体" w:eastAsia="仿宋_GB2312"/>
                <w:color w:val="0C0C0C"/>
                <w:szCs w:val="21"/>
                <w:highlight w:val="none"/>
              </w:rPr>
              <w:t>符合国家及本市地方标准要求</w:t>
            </w:r>
          </w:p>
        </w:tc>
      </w:tr>
      <w:tr>
        <w:tblPrEx>
          <w:tblCellMar>
            <w:top w:w="0" w:type="dxa"/>
            <w:left w:w="0" w:type="dxa"/>
            <w:bottom w:w="0" w:type="dxa"/>
            <w:right w:w="0" w:type="dxa"/>
          </w:tblCellMar>
        </w:tblPrEx>
        <w:trPr>
          <w:trHeight w:val="90"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水污染物排放</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一年内自行监测主要水污染物浓度值低于国家和本市规定的污染物排放标准</w:t>
            </w:r>
            <w:r>
              <w:rPr>
                <w:rFonts w:hint="eastAsia" w:ascii="仿宋_GB2312" w:hAnsi="宋体" w:eastAsia="仿宋_GB2312"/>
                <w:color w:val="0C0C0C"/>
                <w:szCs w:val="21"/>
                <w:highlight w:val="none"/>
                <w:lang w:val="en-US" w:eastAsia="zh-CN"/>
              </w:rPr>
              <w:t>50</w:t>
            </w:r>
            <w:r>
              <w:rPr>
                <w:rFonts w:hint="eastAsia" w:ascii="仿宋_GB2312" w:hAnsi="宋体" w:eastAsia="仿宋_GB2312"/>
                <w:color w:val="0C0C0C"/>
                <w:szCs w:val="21"/>
                <w:highlight w:val="none"/>
              </w:rPr>
              <w:t>%，</w:t>
            </w:r>
            <w:r>
              <w:rPr>
                <w:rFonts w:ascii="仿宋_GB2312" w:hAnsi="宋体" w:eastAsia="仿宋_GB2312"/>
                <w:color w:val="0C0C0C"/>
                <w:szCs w:val="21"/>
                <w:highlight w:val="none"/>
              </w:rPr>
              <w:t>其</w:t>
            </w:r>
            <w:r>
              <w:rPr>
                <w:rFonts w:hint="eastAsia" w:ascii="仿宋_GB2312" w:hAnsi="宋体" w:eastAsia="仿宋_GB2312"/>
                <w:color w:val="0C0C0C"/>
                <w:szCs w:val="21"/>
                <w:highlight w:val="none"/>
                <w:lang w:eastAsia="zh-CN"/>
              </w:rPr>
              <w:t>他</w:t>
            </w:r>
            <w:r>
              <w:rPr>
                <w:rFonts w:hint="eastAsia" w:ascii="仿宋_GB2312" w:hAnsi="宋体" w:eastAsia="仿宋_GB2312"/>
                <w:color w:val="0C0C0C"/>
                <w:szCs w:val="21"/>
                <w:highlight w:val="none"/>
              </w:rPr>
              <w:t>水</w:t>
            </w:r>
            <w:r>
              <w:rPr>
                <w:rFonts w:ascii="仿宋_GB2312" w:hAnsi="宋体" w:eastAsia="仿宋_GB2312"/>
                <w:color w:val="0C0C0C"/>
                <w:szCs w:val="21"/>
                <w:highlight w:val="none"/>
              </w:rPr>
              <w:t>污染物</w:t>
            </w:r>
            <w:r>
              <w:rPr>
                <w:rFonts w:hint="eastAsia" w:ascii="仿宋_GB2312" w:hAnsi="宋体" w:eastAsia="仿宋_GB2312"/>
                <w:color w:val="0C0C0C"/>
                <w:szCs w:val="21"/>
                <w:highlight w:val="none"/>
                <w:lang w:eastAsia="zh-CN"/>
              </w:rPr>
              <w:t>排放</w:t>
            </w:r>
            <w:r>
              <w:rPr>
                <w:rFonts w:ascii="仿宋_GB2312" w:hAnsi="宋体" w:eastAsia="仿宋_GB2312"/>
                <w:color w:val="0C0C0C"/>
                <w:szCs w:val="21"/>
                <w:highlight w:val="none"/>
              </w:rPr>
              <w:t>符合</w:t>
            </w:r>
            <w:r>
              <w:rPr>
                <w:rFonts w:hint="eastAsia" w:ascii="仿宋_GB2312" w:hAnsi="宋体" w:eastAsia="仿宋_GB2312"/>
                <w:color w:val="0C0C0C"/>
                <w:szCs w:val="21"/>
                <w:highlight w:val="none"/>
              </w:rPr>
              <w:t>国家及本市地方标准要求</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一年内自行监测主要水污染物浓度值低于国家和本市规定的污染物排放标准</w:t>
            </w:r>
            <w:r>
              <w:rPr>
                <w:rFonts w:hint="eastAsia" w:ascii="仿宋_GB2312" w:hAnsi="宋体" w:eastAsia="仿宋_GB2312"/>
                <w:color w:val="0C0C0C"/>
                <w:szCs w:val="21"/>
                <w:highlight w:val="none"/>
                <w:lang w:val="en-US" w:eastAsia="zh-CN"/>
              </w:rPr>
              <w:t>30</w:t>
            </w:r>
            <w:r>
              <w:rPr>
                <w:rFonts w:hint="eastAsia" w:ascii="仿宋_GB2312" w:hAnsi="宋体" w:eastAsia="仿宋_GB2312"/>
                <w:color w:val="0C0C0C"/>
                <w:szCs w:val="21"/>
                <w:highlight w:val="none"/>
              </w:rPr>
              <w:t>%，</w:t>
            </w:r>
            <w:r>
              <w:rPr>
                <w:rFonts w:ascii="仿宋_GB2312" w:hAnsi="宋体" w:eastAsia="仿宋_GB2312"/>
                <w:color w:val="0C0C0C"/>
                <w:szCs w:val="21"/>
                <w:highlight w:val="none"/>
              </w:rPr>
              <w:t>其</w:t>
            </w:r>
            <w:r>
              <w:rPr>
                <w:rFonts w:hint="eastAsia" w:ascii="仿宋_GB2312" w:hAnsi="宋体" w:eastAsia="仿宋_GB2312"/>
                <w:color w:val="0C0C0C"/>
                <w:szCs w:val="21"/>
                <w:highlight w:val="none"/>
                <w:lang w:eastAsia="zh-CN"/>
              </w:rPr>
              <w:t>他</w:t>
            </w:r>
            <w:r>
              <w:rPr>
                <w:rFonts w:hint="eastAsia" w:ascii="仿宋_GB2312" w:hAnsi="宋体" w:eastAsia="仿宋_GB2312"/>
                <w:color w:val="0C0C0C"/>
                <w:szCs w:val="21"/>
                <w:highlight w:val="none"/>
              </w:rPr>
              <w:t>水</w:t>
            </w:r>
            <w:r>
              <w:rPr>
                <w:rFonts w:ascii="仿宋_GB2312" w:hAnsi="宋体" w:eastAsia="仿宋_GB2312"/>
                <w:color w:val="0C0C0C"/>
                <w:szCs w:val="21"/>
                <w:highlight w:val="none"/>
              </w:rPr>
              <w:t>污染物</w:t>
            </w:r>
            <w:r>
              <w:rPr>
                <w:rFonts w:hint="eastAsia" w:ascii="仿宋_GB2312" w:hAnsi="宋体" w:eastAsia="仿宋_GB2312"/>
                <w:color w:val="0C0C0C"/>
                <w:szCs w:val="21"/>
                <w:highlight w:val="none"/>
                <w:lang w:eastAsia="zh-CN"/>
              </w:rPr>
              <w:t>排放</w:t>
            </w:r>
            <w:r>
              <w:rPr>
                <w:rFonts w:ascii="仿宋_GB2312" w:hAnsi="宋体" w:eastAsia="仿宋_GB2312"/>
                <w:color w:val="0C0C0C"/>
                <w:szCs w:val="21"/>
                <w:highlight w:val="none"/>
              </w:rPr>
              <w:t>符合</w:t>
            </w:r>
            <w:r>
              <w:rPr>
                <w:rFonts w:hint="eastAsia" w:ascii="仿宋_GB2312" w:hAnsi="宋体" w:eastAsia="仿宋_GB2312"/>
                <w:color w:val="0C0C0C"/>
                <w:szCs w:val="21"/>
                <w:highlight w:val="none"/>
              </w:rPr>
              <w:t>国家及本市地方标准要求</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自行监测主要水污染物排放</w:t>
            </w:r>
            <w:r>
              <w:rPr>
                <w:rFonts w:hint="eastAsia" w:ascii="仿宋_GB2312" w:hAnsi="宋体" w:eastAsia="仿宋_GB2312"/>
                <w:color w:val="0C0C0C"/>
                <w:szCs w:val="21"/>
                <w:highlight w:val="none"/>
                <w:lang w:eastAsia="zh-CN"/>
              </w:rPr>
              <w:t>浓度</w:t>
            </w:r>
            <w:r>
              <w:rPr>
                <w:rFonts w:hint="eastAsia" w:ascii="仿宋_GB2312" w:hAnsi="宋体" w:eastAsia="仿宋_GB2312"/>
                <w:color w:val="0C0C0C"/>
                <w:szCs w:val="21"/>
                <w:highlight w:val="none"/>
              </w:rPr>
              <w:t>符合国家及本市地方标准要求</w:t>
            </w:r>
          </w:p>
        </w:tc>
      </w:tr>
      <w:tr>
        <w:tblPrEx>
          <w:tblCellMar>
            <w:top w:w="0" w:type="dxa"/>
            <w:left w:w="0" w:type="dxa"/>
            <w:bottom w:w="0" w:type="dxa"/>
            <w:right w:w="0" w:type="dxa"/>
          </w:tblCellMar>
        </w:tblPrEx>
        <w:trPr>
          <w:trHeight w:val="90"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危险废物处置</w:t>
            </w:r>
          </w:p>
        </w:tc>
        <w:tc>
          <w:tcPr>
            <w:tcW w:w="1114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危险废物管理计划报所在地的生态环境部门备案,并按照管理计划做好危险废物的贮存、转移、利用、处置等工作</w:t>
            </w:r>
            <w:r>
              <w:rPr>
                <w:rFonts w:hint="eastAsia" w:ascii="仿宋_GB2312" w:hAnsi="宋体" w:eastAsia="仿宋_GB2312"/>
                <w:color w:val="0C0C0C"/>
                <w:szCs w:val="21"/>
                <w:highlight w:val="none"/>
                <w:lang w:eastAsia="zh-CN"/>
              </w:rPr>
              <w:t>；</w:t>
            </w:r>
            <w:r>
              <w:rPr>
                <w:rFonts w:hint="eastAsia" w:ascii="仿宋_GB2312" w:hAnsi="宋体" w:eastAsia="仿宋_GB2312"/>
                <w:color w:val="0C0C0C"/>
                <w:szCs w:val="21"/>
                <w:highlight w:val="none"/>
              </w:rPr>
              <w:t>危险废物贮存符合《危险废物贮存污染控制标准》（GB18597）要求</w:t>
            </w:r>
          </w:p>
        </w:tc>
      </w:tr>
      <w:tr>
        <w:tblPrEx>
          <w:tblCellMar>
            <w:top w:w="0" w:type="dxa"/>
            <w:left w:w="0" w:type="dxa"/>
            <w:bottom w:w="0" w:type="dxa"/>
            <w:right w:w="0" w:type="dxa"/>
          </w:tblCellMar>
        </w:tblPrEx>
        <w:trPr>
          <w:trHeight w:val="557"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噪声防治</w:t>
            </w:r>
          </w:p>
        </w:tc>
        <w:tc>
          <w:tcPr>
            <w:tcW w:w="3999"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厂界噪声排放低于《工业企业厂界环境噪声排放标准》（GB12348）限值5分贝及以上</w:t>
            </w:r>
          </w:p>
        </w:tc>
        <w:tc>
          <w:tcPr>
            <w:tcW w:w="3941" w:type="dxa"/>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厂界噪声排放低于《工业企业厂界环境噪声排放标准》（GB12348）限值1</w:t>
            </w:r>
            <w:r>
              <w:rPr>
                <w:rFonts w:hint="eastAsia" w:ascii="仿宋_GB2312" w:hAnsi="仿宋_GB2312" w:eastAsia="仿宋_GB2312" w:cs="仿宋_GB2312"/>
                <w:color w:val="0C0C0C"/>
                <w:sz w:val="18"/>
                <w:szCs w:val="18"/>
                <w:highlight w:val="none"/>
              </w:rPr>
              <w:t>～</w:t>
            </w:r>
            <w:r>
              <w:rPr>
                <w:rFonts w:hint="eastAsia" w:ascii="仿宋_GB2312" w:hAnsi="宋体" w:eastAsia="仿宋_GB2312"/>
                <w:color w:val="0C0C0C"/>
                <w:szCs w:val="21"/>
                <w:highlight w:val="none"/>
              </w:rPr>
              <w:t>5分贝（不含）之间</w:t>
            </w:r>
          </w:p>
        </w:tc>
        <w:tc>
          <w:tcPr>
            <w:tcW w:w="3202"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厂界噪声</w:t>
            </w:r>
            <w:r>
              <w:rPr>
                <w:rFonts w:hint="eastAsia" w:ascii="仿宋_GB2312" w:hAnsi="宋体" w:eastAsia="仿宋_GB2312"/>
                <w:color w:val="0C0C0C"/>
                <w:szCs w:val="21"/>
                <w:highlight w:val="none"/>
                <w:lang w:eastAsia="zh-CN"/>
              </w:rPr>
              <w:t>排放</w:t>
            </w:r>
            <w:r>
              <w:rPr>
                <w:rFonts w:hint="eastAsia" w:ascii="仿宋_GB2312" w:hAnsi="宋体" w:eastAsia="仿宋_GB2312"/>
                <w:color w:val="0C0C0C"/>
                <w:szCs w:val="21"/>
                <w:highlight w:val="none"/>
              </w:rPr>
              <w:t>符合《工业企业厂界环境噪声排放标准》（GB12348）</w:t>
            </w:r>
            <w:r>
              <w:rPr>
                <w:rFonts w:hint="eastAsia" w:ascii="仿宋_GB2312" w:hAnsi="宋体" w:eastAsia="仿宋_GB2312"/>
                <w:color w:val="0C0C0C"/>
                <w:szCs w:val="21"/>
                <w:highlight w:val="none"/>
                <w:lang w:eastAsia="zh-CN"/>
              </w:rPr>
              <w:t>限值</w:t>
            </w:r>
            <w:r>
              <w:rPr>
                <w:rFonts w:hint="eastAsia" w:ascii="仿宋_GB2312" w:hAnsi="宋体" w:eastAsia="仿宋_GB2312"/>
                <w:color w:val="0C0C0C"/>
                <w:szCs w:val="21"/>
                <w:highlight w:val="none"/>
              </w:rPr>
              <w:t>要求</w:t>
            </w:r>
          </w:p>
        </w:tc>
      </w:tr>
      <w:tr>
        <w:tblPrEx>
          <w:tblCellMar>
            <w:top w:w="0" w:type="dxa"/>
            <w:left w:w="0" w:type="dxa"/>
            <w:bottom w:w="0" w:type="dxa"/>
            <w:right w:w="0" w:type="dxa"/>
          </w:tblCellMar>
        </w:tblPrEx>
        <w:trPr>
          <w:trHeight w:val="1387" w:hRule="atLeast"/>
          <w:jc w:val="center"/>
        </w:trPr>
        <w:tc>
          <w:tcPr>
            <w:tcW w:w="5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6</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污染物监测监控水平</w:t>
            </w:r>
            <w:r>
              <w:rPr>
                <w:rFonts w:hint="eastAsia" w:ascii="仿宋_GB2312" w:hAnsi="仿宋_GB2312" w:eastAsia="仿宋_GB2312" w:cs="仿宋_GB2312"/>
                <w:color w:val="0C0C0C"/>
                <w:kern w:val="0"/>
                <w:szCs w:val="21"/>
                <w:highlight w:val="none"/>
                <w:vertAlign w:val="superscript"/>
                <w:lang w:bidi="ar"/>
              </w:rPr>
              <w:t>4</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自行监测和自动监控</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pStyle w:val="2"/>
              <w:ind w:left="16" w:leftChars="0" w:hanging="16" w:hangingChars="8"/>
              <w:rPr>
                <w:rFonts w:hint="eastAsia" w:ascii="仿宋_GB2312" w:eastAsia="仿宋_GB2312"/>
                <w:color w:val="0C0C0C"/>
                <w:szCs w:val="21"/>
                <w:highlight w:val="none"/>
                <w:lang w:eastAsia="zh-CN"/>
              </w:rPr>
            </w:pPr>
            <w:r>
              <w:rPr>
                <w:rFonts w:hint="eastAsia" w:ascii="仿宋_GB2312" w:hAnsi="宋体" w:eastAsia="仿宋_GB2312"/>
                <w:color w:val="0C0C0C"/>
                <w:szCs w:val="21"/>
                <w:highlight w:val="none"/>
              </w:rPr>
              <w:t>1</w:t>
            </w:r>
            <w:r>
              <w:rPr>
                <w:rFonts w:hint="eastAsia" w:ascii="仿宋_GB2312" w:hAnsi="仿宋_GB2312" w:eastAsia="仿宋_GB2312" w:cs="仿宋_GB2312"/>
                <w:bCs/>
                <w:color w:val="000000"/>
                <w:kern w:val="0"/>
                <w:szCs w:val="21"/>
                <w:highlight w:val="none"/>
              </w:rPr>
              <w:t>.</w:t>
            </w:r>
            <w:r>
              <w:rPr>
                <w:rFonts w:hint="eastAsia" w:ascii="仿宋_GB2312"/>
                <w:color w:val="0C0C0C"/>
                <w:szCs w:val="21"/>
                <w:highlight w:val="none"/>
              </w:rPr>
              <w:t>按照行业自行监测指南以及行业排污许可规范开展自行监测和安装自动监控设施</w:t>
            </w:r>
            <w:r>
              <w:rPr>
                <w:rFonts w:hint="eastAsia" w:ascii="仿宋_GB2312"/>
                <w:color w:val="0C0C0C"/>
                <w:szCs w:val="21"/>
                <w:highlight w:val="none"/>
                <w:lang w:eastAsia="zh-CN"/>
              </w:rPr>
              <w:t>；</w:t>
            </w:r>
          </w:p>
          <w:p>
            <w:pPr>
              <w:pStyle w:val="2"/>
              <w:ind w:left="16" w:leftChars="0" w:hanging="16" w:hangingChars="8"/>
              <w:rPr>
                <w:rFonts w:hint="eastAsia" w:ascii="仿宋_GB2312"/>
                <w:color w:val="0C0C0C"/>
                <w:szCs w:val="21"/>
                <w:highlight w:val="none"/>
              </w:rPr>
            </w:pPr>
            <w:r>
              <w:rPr>
                <w:rFonts w:hint="eastAsia" w:ascii="仿宋_GB2312" w:hAnsi="宋体" w:eastAsia="仿宋_GB2312"/>
                <w:color w:val="0C0C0C"/>
                <w:szCs w:val="21"/>
                <w:highlight w:val="none"/>
              </w:rPr>
              <w:t>2.</w:t>
            </w:r>
            <w:r>
              <w:rPr>
                <w:rFonts w:hint="eastAsia" w:ascii="仿宋_GB2312"/>
                <w:color w:val="0C0C0C"/>
                <w:szCs w:val="21"/>
                <w:highlight w:val="none"/>
              </w:rPr>
              <w:t>所属行业纳入本市重污染天气重点管控的，</w:t>
            </w:r>
            <w:r>
              <w:rPr>
                <w:rFonts w:hint="eastAsia" w:ascii="仿宋_GB2312"/>
                <w:color w:val="0C0C0C"/>
                <w:szCs w:val="21"/>
                <w:highlight w:val="none"/>
                <w:lang w:eastAsia="zh-CN"/>
              </w:rPr>
              <w:t>符合</w:t>
            </w:r>
            <w:r>
              <w:rPr>
                <w:rFonts w:hint="eastAsia" w:ascii="仿宋_GB2312"/>
                <w:color w:val="0C0C0C"/>
                <w:szCs w:val="21"/>
                <w:highlight w:val="none"/>
              </w:rPr>
              <w:t>应急减排措施技术指南绩效分级A级要求</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pStyle w:val="2"/>
              <w:ind w:left="16" w:leftChars="0" w:hanging="16" w:hangingChars="8"/>
              <w:rPr>
                <w:rFonts w:hint="eastAsia" w:ascii="仿宋_GB2312" w:eastAsia="仿宋_GB2312"/>
                <w:color w:val="0C0C0C"/>
                <w:szCs w:val="21"/>
                <w:highlight w:val="none"/>
                <w:lang w:eastAsia="zh-CN"/>
              </w:rPr>
            </w:pPr>
            <w:r>
              <w:rPr>
                <w:rFonts w:hint="eastAsia" w:ascii="仿宋_GB2312" w:hAnsi="宋体" w:eastAsia="仿宋_GB2312"/>
                <w:color w:val="0C0C0C"/>
                <w:szCs w:val="21"/>
                <w:highlight w:val="none"/>
              </w:rPr>
              <w:t>1</w:t>
            </w:r>
            <w:r>
              <w:rPr>
                <w:rFonts w:hint="eastAsia" w:ascii="仿宋_GB2312" w:hAnsi="仿宋_GB2312" w:eastAsia="仿宋_GB2312" w:cs="仿宋_GB2312"/>
                <w:bCs/>
                <w:color w:val="000000"/>
                <w:kern w:val="0"/>
                <w:szCs w:val="21"/>
                <w:highlight w:val="none"/>
              </w:rPr>
              <w:t>.</w:t>
            </w:r>
            <w:r>
              <w:rPr>
                <w:rFonts w:hint="eastAsia" w:ascii="仿宋_GB2312"/>
                <w:color w:val="0C0C0C"/>
                <w:szCs w:val="21"/>
                <w:highlight w:val="none"/>
              </w:rPr>
              <w:t>按照行业自行监测指南以及行业排污许可规范开展自行监测和安装自动监控设施</w:t>
            </w:r>
            <w:r>
              <w:rPr>
                <w:rFonts w:hint="eastAsia" w:ascii="仿宋_GB2312"/>
                <w:color w:val="0C0C0C"/>
                <w:szCs w:val="21"/>
                <w:highlight w:val="none"/>
                <w:lang w:eastAsia="zh-CN"/>
              </w:rPr>
              <w:t>；</w:t>
            </w:r>
          </w:p>
          <w:p>
            <w:pPr>
              <w:widowControl/>
              <w:jc w:val="left"/>
              <w:textAlignment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2.所属行业纳入本市重污染天气重点管控的，</w:t>
            </w:r>
            <w:r>
              <w:rPr>
                <w:rFonts w:hint="eastAsia" w:ascii="仿宋_GB2312" w:hAnsi="宋体" w:eastAsia="仿宋_GB2312"/>
                <w:color w:val="0C0C0C"/>
                <w:szCs w:val="21"/>
                <w:highlight w:val="none"/>
                <w:lang w:eastAsia="zh-CN"/>
              </w:rPr>
              <w:t>符合</w:t>
            </w:r>
            <w:r>
              <w:rPr>
                <w:rFonts w:hint="eastAsia" w:ascii="仿宋_GB2312" w:hAnsi="宋体" w:eastAsia="仿宋_GB2312"/>
                <w:color w:val="0C0C0C"/>
                <w:szCs w:val="21"/>
                <w:highlight w:val="none"/>
              </w:rPr>
              <w:t>应急减排措施技术指南绩效分级B级要求</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val="0"/>
              <w:ind w:left="0" w:leftChars="0" w:firstLine="0" w:firstLineChars="0"/>
              <w:textAlignment w:val="auto"/>
              <w:rPr>
                <w:rFonts w:hint="eastAsia" w:ascii="仿宋_GB2312" w:hAnsi="宋体" w:eastAsia="仿宋_GB2312"/>
                <w:color w:val="0C0C0C"/>
                <w:szCs w:val="21"/>
                <w:highlight w:val="none"/>
              </w:rPr>
            </w:pPr>
            <w:r>
              <w:rPr>
                <w:rFonts w:hint="eastAsia" w:ascii="仿宋_GB2312"/>
                <w:color w:val="0C0C0C"/>
                <w:szCs w:val="21"/>
                <w:highlight w:val="none"/>
              </w:rPr>
              <w:t>按照行业自行监测指南以及行业排污许可规范开展自行监测和安装自动监控设施</w:t>
            </w:r>
          </w:p>
        </w:tc>
      </w:tr>
      <w:tr>
        <w:tblPrEx>
          <w:tblCellMar>
            <w:top w:w="0" w:type="dxa"/>
            <w:left w:w="0" w:type="dxa"/>
            <w:bottom w:w="0" w:type="dxa"/>
            <w:right w:w="0" w:type="dxa"/>
          </w:tblCellMar>
        </w:tblPrEx>
        <w:trPr>
          <w:trHeight w:val="1843" w:hRule="atLeast"/>
          <w:jc w:val="center"/>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7</w:t>
            </w:r>
          </w:p>
        </w:tc>
        <w:tc>
          <w:tcPr>
            <w:tcW w:w="14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移动排放源结构及排放</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运输车辆和</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通勤车辆</w:t>
            </w:r>
            <w:r>
              <w:rPr>
                <w:rFonts w:hint="eastAsia" w:ascii="仿宋_GB2312" w:hAnsi="仿宋_GB2312" w:eastAsia="仿宋_GB2312" w:cs="仿宋_GB2312"/>
                <w:color w:val="0C0C0C"/>
                <w:kern w:val="0"/>
                <w:szCs w:val="21"/>
                <w:highlight w:val="none"/>
                <w:vertAlign w:val="superscript"/>
                <w:lang w:bidi="ar"/>
              </w:rPr>
              <w:t>5</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1</w:t>
            </w:r>
            <w:r>
              <w:rPr>
                <w:rFonts w:hint="eastAsia" w:ascii="仿宋_GB2312" w:hAnsi="仿宋_GB2312" w:eastAsia="仿宋_GB2312" w:cs="仿宋_GB2312"/>
                <w:bCs/>
                <w:color w:val="000000"/>
                <w:kern w:val="0"/>
                <w:szCs w:val="21"/>
                <w:highlight w:val="none"/>
              </w:rPr>
              <w:t>.</w:t>
            </w:r>
            <w:r>
              <w:rPr>
                <w:rFonts w:hint="eastAsia" w:ascii="仿宋_GB2312" w:hAnsi="宋体" w:eastAsia="仿宋_GB2312"/>
                <w:color w:val="0C0C0C"/>
                <w:szCs w:val="21"/>
                <w:highlight w:val="none"/>
              </w:rPr>
              <w:t>物料公路运输全部使用国五及以上排放标准重型载货车辆（含燃气）或者新能源车辆，其中新能源车比例不低于30%；</w:t>
            </w:r>
          </w:p>
          <w:p>
            <w:pPr>
              <w:numPr>
                <w:ilvl w:val="0"/>
                <w:numId w:val="0"/>
              </w:num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2.厂内运输和通勤全部使用国五及以上排放标准车辆（含燃气）或者新能源车辆，其中新能源车比例不低于30%</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1.物料公路运输全部使用国五及以上排放标准重型载货车辆（含燃气）或者新能源车辆，其中新能源车比例不低于15%；</w:t>
            </w:r>
          </w:p>
          <w:p>
            <w:pPr>
              <w:numPr>
                <w:ilvl w:val="0"/>
                <w:numId w:val="0"/>
              </w:num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2.厂内运输和通勤全部使用国五及以上排放标准车辆（含燃气）或者新能源车辆，其中新能源车比例不低于15%</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汽油车污染物排放限值及测量方法（双怠速法及简易工况法）》（GB18285）和《柴油车污染物排放限值及测量方法（自由加速法及加载减速法）》（GB3847）要求</w:t>
            </w:r>
          </w:p>
        </w:tc>
      </w:tr>
      <w:tr>
        <w:tblPrEx>
          <w:tblCellMar>
            <w:top w:w="0" w:type="dxa"/>
            <w:left w:w="0" w:type="dxa"/>
            <w:bottom w:w="0" w:type="dxa"/>
            <w:right w:w="0" w:type="dxa"/>
          </w:tblCellMar>
        </w:tblPrEx>
        <w:trPr>
          <w:trHeight w:val="90"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场内非道路</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移动机械</w:t>
            </w:r>
            <w:r>
              <w:rPr>
                <w:rFonts w:hint="eastAsia" w:ascii="仿宋_GB2312" w:hAnsi="仿宋_GB2312" w:eastAsia="仿宋_GB2312" w:cs="仿宋_GB2312"/>
                <w:color w:val="0C0C0C"/>
                <w:kern w:val="0"/>
                <w:szCs w:val="21"/>
                <w:highlight w:val="none"/>
                <w:vertAlign w:val="superscript"/>
                <w:lang w:bidi="ar"/>
              </w:rPr>
              <w:t>6</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全部使用国三及以上排放标准或者新能源非道路移动机械，</w:t>
            </w:r>
            <w:r>
              <w:rPr>
                <w:rFonts w:hint="eastAsia" w:ascii="仿宋_GB2312" w:hAnsi="宋体" w:eastAsia="仿宋_GB2312"/>
                <w:color w:val="0C0C0C"/>
                <w:szCs w:val="21"/>
                <w:highlight w:val="none"/>
                <w:lang w:eastAsia="zh-CN"/>
              </w:rPr>
              <w:t>其中</w:t>
            </w:r>
            <w:r>
              <w:rPr>
                <w:rFonts w:hint="eastAsia" w:ascii="仿宋_GB2312" w:hAnsi="宋体" w:eastAsia="仿宋_GB2312"/>
                <w:color w:val="0C0C0C"/>
                <w:szCs w:val="21"/>
                <w:highlight w:val="none"/>
              </w:rPr>
              <w:t>新能源叉车比例100%</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尾气达标排放。非道路移动机械污染排放应满足《非道路移动柴油机械排气烟度限值及测量方法》（GB36886）的要求</w:t>
            </w:r>
          </w:p>
        </w:tc>
      </w:tr>
      <w:tr>
        <w:tblPrEx>
          <w:tblCellMar>
            <w:top w:w="0" w:type="dxa"/>
            <w:left w:w="0" w:type="dxa"/>
            <w:bottom w:w="0" w:type="dxa"/>
            <w:right w:w="0" w:type="dxa"/>
          </w:tblCellMar>
        </w:tblPrEx>
        <w:trPr>
          <w:trHeight w:val="427" w:hRule="atLeast"/>
          <w:jc w:val="center"/>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8</w:t>
            </w:r>
          </w:p>
        </w:tc>
        <w:tc>
          <w:tcPr>
            <w:tcW w:w="14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碳排放管理</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低碳工作机制</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建立低碳工作机制、编制低碳工作方案</w:t>
            </w:r>
            <w:r>
              <w:rPr>
                <w:rFonts w:hint="eastAsia" w:ascii="仿宋_GB2312" w:hAnsi="宋体" w:eastAsia="仿宋_GB2312"/>
                <w:b w:val="0"/>
                <w:bCs w:val="0"/>
                <w:color w:val="0C0C0C"/>
                <w:szCs w:val="21"/>
                <w:highlight w:val="none"/>
              </w:rPr>
              <w:t>或者</w:t>
            </w:r>
            <w:r>
              <w:rPr>
                <w:rFonts w:hint="eastAsia" w:ascii="仿宋_GB2312" w:hAnsi="宋体" w:eastAsia="仿宋_GB2312"/>
                <w:color w:val="0C0C0C"/>
                <w:szCs w:val="21"/>
                <w:highlight w:val="none"/>
              </w:rPr>
              <w:t>发展规划</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729"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碳排放强度</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pStyle w:val="11"/>
              <w:widowControl/>
              <w:ind w:firstLine="0" w:firstLineChars="0"/>
              <w:rPr>
                <w:rFonts w:hint="eastAsia" w:ascii="仿宋_GB2312" w:hAnsi="宋体" w:eastAsia="仿宋_GB2312"/>
                <w:color w:val="0C0C0C"/>
                <w:szCs w:val="21"/>
                <w:highlight w:val="none"/>
                <w:lang w:val="en-US" w:eastAsia="zh-CN"/>
              </w:rPr>
            </w:pPr>
            <w:r>
              <w:rPr>
                <w:rFonts w:hint="eastAsia" w:ascii="仿宋_GB2312" w:hAnsi="宋体" w:eastAsia="仿宋_GB2312"/>
                <w:color w:val="0C0C0C"/>
                <w:szCs w:val="21"/>
                <w:highlight w:val="none"/>
              </w:rPr>
              <w:t>1.当行业有碳排放强度先进值</w:t>
            </w:r>
            <w:r>
              <w:rPr>
                <w:rFonts w:hint="eastAsia" w:ascii="仿宋_GB2312" w:hAnsi="宋体" w:eastAsia="仿宋_GB2312"/>
                <w:color w:val="0C0C0C"/>
                <w:szCs w:val="21"/>
                <w:highlight w:val="none"/>
                <w:lang w:eastAsia="zh-CN"/>
              </w:rPr>
              <w:t>时</w:t>
            </w:r>
            <w:r>
              <w:rPr>
                <w:rFonts w:hint="eastAsia" w:ascii="仿宋_GB2312" w:hAnsi="宋体" w:eastAsia="仿宋_GB2312"/>
                <w:color w:val="0C0C0C"/>
                <w:szCs w:val="21"/>
                <w:highlight w:val="none"/>
              </w:rPr>
              <w:t>，在相同边界条件下，企业碳排放强度在评价期内达到最新有效的行业先进值</w:t>
            </w:r>
            <w:r>
              <w:rPr>
                <w:rFonts w:hint="eastAsia" w:ascii="仿宋_GB2312" w:hAnsi="宋体" w:eastAsia="仿宋_GB2312"/>
                <w:color w:val="0C0C0C"/>
                <w:szCs w:val="21"/>
                <w:highlight w:val="none"/>
                <w:lang w:val="en-US" w:eastAsia="zh-CN"/>
              </w:rPr>
              <w:t>;</w:t>
            </w:r>
          </w:p>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2.当行业不存在碳排放强度先进值时，按照企业评价期内年均碳排放强度降低率比较，降低率达到5%</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pStyle w:val="11"/>
              <w:widowControl/>
              <w:ind w:firstLine="0" w:firstLineChars="0"/>
              <w:rPr>
                <w:rFonts w:hint="eastAsia" w:ascii="仿宋_GB2312" w:hAnsi="宋体" w:eastAsia="仿宋_GB2312"/>
                <w:color w:val="0C0C0C"/>
                <w:szCs w:val="21"/>
                <w:highlight w:val="none"/>
                <w:lang w:val="en-US" w:eastAsia="zh-CN"/>
              </w:rPr>
            </w:pPr>
            <w:r>
              <w:rPr>
                <w:rFonts w:hint="eastAsia" w:ascii="仿宋_GB2312" w:hAnsi="宋体" w:eastAsia="仿宋_GB2312"/>
                <w:color w:val="0C0C0C"/>
                <w:szCs w:val="21"/>
                <w:highlight w:val="none"/>
              </w:rPr>
              <w:t>1.当行业有碳排放强度先进值</w:t>
            </w:r>
            <w:r>
              <w:rPr>
                <w:rFonts w:hint="eastAsia" w:ascii="仿宋_GB2312" w:hAnsi="宋体" w:eastAsia="仿宋_GB2312"/>
                <w:color w:val="0C0C0C"/>
                <w:szCs w:val="21"/>
                <w:highlight w:val="none"/>
                <w:lang w:eastAsia="zh-CN"/>
              </w:rPr>
              <w:t>时</w:t>
            </w:r>
            <w:r>
              <w:rPr>
                <w:rFonts w:hint="eastAsia" w:ascii="仿宋_GB2312" w:hAnsi="宋体" w:eastAsia="仿宋_GB2312"/>
                <w:color w:val="0C0C0C"/>
                <w:szCs w:val="21"/>
                <w:highlight w:val="none"/>
              </w:rPr>
              <w:t>，在相同边界条件下，企业碳排放强度在评价期内与行业最新有效的先进值的差距在5%以内（含5%）</w:t>
            </w:r>
            <w:r>
              <w:rPr>
                <w:rFonts w:hint="eastAsia" w:ascii="仿宋_GB2312" w:hAnsi="宋体" w:eastAsia="仿宋_GB2312"/>
                <w:color w:val="0C0C0C"/>
                <w:szCs w:val="21"/>
                <w:highlight w:val="none"/>
                <w:lang w:val="en-US" w:eastAsia="zh-CN"/>
              </w:rPr>
              <w:t>;</w:t>
            </w:r>
          </w:p>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2.当行业不存在碳排放强度先进值时，按照企业评价期内年均碳排放强度降低率比较，降低率达到</w:t>
            </w:r>
            <w:r>
              <w:rPr>
                <w:rFonts w:ascii="仿宋_GB2312" w:hAnsi="宋体" w:eastAsia="仿宋_GB2312"/>
                <w:color w:val="0C0C0C"/>
                <w:szCs w:val="21"/>
                <w:highlight w:val="none"/>
                <w:lang w:val="en"/>
              </w:rPr>
              <w:t>3</w:t>
            </w:r>
            <w:r>
              <w:rPr>
                <w:rFonts w:hint="eastAsia" w:ascii="仿宋_GB2312" w:hAnsi="宋体" w:eastAsia="仿宋_GB2312"/>
                <w:color w:val="0C0C0C"/>
                <w:szCs w:val="21"/>
                <w:highlight w:val="none"/>
              </w:rPr>
              <w:t>%</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432"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碳市场履约</w:t>
            </w:r>
            <w:r>
              <w:rPr>
                <w:rFonts w:hint="eastAsia" w:ascii="仿宋_GB2312" w:hAnsi="宋体" w:eastAsia="仿宋_GB2312"/>
                <w:color w:val="0C0C0C"/>
                <w:szCs w:val="21"/>
                <w:highlight w:val="none"/>
                <w:vertAlign w:val="superscript"/>
              </w:rPr>
              <w:t>7</w:t>
            </w:r>
          </w:p>
        </w:tc>
        <w:tc>
          <w:tcPr>
            <w:tcW w:w="11142"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宋体" w:eastAsia="仿宋_GB2312"/>
                <w:color w:val="0C0C0C"/>
                <w:szCs w:val="21"/>
                <w:highlight w:val="none"/>
              </w:rPr>
              <w:t>纳入碳市场管理的企业开展碳排放核算，编制碳排放报告，并在碳市场中按年度足额履约</w:t>
            </w:r>
          </w:p>
        </w:tc>
      </w:tr>
      <w:tr>
        <w:tblPrEx>
          <w:tblCellMar>
            <w:top w:w="0" w:type="dxa"/>
            <w:left w:w="0" w:type="dxa"/>
            <w:bottom w:w="0" w:type="dxa"/>
            <w:right w:w="0" w:type="dxa"/>
          </w:tblCellMar>
        </w:tblPrEx>
        <w:trPr>
          <w:trHeight w:val="999"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使用零碳或者低碳的能源或者技术</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在北京电力交易平台上购买绿电、购买CCER或者北京市碳普惠项目减排量用于企业碳配额抵消或者企业、活动碳中和（</w:t>
            </w:r>
            <w:r>
              <w:rPr>
                <w:rFonts w:hint="eastAsia" w:ascii="仿宋_GB2312" w:hAnsi="宋体" w:eastAsia="仿宋_GB2312"/>
                <w:color w:val="0C0C0C"/>
                <w:szCs w:val="21"/>
                <w:highlight w:val="none"/>
                <w:lang w:eastAsia="zh-CN"/>
              </w:rPr>
              <w:t>完成</w:t>
            </w:r>
            <w:r>
              <w:rPr>
                <w:rFonts w:hint="eastAsia" w:ascii="仿宋_GB2312" w:hAnsi="宋体" w:eastAsia="仿宋_GB2312"/>
                <w:color w:val="0C0C0C"/>
                <w:szCs w:val="21"/>
                <w:highlight w:val="none"/>
              </w:rPr>
              <w:t>其中一项即可）</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654" w:hRule="atLeast"/>
          <w:jc w:val="center"/>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C0C0C"/>
                <w:szCs w:val="21"/>
                <w:highlight w:val="none"/>
              </w:rPr>
            </w:pPr>
            <w:r>
              <w:rPr>
                <w:rFonts w:hint="eastAsia" w:ascii="仿宋_GB2312" w:hAnsi="仿宋_GB2312" w:eastAsia="仿宋_GB2312" w:cs="仿宋_GB2312"/>
                <w:bCs/>
                <w:color w:val="000000"/>
                <w:kern w:val="0"/>
                <w:szCs w:val="21"/>
                <w:highlight w:val="none"/>
              </w:rPr>
              <w:t>9</w:t>
            </w:r>
          </w:p>
        </w:tc>
        <w:tc>
          <w:tcPr>
            <w:tcW w:w="14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能源管理</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能源管理体系</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建立并实施能源管理制度</w:t>
            </w:r>
            <w:r>
              <w:rPr>
                <w:rFonts w:hint="eastAsia" w:ascii="仿宋_GB2312" w:hAnsi="宋体" w:eastAsia="仿宋_GB2312"/>
                <w:b w:val="0"/>
                <w:bCs w:val="0"/>
                <w:color w:val="0C0C0C"/>
                <w:szCs w:val="21"/>
                <w:highlight w:val="none"/>
              </w:rPr>
              <w:t>或者</w:t>
            </w:r>
            <w:r>
              <w:rPr>
                <w:rFonts w:hint="eastAsia" w:ascii="仿宋_GB2312" w:hAnsi="宋体" w:eastAsia="仿宋_GB2312"/>
                <w:color w:val="0C0C0C"/>
                <w:szCs w:val="21"/>
                <w:highlight w:val="none"/>
              </w:rPr>
              <w:t>开展能源管理体系认证（GB/T23331、ISO50001）（</w:t>
            </w:r>
            <w:r>
              <w:rPr>
                <w:rFonts w:hint="eastAsia" w:ascii="仿宋_GB2312" w:hAnsi="宋体" w:eastAsia="仿宋_GB2312"/>
                <w:color w:val="0C0C0C"/>
                <w:szCs w:val="21"/>
                <w:highlight w:val="none"/>
                <w:lang w:eastAsia="zh-CN"/>
              </w:rPr>
              <w:t>完成</w:t>
            </w:r>
            <w:r>
              <w:rPr>
                <w:rFonts w:hint="eastAsia" w:ascii="仿宋_GB2312" w:hAnsi="宋体" w:eastAsia="仿宋_GB2312"/>
                <w:color w:val="0C0C0C"/>
                <w:szCs w:val="21"/>
                <w:highlight w:val="none"/>
              </w:rPr>
              <w:t>其中一项即可）</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744"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能耗双控</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宋体" w:eastAsia="仿宋_GB2312"/>
                <w:color w:val="0C0C0C"/>
                <w:szCs w:val="21"/>
                <w:highlight w:val="none"/>
                <w:lang w:val="en-US" w:eastAsia="zh-CN"/>
              </w:rPr>
            </w:pPr>
            <w:r>
              <w:rPr>
                <w:rFonts w:hint="eastAsia" w:ascii="仿宋_GB2312" w:hAnsi="宋体" w:eastAsia="仿宋_GB2312"/>
                <w:color w:val="0C0C0C"/>
                <w:szCs w:val="21"/>
                <w:highlight w:val="none"/>
              </w:rPr>
              <w:t>1.当行业存在能耗强度先进值时，在相同边界条件下，企业能耗强度在评价期内达到最新有效的行业先进值</w:t>
            </w:r>
            <w:r>
              <w:rPr>
                <w:rFonts w:hint="eastAsia" w:ascii="仿宋_GB2312" w:hAnsi="宋体" w:eastAsia="仿宋_GB2312"/>
                <w:color w:val="0C0C0C"/>
                <w:szCs w:val="21"/>
                <w:highlight w:val="none"/>
                <w:lang w:val="en-US" w:eastAsia="zh-CN"/>
              </w:rPr>
              <w:t>;</w:t>
            </w:r>
          </w:p>
          <w:p>
            <w:pPr>
              <w:widowControl/>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2.当行业不存在能耗强度先进值时，按照企业评价期内年均能耗强度降低比较，降低率达到3%</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宋体" w:eastAsia="仿宋_GB2312"/>
                <w:color w:val="0C0C0C"/>
                <w:szCs w:val="21"/>
                <w:highlight w:val="none"/>
                <w:lang w:val="en-US" w:eastAsia="zh-CN"/>
              </w:rPr>
            </w:pPr>
            <w:r>
              <w:rPr>
                <w:rFonts w:hint="eastAsia" w:ascii="仿宋_GB2312" w:hAnsi="宋体" w:eastAsia="仿宋_GB2312"/>
                <w:color w:val="0C0C0C"/>
                <w:szCs w:val="21"/>
                <w:highlight w:val="none"/>
              </w:rPr>
              <w:t>1.当行业存在能耗强度先进值时，在相同边界条件下，企业能耗强度在评价期内与行业最新有效的先进值的差距在5%以内（含5%）</w:t>
            </w:r>
            <w:r>
              <w:rPr>
                <w:rFonts w:hint="eastAsia" w:ascii="仿宋_GB2312" w:hAnsi="宋体" w:eastAsia="仿宋_GB2312"/>
                <w:color w:val="0C0C0C"/>
                <w:szCs w:val="21"/>
                <w:highlight w:val="none"/>
                <w:lang w:val="en-US" w:eastAsia="zh-CN"/>
              </w:rPr>
              <w:t>;</w:t>
            </w:r>
          </w:p>
          <w:p>
            <w:pPr>
              <w:widowControl/>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2.当行业不存在能耗强度先进值时，按照企业评价期内年均能耗强度降低比较，降低率达到2%</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734" w:hRule="atLeast"/>
          <w:jc w:val="center"/>
        </w:trPr>
        <w:tc>
          <w:tcPr>
            <w:tcW w:w="5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Cs w:val="21"/>
                <w:highlight w:val="none"/>
              </w:rPr>
            </w:pPr>
            <w:r>
              <w:rPr>
                <w:rFonts w:hint="eastAsia" w:ascii="仿宋_GB2312" w:hAnsi="仿宋_GB2312" w:eastAsia="仿宋_GB2312" w:cs="仿宋_GB2312"/>
                <w:bCs/>
                <w:color w:val="000000"/>
                <w:kern w:val="0"/>
                <w:szCs w:val="21"/>
                <w:highlight w:val="none"/>
                <w:lang w:bidi="ar"/>
              </w:rPr>
              <w:t>10</w:t>
            </w:r>
          </w:p>
        </w:tc>
        <w:tc>
          <w:tcPr>
            <w:tcW w:w="14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节能减碳行动</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低碳节能改造</w:t>
            </w:r>
          </w:p>
        </w:tc>
        <w:tc>
          <w:tcPr>
            <w:tcW w:w="7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积极组织开展节能低碳技术改造，开发或者使用新能源</w:t>
            </w:r>
            <w:r>
              <w:rPr>
                <w:rFonts w:hint="eastAsia" w:ascii="仿宋_GB2312" w:hAnsi="宋体" w:eastAsia="仿宋_GB2312"/>
                <w:color w:val="0C0C0C"/>
                <w:szCs w:val="21"/>
                <w:highlight w:val="none"/>
                <w:lang w:eastAsia="zh-CN"/>
              </w:rPr>
              <w:t>、</w:t>
            </w:r>
            <w:r>
              <w:rPr>
                <w:rFonts w:hint="eastAsia" w:ascii="仿宋_GB2312" w:hAnsi="宋体" w:eastAsia="仿宋_GB2312"/>
                <w:color w:val="0C0C0C"/>
                <w:szCs w:val="21"/>
                <w:highlight w:val="none"/>
              </w:rPr>
              <w:t>可再生能源及其他低碳技术</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199" w:hRule="atLeast"/>
          <w:jc w:val="center"/>
        </w:trPr>
        <w:tc>
          <w:tcPr>
            <w:tcW w:w="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绿色建筑</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近一年竣工的新建建筑取得国家或者</w:t>
            </w:r>
            <w:r>
              <w:rPr>
                <w:rFonts w:hint="eastAsia" w:ascii="仿宋_GB2312" w:hAnsi="宋体" w:eastAsia="仿宋_GB2312"/>
                <w:color w:val="0C0C0C"/>
                <w:szCs w:val="21"/>
                <w:highlight w:val="none"/>
                <w:lang w:eastAsia="zh-CN"/>
              </w:rPr>
              <w:t>本</w:t>
            </w:r>
            <w:r>
              <w:rPr>
                <w:rFonts w:hint="eastAsia" w:ascii="仿宋_GB2312" w:hAnsi="宋体" w:eastAsia="仿宋_GB2312"/>
                <w:color w:val="0C0C0C"/>
                <w:szCs w:val="21"/>
                <w:highlight w:val="none"/>
              </w:rPr>
              <w:t>市颁发的绿色建筑三星级标识，</w:t>
            </w:r>
            <w:r>
              <w:rPr>
                <w:rFonts w:hint="eastAsia" w:ascii="仿宋_GB2312" w:hAnsi="宋体" w:eastAsia="仿宋_GB2312"/>
                <w:b w:val="0"/>
                <w:bCs w:val="0"/>
                <w:color w:val="0C0C0C"/>
                <w:szCs w:val="21"/>
                <w:highlight w:val="none"/>
              </w:rPr>
              <w:t>或者</w:t>
            </w:r>
            <w:r>
              <w:rPr>
                <w:rFonts w:hint="eastAsia" w:ascii="仿宋_GB2312" w:hAnsi="宋体" w:eastAsia="仿宋_GB2312"/>
                <w:color w:val="0C0C0C"/>
                <w:szCs w:val="21"/>
                <w:highlight w:val="none"/>
              </w:rPr>
              <w:t>预评价达到《绿色建筑评价标准》（DB11/T825）三星级</w:t>
            </w:r>
          </w:p>
        </w:tc>
        <w:tc>
          <w:tcPr>
            <w:tcW w:w="394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宋体" w:eastAsia="仿宋_GB2312"/>
                <w:color w:val="0C0C0C"/>
                <w:szCs w:val="21"/>
                <w:highlight w:val="none"/>
                <w:lang w:eastAsia="zh-CN"/>
              </w:rPr>
            </w:pPr>
            <w:r>
              <w:rPr>
                <w:rFonts w:hint="eastAsia" w:ascii="仿宋_GB2312" w:hAnsi="宋体" w:eastAsia="仿宋_GB2312"/>
                <w:color w:val="0C0C0C"/>
                <w:szCs w:val="21"/>
                <w:highlight w:val="none"/>
              </w:rPr>
              <w:t>近一年竣工的新建建筑取得国家或者</w:t>
            </w:r>
            <w:r>
              <w:rPr>
                <w:rFonts w:hint="eastAsia" w:ascii="仿宋_GB2312" w:hAnsi="宋体" w:eastAsia="仿宋_GB2312"/>
                <w:color w:val="0C0C0C"/>
                <w:szCs w:val="21"/>
                <w:highlight w:val="none"/>
                <w:lang w:eastAsia="zh-CN"/>
              </w:rPr>
              <w:t>本</w:t>
            </w:r>
            <w:r>
              <w:rPr>
                <w:rFonts w:hint="eastAsia" w:ascii="仿宋_GB2312" w:hAnsi="宋体" w:eastAsia="仿宋_GB2312"/>
                <w:color w:val="0C0C0C"/>
                <w:szCs w:val="21"/>
                <w:highlight w:val="none"/>
              </w:rPr>
              <w:t>市颁发的绿色建筑二星级标识</w:t>
            </w:r>
            <w:r>
              <w:rPr>
                <w:rFonts w:hint="eastAsia" w:ascii="仿宋_GB2312" w:hAnsi="宋体" w:eastAsia="仿宋_GB2312"/>
                <w:color w:val="0C0C0C"/>
                <w:szCs w:val="21"/>
                <w:highlight w:val="none"/>
                <w:lang w:eastAsia="zh-CN"/>
              </w:rPr>
              <w:t>，</w:t>
            </w:r>
            <w:r>
              <w:rPr>
                <w:rFonts w:hint="eastAsia" w:ascii="仿宋_GB2312" w:hAnsi="宋体" w:eastAsia="仿宋_GB2312"/>
                <w:b w:val="0"/>
                <w:bCs w:val="0"/>
                <w:color w:val="0C0C0C"/>
                <w:szCs w:val="21"/>
                <w:highlight w:val="none"/>
              </w:rPr>
              <w:t>或者</w:t>
            </w:r>
            <w:r>
              <w:rPr>
                <w:rFonts w:hint="eastAsia" w:ascii="仿宋_GB2312" w:hAnsi="宋体" w:eastAsia="仿宋_GB2312"/>
                <w:color w:val="0C0C0C"/>
                <w:szCs w:val="21"/>
                <w:highlight w:val="none"/>
              </w:rPr>
              <w:t>预评价达到《绿色建筑评价标准》（DB11/T825）二星级</w:t>
            </w:r>
            <w:r>
              <w:rPr>
                <w:rFonts w:hint="eastAsia" w:ascii="仿宋_GB2312" w:hAnsi="宋体" w:eastAsia="仿宋_GB2312"/>
                <w:color w:val="0C0C0C"/>
                <w:szCs w:val="21"/>
                <w:highlight w:val="none"/>
                <w:lang w:eastAsia="zh-CN"/>
              </w:rPr>
              <w:t>及以上</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516" w:hRule="atLeast"/>
          <w:jc w:val="center"/>
        </w:trPr>
        <w:tc>
          <w:tcPr>
            <w:tcW w:w="53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bCs/>
                <w:color w:val="000000"/>
                <w:kern w:val="0"/>
                <w:szCs w:val="21"/>
                <w:highlight w:val="none"/>
                <w:lang w:bidi="ar"/>
              </w:rPr>
              <w:t>11</w:t>
            </w:r>
          </w:p>
        </w:tc>
        <w:tc>
          <w:tcPr>
            <w:tcW w:w="143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环境管理</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清洁生产</w:t>
            </w:r>
          </w:p>
        </w:tc>
        <w:tc>
          <w:tcPr>
            <w:tcW w:w="3999" w:type="dxa"/>
            <w:tcBorders>
              <w:top w:val="single" w:color="000000" w:sz="4" w:space="0"/>
              <w:left w:val="single" w:color="000000" w:sz="4" w:space="0"/>
              <w:bottom w:val="single" w:color="000000" w:sz="4" w:space="0"/>
              <w:right w:val="single" w:color="auto" w:sz="4" w:space="0"/>
            </w:tcBorders>
            <w:noWrap w:val="0"/>
            <w:vAlign w:val="center"/>
          </w:tcPr>
          <w:p>
            <w:pPr>
              <w:widowControl/>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近五年开展清洁生产审核，通过行政主管部门组织的清洁生产审核评估验收</w:t>
            </w:r>
          </w:p>
        </w:tc>
        <w:tc>
          <w:tcPr>
            <w:tcW w:w="7143" w:type="dxa"/>
            <w:gridSpan w:val="2"/>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549" w:hRule="atLeast"/>
          <w:jc w:val="center"/>
        </w:trPr>
        <w:tc>
          <w:tcPr>
            <w:tcW w:w="535"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432"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eastAsia="zh-CN" w:bidi="ar"/>
              </w:rPr>
              <w:t>环境信息依法披露</w:t>
            </w:r>
            <w:r>
              <w:rPr>
                <w:rFonts w:hint="eastAsia" w:ascii="仿宋_GB2312" w:hAnsi="仿宋_GB2312" w:eastAsia="仿宋_GB2312" w:cs="仿宋_GB2312"/>
                <w:color w:val="0C0C0C"/>
                <w:kern w:val="0"/>
                <w:szCs w:val="21"/>
                <w:highlight w:val="none"/>
                <w:vertAlign w:val="superscript"/>
                <w:lang w:bidi="ar"/>
              </w:rPr>
              <w:t>8</w:t>
            </w:r>
          </w:p>
        </w:tc>
        <w:tc>
          <w:tcPr>
            <w:tcW w:w="11142"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按照《企业环境信息依法披露管理办法》进行</w:t>
            </w:r>
            <w:r>
              <w:rPr>
                <w:rFonts w:hint="eastAsia" w:ascii="仿宋_GB2312" w:hAnsi="仿宋_GB2312" w:eastAsia="仿宋_GB2312" w:cs="仿宋_GB2312"/>
                <w:color w:val="0C0C0C"/>
                <w:szCs w:val="21"/>
                <w:highlight w:val="none"/>
                <w:lang w:eastAsia="zh-CN"/>
              </w:rPr>
              <w:t>环境信息依法披露</w:t>
            </w:r>
          </w:p>
        </w:tc>
      </w:tr>
      <w:tr>
        <w:tblPrEx>
          <w:tblCellMar>
            <w:top w:w="0" w:type="dxa"/>
            <w:left w:w="0" w:type="dxa"/>
            <w:bottom w:w="0" w:type="dxa"/>
            <w:right w:w="0" w:type="dxa"/>
          </w:tblCellMar>
        </w:tblPrEx>
        <w:trPr>
          <w:trHeight w:val="90" w:hRule="atLeast"/>
          <w:jc w:val="center"/>
        </w:trPr>
        <w:tc>
          <w:tcPr>
            <w:tcW w:w="53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43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olor w:val="0C0C0C"/>
                <w:szCs w:val="21"/>
                <w:highlight w:val="none"/>
                <w:lang w:eastAsia="zh-CN"/>
              </w:rPr>
            </w:pPr>
            <w:r>
              <w:rPr>
                <w:rFonts w:hint="eastAsia" w:ascii="仿宋_GB2312" w:hAnsi="宋体" w:eastAsia="仿宋_GB2312"/>
                <w:color w:val="0C0C0C"/>
                <w:szCs w:val="21"/>
                <w:highlight w:val="none"/>
                <w:lang w:bidi="ar"/>
              </w:rPr>
              <w:t>突发环境事件和</w:t>
            </w:r>
            <w:r>
              <w:rPr>
                <w:rFonts w:hint="eastAsia" w:ascii="仿宋_GB2312" w:hAnsi="宋体" w:eastAsia="仿宋_GB2312"/>
                <w:color w:val="0C0C0C"/>
                <w:szCs w:val="21"/>
                <w:highlight w:val="none"/>
                <w:lang w:eastAsia="zh-CN" w:bidi="ar"/>
              </w:rPr>
              <w:t>生态环境行政处罚</w:t>
            </w:r>
          </w:p>
        </w:tc>
        <w:tc>
          <w:tcPr>
            <w:tcW w:w="1114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lang w:bidi="ar"/>
              </w:rPr>
              <w:t>近三年内未发生突发环境事件、未受到</w:t>
            </w:r>
            <w:r>
              <w:rPr>
                <w:rFonts w:hint="eastAsia" w:ascii="仿宋_GB2312" w:hAnsi="宋体" w:eastAsia="仿宋_GB2312"/>
                <w:color w:val="0C0C0C"/>
                <w:szCs w:val="21"/>
                <w:highlight w:val="none"/>
                <w:lang w:eastAsia="zh-CN" w:bidi="ar"/>
              </w:rPr>
              <w:t>市区两级生态环境部门行政处罚</w:t>
            </w:r>
          </w:p>
        </w:tc>
      </w:tr>
      <w:tr>
        <w:tblPrEx>
          <w:tblCellMar>
            <w:top w:w="0" w:type="dxa"/>
            <w:left w:w="0" w:type="dxa"/>
            <w:bottom w:w="0" w:type="dxa"/>
            <w:right w:w="0" w:type="dxa"/>
          </w:tblCellMar>
        </w:tblPrEx>
        <w:trPr>
          <w:trHeight w:val="728" w:hRule="atLeast"/>
          <w:jc w:val="center"/>
        </w:trPr>
        <w:tc>
          <w:tcPr>
            <w:tcW w:w="5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12</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参考项</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7940"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取得能效、水效、标准领跑者称号等荣誉</w:t>
            </w:r>
            <w:r>
              <w:rPr>
                <w:rFonts w:hint="eastAsia" w:ascii="仿宋_GB2312" w:hAnsi="仿宋_GB2312" w:eastAsia="仿宋_GB2312" w:cs="仿宋_GB2312"/>
                <w:b w:val="0"/>
                <w:bCs w:val="0"/>
                <w:color w:val="0C0C0C"/>
                <w:szCs w:val="21"/>
                <w:highlight w:val="none"/>
              </w:rPr>
              <w:t>或者</w:t>
            </w:r>
            <w:r>
              <w:rPr>
                <w:rFonts w:hint="eastAsia" w:ascii="仿宋_GB2312" w:hAnsi="仿宋_GB2312" w:eastAsia="仿宋_GB2312" w:cs="仿宋_GB2312"/>
                <w:color w:val="0C0C0C"/>
                <w:szCs w:val="21"/>
                <w:highlight w:val="none"/>
              </w:rPr>
              <w:t>产品通过环境标志产品认证</w:t>
            </w:r>
          </w:p>
        </w:tc>
        <w:tc>
          <w:tcPr>
            <w:tcW w:w="3202"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pStyle w:val="2"/>
        <w:ind w:left="420"/>
        <w:rPr>
          <w:rFonts w:hint="eastAsia" w:ascii="仿宋_GB2312" w:hAnsi="仿宋_GB2312" w:cs="仿宋_GB2312"/>
          <w:color w:val="0C0C0C"/>
          <w:kern w:val="0"/>
          <w:szCs w:val="21"/>
          <w:highlight w:val="none"/>
          <w:lang w:bidi="ar"/>
        </w:rPr>
      </w:pPr>
    </w:p>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注：1.办公楼宇为租用的不评价该指标。</w:t>
      </w:r>
    </w:p>
    <w:p>
      <w:pPr>
        <w:pStyle w:val="2"/>
        <w:ind w:left="420" w:firstLine="420" w:firstLineChars="20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2.污染治理技术：未发布行业污染防治可行技术指南的企业不评价该指标。</w:t>
      </w:r>
    </w:p>
    <w:p>
      <w:pPr>
        <w:pStyle w:val="2"/>
        <w:ind w:left="420" w:firstLine="420" w:firstLineChars="20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3</w:t>
      </w:r>
      <w:r>
        <w:rPr>
          <w:rFonts w:hint="eastAsia" w:ascii="仿宋_GB2312" w:hAnsi="仿宋_GB2312" w:cs="仿宋_GB2312"/>
          <w:color w:val="0C0C0C"/>
          <w:kern w:val="0"/>
          <w:szCs w:val="21"/>
          <w:highlight w:val="none"/>
          <w:lang w:val="en-US" w:eastAsia="zh-CN" w:bidi="ar"/>
        </w:rPr>
        <w:t>.</w:t>
      </w:r>
      <w:r>
        <w:rPr>
          <w:rFonts w:hint="eastAsia" w:ascii="仿宋_GB2312" w:hAnsi="仿宋_GB2312" w:cs="仿宋_GB2312"/>
          <w:color w:val="0C0C0C"/>
          <w:kern w:val="0"/>
          <w:szCs w:val="21"/>
          <w:highlight w:val="none"/>
          <w:lang w:bidi="ar"/>
        </w:rPr>
        <w:t>污染物排放管理：企业根据污染物排放实际情况对相应指标进行评价，并辅之证明材料。主要污染物是指生态环境部实施总量控制的化学需氧量（COD）、氨氮（NH</w:t>
      </w:r>
      <w:r>
        <w:rPr>
          <w:rFonts w:hint="eastAsia" w:ascii="仿宋_GB2312" w:hAnsi="仿宋_GB2312" w:cs="仿宋_GB2312"/>
          <w:color w:val="0C0C0C"/>
          <w:kern w:val="0"/>
          <w:szCs w:val="21"/>
          <w:highlight w:val="none"/>
          <w:vertAlign w:val="subscript"/>
          <w:lang w:bidi="ar"/>
        </w:rPr>
        <w:t>3</w:t>
      </w:r>
      <w:r>
        <w:rPr>
          <w:rFonts w:hint="eastAsia" w:ascii="仿宋_GB2312" w:hAnsi="仿宋_GB2312" w:cs="仿宋_GB2312"/>
          <w:color w:val="0C0C0C"/>
          <w:kern w:val="0"/>
          <w:szCs w:val="21"/>
          <w:highlight w:val="none"/>
          <w:lang w:bidi="ar"/>
        </w:rPr>
        <w:t>-N）、氮氧化物（NOx）</w:t>
      </w:r>
      <w:r>
        <w:rPr>
          <w:rFonts w:hint="eastAsia" w:ascii="仿宋_GB2312" w:hAnsi="仿宋_GB2312" w:cs="仿宋_GB2312"/>
          <w:color w:val="0C0C0C"/>
          <w:kern w:val="0"/>
          <w:szCs w:val="21"/>
          <w:highlight w:val="none"/>
          <w:lang w:eastAsia="zh-CN" w:bidi="ar"/>
        </w:rPr>
        <w:t>和</w:t>
      </w:r>
      <w:r>
        <w:rPr>
          <w:rFonts w:hint="eastAsia" w:ascii="仿宋_GB2312" w:hAnsi="仿宋_GB2312" w:cs="仿宋_GB2312"/>
          <w:color w:val="0C0C0C"/>
          <w:kern w:val="0"/>
          <w:szCs w:val="21"/>
          <w:highlight w:val="none"/>
          <w:lang w:bidi="ar"/>
        </w:rPr>
        <w:t>挥发性有机物（VOCs）等四项污染物。</w:t>
      </w:r>
    </w:p>
    <w:p>
      <w:pPr>
        <w:pStyle w:val="2"/>
        <w:ind w:left="420" w:firstLine="420" w:firstLineChars="20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4</w:t>
      </w:r>
      <w:r>
        <w:rPr>
          <w:rFonts w:hint="eastAsia" w:ascii="仿宋_GB2312" w:hAnsi="仿宋_GB2312" w:cs="仿宋_GB2312"/>
          <w:color w:val="0C0C0C"/>
          <w:kern w:val="0"/>
          <w:szCs w:val="21"/>
          <w:highlight w:val="none"/>
          <w:lang w:val="en-US" w:eastAsia="zh-CN" w:bidi="ar"/>
        </w:rPr>
        <w:t>.</w:t>
      </w:r>
      <w:r>
        <w:rPr>
          <w:rFonts w:hint="eastAsia" w:ascii="仿宋_GB2312" w:hAnsi="仿宋_GB2312" w:cs="仿宋_GB2312"/>
          <w:color w:val="0C0C0C"/>
          <w:kern w:val="0"/>
          <w:szCs w:val="21"/>
          <w:highlight w:val="none"/>
          <w:lang w:bidi="ar"/>
        </w:rPr>
        <w:t>污染物监测监控水平：列入《固定污染源排污许可分类管理名录》的企业，按照排污许可管理要求开展监测监控；未列入的企业不评价该指标。</w:t>
      </w:r>
    </w:p>
    <w:p>
      <w:pPr>
        <w:pStyle w:val="2"/>
        <w:ind w:left="420" w:firstLine="420" w:firstLineChars="20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5</w:t>
      </w:r>
      <w:r>
        <w:rPr>
          <w:rFonts w:hint="eastAsia" w:ascii="仿宋_GB2312" w:hAnsi="仿宋_GB2312" w:cs="仿宋_GB2312"/>
          <w:color w:val="0C0C0C"/>
          <w:kern w:val="0"/>
          <w:szCs w:val="21"/>
          <w:highlight w:val="none"/>
          <w:lang w:val="en-US" w:eastAsia="zh-CN" w:bidi="ar"/>
        </w:rPr>
        <w:t>.</w:t>
      </w:r>
      <w:r>
        <w:rPr>
          <w:rFonts w:hint="eastAsia" w:ascii="仿宋_GB2312" w:hAnsi="仿宋_GB2312" w:cs="仿宋_GB2312"/>
          <w:color w:val="0C0C0C"/>
          <w:kern w:val="0"/>
          <w:szCs w:val="21"/>
          <w:highlight w:val="none"/>
          <w:lang w:bidi="ar"/>
        </w:rPr>
        <w:t>通勤车辆：指企业用于接送职工上下班、企业内运输人员和机要的车辆。（下同）</w:t>
      </w:r>
    </w:p>
    <w:p>
      <w:pPr>
        <w:pStyle w:val="2"/>
        <w:ind w:left="420" w:firstLine="420" w:firstLineChars="200"/>
        <w:rPr>
          <w:rFonts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6</w:t>
      </w:r>
      <w:r>
        <w:rPr>
          <w:rFonts w:hint="eastAsia" w:ascii="仿宋_GB2312" w:hAnsi="仿宋_GB2312" w:cs="仿宋_GB2312"/>
          <w:color w:val="0C0C0C"/>
          <w:kern w:val="0"/>
          <w:szCs w:val="21"/>
          <w:highlight w:val="none"/>
          <w:lang w:val="en-US" w:eastAsia="zh-CN" w:bidi="ar"/>
        </w:rPr>
        <w:t>.</w:t>
      </w:r>
      <w:r>
        <w:rPr>
          <w:rFonts w:hint="eastAsia" w:ascii="仿宋_GB2312" w:hAnsi="仿宋_GB2312" w:cs="仿宋_GB2312"/>
          <w:color w:val="0C0C0C"/>
          <w:kern w:val="0"/>
          <w:szCs w:val="21"/>
          <w:highlight w:val="none"/>
          <w:lang w:bidi="ar"/>
        </w:rPr>
        <w:t>场内非道路移动机械：不使用非道路移动机械的企业不评价该指标。</w:t>
      </w:r>
    </w:p>
    <w:p>
      <w:pPr>
        <w:pStyle w:val="2"/>
        <w:ind w:left="420" w:firstLine="420" w:firstLineChars="200"/>
        <w:rPr>
          <w:rFonts w:hint="eastAsia" w:ascii="仿宋_GB2312" w:hAnsi="仿宋_GB2312" w:cs="仿宋_GB2312"/>
          <w:color w:val="0C0C0C"/>
          <w:szCs w:val="21"/>
          <w:highlight w:val="none"/>
        </w:rPr>
      </w:pPr>
      <w:r>
        <w:rPr>
          <w:rFonts w:hint="eastAsia" w:ascii="仿宋_GB2312" w:hAnsi="仿宋_GB2312" w:cs="仿宋_GB2312"/>
          <w:highlight w:val="none"/>
        </w:rPr>
        <w:t>7</w:t>
      </w:r>
      <w:r>
        <w:rPr>
          <w:rFonts w:hint="eastAsia" w:ascii="仿宋_GB2312" w:hAnsi="仿宋_GB2312" w:cs="仿宋_GB2312"/>
          <w:highlight w:val="none"/>
          <w:lang w:val="en-US" w:eastAsia="zh-CN"/>
        </w:rPr>
        <w:t>.</w:t>
      </w:r>
      <w:r>
        <w:rPr>
          <w:rFonts w:hint="eastAsia" w:ascii="仿宋_GB2312" w:hAnsi="仿宋_GB2312" w:cs="仿宋_GB2312"/>
          <w:color w:val="0C0C0C"/>
          <w:kern w:val="0"/>
          <w:szCs w:val="21"/>
          <w:highlight w:val="none"/>
          <w:lang w:bidi="ar"/>
        </w:rPr>
        <w:t>碳市场履约：未纳入</w:t>
      </w:r>
      <w:r>
        <w:rPr>
          <w:rFonts w:hint="eastAsia" w:ascii="仿宋_GB2312" w:hAnsi="仿宋_GB2312" w:cs="仿宋_GB2312"/>
          <w:color w:val="0C0C0C"/>
          <w:szCs w:val="21"/>
          <w:highlight w:val="none"/>
        </w:rPr>
        <w:t>碳市场管理的企业不评价该指标。</w:t>
      </w:r>
    </w:p>
    <w:p>
      <w:pPr>
        <w:ind w:firstLine="840" w:firstLineChars="400"/>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8</w:t>
      </w:r>
      <w:r>
        <w:rPr>
          <w:rFonts w:hint="eastAsia" w:ascii="仿宋_GB2312" w:hAnsi="仿宋_GB2312" w:eastAsia="仿宋_GB2312" w:cs="仿宋_GB2312"/>
          <w:color w:val="0C0C0C"/>
          <w:kern w:val="0"/>
          <w:szCs w:val="21"/>
          <w:highlight w:val="none"/>
          <w:lang w:val="en-US" w:eastAsia="zh-CN" w:bidi="ar"/>
        </w:rPr>
        <w:t>.</w:t>
      </w:r>
      <w:r>
        <w:rPr>
          <w:rFonts w:hint="eastAsia" w:ascii="仿宋_GB2312" w:hAnsi="仿宋_GB2312" w:eastAsia="仿宋_GB2312" w:cs="仿宋_GB2312"/>
          <w:color w:val="0C0C0C"/>
          <w:kern w:val="0"/>
          <w:szCs w:val="21"/>
          <w:highlight w:val="none"/>
          <w:lang w:eastAsia="zh-CN" w:bidi="ar"/>
        </w:rPr>
        <w:t>环境信息依法披露</w:t>
      </w:r>
      <w:r>
        <w:rPr>
          <w:rFonts w:hint="eastAsia" w:ascii="仿宋_GB2312" w:hAnsi="仿宋_GB2312" w:eastAsia="仿宋_GB2312" w:cs="仿宋_GB2312"/>
          <w:color w:val="0C0C0C"/>
          <w:kern w:val="0"/>
          <w:szCs w:val="21"/>
          <w:highlight w:val="none"/>
          <w:lang w:bidi="ar"/>
        </w:rPr>
        <w:t>：不在</w:t>
      </w:r>
      <w:r>
        <w:rPr>
          <w:rFonts w:hint="eastAsia" w:ascii="仿宋_GB2312" w:hAnsi="仿宋_GB2312" w:eastAsia="仿宋_GB2312" w:cs="仿宋_GB2312"/>
          <w:color w:val="0C0C0C"/>
          <w:szCs w:val="21"/>
          <w:highlight w:val="none"/>
        </w:rPr>
        <w:t>《企业环境信息依法披露管理办法》规定的</w:t>
      </w:r>
      <w:r>
        <w:rPr>
          <w:rFonts w:hint="eastAsia" w:ascii="仿宋_GB2312" w:hAnsi="仿宋_GB2312" w:eastAsia="仿宋_GB2312" w:cs="仿宋_GB2312"/>
          <w:color w:val="0C0C0C"/>
          <w:szCs w:val="21"/>
          <w:highlight w:val="none"/>
          <w:lang w:eastAsia="zh-CN"/>
        </w:rPr>
        <w:t>环境信息依法披露</w:t>
      </w:r>
      <w:r>
        <w:rPr>
          <w:rFonts w:hint="eastAsia" w:ascii="仿宋_GB2312" w:hAnsi="仿宋_GB2312" w:eastAsia="仿宋_GB2312" w:cs="仿宋_GB2312"/>
          <w:color w:val="0C0C0C"/>
          <w:szCs w:val="21"/>
          <w:highlight w:val="none"/>
        </w:rPr>
        <w:t>范围的企业不评价该指标。</w:t>
      </w:r>
    </w:p>
    <w:p>
      <w:pPr>
        <w:pStyle w:val="2"/>
        <w:ind w:left="420" w:firstLine="420"/>
        <w:rPr>
          <w:rFonts w:hint="eastAsia" w:ascii="仿宋_GB2312" w:hAnsi="仿宋_GB2312" w:cs="仿宋_GB2312"/>
          <w:color w:val="0C0C0C"/>
          <w:szCs w:val="21"/>
          <w:highlight w:val="none"/>
        </w:rPr>
      </w:pPr>
      <w:r>
        <w:rPr>
          <w:rFonts w:hint="eastAsia" w:ascii="仿宋_GB2312" w:hAnsi="仿宋_GB2312" w:cs="仿宋_GB2312"/>
          <w:color w:val="0C0C0C"/>
          <w:szCs w:val="21"/>
          <w:highlight w:val="none"/>
        </w:rPr>
        <w:t>9</w:t>
      </w:r>
      <w:r>
        <w:rPr>
          <w:rFonts w:hint="eastAsia" w:ascii="仿宋_GB2312" w:hAnsi="仿宋_GB2312" w:cs="仿宋_GB2312"/>
          <w:color w:val="0C0C0C"/>
          <w:szCs w:val="21"/>
          <w:highlight w:val="none"/>
          <w:lang w:val="en-US" w:eastAsia="zh-CN"/>
        </w:rPr>
        <w:t>.</w:t>
      </w:r>
      <w:r>
        <w:rPr>
          <w:rFonts w:hint="eastAsia" w:ascii="仿宋_GB2312" w:hAnsi="仿宋_GB2312" w:cs="仿宋_GB2312"/>
          <w:color w:val="0C0C0C"/>
          <w:szCs w:val="21"/>
          <w:highlight w:val="none"/>
        </w:rPr>
        <w:t>被工业和信息化部门认定为“绿色工厂”的企业评定</w:t>
      </w:r>
      <w:r>
        <w:rPr>
          <w:rFonts w:hint="eastAsia" w:ascii="仿宋_GB2312" w:hAnsi="仿宋_GB2312" w:cs="仿宋_GB2312"/>
          <w:b/>
          <w:bCs/>
          <w:szCs w:val="21"/>
          <w:highlight w:val="none"/>
        </w:rPr>
        <w:t>绿色基准(浅绿)级别的</w:t>
      </w:r>
      <w:r>
        <w:rPr>
          <w:rFonts w:hint="eastAsia" w:ascii="仿宋_GB2312" w:hAnsi="仿宋_GB2312" w:cs="仿宋_GB2312"/>
          <w:color w:val="0C0C0C"/>
          <w:szCs w:val="21"/>
          <w:highlight w:val="none"/>
        </w:rPr>
        <w:t>，可免评第2、3、4、9项；评定</w:t>
      </w:r>
      <w:r>
        <w:rPr>
          <w:rFonts w:hint="eastAsia" w:ascii="仿宋_GB2312" w:hAnsi="仿宋_GB2312" w:cs="仿宋_GB2312"/>
          <w:b/>
          <w:bCs/>
          <w:szCs w:val="21"/>
          <w:highlight w:val="none"/>
        </w:rPr>
        <w:t>绿色标杆(深绿)级别的</w:t>
      </w:r>
      <w:r>
        <w:rPr>
          <w:rFonts w:hint="eastAsia" w:ascii="仿宋_GB2312" w:hAnsi="仿宋_GB2312" w:cs="仿宋_GB2312"/>
          <w:color w:val="0C0C0C"/>
          <w:szCs w:val="21"/>
          <w:highlight w:val="none"/>
        </w:rPr>
        <w:t>，可免评第3、4项。</w:t>
      </w:r>
    </w:p>
    <w:p>
      <w:pPr>
        <w:pStyle w:val="2"/>
        <w:ind w:left="420" w:firstLine="420"/>
        <w:rPr>
          <w:rFonts w:hint="eastAsia" w:ascii="仿宋_GB2312" w:hAnsi="仿宋_GB2312" w:cs="仿宋_GB2312"/>
          <w:color w:val="0C0C0C"/>
          <w:szCs w:val="21"/>
          <w:highlight w:val="none"/>
        </w:rPr>
      </w:pPr>
      <w:r>
        <w:rPr>
          <w:rFonts w:hint="eastAsia" w:ascii="仿宋_GB2312" w:hAnsi="仿宋_GB2312" w:cs="仿宋_GB2312"/>
          <w:color w:val="0C0C0C"/>
          <w:szCs w:val="21"/>
          <w:highlight w:val="none"/>
        </w:rPr>
        <w:t>10</w:t>
      </w:r>
      <w:r>
        <w:rPr>
          <w:rFonts w:hint="eastAsia" w:ascii="仿宋_GB2312" w:hAnsi="仿宋_GB2312" w:cs="仿宋_GB2312"/>
          <w:color w:val="0C0C0C"/>
          <w:szCs w:val="21"/>
          <w:highlight w:val="none"/>
          <w:lang w:val="en-US" w:eastAsia="zh-CN"/>
        </w:rPr>
        <w:t>.</w:t>
      </w:r>
      <w:r>
        <w:rPr>
          <w:rFonts w:hint="eastAsia" w:ascii="仿宋_GB2312" w:hAnsi="仿宋_GB2312" w:cs="仿宋_GB2312"/>
          <w:color w:val="0C0C0C"/>
          <w:szCs w:val="21"/>
          <w:highlight w:val="none"/>
        </w:rPr>
        <w:t>被工业和信息化部门认定为“绿色供应链”的企业可免评第3项。</w:t>
      </w:r>
    </w:p>
    <w:p>
      <w:pPr>
        <w:pStyle w:val="2"/>
        <w:ind w:left="420" w:firstLine="420"/>
        <w:rPr>
          <w:rFonts w:hint="eastAsia" w:ascii="仿宋_GB2312" w:hAnsi="仿宋_GB2312" w:cs="仿宋_GB2312"/>
          <w:color w:val="0C0C0C"/>
          <w:szCs w:val="21"/>
          <w:highlight w:val="none"/>
        </w:rPr>
      </w:pPr>
      <w:r>
        <w:rPr>
          <w:rFonts w:hint="eastAsia" w:ascii="仿宋_GB2312" w:hAnsi="仿宋_GB2312" w:cs="仿宋_GB2312"/>
          <w:color w:val="0C0C0C"/>
          <w:szCs w:val="21"/>
          <w:highlight w:val="none"/>
        </w:rPr>
        <w:t>11</w:t>
      </w:r>
      <w:r>
        <w:rPr>
          <w:rFonts w:hint="eastAsia" w:ascii="仿宋_GB2312" w:hAnsi="仿宋_GB2312" w:cs="仿宋_GB2312"/>
          <w:color w:val="0C0C0C"/>
          <w:szCs w:val="21"/>
          <w:highlight w:val="none"/>
          <w:lang w:val="en-US" w:eastAsia="zh-CN"/>
        </w:rPr>
        <w:t>.</w:t>
      </w:r>
      <w:r>
        <w:rPr>
          <w:rFonts w:hint="eastAsia" w:ascii="仿宋_GB2312" w:hAnsi="仿宋_GB2312" w:cs="仿宋_GB2312"/>
          <w:color w:val="0C0C0C"/>
          <w:szCs w:val="21"/>
          <w:highlight w:val="none"/>
        </w:rPr>
        <w:t>被生态环境部门认定为“重污染</w:t>
      </w:r>
      <w:r>
        <w:rPr>
          <w:rFonts w:hint="eastAsia" w:ascii="仿宋_GB2312" w:hAnsi="仿宋_GB2312" w:cs="仿宋_GB2312"/>
          <w:color w:val="0C0C0C"/>
          <w:szCs w:val="21"/>
          <w:highlight w:val="none"/>
          <w:lang w:eastAsia="zh-CN"/>
        </w:rPr>
        <w:t>天气应急减排措施</w:t>
      </w:r>
      <w:r>
        <w:rPr>
          <w:rFonts w:hint="eastAsia" w:ascii="仿宋_GB2312" w:hAnsi="仿宋_GB2312" w:cs="仿宋_GB2312"/>
          <w:color w:val="0C0C0C"/>
          <w:szCs w:val="21"/>
          <w:highlight w:val="none"/>
        </w:rPr>
        <w:t>绩效分级A级”的企业可免评第2、3、4、5、6、7项中涉及大气污染物排放的内容。</w:t>
      </w:r>
    </w:p>
    <w:p>
      <w:pPr>
        <w:pStyle w:val="2"/>
        <w:ind w:left="420" w:firstLine="420" w:firstLineChars="200"/>
        <w:rPr>
          <w:rFonts w:ascii="仿宋_GB2312" w:hAnsi="仿宋_GB2312" w:cs="仿宋_GB2312"/>
          <w:color w:val="0C0C0C"/>
          <w:szCs w:val="21"/>
          <w:highlight w:val="none"/>
        </w:rPr>
      </w:pPr>
      <w:r>
        <w:rPr>
          <w:rFonts w:hint="eastAsia" w:ascii="仿宋_GB2312" w:hAnsi="仿宋_GB2312" w:cs="仿宋_GB2312"/>
          <w:color w:val="0C0C0C"/>
          <w:szCs w:val="21"/>
          <w:highlight w:val="none"/>
        </w:rPr>
        <w:t>12</w:t>
      </w:r>
      <w:r>
        <w:rPr>
          <w:rFonts w:hint="eastAsia" w:ascii="仿宋_GB2312" w:hAnsi="仿宋_GB2312" w:cs="仿宋_GB2312"/>
          <w:color w:val="0C0C0C"/>
          <w:szCs w:val="21"/>
          <w:highlight w:val="none"/>
          <w:lang w:val="en-US" w:eastAsia="zh-CN"/>
        </w:rPr>
        <w:t>.</w:t>
      </w:r>
      <w:r>
        <w:rPr>
          <w:rFonts w:hint="eastAsia" w:ascii="仿宋_GB2312" w:hAnsi="仿宋_GB2312" w:cs="仿宋_GB2312"/>
          <w:color w:val="0C0C0C"/>
          <w:szCs w:val="21"/>
          <w:highlight w:val="none"/>
        </w:rPr>
        <w:t>被生态环境部门认定为“低碳领跑者”企业可免评第8项</w:t>
      </w:r>
    </w:p>
    <w:p>
      <w:pPr>
        <w:pStyle w:val="2"/>
        <w:ind w:left="0" w:leftChars="0" w:firstLine="0" w:firstLineChars="0"/>
        <w:rPr>
          <w:rFonts w:hint="eastAsia" w:ascii="黑体" w:hAnsi="黑体" w:eastAsia="黑体" w:cs="黑体"/>
          <w:sz w:val="32"/>
          <w:szCs w:val="32"/>
          <w:highlight w:val="none"/>
        </w:rPr>
      </w:pPr>
      <w:r>
        <w:rPr>
          <w:rFonts w:hint="eastAsia" w:ascii="仿宋_GB2312" w:hAnsi="仿宋_GB2312" w:cs="仿宋_GB2312"/>
          <w:color w:val="0C0C0C"/>
          <w:szCs w:val="21"/>
          <w:highlight w:val="none"/>
        </w:rPr>
        <w:br w:type="page"/>
      </w:r>
      <w:r>
        <w:rPr>
          <w:rFonts w:hint="eastAsia" w:ascii="黑体" w:hAnsi="黑体" w:eastAsia="黑体" w:cs="黑体"/>
          <w:sz w:val="32"/>
          <w:szCs w:val="32"/>
          <w:highlight w:val="none"/>
        </w:rPr>
        <w:t>1.</w:t>
      </w:r>
      <w:r>
        <w:rPr>
          <w:rFonts w:ascii="黑体" w:hAnsi="黑体" w:eastAsia="黑体" w:cs="黑体"/>
          <w:sz w:val="32"/>
          <w:szCs w:val="32"/>
          <w:highlight w:val="none"/>
          <w:lang w:val="en"/>
        </w:rPr>
        <w:t>1</w:t>
      </w:r>
      <w:r>
        <w:rPr>
          <w:rFonts w:hint="eastAsia" w:ascii="黑体" w:hAnsi="黑体" w:eastAsia="黑体" w:cs="黑体"/>
          <w:sz w:val="32"/>
          <w:szCs w:val="32"/>
          <w:highlight w:val="none"/>
        </w:rPr>
        <w:t>汽车整车制造（361）企业绿色绩效评价细则</w:t>
      </w:r>
    </w:p>
    <w:tbl>
      <w:tblPr>
        <w:tblStyle w:val="8"/>
        <w:tblW w:w="145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9"/>
        <w:gridCol w:w="810"/>
        <w:gridCol w:w="973"/>
        <w:gridCol w:w="2403"/>
        <w:gridCol w:w="3272"/>
        <w:gridCol w:w="3262"/>
        <w:gridCol w:w="1938"/>
        <w:gridCol w:w="1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479"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序号</w:t>
            </w:r>
          </w:p>
        </w:tc>
        <w:tc>
          <w:tcPr>
            <w:tcW w:w="810"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一级指标</w:t>
            </w:r>
          </w:p>
        </w:tc>
        <w:tc>
          <w:tcPr>
            <w:tcW w:w="973"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二级指标</w:t>
            </w:r>
          </w:p>
        </w:tc>
        <w:tc>
          <w:tcPr>
            <w:tcW w:w="2403"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评价内容和依据</w:t>
            </w:r>
          </w:p>
        </w:tc>
        <w:tc>
          <w:tcPr>
            <w:tcW w:w="3272" w:type="dxa"/>
            <w:shd w:val="clear" w:color="auto" w:fill="FFFFFF"/>
            <w:noWrap w:val="0"/>
            <w:vAlign w:val="center"/>
          </w:tcPr>
          <w:p>
            <w:pPr>
              <w:widowControl/>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 w:val="18"/>
                <w:szCs w:val="18"/>
                <w:highlight w:val="none"/>
                <w:lang w:bidi="ar"/>
              </w:rPr>
              <w:t>绿色标杆企业(深绿)</w:t>
            </w:r>
          </w:p>
        </w:tc>
        <w:tc>
          <w:tcPr>
            <w:tcW w:w="3262"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bCs/>
                <w:sz w:val="18"/>
                <w:szCs w:val="18"/>
                <w:highlight w:val="none"/>
              </w:rPr>
              <w:t>绿色基准企业(浅绿)</w:t>
            </w:r>
          </w:p>
        </w:tc>
        <w:tc>
          <w:tcPr>
            <w:tcW w:w="1938"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普通合法企业</w:t>
            </w:r>
          </w:p>
        </w:tc>
        <w:tc>
          <w:tcPr>
            <w:tcW w:w="1400" w:type="dxa"/>
            <w:shd w:val="clear" w:color="auto" w:fill="FFFFFF"/>
            <w:noWrap w:val="0"/>
            <w:vAlign w:val="center"/>
          </w:tcPr>
          <w:p>
            <w:pPr>
              <w:widowControl/>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原辅材料</w:t>
            </w: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清洁原</w:t>
            </w:r>
            <w:r>
              <w:rPr>
                <w:rFonts w:hint="eastAsia" w:ascii="仿宋_GB2312" w:hAnsi="仿宋_GB2312" w:eastAsia="仿宋_GB2312" w:cs="仿宋_GB2312"/>
                <w:color w:val="000000"/>
                <w:kern w:val="0"/>
                <w:sz w:val="18"/>
                <w:szCs w:val="18"/>
                <w:highlight w:val="none"/>
                <w:lang w:eastAsia="zh-CN" w:bidi="ar"/>
              </w:rPr>
              <w:t>辅</w:t>
            </w:r>
            <w:r>
              <w:rPr>
                <w:rFonts w:hint="eastAsia" w:ascii="仿宋_GB2312" w:hAnsi="仿宋_GB2312" w:eastAsia="仿宋_GB2312" w:cs="仿宋_GB2312"/>
                <w:color w:val="000000"/>
                <w:kern w:val="0"/>
                <w:sz w:val="18"/>
                <w:szCs w:val="18"/>
                <w:highlight w:val="none"/>
                <w:lang w:bidi="ar"/>
              </w:rPr>
              <w:t>料</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涂料</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《低挥发性有机化合物含量涂料产品技术要求》（GB/T38597）</w:t>
            </w:r>
          </w:p>
          <w:p>
            <w:pPr>
              <w:widowControl/>
              <w:spacing w:line="240" w:lineRule="exact"/>
              <w:jc w:val="left"/>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《车辆涂料中有害物质限量》（GB24409）</w:t>
            </w:r>
          </w:p>
        </w:tc>
        <w:tc>
          <w:tcPr>
            <w:tcW w:w="6534" w:type="dxa"/>
            <w:gridSpan w:val="2"/>
            <w:tcBorders>
              <w:righ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涂料（除修补漆外）VOCs含量满足GB/T38597的要求，修补漆VOCs含量满足GB24409的要求，有害物质含量满足GB24409的要求</w:t>
            </w:r>
          </w:p>
        </w:tc>
        <w:tc>
          <w:tcPr>
            <w:tcW w:w="1938" w:type="dxa"/>
            <w:tcBorders>
              <w:lef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涂料VOCs含量</w:t>
            </w:r>
            <w:r>
              <w:rPr>
                <w:rFonts w:hint="eastAsia" w:ascii="仿宋_GB2312" w:hAnsi="仿宋_GB2312" w:eastAsia="仿宋_GB2312" w:cs="仿宋_GB2312"/>
                <w:color w:val="000000"/>
                <w:kern w:val="0"/>
                <w:sz w:val="18"/>
                <w:szCs w:val="18"/>
                <w:highlight w:val="none"/>
                <w:lang w:eastAsia="zh-CN" w:bidi="ar"/>
              </w:rPr>
              <w:t>和</w:t>
            </w:r>
            <w:r>
              <w:rPr>
                <w:rFonts w:hint="eastAsia" w:ascii="仿宋_GB2312" w:hAnsi="仿宋_GB2312" w:eastAsia="仿宋_GB2312" w:cs="仿宋_GB2312"/>
                <w:color w:val="000000"/>
                <w:kern w:val="0"/>
                <w:sz w:val="18"/>
                <w:szCs w:val="18"/>
                <w:highlight w:val="none"/>
                <w:lang w:bidi="ar"/>
              </w:rPr>
              <w:t>有害物质含量满足GB24409的要求</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企业提供原</w:t>
            </w:r>
            <w:r>
              <w:rPr>
                <w:rFonts w:hint="eastAsia" w:ascii="仿宋_GB2312" w:hAnsi="仿宋_GB2312" w:eastAsia="仿宋_GB2312" w:cs="仿宋_GB2312"/>
                <w:color w:val="000000"/>
                <w:kern w:val="0"/>
                <w:sz w:val="18"/>
                <w:szCs w:val="18"/>
                <w:highlight w:val="none"/>
                <w:lang w:eastAsia="zh-CN" w:bidi="ar"/>
              </w:rPr>
              <w:t>辅</w:t>
            </w:r>
            <w:r>
              <w:rPr>
                <w:rFonts w:hint="eastAsia" w:ascii="仿宋_GB2312" w:hAnsi="仿宋_GB2312" w:eastAsia="仿宋_GB2312" w:cs="仿宋_GB2312"/>
                <w:color w:val="000000"/>
                <w:kern w:val="0"/>
                <w:sz w:val="18"/>
                <w:szCs w:val="18"/>
                <w:highlight w:val="none"/>
                <w:lang w:bidi="ar"/>
              </w:rPr>
              <w:t>材料明细和VOCs成分检测报告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胶粘剂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《胶粘剂挥发性有机化合物限量》（GB33372）</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点焊胶、密封胶、折边胶、减震胶、结构胶、玻璃胶及抗石击材料等胶粘剂VOCs含量限值应满足GB33372规定的水基型和本体型胶粘剂中交通运输类、溶剂型胶粘剂中其他类要求</w:t>
            </w: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清洗剂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《清洗剂挥发性有机化合物含量限值》（GB38508）</w:t>
            </w:r>
          </w:p>
        </w:tc>
        <w:tc>
          <w:tcPr>
            <w:tcW w:w="6534" w:type="dxa"/>
            <w:gridSpan w:val="2"/>
            <w:tcBorders>
              <w:right w:val="single" w:color="auto" w:sz="4" w:space="0"/>
            </w:tcBorders>
            <w:shd w:val="clear" w:color="auto" w:fill="FFFFFF"/>
            <w:noWrap w:val="0"/>
            <w:vAlign w:val="center"/>
          </w:tcPr>
          <w:p>
            <w:pPr>
              <w:widowControl/>
              <w:spacing w:line="240" w:lineRule="exact"/>
              <w:jc w:val="left"/>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水基清洗剂VOCs含量限值满足GB 38508的要求，半水基清洗剂VOCs含量限值满足GB 38508中低VOCs含量限值的要求</w:t>
            </w:r>
          </w:p>
        </w:tc>
        <w:tc>
          <w:tcPr>
            <w:tcW w:w="1938" w:type="dxa"/>
            <w:tcBorders>
              <w:lef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满足GB38508要求</w:t>
            </w: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479"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2</w:t>
            </w:r>
          </w:p>
        </w:tc>
        <w:tc>
          <w:tcPr>
            <w:tcW w:w="810"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生产工艺及装备</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绿色装备</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《国家工业和信息化领域节能技术装备推荐目录》</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《北京市节能技术产品推荐目录》</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《清洁生产评价指标体系汽车整车制造业》（DB11/T1180）</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主要生产设备采用《国家工业和信息化领域节能技术装备推荐目录》《北京市节能技术产品推荐目录》推荐的装备，同时达到清洁生产评价指标体系I级基准值</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主要生产设备采用《国家工业和信息化领域节能技术装备推荐目录》《北京市节能技术产品推荐目录》推荐的装备，同时达到清洁生产评价指标体系Ⅱ级基准值</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企业提供使用设备说明文件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0" w:hRule="atLeast"/>
          <w:jc w:val="center"/>
        </w:trPr>
        <w:tc>
          <w:tcPr>
            <w:tcW w:w="479"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3</w:t>
            </w:r>
          </w:p>
        </w:tc>
        <w:tc>
          <w:tcPr>
            <w:tcW w:w="810"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污染治理技术</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先进治污</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技术</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《汽车工业污染防治可行技术指南》（HJ1181）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《北京市重污染天气重点行业应急减排措施制定技术指南》</w:t>
            </w: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喷涂废气设置干式的石灰石、纸盒等高效漆雾处理装置；</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使用溶剂型涂料时，喷漆、流平、烘干、清洗等工序含VOCs废气采用吸附浓缩+燃烧、燃烧等治理技术，处理效率≥90%；调漆废气密闭收集并安装治理设施；</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使用水性涂料时，当车间或者生产设施排气中NMHC初始排放浓度大于20mg/m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时，建设末端</w:t>
            </w:r>
            <w:r>
              <w:rPr>
                <w:rFonts w:hint="eastAsia" w:ascii="仿宋_GB2312" w:hAnsi="仿宋_GB2312" w:eastAsia="仿宋_GB2312" w:cs="仿宋_GB2312"/>
                <w:color w:val="000000"/>
                <w:kern w:val="0"/>
                <w:sz w:val="18"/>
                <w:szCs w:val="18"/>
                <w:highlight w:val="none"/>
                <w:lang w:eastAsia="zh-CN" w:bidi="ar"/>
              </w:rPr>
              <w:t>治理</w:t>
            </w:r>
            <w:r>
              <w:rPr>
                <w:rFonts w:hint="eastAsia" w:ascii="仿宋_GB2312" w:hAnsi="仿宋_GB2312" w:eastAsia="仿宋_GB2312" w:cs="仿宋_GB2312"/>
                <w:color w:val="000000"/>
                <w:kern w:val="0"/>
                <w:sz w:val="18"/>
                <w:szCs w:val="18"/>
                <w:highlight w:val="none"/>
                <w:lang w:bidi="ar"/>
              </w:rPr>
              <w:t>设施；</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4</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电泳</w:t>
            </w:r>
            <w:r>
              <w:rPr>
                <w:rFonts w:hint="eastAsia" w:ascii="仿宋_GB2312" w:hAnsi="仿宋_GB2312" w:eastAsia="仿宋_GB2312" w:cs="仿宋_GB2312"/>
                <w:color w:val="000000"/>
                <w:kern w:val="0"/>
                <w:sz w:val="18"/>
                <w:szCs w:val="18"/>
                <w:highlight w:val="none"/>
                <w:lang w:eastAsia="zh-CN" w:bidi="ar"/>
              </w:rPr>
              <w:t>工序</w:t>
            </w:r>
            <w:r>
              <w:rPr>
                <w:rFonts w:hint="eastAsia" w:ascii="仿宋_GB2312" w:hAnsi="仿宋_GB2312" w:eastAsia="仿宋_GB2312" w:cs="仿宋_GB2312"/>
                <w:color w:val="000000"/>
                <w:kern w:val="0"/>
                <w:sz w:val="18"/>
                <w:szCs w:val="18"/>
                <w:highlight w:val="none"/>
                <w:lang w:bidi="ar"/>
              </w:rPr>
              <w:t>采用活性炭吸附或者等效治理技术；</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5.中涂、色漆和罩光工序采用浓缩（含车间循环风）+焚烧治理技术</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eastAsia="zh-CN"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喷涂废气设置干式的石灰石、纸盒或者湿式的文丘里等高效漆雾处理装置；</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使用溶剂型涂料时，喷漆、流平、烘干、清洗等工序含VOCs废气采用吸附浓缩+燃烧、燃烧等治理技术，处理效率≥80%；调漆废气密闭收集并安装治理设施；</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使用水性涂料时，当车间或者生产设施排气中NMHC初始排放浓度大于30mg/m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时，建设末端</w:t>
            </w:r>
            <w:r>
              <w:rPr>
                <w:rFonts w:hint="eastAsia" w:ascii="仿宋_GB2312" w:hAnsi="仿宋_GB2312" w:eastAsia="仿宋_GB2312" w:cs="仿宋_GB2312"/>
                <w:color w:val="000000"/>
                <w:kern w:val="0"/>
                <w:sz w:val="18"/>
                <w:szCs w:val="18"/>
                <w:highlight w:val="none"/>
                <w:lang w:eastAsia="zh-CN" w:bidi="ar"/>
              </w:rPr>
              <w:t>治理</w:t>
            </w:r>
            <w:r>
              <w:rPr>
                <w:rFonts w:hint="eastAsia" w:ascii="仿宋_GB2312" w:hAnsi="仿宋_GB2312" w:eastAsia="仿宋_GB2312" w:cs="仿宋_GB2312"/>
                <w:color w:val="000000"/>
                <w:kern w:val="0"/>
                <w:sz w:val="18"/>
                <w:szCs w:val="18"/>
                <w:highlight w:val="none"/>
                <w:lang w:bidi="ar"/>
              </w:rPr>
              <w:t>设施</w:t>
            </w:r>
            <w:r>
              <w:rPr>
                <w:rFonts w:hint="eastAsia" w:ascii="仿宋_GB2312" w:hAnsi="仿宋_GB2312" w:eastAsia="仿宋_GB2312" w:cs="仿宋_GB2312"/>
                <w:color w:val="000000"/>
                <w:kern w:val="0"/>
                <w:sz w:val="18"/>
                <w:szCs w:val="18"/>
                <w:highlight w:val="none"/>
                <w:lang w:eastAsia="zh-CN" w:bidi="ar"/>
              </w:rPr>
              <w:t>；</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4</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电泳</w:t>
            </w:r>
            <w:r>
              <w:rPr>
                <w:rFonts w:hint="eastAsia" w:ascii="仿宋_GB2312" w:hAnsi="仿宋_GB2312" w:eastAsia="仿宋_GB2312" w:cs="仿宋_GB2312"/>
                <w:color w:val="000000"/>
                <w:kern w:val="0"/>
                <w:sz w:val="18"/>
                <w:szCs w:val="18"/>
                <w:highlight w:val="none"/>
                <w:lang w:eastAsia="zh-CN" w:bidi="ar"/>
              </w:rPr>
              <w:t>工序</w:t>
            </w:r>
            <w:r>
              <w:rPr>
                <w:rFonts w:hint="eastAsia" w:ascii="仿宋_GB2312" w:hAnsi="仿宋_GB2312" w:eastAsia="仿宋_GB2312" w:cs="仿宋_GB2312"/>
                <w:color w:val="000000"/>
                <w:kern w:val="0"/>
                <w:sz w:val="18"/>
                <w:szCs w:val="18"/>
                <w:highlight w:val="none"/>
                <w:lang w:bidi="ar"/>
              </w:rPr>
              <w:t>采用活性炭吸附或者等效治理技术；</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5</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中涂、色漆和罩光工序采用浓缩（含车间循环风）+焚烧治理技术</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4</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污染物排放管理</w:t>
            </w: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大气污染物</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排放</w:t>
            </w:r>
          </w:p>
        </w:tc>
        <w:tc>
          <w:tcPr>
            <w:tcW w:w="2403"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有组织排放</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《汽车制造业大气污染物排放标准》（DB11/1227）</w:t>
            </w: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主要排放口非甲烷总烃排放浓度在线年平均值≤12.5mg/m</w:t>
            </w:r>
            <w:r>
              <w:rPr>
                <w:rFonts w:hint="eastAsia" w:ascii="仿宋_GB2312" w:hAnsi="仿宋_GB2312" w:eastAsia="仿宋_GB2312" w:cs="仿宋_GB2312"/>
                <w:color w:val="000000"/>
                <w:kern w:val="0"/>
                <w:sz w:val="18"/>
                <w:szCs w:val="18"/>
                <w:highlight w:val="none"/>
                <w:vertAlign w:val="superscript"/>
                <w:lang w:bidi="ar"/>
              </w:rPr>
              <w:t>3</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主要排放口非甲烷总烃排放浓度在线年平均值≤17.5mg/m</w:t>
            </w:r>
            <w:r>
              <w:rPr>
                <w:rFonts w:hint="eastAsia" w:ascii="仿宋_GB2312" w:hAnsi="仿宋_GB2312" w:eastAsia="仿宋_GB2312" w:cs="仿宋_GB2312"/>
                <w:color w:val="000000"/>
                <w:kern w:val="0"/>
                <w:sz w:val="18"/>
                <w:szCs w:val="18"/>
                <w:highlight w:val="none"/>
                <w:vertAlign w:val="superscript"/>
                <w:lang w:bidi="ar"/>
              </w:rPr>
              <w:t>3</w:t>
            </w:r>
          </w:p>
        </w:tc>
        <w:tc>
          <w:tcPr>
            <w:tcW w:w="1938"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符合</w:t>
            </w:r>
            <w:r>
              <w:rPr>
                <w:rFonts w:hint="eastAsia" w:ascii="仿宋_GB2312" w:hAnsi="仿宋_GB2312" w:eastAsia="仿宋_GB2312" w:cs="仿宋_GB2312"/>
                <w:color w:val="000000"/>
                <w:kern w:val="0"/>
                <w:sz w:val="18"/>
                <w:szCs w:val="18"/>
                <w:highlight w:val="none"/>
                <w:lang w:bidi="ar"/>
              </w:rPr>
              <w:t>DB11/1227限值要求</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企业提供检测报告或者污染物排放说明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主要排放口颗粒物浓度≤3mg/m</w:t>
            </w:r>
            <w:r>
              <w:rPr>
                <w:rFonts w:hint="eastAsia" w:ascii="仿宋_GB2312" w:hAnsi="仿宋_GB2312" w:eastAsia="仿宋_GB2312" w:cs="仿宋_GB2312"/>
                <w:color w:val="000000"/>
                <w:kern w:val="0"/>
                <w:sz w:val="18"/>
                <w:szCs w:val="18"/>
                <w:highlight w:val="none"/>
                <w:vertAlign w:val="superscript"/>
                <w:lang w:bidi="ar"/>
              </w:rPr>
              <w:t>3</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主要排放口颗粒物浓度≤5mg/m</w:t>
            </w:r>
            <w:r>
              <w:rPr>
                <w:rFonts w:hint="eastAsia" w:ascii="仿宋_GB2312" w:hAnsi="仿宋_GB2312" w:eastAsia="仿宋_GB2312" w:cs="仿宋_GB2312"/>
                <w:color w:val="000000"/>
                <w:kern w:val="0"/>
                <w:sz w:val="18"/>
                <w:szCs w:val="18"/>
                <w:highlight w:val="none"/>
                <w:vertAlign w:val="superscript"/>
                <w:lang w:bidi="ar"/>
              </w:rPr>
              <w:t>3</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喷漆室无组织排放非甲烷总烃浓度≤3mg/m</w:t>
            </w:r>
            <w:r>
              <w:rPr>
                <w:rFonts w:hint="eastAsia" w:ascii="仿宋_GB2312" w:hAnsi="仿宋_GB2312" w:eastAsia="仿宋_GB2312" w:cs="仿宋_GB2312"/>
                <w:color w:val="000000"/>
                <w:kern w:val="0"/>
                <w:sz w:val="18"/>
                <w:szCs w:val="18"/>
                <w:highlight w:val="none"/>
                <w:vertAlign w:val="superscript"/>
                <w:lang w:bidi="ar"/>
              </w:rPr>
              <w:t>3</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喷漆室无组织排放非甲烷总烃浓度≤5mg/m</w:t>
            </w:r>
            <w:r>
              <w:rPr>
                <w:rFonts w:hint="eastAsia" w:ascii="仿宋_GB2312" w:hAnsi="仿宋_GB2312" w:eastAsia="仿宋_GB2312" w:cs="仿宋_GB2312"/>
                <w:color w:val="000000"/>
                <w:kern w:val="0"/>
                <w:sz w:val="18"/>
                <w:szCs w:val="18"/>
                <w:highlight w:val="none"/>
                <w:vertAlign w:val="superscript"/>
                <w:lang w:bidi="ar"/>
              </w:rPr>
              <w:t>3</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top"/>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小汽车≤10g/m</w:t>
            </w:r>
            <w:r>
              <w:rPr>
                <w:rFonts w:hint="eastAsia" w:ascii="仿宋_GB2312" w:hAnsi="仿宋_GB2312" w:eastAsia="仿宋_GB2312" w:cs="仿宋_GB2312"/>
                <w:color w:val="000000"/>
                <w:kern w:val="0"/>
                <w:sz w:val="18"/>
                <w:szCs w:val="18"/>
                <w:highlight w:val="none"/>
                <w:vertAlign w:val="superscript"/>
                <w:lang w:bidi="ar"/>
              </w:rPr>
              <w:t>2</w:t>
            </w:r>
          </w:p>
        </w:tc>
        <w:tc>
          <w:tcPr>
            <w:tcW w:w="3262" w:type="dxa"/>
            <w:shd w:val="clear" w:color="auto" w:fill="FFFFFF"/>
            <w:noWrap w:val="0"/>
            <w:vAlign w:val="top"/>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小汽车≤15g/m</w:t>
            </w:r>
            <w:r>
              <w:rPr>
                <w:rFonts w:hint="eastAsia" w:ascii="仿宋_GB2312" w:hAnsi="仿宋_GB2312" w:eastAsia="仿宋_GB2312" w:cs="仿宋_GB2312"/>
                <w:color w:val="000000"/>
                <w:kern w:val="0"/>
                <w:sz w:val="18"/>
                <w:szCs w:val="18"/>
                <w:highlight w:val="none"/>
                <w:vertAlign w:val="superscript"/>
                <w:lang w:bidi="ar"/>
              </w:rPr>
              <w:t>2</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top"/>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客车≤50g/m</w:t>
            </w:r>
            <w:r>
              <w:rPr>
                <w:rFonts w:hint="eastAsia" w:ascii="仿宋_GB2312" w:hAnsi="仿宋_GB2312" w:eastAsia="仿宋_GB2312" w:cs="仿宋_GB2312"/>
                <w:color w:val="000000"/>
                <w:kern w:val="0"/>
                <w:sz w:val="18"/>
                <w:szCs w:val="18"/>
                <w:highlight w:val="none"/>
                <w:vertAlign w:val="superscript"/>
                <w:lang w:bidi="ar"/>
              </w:rPr>
              <w:t>2</w:t>
            </w:r>
          </w:p>
        </w:tc>
        <w:tc>
          <w:tcPr>
            <w:tcW w:w="3262" w:type="dxa"/>
            <w:shd w:val="clear" w:color="auto" w:fill="FFFFFF"/>
            <w:noWrap w:val="0"/>
            <w:vAlign w:val="top"/>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客车≤80g/m</w:t>
            </w:r>
            <w:r>
              <w:rPr>
                <w:rFonts w:hint="eastAsia" w:ascii="仿宋_GB2312" w:hAnsi="仿宋_GB2312" w:eastAsia="仿宋_GB2312" w:cs="仿宋_GB2312"/>
                <w:color w:val="000000"/>
                <w:kern w:val="0"/>
                <w:sz w:val="18"/>
                <w:szCs w:val="18"/>
                <w:highlight w:val="none"/>
                <w:vertAlign w:val="superscript"/>
                <w:lang w:bidi="ar"/>
              </w:rPr>
              <w:t>2</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top"/>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载货汽车（驾驶室）≤25g/m</w:t>
            </w:r>
            <w:r>
              <w:rPr>
                <w:rFonts w:hint="eastAsia" w:ascii="仿宋_GB2312" w:hAnsi="仿宋_GB2312" w:eastAsia="仿宋_GB2312" w:cs="仿宋_GB2312"/>
                <w:color w:val="000000"/>
                <w:kern w:val="0"/>
                <w:sz w:val="18"/>
                <w:szCs w:val="18"/>
                <w:highlight w:val="none"/>
                <w:vertAlign w:val="superscript"/>
                <w:lang w:bidi="ar"/>
              </w:rPr>
              <w:t>2</w:t>
            </w:r>
          </w:p>
        </w:tc>
        <w:tc>
          <w:tcPr>
            <w:tcW w:w="3262" w:type="dxa"/>
            <w:shd w:val="clear" w:color="auto" w:fill="FFFFFF"/>
            <w:noWrap w:val="0"/>
            <w:vAlign w:val="top"/>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载货汽车（驾驶室）≤35g/m</w:t>
            </w:r>
            <w:r>
              <w:rPr>
                <w:rFonts w:hint="eastAsia" w:ascii="仿宋_GB2312" w:hAnsi="仿宋_GB2312" w:eastAsia="仿宋_GB2312" w:cs="仿宋_GB2312"/>
                <w:color w:val="000000"/>
                <w:kern w:val="0"/>
                <w:sz w:val="18"/>
                <w:szCs w:val="18"/>
                <w:highlight w:val="none"/>
                <w:vertAlign w:val="superscript"/>
                <w:lang w:bidi="ar"/>
              </w:rPr>
              <w:t>2</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无组织排放</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《挥发性有机物无组织排放控制标准》（GB37822）</w:t>
            </w: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满足GB37822特别控制要求；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VOCs物料存储于密闭容器或者包装袋中，盛装VOCs物料的容器或者包装袋存放于密闭的储库、料仓内；</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调漆、喷漆、流平、烘干、清洗等工序在密闭设备或者密闭负压空间内操作；</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4</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建设干式喷漆房；</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5</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全部使用自动静电悬杯/盘技术；点补应使用HVLP喷涂技术</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6</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溶剂型涂料机器人工位设置废溶剂回收设备；</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7</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乘用车、载货汽车采用自动往复喷涂或者机器人喷涂等智能喷涂设备喷涂车身内外表面；</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8</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使用油漆回流系统，喷涂时精确控制油漆用量，喷涂后将管内未使用的油漆回流至密闭分离模块或者调漆模块，进行回收或者回用，不同种类、颜色的油漆分开设置分离模块；</w:t>
            </w:r>
          </w:p>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9</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车间中喷枪、喷嘴、管线清洗，根据色漆颜色清洗难易程度，调整清洗剂用量</w:t>
            </w:r>
          </w:p>
        </w:tc>
        <w:tc>
          <w:tcPr>
            <w:tcW w:w="3262" w:type="dxa"/>
            <w:shd w:val="clear" w:color="auto" w:fill="FFFFFF"/>
            <w:noWrap w:val="0"/>
            <w:vAlign w:val="center"/>
          </w:tcPr>
          <w:p>
            <w:pPr>
              <w:autoSpaceDE w:val="0"/>
              <w:autoSpaceDN w:val="0"/>
              <w:adjustRightInd w:val="0"/>
              <w:snapToGrid w:val="0"/>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满足GB37822特别控制要求；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VOCs物料存储于密闭容器或者包装袋中，盛装VOCs物料的容器或者包装袋存放于密闭的储库、料仓内；</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调漆、喷漆、流平、烘干、清洗等工序在密闭设备或者密闭负压空间内操作；</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4</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使用湿式喷漆房时，循环水泵间和刮渣间应密闭，安装废气收集设施；</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5</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采用HVLP喷涂、静电高速旋杯/盘喷涂、静电辅助的压缩空气喷涂或者无气喷涂等高效涂装技术，不可使用手动空气喷涂技术（点补、拼色等特殊工序除外）；</w:t>
            </w:r>
          </w:p>
          <w:p>
            <w:pPr>
              <w:autoSpaceDE w:val="0"/>
              <w:autoSpaceDN w:val="0"/>
              <w:adjustRightInd w:val="0"/>
              <w:snapToGrid w:val="0"/>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6</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溶剂型涂料机器人工位设置废溶剂回收设备；</w:t>
            </w:r>
          </w:p>
          <w:p>
            <w:pPr>
              <w:autoSpaceDE w:val="0"/>
              <w:autoSpaceDN w:val="0"/>
              <w:adjustRightInd w:val="0"/>
              <w:snapToGrid w:val="0"/>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7</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乘用车、载货汽车采用自动往复喷涂或者机器人喷涂等智能喷涂设备喷涂车身外表面</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满足GB37822特别控制要求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水污染物</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排放</w:t>
            </w:r>
          </w:p>
        </w:tc>
        <w:tc>
          <w:tcPr>
            <w:tcW w:w="2403" w:type="dxa"/>
            <w:vMerge w:val="restart"/>
            <w:shd w:val="clear" w:color="auto" w:fill="FFFFFF"/>
            <w:noWrap w:val="0"/>
            <w:vAlign w:val="center"/>
          </w:tcPr>
          <w:p>
            <w:pPr>
              <w:widowControl/>
              <w:spacing w:line="240" w:lineRule="exact"/>
              <w:jc w:val="left"/>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单位产品废水排放量</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《清洁生产评价指标体系 汽车整车制造业》（DB11/T1180）</w:t>
            </w: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乘用车≤3m</w:t>
            </w:r>
            <w:r>
              <w:rPr>
                <w:rFonts w:hint="eastAsia" w:ascii="仿宋_GB2312" w:hAnsi="仿宋_GB2312" w:eastAsia="仿宋_GB2312" w:cs="仿宋_GB2312"/>
                <w:color w:val="000000"/>
                <w:kern w:val="0"/>
                <w:sz w:val="18"/>
                <w:szCs w:val="18"/>
                <w:highlight w:val="none"/>
                <w:vertAlign w:val="superscript"/>
                <w:lang w:val="en-US" w:eastAsia="zh-CN" w:bidi="ar"/>
              </w:rPr>
              <w:t>3</w:t>
            </w:r>
            <w:r>
              <w:rPr>
                <w:rFonts w:hint="eastAsia" w:ascii="仿宋_GB2312" w:hAnsi="仿宋_GB2312" w:eastAsia="仿宋_GB2312" w:cs="仿宋_GB2312"/>
                <w:color w:val="000000"/>
                <w:kern w:val="0"/>
                <w:sz w:val="18"/>
                <w:szCs w:val="18"/>
                <w:highlight w:val="none"/>
                <w:lang w:bidi="ar"/>
              </w:rPr>
              <w:t>/辆</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乘用车≤4.5m</w:t>
            </w:r>
            <w:r>
              <w:rPr>
                <w:rFonts w:hint="eastAsia" w:ascii="仿宋_GB2312" w:hAnsi="仿宋_GB2312" w:eastAsia="仿宋_GB2312" w:cs="仿宋_GB2312"/>
                <w:color w:val="000000"/>
                <w:kern w:val="0"/>
                <w:sz w:val="18"/>
                <w:szCs w:val="18"/>
                <w:highlight w:val="none"/>
                <w:vertAlign w:val="superscript"/>
                <w:lang w:val="en-US" w:eastAsia="zh-CN" w:bidi="ar"/>
              </w:rPr>
              <w:t>3</w:t>
            </w:r>
            <w:r>
              <w:rPr>
                <w:rFonts w:hint="eastAsia" w:ascii="仿宋_GB2312" w:hAnsi="仿宋_GB2312" w:eastAsia="仿宋_GB2312" w:cs="仿宋_GB2312"/>
                <w:color w:val="000000"/>
                <w:kern w:val="0"/>
                <w:sz w:val="18"/>
                <w:szCs w:val="18"/>
                <w:highlight w:val="none"/>
                <w:lang w:bidi="ar"/>
              </w:rPr>
              <w:t>/辆</w:t>
            </w:r>
          </w:p>
        </w:tc>
        <w:tc>
          <w:tcPr>
            <w:tcW w:w="1938"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企业提供计算说明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重型载货汽车≤6.5m</w:t>
            </w:r>
            <w:r>
              <w:rPr>
                <w:rFonts w:hint="eastAsia" w:ascii="仿宋_GB2312" w:hAnsi="仿宋_GB2312" w:eastAsia="仿宋_GB2312" w:cs="仿宋_GB2312"/>
                <w:color w:val="000000"/>
                <w:kern w:val="0"/>
                <w:sz w:val="18"/>
                <w:szCs w:val="18"/>
                <w:highlight w:val="none"/>
                <w:vertAlign w:val="superscript"/>
                <w:lang w:val="en-US" w:eastAsia="zh-CN" w:bidi="ar"/>
              </w:rPr>
              <w:t>3</w:t>
            </w:r>
            <w:r>
              <w:rPr>
                <w:rFonts w:hint="eastAsia" w:ascii="仿宋_GB2312" w:hAnsi="仿宋_GB2312" w:eastAsia="仿宋_GB2312" w:cs="仿宋_GB2312"/>
                <w:color w:val="000000"/>
                <w:kern w:val="0"/>
                <w:sz w:val="18"/>
                <w:szCs w:val="18"/>
                <w:highlight w:val="none"/>
                <w:lang w:bidi="ar"/>
              </w:rPr>
              <w:t>/辆</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重型载货汽车≤7m</w:t>
            </w:r>
            <w:r>
              <w:rPr>
                <w:rFonts w:hint="eastAsia" w:ascii="仿宋_GB2312" w:hAnsi="仿宋_GB2312" w:eastAsia="仿宋_GB2312" w:cs="仿宋_GB2312"/>
                <w:color w:val="000000"/>
                <w:kern w:val="0"/>
                <w:sz w:val="18"/>
                <w:szCs w:val="18"/>
                <w:highlight w:val="none"/>
                <w:vertAlign w:val="superscript"/>
                <w:lang w:val="en-US" w:eastAsia="zh-CN" w:bidi="ar"/>
              </w:rPr>
              <w:t>3</w:t>
            </w:r>
            <w:r>
              <w:rPr>
                <w:rFonts w:hint="eastAsia" w:ascii="仿宋_GB2312" w:hAnsi="仿宋_GB2312" w:eastAsia="仿宋_GB2312" w:cs="仿宋_GB2312"/>
                <w:color w:val="000000"/>
                <w:kern w:val="0"/>
                <w:sz w:val="18"/>
                <w:szCs w:val="18"/>
                <w:highlight w:val="none"/>
                <w:lang w:bidi="ar"/>
              </w:rPr>
              <w:t>/辆</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327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客车≤22.5m</w:t>
            </w:r>
            <w:r>
              <w:rPr>
                <w:rFonts w:hint="eastAsia" w:ascii="仿宋_GB2312" w:hAnsi="仿宋_GB2312" w:eastAsia="仿宋_GB2312" w:cs="仿宋_GB2312"/>
                <w:color w:val="000000"/>
                <w:kern w:val="0"/>
                <w:sz w:val="18"/>
                <w:szCs w:val="18"/>
                <w:highlight w:val="none"/>
                <w:vertAlign w:val="superscript"/>
                <w:lang w:val="en-US" w:eastAsia="zh-CN" w:bidi="ar"/>
              </w:rPr>
              <w:t>3</w:t>
            </w:r>
            <w:r>
              <w:rPr>
                <w:rFonts w:hint="eastAsia" w:ascii="仿宋_GB2312" w:hAnsi="仿宋_GB2312" w:eastAsia="仿宋_GB2312" w:cs="仿宋_GB2312"/>
                <w:color w:val="000000"/>
                <w:kern w:val="0"/>
                <w:sz w:val="18"/>
                <w:szCs w:val="18"/>
                <w:highlight w:val="none"/>
                <w:lang w:bidi="ar"/>
              </w:rPr>
              <w:t>/辆</w:t>
            </w:r>
          </w:p>
        </w:tc>
        <w:tc>
          <w:tcPr>
            <w:tcW w:w="3262" w:type="dxa"/>
            <w:shd w:val="clear" w:color="auto" w:fill="FFFFFF"/>
            <w:noWrap w:val="0"/>
            <w:vAlign w:val="center"/>
          </w:tcPr>
          <w:p>
            <w:pPr>
              <w:autoSpaceDE w:val="0"/>
              <w:autoSpaceDN w:val="0"/>
              <w:adjustRightInd w:val="0"/>
              <w:snapToGrid w:val="0"/>
              <w:spacing w:line="200" w:lineRule="exact"/>
              <w:jc w:val="left"/>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客车≤41m</w:t>
            </w:r>
            <w:r>
              <w:rPr>
                <w:rFonts w:hint="eastAsia" w:ascii="仿宋_GB2312" w:hAnsi="仿宋_GB2312" w:eastAsia="仿宋_GB2312" w:cs="仿宋_GB2312"/>
                <w:color w:val="000000"/>
                <w:kern w:val="0"/>
                <w:sz w:val="18"/>
                <w:szCs w:val="18"/>
                <w:highlight w:val="none"/>
                <w:vertAlign w:val="superscript"/>
                <w:lang w:val="en-US" w:eastAsia="zh-CN" w:bidi="ar"/>
              </w:rPr>
              <w:t>3</w:t>
            </w:r>
            <w:r>
              <w:rPr>
                <w:rFonts w:hint="eastAsia" w:ascii="仿宋_GB2312" w:hAnsi="仿宋_GB2312" w:eastAsia="仿宋_GB2312" w:cs="仿宋_GB2312"/>
                <w:color w:val="000000"/>
                <w:kern w:val="0"/>
                <w:sz w:val="18"/>
                <w:szCs w:val="18"/>
                <w:highlight w:val="none"/>
                <w:lang w:bidi="ar"/>
              </w:rPr>
              <w:t>/辆</w:t>
            </w:r>
          </w:p>
        </w:tc>
        <w:tc>
          <w:tcPr>
            <w:tcW w:w="1938"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水污染物</w:t>
            </w:r>
            <w:r>
              <w:rPr>
                <w:rFonts w:hint="eastAsia" w:ascii="仿宋_GB2312" w:hAnsi="仿宋_GB2312" w:eastAsia="仿宋_GB2312" w:cs="仿宋_GB2312"/>
                <w:color w:val="000000"/>
                <w:kern w:val="0"/>
                <w:sz w:val="18"/>
                <w:szCs w:val="18"/>
                <w:highlight w:val="none"/>
                <w:lang w:eastAsia="zh-CN" w:bidi="ar"/>
              </w:rPr>
              <w:t>排放</w:t>
            </w:r>
            <w:r>
              <w:rPr>
                <w:rFonts w:hint="eastAsia" w:ascii="仿宋_GB2312" w:hAnsi="仿宋_GB2312" w:eastAsia="仿宋_GB2312" w:cs="仿宋_GB2312"/>
                <w:color w:val="000000"/>
                <w:kern w:val="0"/>
                <w:sz w:val="18"/>
                <w:szCs w:val="18"/>
                <w:highlight w:val="none"/>
                <w:lang w:bidi="ar"/>
              </w:rPr>
              <w:t>限值</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《水污染物综合排放标准》（DB11/307）</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废水排入市政管网，且</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化学需氧量浓度≤250mg/L；</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氨氮浓度≤20mg/L；</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总磷浓度≤8mg/L</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废水排入市政管网，且</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化学需氧量浓度≤500mg/L；</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氨氮浓度≤31.5mg/L；</w:t>
            </w:r>
          </w:p>
          <w:p>
            <w:pPr>
              <w:widowControl/>
              <w:spacing w:line="240" w:lineRule="exact"/>
              <w:jc w:val="left"/>
              <w:textAlignment w:val="center"/>
              <w:rPr>
                <w:rFonts w:hint="eastAsia" w:eastAsia="仿宋_GB2312"/>
                <w:highlight w:val="none"/>
              </w:rPr>
            </w:pPr>
            <w:r>
              <w:rPr>
                <w:rFonts w:hint="eastAsia" w:ascii="仿宋_GB2312" w:hAnsi="仿宋_GB2312" w:eastAsia="仿宋_GB2312" w:cs="仿宋_GB2312"/>
                <w:color w:val="000000"/>
                <w:kern w:val="0"/>
                <w:sz w:val="18"/>
                <w:szCs w:val="18"/>
                <w:highlight w:val="none"/>
                <w:lang w:bidi="ar"/>
              </w:rPr>
              <w:t>总磷浓度≤8mg/L</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符合</w:t>
            </w:r>
            <w:r>
              <w:rPr>
                <w:rFonts w:hint="eastAsia" w:ascii="仿宋_GB2312" w:hAnsi="仿宋_GB2312" w:eastAsia="仿宋_GB2312" w:cs="仿宋_GB2312"/>
                <w:color w:val="000000"/>
                <w:kern w:val="0"/>
                <w:sz w:val="18"/>
                <w:szCs w:val="18"/>
                <w:highlight w:val="none"/>
                <w:lang w:bidi="ar"/>
              </w:rPr>
              <w:t>DB11/307限值要求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企业提供检测报告或者污染物排放说明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4</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污染物排放管理</w:t>
            </w: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危险废物</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处置</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单位涂装面积危险废物产生量</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《涂装行业清洁生产评价指标体系》</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≤140g/m</w:t>
            </w:r>
            <w:r>
              <w:rPr>
                <w:rFonts w:hint="eastAsia" w:ascii="仿宋_GB2312" w:hAnsi="仿宋_GB2312" w:eastAsia="仿宋_GB2312" w:cs="仿宋_GB2312"/>
                <w:color w:val="000000"/>
                <w:kern w:val="0"/>
                <w:sz w:val="18"/>
                <w:szCs w:val="18"/>
                <w:highlight w:val="none"/>
                <w:vertAlign w:val="superscript"/>
                <w:lang w:bidi="ar"/>
              </w:rPr>
              <w:t>2</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≤240g/m</w:t>
            </w:r>
            <w:r>
              <w:rPr>
                <w:rFonts w:hint="eastAsia" w:ascii="仿宋_GB2312" w:hAnsi="仿宋_GB2312" w:eastAsia="仿宋_GB2312" w:cs="仿宋_GB2312"/>
                <w:color w:val="000000"/>
                <w:kern w:val="0"/>
                <w:sz w:val="18"/>
                <w:szCs w:val="18"/>
                <w:highlight w:val="none"/>
                <w:vertAlign w:val="superscript"/>
                <w:lang w:bidi="ar"/>
              </w:rPr>
              <w:t>2</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企业提供危险废物管理计划、危险废物统计台账、危险废物转移联单和委托处置合同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危险废物处置</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《危险废物贮存污染控制标准》（GB18597）</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危险废物管理计划报所在地的生态环境部门备案,并按照管理计划做好危险废物的贮存、转移、利用、处置等工作；危险废物贮存符合《危险废物贮存污染控制标准》（GB18597）</w:t>
            </w:r>
            <w:r>
              <w:rPr>
                <w:rFonts w:hint="eastAsia" w:ascii="仿宋_GB2312" w:hAnsi="仿宋_GB2312" w:eastAsia="仿宋_GB2312" w:cs="仿宋_GB2312"/>
                <w:color w:val="000000"/>
                <w:kern w:val="0"/>
                <w:sz w:val="18"/>
                <w:szCs w:val="18"/>
                <w:highlight w:val="none"/>
                <w:lang w:eastAsia="zh-CN" w:bidi="ar"/>
              </w:rPr>
              <w:t>要求</w:t>
            </w: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噪声污染</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防治</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噪声防治</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《工业企业厂界环境噪声排放标准》（GB12348）</w:t>
            </w:r>
          </w:p>
        </w:tc>
        <w:tc>
          <w:tcPr>
            <w:tcW w:w="3272" w:type="dxa"/>
            <w:tcBorders>
              <w:righ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厂界噪声排放低于GB12348限值5分贝及以上</w:t>
            </w:r>
          </w:p>
        </w:tc>
        <w:tc>
          <w:tcPr>
            <w:tcW w:w="3262" w:type="dxa"/>
            <w:tcBorders>
              <w:left w:val="single" w:color="auto" w:sz="4" w:space="0"/>
              <w:righ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宋体" w:eastAsia="仿宋_GB2312"/>
                <w:color w:val="0C0C0C"/>
                <w:sz w:val="18"/>
                <w:szCs w:val="18"/>
                <w:highlight w:val="none"/>
              </w:rPr>
              <w:t>厂界噪声排放低于GB12348限值1</w:t>
            </w:r>
            <w:r>
              <w:rPr>
                <w:rFonts w:hint="eastAsia" w:ascii="仿宋_GB2312" w:hAnsi="仿宋_GB2312" w:eastAsia="仿宋_GB2312" w:cs="仿宋_GB2312"/>
                <w:color w:val="0C0C0C"/>
                <w:sz w:val="18"/>
                <w:szCs w:val="18"/>
                <w:highlight w:val="none"/>
              </w:rPr>
              <w:t>～</w:t>
            </w:r>
            <w:r>
              <w:rPr>
                <w:rFonts w:hint="eastAsia" w:ascii="仿宋_GB2312" w:hAnsi="宋体" w:eastAsia="仿宋_GB2312"/>
                <w:color w:val="0C0C0C"/>
                <w:sz w:val="18"/>
                <w:szCs w:val="18"/>
                <w:highlight w:val="none"/>
              </w:rPr>
              <w:t>5分贝（不含）之间</w:t>
            </w:r>
          </w:p>
        </w:tc>
        <w:tc>
          <w:tcPr>
            <w:tcW w:w="1938" w:type="dxa"/>
            <w:tcBorders>
              <w:lef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宋体" w:eastAsia="仿宋_GB2312"/>
                <w:color w:val="0C0C0C"/>
                <w:sz w:val="18"/>
                <w:szCs w:val="18"/>
                <w:highlight w:val="none"/>
              </w:rPr>
              <w:t>厂界噪声</w:t>
            </w:r>
            <w:r>
              <w:rPr>
                <w:rFonts w:hint="eastAsia" w:ascii="仿宋_GB2312" w:hAnsi="宋体" w:eastAsia="仿宋_GB2312"/>
                <w:color w:val="0C0C0C"/>
                <w:sz w:val="18"/>
                <w:szCs w:val="18"/>
                <w:highlight w:val="none"/>
                <w:lang w:eastAsia="zh-CN"/>
              </w:rPr>
              <w:t>排放</w:t>
            </w:r>
            <w:r>
              <w:rPr>
                <w:rFonts w:hint="eastAsia" w:ascii="仿宋_GB2312" w:hAnsi="宋体" w:eastAsia="仿宋_GB2312"/>
                <w:color w:val="0C0C0C"/>
                <w:sz w:val="18"/>
                <w:szCs w:val="18"/>
                <w:highlight w:val="none"/>
              </w:rPr>
              <w:t>符合GB12348要求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jc w:val="center"/>
        </w:trPr>
        <w:tc>
          <w:tcPr>
            <w:tcW w:w="479"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5</w:t>
            </w:r>
          </w:p>
        </w:tc>
        <w:tc>
          <w:tcPr>
            <w:tcW w:w="810"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污染物监测监控水平</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自行监测和</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自动监控</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《排污许可证申请与核发技术规范汽车制造业》（HJ971）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《北京市重污染天气重点行业应急减排措施制定技术指南》</w:t>
            </w:r>
          </w:p>
        </w:tc>
        <w:tc>
          <w:tcPr>
            <w:tcW w:w="3272" w:type="dxa"/>
            <w:tcBorders>
              <w:righ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严格执行HJ971规定的自行监测管理要求；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重点排污</w:t>
            </w:r>
            <w:r>
              <w:rPr>
                <w:rFonts w:hint="eastAsia" w:ascii="仿宋_GB2312" w:hAnsi="仿宋_GB2312" w:eastAsia="仿宋_GB2312" w:cs="仿宋_GB2312"/>
                <w:color w:val="000000"/>
                <w:kern w:val="0"/>
                <w:sz w:val="18"/>
                <w:szCs w:val="18"/>
                <w:highlight w:val="none"/>
                <w:lang w:eastAsia="zh-CN" w:bidi="ar"/>
              </w:rPr>
              <w:t>单位</w:t>
            </w:r>
            <w:r>
              <w:rPr>
                <w:rFonts w:hint="eastAsia" w:ascii="仿宋_GB2312" w:hAnsi="仿宋_GB2312" w:eastAsia="仿宋_GB2312" w:cs="仿宋_GB2312"/>
                <w:color w:val="000000"/>
                <w:kern w:val="0"/>
                <w:sz w:val="18"/>
                <w:szCs w:val="18"/>
                <w:highlight w:val="none"/>
                <w:lang w:bidi="ar"/>
              </w:rPr>
              <w:t>主要排放口安装NMHC在线监测设施（FID检测器），自动监控数据保存一年以上；</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安装DCS或者PLC系统，连续测量并记录治理设施控制指标温度、压力（压差）、时间和频率值。再生式活性炭连续自动测量并记录温度、再生时间和更换周期；更换式活性炭记录更换周期及更换量；数据保存一年以上</w:t>
            </w:r>
          </w:p>
        </w:tc>
        <w:tc>
          <w:tcPr>
            <w:tcW w:w="3262" w:type="dxa"/>
            <w:tcBorders>
              <w:left w:val="single" w:color="auto" w:sz="4" w:space="0"/>
              <w:righ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严格执行HJ971规定的自行监测管理要求；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排污许可证中规定的主要排污口安装自动监控设施，自动监控数据保存一年以上；</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安装PLC系统或者仪器仪表等装置，记录治理设施主要参数，数据保存一年以上</w:t>
            </w:r>
          </w:p>
        </w:tc>
        <w:tc>
          <w:tcPr>
            <w:tcW w:w="1938" w:type="dxa"/>
            <w:tcBorders>
              <w:left w:val="single" w:color="auto"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重点排污单位安装在线监控设备</w:t>
            </w:r>
            <w:r>
              <w:rPr>
                <w:rFonts w:hint="eastAsia" w:ascii="仿宋_GB2312" w:hAnsi="仿宋_GB2312" w:eastAsia="仿宋_GB2312" w:cs="仿宋_GB2312"/>
                <w:color w:val="000000"/>
                <w:kern w:val="0"/>
                <w:sz w:val="18"/>
                <w:szCs w:val="18"/>
                <w:highlight w:val="none"/>
                <w:lang w:eastAsia="zh-CN" w:bidi="ar"/>
              </w:rPr>
              <w:t>并确保正常运行</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5"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6</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移动排放源结构及排放</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车辆排放标准与新能源车推广指标</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北京市机动车和非道路移动机械排放污染防治条例-淘汰老旧车、新能源推广</w:t>
            </w:r>
          </w:p>
        </w:tc>
        <w:tc>
          <w:tcPr>
            <w:tcW w:w="3272" w:type="dxa"/>
            <w:shd w:val="clear" w:color="auto" w:fill="FFFFFF"/>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物料公路运输全部使用国五及以上排放标准重型载货车辆（含燃气）或新能源车辆，其中新能源车比例不低于30%；</w:t>
            </w:r>
          </w:p>
          <w:p>
            <w:pPr>
              <w:widowControl/>
              <w:numPr>
                <w:ilvl w:val="0"/>
                <w:numId w:val="0"/>
              </w:numPr>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厂内运输和通勤全部使用国五及以上排放标准车辆（含燃气）或者新能源车辆，其中新能源车比例不低于40%</w:t>
            </w:r>
          </w:p>
        </w:tc>
        <w:tc>
          <w:tcPr>
            <w:tcW w:w="3262" w:type="dxa"/>
            <w:shd w:val="clear" w:color="auto" w:fill="FFFFFF"/>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物料公路运输全部使用国五及以上排放标准重型载货车辆（含燃气）或者新能源车辆，其中新能源车比例不低于20%；</w:t>
            </w:r>
          </w:p>
          <w:p>
            <w:pPr>
              <w:widowControl/>
              <w:numPr>
                <w:ilvl w:val="0"/>
                <w:numId w:val="0"/>
              </w:numPr>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厂内运输和通勤全部使用国五及以上排放标准车辆（含燃气）或者新能源车辆，其中新能源车比例不低于20%</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企业提供使用车辆及车辆排放阶段证明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在用车排放</w:t>
            </w: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要求</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汽油车污染物排放限值及测量方法（双怠速法及简易工况法）（GB18285）</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柴油车污染物排放限值及测量方法（自由加速法及加载减速法）（GB3847）</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满足GB18285、GB3847标准要求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企业提供车辆定期检测数据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6</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移动排放源结构及排放</w:t>
            </w:r>
          </w:p>
        </w:tc>
        <w:tc>
          <w:tcPr>
            <w:tcW w:w="973" w:type="dxa"/>
            <w:shd w:val="clear" w:color="auto" w:fill="FFFFFF"/>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非道路机械排放要求与新能源非道路机械推广</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北京市机动车和非道路移动机械排放污染防治条例-淘汰老旧机械、新能源推广</w:t>
            </w:r>
          </w:p>
        </w:tc>
        <w:tc>
          <w:tcPr>
            <w:tcW w:w="6534" w:type="dxa"/>
            <w:gridSpan w:val="2"/>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全部使用国三及以上排放标准或者新能源机械，其中新能源叉车比例100%</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尾气达标排放</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企业提供使用机械及机械排放阶段证明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非道路机械排放要求</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非道路柴油移动机械排气烟度限值及测量方法(GB36886)</w:t>
            </w:r>
          </w:p>
        </w:tc>
        <w:tc>
          <w:tcPr>
            <w:tcW w:w="6534" w:type="dxa"/>
            <w:gridSpan w:val="2"/>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满足GB36886标准要求</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尾气达标排放</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企业提供机械排放监测数据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7</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碳排放管理</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低碳工作</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计划</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制定企业碳中和或者低碳行动计划</w:t>
            </w:r>
          </w:p>
        </w:tc>
        <w:tc>
          <w:tcPr>
            <w:tcW w:w="6534" w:type="dxa"/>
            <w:gridSpan w:val="2"/>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制定企业碳中和或者低碳行动计划并向社会公布</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行动计划文本和公开网站链接、截图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碳排放强度</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普通轿车及普通运动型乘用车</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委《关于发布行业碳排放强度先进值的通知》</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≤410.91kgCO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/辆</w:t>
            </w:r>
          </w:p>
        </w:tc>
        <w:tc>
          <w:tcPr>
            <w:tcW w:w="5200" w:type="dxa"/>
            <w:gridSpan w:val="2"/>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企业提供碳核算报告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高级轿车及高级运动型乘用车</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委《关于发布行业碳排放强度先进值的通知》</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≤1094.02kgCO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/辆</w:t>
            </w:r>
          </w:p>
        </w:tc>
        <w:tc>
          <w:tcPr>
            <w:tcW w:w="5200" w:type="dxa"/>
            <w:gridSpan w:val="2"/>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中、重型载货汽车</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委《关于发布行业碳排放强度先进值的通知》</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≤881.18kgCO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/辆</w:t>
            </w:r>
          </w:p>
        </w:tc>
        <w:tc>
          <w:tcPr>
            <w:tcW w:w="5200" w:type="dxa"/>
            <w:gridSpan w:val="2"/>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碳市场履约</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北京市重点碳排放单位[年二氧化碳排放</w:t>
            </w:r>
            <w:r>
              <w:rPr>
                <w:rFonts w:hint="eastAsia" w:ascii="仿宋_GB2312" w:hAnsi="仿宋_GB2312" w:eastAsia="仿宋_GB2312" w:cs="仿宋_GB2312"/>
                <w:color w:val="000000"/>
                <w:kern w:val="0"/>
                <w:sz w:val="18"/>
                <w:szCs w:val="18"/>
                <w:highlight w:val="none"/>
                <w:lang w:eastAsia="zh-CN" w:bidi="ar"/>
              </w:rPr>
              <w:t>量</w:t>
            </w:r>
            <w:r>
              <w:rPr>
                <w:rFonts w:hint="eastAsia" w:ascii="仿宋_GB2312" w:hAnsi="仿宋_GB2312" w:eastAsia="仿宋_GB2312" w:cs="仿宋_GB2312"/>
                <w:color w:val="000000"/>
                <w:kern w:val="0"/>
                <w:sz w:val="18"/>
                <w:szCs w:val="18"/>
                <w:highlight w:val="none"/>
                <w:lang w:bidi="ar"/>
              </w:rPr>
              <w:t>5000吨</w:t>
            </w:r>
            <w:r>
              <w:rPr>
                <w:rFonts w:hint="eastAsia" w:ascii="仿宋_GB2312" w:hAnsi="仿宋_GB2312" w:eastAsia="仿宋_GB2312" w:cs="仿宋_GB2312"/>
                <w:color w:val="000000"/>
                <w:kern w:val="0"/>
                <w:sz w:val="18"/>
                <w:szCs w:val="18"/>
                <w:highlight w:val="none"/>
                <w:lang w:eastAsia="zh-CN" w:bidi="ar"/>
              </w:rPr>
              <w:t>（含）</w:t>
            </w:r>
            <w:r>
              <w:rPr>
                <w:rFonts w:hint="eastAsia" w:ascii="仿宋_GB2312" w:hAnsi="仿宋_GB2312" w:eastAsia="仿宋_GB2312" w:cs="仿宋_GB2312"/>
                <w:color w:val="000000"/>
                <w:kern w:val="0"/>
                <w:sz w:val="18"/>
                <w:szCs w:val="18"/>
                <w:highlight w:val="none"/>
                <w:lang w:bidi="ar"/>
              </w:rPr>
              <w:t>及以上]</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按时提交碳排放报告和第三方核查报告，并按要求履约，开展碳资产管理</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企业提供相关证明材料（碳排放报告、核查报告、履约网站截图）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北京市一般报告单位[年</w:t>
            </w:r>
            <w:r>
              <w:rPr>
                <w:rFonts w:hint="eastAsia" w:ascii="仿宋_GB2312" w:hAnsi="仿宋_GB2312" w:eastAsia="仿宋_GB2312" w:cs="仿宋_GB2312"/>
                <w:color w:val="000000"/>
                <w:kern w:val="0"/>
                <w:sz w:val="18"/>
                <w:szCs w:val="18"/>
                <w:highlight w:val="none"/>
                <w:lang w:eastAsia="zh-CN" w:bidi="ar"/>
              </w:rPr>
              <w:t>综合</w:t>
            </w:r>
            <w:r>
              <w:rPr>
                <w:rFonts w:hint="eastAsia" w:ascii="仿宋_GB2312" w:hAnsi="仿宋_GB2312" w:eastAsia="仿宋_GB2312" w:cs="仿宋_GB2312"/>
                <w:color w:val="000000"/>
                <w:kern w:val="0"/>
                <w:sz w:val="18"/>
                <w:szCs w:val="18"/>
                <w:highlight w:val="none"/>
                <w:lang w:bidi="ar"/>
              </w:rPr>
              <w:t>能源消</w:t>
            </w:r>
            <w:r>
              <w:rPr>
                <w:rFonts w:hint="eastAsia" w:ascii="仿宋_GB2312" w:hAnsi="仿宋_GB2312" w:eastAsia="仿宋_GB2312" w:cs="仿宋_GB2312"/>
                <w:color w:val="000000"/>
                <w:kern w:val="0"/>
                <w:sz w:val="18"/>
                <w:szCs w:val="18"/>
                <w:highlight w:val="none"/>
                <w:lang w:eastAsia="zh-CN" w:bidi="ar"/>
              </w:rPr>
              <w:t>费总</w:t>
            </w:r>
            <w:r>
              <w:rPr>
                <w:rFonts w:hint="eastAsia" w:ascii="仿宋_GB2312" w:hAnsi="仿宋_GB2312" w:eastAsia="仿宋_GB2312" w:cs="仿宋_GB2312"/>
                <w:color w:val="000000"/>
                <w:kern w:val="0"/>
                <w:sz w:val="18"/>
                <w:szCs w:val="18"/>
                <w:highlight w:val="none"/>
                <w:lang w:bidi="ar"/>
              </w:rPr>
              <w:t>量2000吨标</w:t>
            </w:r>
            <w:r>
              <w:rPr>
                <w:rFonts w:hint="eastAsia" w:ascii="仿宋_GB2312" w:hAnsi="仿宋_GB2312" w:eastAsia="仿宋_GB2312" w:cs="仿宋_GB2312"/>
                <w:color w:val="000000"/>
                <w:kern w:val="0"/>
                <w:sz w:val="18"/>
                <w:szCs w:val="18"/>
                <w:highlight w:val="none"/>
                <w:lang w:eastAsia="zh-CN" w:bidi="ar"/>
              </w:rPr>
              <w:t>准</w:t>
            </w:r>
            <w:r>
              <w:rPr>
                <w:rFonts w:hint="eastAsia" w:ascii="仿宋_GB2312" w:hAnsi="仿宋_GB2312" w:eastAsia="仿宋_GB2312" w:cs="仿宋_GB2312"/>
                <w:color w:val="000000"/>
                <w:kern w:val="0"/>
                <w:sz w:val="18"/>
                <w:szCs w:val="18"/>
                <w:highlight w:val="none"/>
                <w:lang w:bidi="ar"/>
              </w:rPr>
              <w:t>煤</w:t>
            </w:r>
            <w:r>
              <w:rPr>
                <w:rFonts w:hint="eastAsia" w:ascii="仿宋_GB2312" w:hAnsi="仿宋_GB2312" w:eastAsia="仿宋_GB2312" w:cs="仿宋_GB2312"/>
                <w:color w:val="000000"/>
                <w:kern w:val="0"/>
                <w:sz w:val="18"/>
                <w:szCs w:val="18"/>
                <w:highlight w:val="none"/>
                <w:lang w:eastAsia="zh-CN" w:bidi="ar"/>
              </w:rPr>
              <w:t>（含）</w:t>
            </w:r>
            <w:r>
              <w:rPr>
                <w:rFonts w:hint="eastAsia" w:ascii="仿宋_GB2312" w:hAnsi="仿宋_GB2312" w:eastAsia="仿宋_GB2312" w:cs="仿宋_GB2312"/>
                <w:color w:val="000000"/>
                <w:kern w:val="0"/>
                <w:sz w:val="18"/>
                <w:szCs w:val="18"/>
                <w:highlight w:val="none"/>
                <w:lang w:bidi="ar"/>
              </w:rPr>
              <w:t>及以上]</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按时提交碳排放报告</w:t>
            </w: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年</w:t>
            </w:r>
            <w:r>
              <w:rPr>
                <w:rFonts w:hint="eastAsia" w:ascii="仿宋_GB2312" w:hAnsi="仿宋_GB2312" w:eastAsia="仿宋_GB2312" w:cs="仿宋_GB2312"/>
                <w:color w:val="000000"/>
                <w:kern w:val="0"/>
                <w:sz w:val="18"/>
                <w:szCs w:val="18"/>
                <w:highlight w:val="none"/>
                <w:lang w:eastAsia="zh-CN" w:bidi="ar"/>
              </w:rPr>
              <w:t>综合</w:t>
            </w:r>
            <w:r>
              <w:rPr>
                <w:rFonts w:hint="eastAsia" w:ascii="仿宋_GB2312" w:hAnsi="仿宋_GB2312" w:eastAsia="仿宋_GB2312" w:cs="仿宋_GB2312"/>
                <w:color w:val="000000"/>
                <w:kern w:val="0"/>
                <w:sz w:val="18"/>
                <w:szCs w:val="18"/>
                <w:highlight w:val="none"/>
                <w:lang w:bidi="ar"/>
              </w:rPr>
              <w:t>能源消</w:t>
            </w:r>
            <w:r>
              <w:rPr>
                <w:rFonts w:hint="eastAsia" w:ascii="仿宋_GB2312" w:hAnsi="仿宋_GB2312" w:eastAsia="仿宋_GB2312" w:cs="仿宋_GB2312"/>
                <w:color w:val="000000"/>
                <w:kern w:val="0"/>
                <w:sz w:val="18"/>
                <w:szCs w:val="18"/>
                <w:highlight w:val="none"/>
                <w:lang w:eastAsia="zh-CN" w:bidi="ar"/>
              </w:rPr>
              <w:t>费总量</w:t>
            </w:r>
            <w:r>
              <w:rPr>
                <w:rFonts w:hint="eastAsia" w:ascii="仿宋_GB2312" w:hAnsi="仿宋_GB2312" w:eastAsia="仿宋_GB2312" w:cs="仿宋_GB2312"/>
                <w:color w:val="000000"/>
                <w:kern w:val="0"/>
                <w:sz w:val="18"/>
                <w:szCs w:val="18"/>
                <w:highlight w:val="none"/>
                <w:lang w:bidi="ar"/>
              </w:rPr>
              <w:t>2000吨标准煤以下</w:t>
            </w:r>
            <w:r>
              <w:rPr>
                <w:rFonts w:hint="eastAsia" w:ascii="仿宋_GB2312" w:hAnsi="仿宋_GB2312" w:eastAsia="仿宋_GB2312" w:cs="仿宋_GB2312"/>
                <w:color w:val="000000"/>
                <w:kern w:val="0"/>
                <w:sz w:val="18"/>
                <w:szCs w:val="18"/>
                <w:highlight w:val="none"/>
                <w:lang w:eastAsia="zh-CN" w:bidi="ar"/>
              </w:rPr>
              <w:t>的单位</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低碳试点</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低碳领跑者企业</w:t>
            </w:r>
            <w:r>
              <w:rPr>
                <w:rFonts w:hint="eastAsia" w:ascii="仿宋_GB2312" w:hAnsi="仿宋_GB2312" w:eastAsia="仿宋_GB2312" w:cs="仿宋_GB2312"/>
                <w:color w:val="0C0C0C"/>
                <w:kern w:val="0"/>
                <w:szCs w:val="21"/>
                <w:highlight w:val="none"/>
                <w:vertAlign w:val="superscript"/>
                <w:lang w:bidi="ar"/>
              </w:rPr>
              <w:t>1</w:t>
            </w:r>
          </w:p>
        </w:tc>
        <w:tc>
          <w:tcPr>
            <w:tcW w:w="6534" w:type="dxa"/>
            <w:gridSpan w:val="2"/>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近三年入选北京市低碳领跑者企业试点</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网站公示链接或者截图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8</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能源管理</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能源管理</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体系</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建立并实施能源管理制度或者开展能源管理体系认证</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《能源管理体系要求及使用指南》（GB/T23331）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《能源管理体系》（ISO50001）</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通过能源管理体系（GB/T23331、ISO50001）第三方认证</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企业建立并实施能源管理制度</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企业提供能源管理制度或者能源管理体系认证证书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单车能耗值</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普通轿车及普通运动型乘用车</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《乘用车单位产品综合能源消耗限额》（DB11/T1017）</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A类车辆≤135kgce/辆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B类车辆≤197kgce/辆</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A类车辆≤145kgce/辆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B类车辆≤210kgce/辆</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A类车辆≤163kgce/辆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B类车辆≤222kgce/辆</w:t>
            </w:r>
          </w:p>
        </w:tc>
        <w:tc>
          <w:tcPr>
            <w:tcW w:w="1400" w:type="dxa"/>
            <w:vMerge w:val="restart"/>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企业提供能耗数据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重型载货汽车、大客车</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《重型载货汽车、大客车单位产品综合能源消耗限额》（DB11/T1019）</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重型载货汽车≤239kgce/辆</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大客车≤969kgce/辆</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重型载货汽车≤258kgce/辆</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大客车≤1026kgce/辆</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重型载货汽车≤</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314kgce/辆</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大客车≤1140kgce/辆</w:t>
            </w:r>
          </w:p>
        </w:tc>
        <w:tc>
          <w:tcPr>
            <w:tcW w:w="1400" w:type="dxa"/>
            <w:vMerge w:val="continue"/>
            <w:shd w:val="clear" w:color="auto" w:fill="FFFFFF"/>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可再生能源</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使用</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开发太阳能、空气能、地热等清洁能源或者购买绿电</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开展其中两项及以上</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开展其中一项即可</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企业提供证明文件，比如项目可研、立项批复等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办公场所</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办公建筑节能、节水</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单位建筑面积综合能耗≤20kgce/m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建筑物单位面积耗热量≤0.19GJ/m</w:t>
            </w:r>
            <w:r>
              <w:rPr>
                <w:rFonts w:hint="eastAsia" w:ascii="仿宋_GB2312" w:hAnsi="仿宋_GB2312" w:eastAsia="仿宋_GB2312" w:cs="仿宋_GB2312"/>
                <w:color w:val="000000"/>
                <w:kern w:val="0"/>
                <w:sz w:val="18"/>
                <w:szCs w:val="18"/>
                <w:highlight w:val="none"/>
                <w:vertAlign w:val="superscript"/>
                <w:lang w:bidi="ar"/>
              </w:rPr>
              <w:t>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等级1、等级2设备使用率≥80%</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单位建筑面积取水量≤1.0m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单位建筑面积综合能耗≤24kgce/m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建筑物单位面积耗热量≤0.</w:t>
            </w:r>
            <w:r>
              <w:rPr>
                <w:rFonts w:hint="eastAsia" w:ascii="仿宋_GB2312" w:hAnsi="仿宋_GB2312" w:eastAsia="仿宋_GB2312" w:cs="仿宋_GB2312"/>
                <w:color w:val="000000"/>
                <w:kern w:val="0"/>
                <w:sz w:val="18"/>
                <w:szCs w:val="18"/>
                <w:highlight w:val="none"/>
                <w:lang w:val="en" w:bidi="ar"/>
              </w:rPr>
              <w:t>23</w:t>
            </w:r>
            <w:r>
              <w:rPr>
                <w:rFonts w:hint="eastAsia" w:ascii="仿宋_GB2312" w:hAnsi="仿宋_GB2312" w:eastAsia="仿宋_GB2312" w:cs="仿宋_GB2312"/>
                <w:color w:val="000000"/>
                <w:kern w:val="0"/>
                <w:sz w:val="18"/>
                <w:szCs w:val="18"/>
                <w:highlight w:val="none"/>
                <w:lang w:bidi="ar"/>
              </w:rPr>
              <w:t>GJ/m</w:t>
            </w:r>
            <w:r>
              <w:rPr>
                <w:rFonts w:hint="eastAsia" w:ascii="仿宋_GB2312" w:hAnsi="仿宋_GB2312" w:eastAsia="仿宋_GB2312" w:cs="仿宋_GB2312"/>
                <w:color w:val="000000"/>
                <w:kern w:val="0"/>
                <w:sz w:val="18"/>
                <w:szCs w:val="18"/>
                <w:highlight w:val="none"/>
                <w:vertAlign w:val="superscript"/>
                <w:lang w:bidi="ar"/>
              </w:rPr>
              <w:t>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等级1、等级2设备使用率≥60%</w:t>
            </w:r>
          </w:p>
          <w:p>
            <w:pPr>
              <w:widowControl/>
              <w:spacing w:line="240" w:lineRule="exact"/>
              <w:jc w:val="left"/>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单位建筑面积取水量≤1.5m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企业提供能耗水耗数据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79"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9</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节能减碳行动</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低碳技术</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研发应用碳捕集封存与利用或者其他低碳技术</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开展其中两项及以上</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开展其中一项即可</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企业提供低碳项目立项等相关文件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节能技改</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用能单位节能技改工程节能量奖励资金项目</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近三年入选北京市市级或者所属区用能单位节能技改工程节能量奖励资金项目公示名单企业，且合计节能量达到200吨标准煤以上</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近三年入选北京市市级或者所属区用能单位节能技改工程节能量奖励资金项目公示名单企业</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委官网公布名单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7" w:hRule="atLeast"/>
          <w:jc w:val="center"/>
        </w:trPr>
        <w:tc>
          <w:tcPr>
            <w:tcW w:w="479"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spacing w:line="240" w:lineRule="atLeast"/>
              <w:jc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绿色建筑</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《绿色建筑评价标准》（DB11/T825）</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近一年竣工新建建筑取得国家或者</w:t>
            </w:r>
            <w:r>
              <w:rPr>
                <w:rFonts w:hint="eastAsia" w:ascii="仿宋_GB2312" w:hAnsi="仿宋_GB2312" w:eastAsia="仿宋_GB2312" w:cs="仿宋_GB2312"/>
                <w:color w:val="000000"/>
                <w:kern w:val="0"/>
                <w:sz w:val="18"/>
                <w:szCs w:val="18"/>
                <w:highlight w:val="none"/>
                <w:lang w:eastAsia="zh-CN" w:bidi="ar"/>
              </w:rPr>
              <w:t>本</w:t>
            </w:r>
            <w:r>
              <w:rPr>
                <w:rFonts w:hint="eastAsia" w:ascii="仿宋_GB2312" w:hAnsi="仿宋_GB2312" w:eastAsia="仿宋_GB2312" w:cs="仿宋_GB2312"/>
                <w:color w:val="000000"/>
                <w:kern w:val="0"/>
                <w:sz w:val="18"/>
                <w:szCs w:val="18"/>
                <w:highlight w:val="none"/>
                <w:lang w:bidi="ar"/>
              </w:rPr>
              <w:t>市颁发的绿色建筑三星级标识，或者预评价达到DB11/T825三星级</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近一年竣工新建建筑取得国家或者</w:t>
            </w:r>
            <w:r>
              <w:rPr>
                <w:rFonts w:hint="eastAsia" w:ascii="仿宋_GB2312" w:hAnsi="仿宋_GB2312" w:eastAsia="仿宋_GB2312" w:cs="仿宋_GB2312"/>
                <w:color w:val="000000"/>
                <w:kern w:val="0"/>
                <w:sz w:val="18"/>
                <w:szCs w:val="18"/>
                <w:highlight w:val="none"/>
                <w:lang w:eastAsia="zh-CN" w:bidi="ar"/>
              </w:rPr>
              <w:t>本</w:t>
            </w:r>
            <w:r>
              <w:rPr>
                <w:rFonts w:hint="eastAsia" w:ascii="仿宋_GB2312" w:hAnsi="仿宋_GB2312" w:eastAsia="仿宋_GB2312" w:cs="仿宋_GB2312"/>
                <w:color w:val="000000"/>
                <w:kern w:val="0"/>
                <w:sz w:val="18"/>
                <w:szCs w:val="18"/>
                <w:highlight w:val="none"/>
                <w:lang w:bidi="ar"/>
              </w:rPr>
              <w:t>市颁发的绿色建筑二星级标识</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或者预评价达到DB11/T825二星级</w:t>
            </w:r>
            <w:r>
              <w:rPr>
                <w:rFonts w:hint="eastAsia" w:ascii="仿宋_GB2312" w:hAnsi="仿宋_GB2312" w:eastAsia="仿宋_GB2312" w:cs="仿宋_GB2312"/>
                <w:color w:val="000000"/>
                <w:kern w:val="0"/>
                <w:sz w:val="18"/>
                <w:szCs w:val="18"/>
                <w:highlight w:val="none"/>
                <w:lang w:eastAsia="zh-CN" w:bidi="ar"/>
              </w:rPr>
              <w:t>及以上</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企业提供绿色建筑证书，预评价报告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79" w:type="dxa"/>
            <w:vMerge w:val="restart"/>
            <w:shd w:val="clear" w:color="auto" w:fill="FFFFFF"/>
            <w:noWrap w:val="0"/>
            <w:vAlign w:val="center"/>
          </w:tcPr>
          <w:p>
            <w:pPr>
              <w:widowControl/>
              <w:spacing w:line="240" w:lineRule="atLeast"/>
              <w:jc w:val="center"/>
              <w:textAlignment w:val="center"/>
              <w:rPr>
                <w:rFonts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10</w:t>
            </w:r>
          </w:p>
        </w:tc>
        <w:tc>
          <w:tcPr>
            <w:tcW w:w="810" w:type="dxa"/>
            <w:vMerge w:val="restart"/>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环境管理</w:t>
            </w: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清洁生产</w:t>
            </w:r>
          </w:p>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审核</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企业开展清洁生产审核</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企业通过行政主管部门组织的清洁生产审核评估验收，达到I级水平</w:t>
            </w:r>
          </w:p>
        </w:tc>
        <w:tc>
          <w:tcPr>
            <w:tcW w:w="326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企业开展清洁生产审核，并完成清洁生产审核报告，达到</w:t>
            </w:r>
            <w:r>
              <w:rPr>
                <w:rFonts w:hint="eastAsia" w:ascii="仿宋_GB2312" w:hAnsi="仿宋_GB2312" w:eastAsia="仿宋_GB2312" w:cs="仿宋_GB2312"/>
                <w:highlight w:val="none"/>
              </w:rPr>
              <w:t>Ⅱ</w:t>
            </w:r>
            <w:r>
              <w:rPr>
                <w:rFonts w:hint="eastAsia" w:ascii="仿宋_GB2312" w:hAnsi="仿宋_GB2312" w:eastAsia="仿宋_GB2312" w:cs="仿宋_GB2312"/>
                <w:color w:val="000000"/>
                <w:kern w:val="0"/>
                <w:sz w:val="18"/>
                <w:szCs w:val="18"/>
                <w:highlight w:val="none"/>
                <w:lang w:bidi="ar"/>
              </w:rPr>
              <w:t>级水平</w:t>
            </w:r>
          </w:p>
        </w:tc>
        <w:tc>
          <w:tcPr>
            <w:tcW w:w="1938"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企业提供企业清洁生产审核报告和官方网站的公开信息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479" w:type="dxa"/>
            <w:vMerge w:val="continue"/>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环境信息</w:t>
            </w:r>
            <w:r>
              <w:rPr>
                <w:rFonts w:hint="eastAsia" w:ascii="仿宋_GB2312" w:hAnsi="仿宋_GB2312" w:eastAsia="仿宋_GB2312" w:cs="仿宋_GB2312"/>
                <w:color w:val="000000"/>
                <w:kern w:val="0"/>
                <w:sz w:val="18"/>
                <w:szCs w:val="18"/>
                <w:highlight w:val="none"/>
                <w:lang w:eastAsia="zh-CN" w:bidi="ar"/>
              </w:rPr>
              <w:t>依法</w:t>
            </w:r>
            <w:r>
              <w:rPr>
                <w:rFonts w:hint="eastAsia" w:ascii="仿宋_GB2312" w:hAnsi="仿宋_GB2312" w:eastAsia="仿宋_GB2312" w:cs="仿宋_GB2312"/>
                <w:color w:val="000000"/>
                <w:kern w:val="0"/>
                <w:sz w:val="18"/>
                <w:szCs w:val="18"/>
                <w:highlight w:val="none"/>
                <w:lang w:bidi="ar"/>
              </w:rPr>
              <w:t>披露</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公开环境相关的信息</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《企业环境信息依法披露管理办法》</w:t>
            </w:r>
          </w:p>
        </w:tc>
        <w:tc>
          <w:tcPr>
            <w:tcW w:w="8472" w:type="dxa"/>
            <w:gridSpan w:val="3"/>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按照《企业环境信息依法披露管理办法》进行</w:t>
            </w:r>
            <w:r>
              <w:rPr>
                <w:rFonts w:hint="eastAsia" w:ascii="仿宋_GB2312" w:hAnsi="仿宋_GB2312" w:eastAsia="仿宋_GB2312" w:cs="仿宋_GB2312"/>
                <w:color w:val="000000"/>
                <w:kern w:val="0"/>
                <w:sz w:val="18"/>
                <w:szCs w:val="18"/>
                <w:highlight w:val="none"/>
                <w:lang w:eastAsia="zh-CN" w:bidi="ar"/>
              </w:rPr>
              <w:t>环境信息依法披露</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企业提供已披露证明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479" w:type="dxa"/>
            <w:vMerge w:val="continue"/>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p>
        </w:tc>
        <w:tc>
          <w:tcPr>
            <w:tcW w:w="810" w:type="dxa"/>
            <w:vMerge w:val="continue"/>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p>
        </w:tc>
        <w:tc>
          <w:tcPr>
            <w:tcW w:w="973" w:type="dxa"/>
            <w:shd w:val="clear" w:color="auto" w:fill="FFFFFF"/>
            <w:noWrap w:val="0"/>
            <w:vAlign w:val="center"/>
          </w:tcPr>
          <w:p>
            <w:pPr>
              <w:widowControl/>
              <w:spacing w:line="240" w:lineRule="atLeas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突发</w:t>
            </w:r>
            <w:r>
              <w:rPr>
                <w:rFonts w:hint="eastAsia" w:ascii="仿宋_GB2312" w:hAnsi="仿宋_GB2312" w:eastAsia="仿宋_GB2312" w:cs="仿宋_GB2312"/>
                <w:color w:val="000000"/>
                <w:kern w:val="0"/>
                <w:sz w:val="18"/>
                <w:szCs w:val="18"/>
                <w:highlight w:val="none"/>
                <w:lang w:bidi="ar"/>
              </w:rPr>
              <w:t>环境事件、</w:t>
            </w:r>
            <w:r>
              <w:rPr>
                <w:rFonts w:hint="eastAsia" w:ascii="仿宋_GB2312" w:hAnsi="仿宋_GB2312" w:eastAsia="仿宋_GB2312" w:cs="仿宋_GB2312"/>
                <w:color w:val="000000"/>
                <w:kern w:val="0"/>
                <w:sz w:val="18"/>
                <w:szCs w:val="18"/>
                <w:highlight w:val="none"/>
                <w:lang w:eastAsia="zh-CN" w:bidi="ar"/>
              </w:rPr>
              <w:t>生态环境</w:t>
            </w:r>
            <w:r>
              <w:rPr>
                <w:rFonts w:hint="eastAsia" w:ascii="仿宋_GB2312" w:hAnsi="仿宋_GB2312" w:eastAsia="仿宋_GB2312" w:cs="仿宋_GB2312"/>
                <w:color w:val="000000"/>
                <w:kern w:val="0"/>
                <w:sz w:val="18"/>
                <w:szCs w:val="18"/>
                <w:highlight w:val="none"/>
                <w:lang w:bidi="ar"/>
              </w:rPr>
              <w:t>处罚</w:t>
            </w:r>
          </w:p>
        </w:tc>
        <w:tc>
          <w:tcPr>
            <w:tcW w:w="2403"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突发环境事件和</w:t>
            </w:r>
            <w:r>
              <w:rPr>
                <w:rFonts w:hint="eastAsia" w:ascii="仿宋_GB2312" w:hAnsi="仿宋_GB2312" w:eastAsia="仿宋_GB2312" w:cs="仿宋_GB2312"/>
                <w:color w:val="000000"/>
                <w:kern w:val="0"/>
                <w:sz w:val="18"/>
                <w:szCs w:val="18"/>
                <w:highlight w:val="none"/>
                <w:lang w:eastAsia="zh-CN" w:bidi="ar"/>
              </w:rPr>
              <w:t>生态环境行政处罚</w:t>
            </w:r>
          </w:p>
        </w:tc>
        <w:tc>
          <w:tcPr>
            <w:tcW w:w="3272"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近三年内未发生突发环境事件、未受到</w:t>
            </w:r>
            <w:r>
              <w:rPr>
                <w:rFonts w:hint="eastAsia" w:ascii="仿宋_GB2312" w:hAnsi="仿宋_GB2312" w:eastAsia="仿宋_GB2312" w:cs="仿宋_GB2312"/>
                <w:color w:val="000000"/>
                <w:kern w:val="0"/>
                <w:sz w:val="18"/>
                <w:szCs w:val="18"/>
                <w:highlight w:val="none"/>
                <w:lang w:eastAsia="zh-CN" w:bidi="ar"/>
              </w:rPr>
              <w:t>市区两级生态环境部门行政处罚</w:t>
            </w:r>
          </w:p>
        </w:tc>
        <w:tc>
          <w:tcPr>
            <w:tcW w:w="5200" w:type="dxa"/>
            <w:gridSpan w:val="2"/>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400" w:type="dxa"/>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信用中国等</w:t>
            </w:r>
          </w:p>
        </w:tc>
      </w:tr>
    </w:tbl>
    <w:p>
      <w:pPr>
        <w:pStyle w:val="2"/>
        <w:ind w:left="420"/>
        <w:rPr>
          <w:rFonts w:hint="eastAsia" w:ascii="仿宋_GB2312" w:hAnsi="仿宋_GB2312" w:eastAsia="仿宋_GB2312" w:cs="仿宋_GB2312"/>
          <w:color w:val="0C0C0C"/>
          <w:kern w:val="0"/>
          <w:szCs w:val="21"/>
          <w:highlight w:val="none"/>
          <w:lang w:val="en-US" w:eastAsia="zh-CN" w:bidi="ar"/>
        </w:rPr>
      </w:pPr>
      <w:r>
        <w:rPr>
          <w:rFonts w:hint="eastAsia" w:ascii="仿宋_GB2312" w:hAnsi="仿宋_GB2312" w:cs="仿宋_GB2312"/>
          <w:color w:val="000000"/>
          <w:kern w:val="0"/>
          <w:sz w:val="18"/>
          <w:szCs w:val="18"/>
          <w:highlight w:val="none"/>
          <w:lang w:bidi="ar"/>
        </w:rPr>
        <w:t>注：1.</w:t>
      </w:r>
      <w:r>
        <w:rPr>
          <w:rFonts w:hint="eastAsia" w:ascii="仿宋_GB2312" w:hAnsi="仿宋_GB2312" w:cs="仿宋_GB2312"/>
          <w:color w:val="000000"/>
          <w:kern w:val="0"/>
          <w:sz w:val="18"/>
          <w:szCs w:val="18"/>
          <w:highlight w:val="none"/>
          <w:lang w:eastAsia="zh-CN" w:bidi="ar"/>
        </w:rPr>
        <w:t>本市开展</w:t>
      </w:r>
      <w:r>
        <w:rPr>
          <w:rFonts w:hint="eastAsia" w:ascii="仿宋_GB2312" w:hAnsi="仿宋_GB2312" w:eastAsia="仿宋_GB2312" w:cs="仿宋_GB2312"/>
          <w:color w:val="000000"/>
          <w:kern w:val="0"/>
          <w:sz w:val="18"/>
          <w:szCs w:val="18"/>
          <w:highlight w:val="none"/>
          <w:lang w:bidi="ar"/>
        </w:rPr>
        <w:t>低碳领跑者企业</w:t>
      </w:r>
      <w:r>
        <w:rPr>
          <w:rFonts w:hint="eastAsia" w:ascii="仿宋_GB2312" w:hAnsi="仿宋_GB2312" w:cs="仿宋_GB2312"/>
          <w:color w:val="000000"/>
          <w:kern w:val="0"/>
          <w:sz w:val="18"/>
          <w:szCs w:val="18"/>
          <w:highlight w:val="none"/>
          <w:lang w:eastAsia="zh-CN" w:bidi="ar"/>
        </w:rPr>
        <w:t>试点工作后评价该指标</w:t>
      </w:r>
    </w:p>
    <w:p>
      <w:pPr>
        <w:outlineLvl w:val="2"/>
        <w:rPr>
          <w:rFonts w:hint="eastAsia" w:ascii="黑体" w:hAnsi="黑体" w:eastAsia="黑体" w:cs="黑体"/>
          <w:sz w:val="32"/>
          <w:szCs w:val="32"/>
          <w:highlight w:val="none"/>
        </w:rPr>
      </w:pPr>
      <w:r>
        <w:rPr>
          <w:rFonts w:hint="eastAsia" w:ascii="仿宋_GB2312" w:hAnsi="仿宋_GB2312" w:eastAsia="仿宋_GB2312" w:cs="仿宋_GB2312"/>
          <w:color w:val="0C0C0C"/>
          <w:kern w:val="0"/>
          <w:szCs w:val="21"/>
          <w:highlight w:val="none"/>
          <w:lang w:bidi="ar"/>
        </w:rPr>
        <w:br w:type="page"/>
      </w:r>
      <w:r>
        <w:rPr>
          <w:rFonts w:hint="eastAsia" w:ascii="黑体" w:hAnsi="黑体" w:eastAsia="黑体" w:cs="黑体"/>
          <w:color w:val="0C0C0C"/>
          <w:sz w:val="32"/>
          <w:szCs w:val="32"/>
          <w:highlight w:val="none"/>
          <w:lang w:bidi="ar"/>
        </w:rPr>
        <w:t>1</w:t>
      </w:r>
      <w:r>
        <w:rPr>
          <w:rFonts w:hint="eastAsia" w:ascii="黑体" w:hAnsi="黑体" w:eastAsia="黑体" w:cs="黑体"/>
          <w:sz w:val="32"/>
          <w:szCs w:val="32"/>
          <w:highlight w:val="none"/>
          <w:lang w:bidi="ar"/>
        </w:rPr>
        <w:t>.</w:t>
      </w:r>
      <w:r>
        <w:rPr>
          <w:rFonts w:hint="eastAsia" w:ascii="黑体" w:hAnsi="黑体" w:eastAsia="黑体" w:cs="黑体"/>
          <w:sz w:val="32"/>
          <w:szCs w:val="32"/>
          <w:highlight w:val="none"/>
        </w:rPr>
        <w:t>2印刷（231）企业绿色绩效评价细则</w:t>
      </w:r>
    </w:p>
    <w:tbl>
      <w:tblPr>
        <w:tblStyle w:val="8"/>
        <w:tblW w:w="14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568"/>
        <w:gridCol w:w="961"/>
        <w:gridCol w:w="3101"/>
        <w:gridCol w:w="3303"/>
        <w:gridCol w:w="3222"/>
        <w:gridCol w:w="1774"/>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序号</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 w:val="18"/>
                <w:szCs w:val="18"/>
                <w:highlight w:val="none"/>
                <w:lang w:bidi="ar"/>
              </w:rPr>
              <w:t>一级</w:t>
            </w:r>
          </w:p>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指标</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 w:val="18"/>
                <w:szCs w:val="18"/>
                <w:highlight w:val="none"/>
                <w:lang w:bidi="ar"/>
              </w:rPr>
              <w:t>二级</w:t>
            </w:r>
          </w:p>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指标</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评价依据/内容</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 w:val="18"/>
                <w:szCs w:val="18"/>
                <w:highlight w:val="none"/>
                <w:lang w:bidi="ar"/>
              </w:rPr>
              <w:t>绿色标杆企业(深绿)</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bCs/>
                <w:sz w:val="18"/>
                <w:szCs w:val="18"/>
                <w:highlight w:val="none"/>
              </w:rPr>
              <w:t>绿色基准企业(浅绿)</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普通合法企业</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5" w:hRule="atLeast"/>
          <w:jc w:val="center"/>
        </w:trPr>
        <w:tc>
          <w:tcPr>
            <w:tcW w:w="547"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w:t>
            </w:r>
          </w:p>
        </w:tc>
        <w:tc>
          <w:tcPr>
            <w:tcW w:w="56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原辅</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材料</w:t>
            </w:r>
          </w:p>
        </w:tc>
        <w:tc>
          <w:tcPr>
            <w:tcW w:w="96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油墨</w:t>
            </w: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《绿色印刷通用技术要求与评价方法》（CY/T130.1）</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《油墨中可挥发性有机化合物（VOCs）含量的限值》（GB38507）</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平板印刷油墨不含有CY/T130.1表1物质，单张胶印油墨、冷固轮转油墨挥发性有机物含量≤1%；热固轮转油墨挥发性有机物含量≤5%；</w:t>
            </w:r>
          </w:p>
          <w:p>
            <w:pPr>
              <w:widowControl/>
              <w:shd w:val="clear" w:color="auto" w:fill="FFFFFF"/>
              <w:spacing w:line="220" w:lineRule="exact"/>
              <w:jc w:val="left"/>
              <w:textAlignment w:val="center"/>
              <w:rPr>
                <w:rFonts w:hint="eastAsia" w:ascii="仿宋_GB2312" w:hAnsi="仿宋_GB2312" w:eastAsia="仿宋_GB2312" w:cs="仿宋_GB2312"/>
                <w:color w:val="000000"/>
                <w:kern w:val="0"/>
                <w:sz w:val="18"/>
                <w:szCs w:val="18"/>
                <w:highlight w:val="none"/>
                <w:lang w:eastAsia="zh-CN" w:bidi="ar"/>
              </w:rPr>
            </w:pP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凸版印刷全部使用符合GB38507的水性和能量固化油墨，挥发性有机物含量</w:t>
            </w:r>
            <w:r>
              <w:rPr>
                <w:rFonts w:hint="eastAsia" w:ascii="仿宋_GB2312" w:hAnsi="仿宋_GB2312" w:eastAsia="仿宋_GB2312" w:cs="仿宋_GB2312"/>
                <w:color w:val="000000"/>
                <w:kern w:val="0"/>
                <w:sz w:val="18"/>
                <w:szCs w:val="18"/>
                <w:highlight w:val="none"/>
                <w:lang w:eastAsia="zh-CN" w:bidi="ar"/>
              </w:rPr>
              <w:t>低于</w:t>
            </w:r>
            <w:r>
              <w:rPr>
                <w:rFonts w:hint="eastAsia" w:ascii="仿宋_GB2312" w:hAnsi="仿宋_GB2312" w:eastAsia="仿宋_GB2312" w:cs="仿宋_GB2312"/>
                <w:color w:val="000000"/>
                <w:kern w:val="0"/>
                <w:sz w:val="18"/>
                <w:szCs w:val="18"/>
                <w:highlight w:val="none"/>
                <w:lang w:bidi="ar"/>
              </w:rPr>
              <w:t>标准</w:t>
            </w:r>
            <w:r>
              <w:rPr>
                <w:rFonts w:hint="eastAsia" w:ascii="仿宋_GB2312" w:hAnsi="仿宋_GB2312" w:eastAsia="仿宋_GB2312" w:cs="仿宋_GB2312"/>
                <w:color w:val="000000"/>
                <w:kern w:val="0"/>
                <w:sz w:val="18"/>
                <w:szCs w:val="18"/>
                <w:highlight w:val="none"/>
                <w:lang w:eastAsia="zh-CN" w:bidi="ar"/>
              </w:rPr>
              <w:t>限值的</w:t>
            </w:r>
            <w:r>
              <w:rPr>
                <w:rFonts w:hint="eastAsia" w:ascii="仿宋_GB2312" w:hAnsi="仿宋_GB2312" w:eastAsia="仿宋_GB2312" w:cs="仿宋_GB2312"/>
                <w:color w:val="000000"/>
                <w:kern w:val="0"/>
                <w:sz w:val="18"/>
                <w:szCs w:val="18"/>
                <w:highlight w:val="none"/>
                <w:lang w:val="en-US" w:eastAsia="zh-CN" w:bidi="ar"/>
              </w:rPr>
              <w:t>50%</w:t>
            </w:r>
            <w:r>
              <w:rPr>
                <w:rFonts w:hint="eastAsia" w:ascii="仿宋_GB2312" w:hAnsi="仿宋_GB2312" w:eastAsia="仿宋_GB2312" w:cs="仿宋_GB2312"/>
                <w:color w:val="000000"/>
                <w:kern w:val="0"/>
                <w:sz w:val="18"/>
                <w:szCs w:val="18"/>
                <w:highlight w:val="none"/>
                <w:lang w:eastAsia="zh-CN" w:bidi="ar"/>
              </w:rPr>
              <w:t>；</w:t>
            </w:r>
          </w:p>
          <w:p>
            <w:pPr>
              <w:widowControl/>
              <w:shd w:val="clear" w:color="auto" w:fill="FFFFFF"/>
              <w:spacing w:line="220" w:lineRule="exact"/>
              <w:jc w:val="left"/>
              <w:textAlignment w:val="center"/>
              <w:rPr>
                <w:highlight w:val="none"/>
              </w:rPr>
            </w:pP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数字印刷喷墨油墨水性、能量固化油墨符合GB38507限值的50%</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eastAsia="zh-CN"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平板印刷油墨不含有CY/T130.1表1物质，单张胶印油墨、冷固轮转油墨挥发性有机物含量≤3%；热固轮转油墨挥发性有机物含量≤10%；</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凸版印刷全部使用符合GB38507的水性和能量固化油墨，挥发性有机物含量符合标准要求</w:t>
            </w:r>
            <w:r>
              <w:rPr>
                <w:rFonts w:hint="eastAsia" w:ascii="仿宋_GB2312" w:hAnsi="仿宋_GB2312" w:eastAsia="仿宋_GB2312" w:cs="仿宋_GB2312"/>
                <w:color w:val="000000"/>
                <w:kern w:val="0"/>
                <w:sz w:val="18"/>
                <w:szCs w:val="18"/>
                <w:highlight w:val="none"/>
                <w:lang w:eastAsia="zh-CN" w:bidi="ar"/>
              </w:rPr>
              <w:t>；</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数字印刷喷墨油墨水性、能量固化油墨符合GB38507限值要求</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eastAsia="zh-CN"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平板印刷不含有CY/T130.1-2015表1物质</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凸版印刷使用符合GB38507的水性和能量固化油墨</w:t>
            </w:r>
            <w:r>
              <w:rPr>
                <w:rFonts w:hint="eastAsia" w:ascii="仿宋_GB2312" w:hAnsi="仿宋_GB2312" w:eastAsia="仿宋_GB2312" w:cs="仿宋_GB2312"/>
                <w:color w:val="000000"/>
                <w:kern w:val="0"/>
                <w:sz w:val="18"/>
                <w:szCs w:val="18"/>
                <w:highlight w:val="none"/>
                <w:lang w:eastAsia="zh-CN" w:bidi="ar"/>
              </w:rPr>
              <w:t>；</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数字印刷使用符合GB38507的水性和能量固化油墨</w:t>
            </w:r>
          </w:p>
        </w:tc>
        <w:tc>
          <w:tcPr>
            <w:tcW w:w="105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企业提供原</w:t>
            </w:r>
            <w:r>
              <w:rPr>
                <w:rFonts w:hint="eastAsia" w:ascii="仿宋_GB2312" w:hAnsi="仿宋_GB2312" w:eastAsia="仿宋_GB2312" w:cs="仿宋_GB2312"/>
                <w:color w:val="000000"/>
                <w:kern w:val="0"/>
                <w:sz w:val="18"/>
                <w:szCs w:val="18"/>
                <w:highlight w:val="none"/>
                <w:lang w:eastAsia="zh-CN" w:bidi="ar"/>
              </w:rPr>
              <w:t>辅</w:t>
            </w:r>
            <w:r>
              <w:rPr>
                <w:rFonts w:hint="eastAsia" w:ascii="仿宋_GB2312" w:hAnsi="仿宋_GB2312" w:eastAsia="仿宋_GB2312" w:cs="仿宋_GB2312"/>
                <w:color w:val="000000"/>
                <w:kern w:val="0"/>
                <w:sz w:val="18"/>
                <w:szCs w:val="18"/>
                <w:highlight w:val="none"/>
                <w:lang w:bidi="ar"/>
              </w:rPr>
              <w:t>材料明细、VOCs成分检测报告和核算报告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橡皮布</w:t>
            </w: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《绿色印刷材料胶印橡皮布》（CY/T228）</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有害物质含量符合CY/T228的橡皮布比例100%，且不使用橡皮布还原剂</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有害物质含量符合CY/T228的橡皮布比例≥60%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bidi="ar"/>
              </w:rPr>
              <w:t>使用有害物质含量符合CY/T228的橡皮布</w:t>
            </w:r>
          </w:p>
        </w:tc>
        <w:tc>
          <w:tcPr>
            <w:tcW w:w="1053" w:type="dxa"/>
            <w:vMerge w:val="continue"/>
            <w:tcBorders>
              <w:left w:val="single" w:color="000000" w:sz="4" w:space="0"/>
              <w:right w:val="single" w:color="000000" w:sz="4" w:space="0"/>
            </w:tcBorders>
            <w:noWrap w:val="0"/>
            <w:vAlign w:val="center"/>
          </w:tcPr>
          <w:p>
            <w:pPr>
              <w:spacing w:line="220" w:lineRule="exact"/>
              <w:jc w:val="left"/>
              <w:textAlignment w:val="center"/>
              <w:rPr>
                <w:rFonts w:hint="eastAsia" w:ascii="仿宋_GB2312" w:hAnsi="仿宋_GB2312" w:eastAsia="仿宋_GB2312" w:cs="仿宋_GB2312"/>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清洗剂</w:t>
            </w: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《清洗剂挥发性有机物含量限值》（GB38508）</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平板印刷符合GB38508的低VOCs含量清洗剂使用比例100%，人工补偿清洗中预浸无纺布使用比例≥70%；</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eastAsia="zh-CN" w:bidi="ar"/>
              </w:rPr>
            </w:pP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凸版印刷符合GB38508的水基清洗剂使用比例100%</w:t>
            </w:r>
            <w:r>
              <w:rPr>
                <w:rFonts w:hint="eastAsia" w:ascii="仿宋_GB2312" w:hAnsi="仿宋_GB2312" w:eastAsia="仿宋_GB2312" w:cs="仿宋_GB2312"/>
                <w:color w:val="000000"/>
                <w:kern w:val="0"/>
                <w:sz w:val="18"/>
                <w:szCs w:val="18"/>
                <w:highlight w:val="none"/>
                <w:lang w:eastAsia="zh-CN" w:bidi="ar"/>
              </w:rPr>
              <w:t>；</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3.数字印刷符合GB38508的水基清洗剂使用比例100%</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平板印刷符合GB38508的水基、低</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VOCs含量半水基、半水基清洗剂比例100%，人工补偿清洗中预浸无纺布使用比例≥30%；</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eastAsia="zh-CN" w:bidi="ar"/>
              </w:rPr>
            </w:pP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凸版印刷符合GB38508的半水基、水基清洗剂比例100%</w:t>
            </w:r>
            <w:r>
              <w:rPr>
                <w:rFonts w:hint="eastAsia" w:ascii="仿宋_GB2312" w:hAnsi="仿宋_GB2312" w:eastAsia="仿宋_GB2312" w:cs="仿宋_GB2312"/>
                <w:color w:val="000000"/>
                <w:kern w:val="0"/>
                <w:sz w:val="18"/>
                <w:szCs w:val="18"/>
                <w:highlight w:val="none"/>
                <w:lang w:eastAsia="zh-CN" w:bidi="ar"/>
              </w:rPr>
              <w:t>；</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数字印刷符合GB38508的半水基、水基清洗剂比例100%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right w:val="single" w:color="000000" w:sz="4" w:space="0"/>
            </w:tcBorders>
            <w:noWrap w:val="0"/>
            <w:vAlign w:val="center"/>
          </w:tcPr>
          <w:p>
            <w:pPr>
              <w:spacing w:line="220" w:lineRule="exact"/>
              <w:jc w:val="left"/>
              <w:textAlignment w:val="center"/>
              <w:rPr>
                <w:rFonts w:hint="eastAsia" w:ascii="仿宋_GB2312" w:hAnsi="仿宋_GB2312" w:eastAsia="仿宋_GB2312" w:cs="仿宋_GB2312"/>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润版液</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《印刷业挥发性有机物排放标准》（DB11</w:t>
            </w:r>
            <w:r>
              <w:rPr>
                <w:rFonts w:ascii="仿宋_GB2312" w:hAnsi="仿宋_GB2312" w:eastAsia="仿宋_GB2312" w:cs="仿宋_GB2312"/>
                <w:color w:val="000000"/>
                <w:kern w:val="0"/>
                <w:sz w:val="18"/>
                <w:szCs w:val="18"/>
                <w:highlight w:val="none"/>
                <w:lang w:val="en" w:bidi="ar"/>
              </w:rPr>
              <w:t>/</w:t>
            </w:r>
            <w:r>
              <w:rPr>
                <w:rFonts w:hint="eastAsia" w:ascii="仿宋_GB2312" w:hAnsi="仿宋_GB2312" w:eastAsia="仿宋_GB2312" w:cs="仿宋_GB2312"/>
                <w:color w:val="000000"/>
                <w:kern w:val="0"/>
                <w:sz w:val="18"/>
                <w:szCs w:val="18"/>
                <w:highlight w:val="none"/>
                <w:lang w:bidi="ar"/>
              </w:rPr>
              <w:t>1201）</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bidi="ar"/>
              </w:rPr>
              <w:t>即用状态润版液VOCs含量≤1%</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bidi="ar"/>
              </w:rPr>
              <w:t>即用状态润版液VOCs含量≤2%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bidi="ar"/>
              </w:rPr>
              <w:t>即用状态的润版液VOCs含量应≤3%</w:t>
            </w:r>
          </w:p>
        </w:tc>
        <w:tc>
          <w:tcPr>
            <w:tcW w:w="1053" w:type="dxa"/>
            <w:vMerge w:val="continue"/>
            <w:tcBorders>
              <w:left w:val="single" w:color="000000" w:sz="4" w:space="0"/>
              <w:right w:val="single" w:color="000000" w:sz="4" w:space="0"/>
            </w:tcBorders>
            <w:noWrap w:val="0"/>
            <w:vAlign w:val="center"/>
          </w:tcPr>
          <w:p>
            <w:pPr>
              <w:spacing w:line="220" w:lineRule="exact"/>
              <w:jc w:val="left"/>
              <w:textAlignment w:val="center"/>
              <w:rPr>
                <w:rFonts w:hint="eastAsia" w:ascii="仿宋_GB2312" w:hAnsi="仿宋_GB2312" w:eastAsia="仿宋_GB2312" w:cs="仿宋_GB2312"/>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胶粘剂</w:t>
            </w: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《胶粘剂挥发性有机化合物限量》（GB33372）</w:t>
            </w:r>
          </w:p>
        </w:tc>
        <w:tc>
          <w:tcPr>
            <w:tcW w:w="82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rPr>
              <w:t>VOCs含量符合GB33372水基型、本体型的要求</w:t>
            </w:r>
          </w:p>
        </w:tc>
        <w:tc>
          <w:tcPr>
            <w:tcW w:w="1053"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光油</w:t>
            </w:r>
          </w:p>
        </w:tc>
        <w:tc>
          <w:tcPr>
            <w:tcW w:w="3101" w:type="dxa"/>
            <w:tcBorders>
              <w:top w:val="single" w:color="000000" w:sz="4" w:space="0"/>
              <w:left w:val="single" w:color="000000" w:sz="4" w:space="0"/>
              <w:bottom w:val="single" w:color="000000" w:sz="4" w:space="0"/>
              <w:right w:val="nil"/>
            </w:tcBorders>
            <w:noWrap w:val="0"/>
            <w:vAlign w:val="center"/>
          </w:tcPr>
          <w:p>
            <w:pPr>
              <w:jc w:val="left"/>
              <w:rPr>
                <w:rFonts w:hint="eastAsia" w:ascii="仿宋_GB2312" w:hAnsi="仿宋_GB2312" w:eastAsia="仿宋_GB2312" w:cs="仿宋_GB2312"/>
                <w:color w:val="000000"/>
                <w:sz w:val="18"/>
                <w:szCs w:val="18"/>
                <w:highlight w:val="none"/>
                <w:lang w:bidi="ar"/>
              </w:rPr>
            </w:pPr>
            <w:r>
              <w:rPr>
                <w:rFonts w:hint="eastAsia" w:ascii="仿宋_GB2312" w:hAnsi="仿宋_GB2312" w:eastAsia="仿宋_GB2312" w:cs="仿宋_GB2312"/>
                <w:color w:val="000000"/>
                <w:sz w:val="18"/>
                <w:szCs w:val="18"/>
                <w:highlight w:val="none"/>
                <w:lang w:bidi="ar"/>
              </w:rPr>
              <w:t>《印刷工业大气污染物排放标准》</w:t>
            </w:r>
          </w:p>
          <w:p>
            <w:pPr>
              <w:jc w:val="left"/>
              <w:rPr>
                <w:rFonts w:hint="eastAsia" w:ascii="仿宋_GB2312" w:hAnsi="仿宋_GB2312" w:eastAsia="仿宋_GB2312" w:cs="仿宋_GB2312"/>
                <w:color w:val="000000"/>
                <w:sz w:val="18"/>
                <w:szCs w:val="18"/>
                <w:highlight w:val="none"/>
                <w:lang w:bidi="ar"/>
              </w:rPr>
            </w:pPr>
            <w:r>
              <w:rPr>
                <w:rFonts w:ascii="sans-serif" w:hAnsi="sans-serif" w:eastAsia="仿宋_GB2312" w:cs="sans-serif"/>
                <w:color w:val="333333"/>
                <w:kern w:val="0"/>
                <w:sz w:val="18"/>
                <w:szCs w:val="21"/>
                <w:highlight w:val="none"/>
                <w:shd w:val="clear" w:color="auto" w:fill="FFFFFF"/>
                <w:lang w:bidi="ar"/>
              </w:rPr>
              <w:t>（</w:t>
            </w:r>
            <w:r>
              <w:rPr>
                <w:rFonts w:hint="eastAsia" w:ascii="仿宋_GB2312" w:hAnsi="仿宋_GB2312" w:eastAsia="仿宋_GB2312" w:cs="仿宋_GB2312"/>
                <w:color w:val="000000"/>
                <w:kern w:val="0"/>
                <w:sz w:val="18"/>
                <w:szCs w:val="18"/>
                <w:highlight w:val="none"/>
                <w:lang w:bidi="ar"/>
              </w:rPr>
              <w:t>GB3</w:t>
            </w:r>
            <w:r>
              <w:rPr>
                <w:rFonts w:ascii="仿宋_GB2312" w:hAnsi="仿宋_GB2312" w:eastAsia="仿宋_GB2312" w:cs="仿宋_GB2312"/>
                <w:color w:val="000000"/>
                <w:kern w:val="0"/>
                <w:sz w:val="18"/>
                <w:szCs w:val="18"/>
                <w:highlight w:val="none"/>
                <w:lang w:val="en" w:bidi="ar"/>
              </w:rPr>
              <w:t>41616</w:t>
            </w:r>
            <w:r>
              <w:rPr>
                <w:rFonts w:hint="eastAsia" w:ascii="仿宋_GB2312" w:hAnsi="仿宋_GB2312" w:eastAsia="仿宋_GB2312" w:cs="仿宋_GB2312"/>
                <w:color w:val="000000"/>
                <w:kern w:val="0"/>
                <w:sz w:val="18"/>
                <w:szCs w:val="18"/>
                <w:highlight w:val="none"/>
                <w:lang w:bidi="ar"/>
              </w:rPr>
              <w:t>）</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VOCs含量≤3%</w:t>
            </w:r>
          </w:p>
        </w:tc>
        <w:tc>
          <w:tcPr>
            <w:tcW w:w="49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VOCs含量≤5%</w:t>
            </w:r>
          </w:p>
        </w:tc>
        <w:tc>
          <w:tcPr>
            <w:tcW w:w="1053"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2</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生产</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工艺及装备</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绿色装备</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《国家工业和信息化领域节能技术装备推荐目录》</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《北京市节能技术产品推荐目录》</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《清洁生产评价指标体系印刷业》</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主要生产设备</w:t>
            </w:r>
            <w:r>
              <w:rPr>
                <w:rFonts w:hint="eastAsia" w:ascii="仿宋_GB2312" w:hAnsi="仿宋_GB2312" w:eastAsia="仿宋_GB2312" w:cs="仿宋_GB2312"/>
                <w:color w:val="000000"/>
                <w:kern w:val="0"/>
                <w:sz w:val="18"/>
                <w:szCs w:val="18"/>
                <w:highlight w:val="none"/>
                <w:lang w:bidi="ar"/>
              </w:rPr>
              <w:t>采用《国家工业和信息化领域节能技术装备推荐目录》《北京市节能技术产品推荐目录》推荐的装备，同时达到《清洁生产评价指标体系</w:t>
            </w:r>
            <w:r>
              <w:rPr>
                <w:rFonts w:ascii="仿宋_GB2312" w:hAnsi="仿宋_GB2312" w:eastAsia="仿宋_GB2312" w:cs="仿宋_GB2312"/>
                <w:color w:val="000000"/>
                <w:kern w:val="0"/>
                <w:sz w:val="18"/>
                <w:szCs w:val="18"/>
                <w:highlight w:val="none"/>
                <w:lang w:val="en" w:bidi="ar"/>
              </w:rPr>
              <w:t xml:space="preserve"> </w:t>
            </w:r>
            <w:r>
              <w:rPr>
                <w:rFonts w:hint="eastAsia" w:ascii="仿宋_GB2312" w:hAnsi="仿宋_GB2312" w:eastAsia="仿宋_GB2312" w:cs="仿宋_GB2312"/>
                <w:color w:val="000000"/>
                <w:kern w:val="0"/>
                <w:sz w:val="18"/>
                <w:szCs w:val="18"/>
                <w:highlight w:val="none"/>
                <w:lang w:bidi="ar"/>
              </w:rPr>
              <w:t>印刷业》I级基准值</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主要生产设备</w:t>
            </w:r>
            <w:r>
              <w:rPr>
                <w:rFonts w:hint="eastAsia" w:ascii="仿宋_GB2312" w:hAnsi="仿宋_GB2312" w:eastAsia="仿宋_GB2312" w:cs="仿宋_GB2312"/>
                <w:color w:val="000000"/>
                <w:kern w:val="0"/>
                <w:sz w:val="18"/>
                <w:szCs w:val="18"/>
                <w:highlight w:val="none"/>
                <w:lang w:bidi="ar"/>
              </w:rPr>
              <w:t>采用《国家工业和信息化领域节能技术装备推荐目录》《北京市节能技术产品推荐目录》推荐的装备，同时达到《清洁生产评价指标体系</w:t>
            </w:r>
            <w:r>
              <w:rPr>
                <w:rFonts w:ascii="仿宋_GB2312" w:hAnsi="仿宋_GB2312" w:eastAsia="仿宋_GB2312" w:cs="仿宋_GB2312"/>
                <w:color w:val="000000"/>
                <w:kern w:val="0"/>
                <w:sz w:val="18"/>
                <w:szCs w:val="18"/>
                <w:highlight w:val="none"/>
                <w:lang w:val="en" w:bidi="ar"/>
              </w:rPr>
              <w:t xml:space="preserve"> </w:t>
            </w:r>
            <w:r>
              <w:rPr>
                <w:rFonts w:hint="eastAsia" w:ascii="仿宋_GB2312" w:hAnsi="仿宋_GB2312" w:eastAsia="仿宋_GB2312" w:cs="仿宋_GB2312"/>
                <w:color w:val="000000"/>
                <w:kern w:val="0"/>
                <w:sz w:val="18"/>
                <w:szCs w:val="18"/>
                <w:highlight w:val="none"/>
                <w:lang w:bidi="ar"/>
              </w:rPr>
              <w:t>印刷业》Ш级基准值</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企业提供项目可研等说明</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0" w:hRule="atLeast"/>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3</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污染</w:t>
            </w: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治理</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技术</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先进治污</w:t>
            </w:r>
          </w:p>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技术</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《印刷工业污染防治可行技术指南》（HJ1089）</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《北京市重污染天气重点行业应急减排措施制定技术指南》</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采用HJ1089推荐的污染治理技术；</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2.</w:t>
            </w:r>
            <w:r>
              <w:rPr>
                <w:rFonts w:hint="eastAsia" w:ascii="仿宋_GB2312" w:hAnsi="仿宋_GB2312" w:eastAsia="仿宋_GB2312" w:cs="仿宋_GB2312"/>
                <w:color w:val="000000"/>
                <w:kern w:val="0"/>
                <w:sz w:val="18"/>
                <w:szCs w:val="18"/>
                <w:highlight w:val="none"/>
                <w:lang w:bidi="ar"/>
              </w:rPr>
              <w:t>包装装潢及其他印刷（C2319）</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使用溶剂型原辅材料时，调墨、供墨、涂布（上光）、印刷、覆膜、复合、清洗等工序含VOCs废气采用燃烧、吸附+燃烧、吸附+冷凝回收等治理技术，处理效率≥90%；</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3.</w:t>
            </w:r>
            <w:r>
              <w:rPr>
                <w:rFonts w:hint="eastAsia" w:ascii="仿宋_GB2312" w:hAnsi="仿宋_GB2312" w:eastAsia="仿宋_GB2312" w:cs="仿宋_GB2312"/>
                <w:color w:val="000000"/>
                <w:kern w:val="0"/>
                <w:sz w:val="18"/>
                <w:szCs w:val="18"/>
                <w:highlight w:val="none"/>
                <w:lang w:bidi="ar"/>
              </w:rPr>
              <w:t>包装装潢及其他印刷（C2319）</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采用平版印刷工艺或使用非溶剂型原辅材料时，当车间或生产设施排气中NMHC初始排放速率≥2 kg/h时，建设末端治污设施，处理效率≥80%；</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4.</w:t>
            </w:r>
            <w:r>
              <w:rPr>
                <w:rFonts w:hint="eastAsia" w:ascii="仿宋_GB2312" w:hAnsi="仿宋_GB2312" w:eastAsia="仿宋_GB2312" w:cs="仿宋_GB2312"/>
                <w:color w:val="000000"/>
                <w:kern w:val="0"/>
                <w:sz w:val="18"/>
                <w:szCs w:val="18"/>
                <w:highlight w:val="none"/>
                <w:lang w:bidi="ar"/>
              </w:rPr>
              <w:t>书、报刊印刷</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C2311</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和本册印刷</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C2312</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车间或生产设施VOCs排气采用吸附-脱附-催化氧化技术或生物法治理技术</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采用HJ1089推荐的污染治理技术；</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2.</w:t>
            </w:r>
            <w:r>
              <w:rPr>
                <w:rFonts w:hint="eastAsia" w:ascii="仿宋_GB2312" w:hAnsi="仿宋_GB2312" w:eastAsia="仿宋_GB2312" w:cs="仿宋_GB2312"/>
                <w:color w:val="000000"/>
                <w:kern w:val="0"/>
                <w:sz w:val="18"/>
                <w:szCs w:val="18"/>
                <w:highlight w:val="none"/>
                <w:lang w:bidi="ar"/>
              </w:rPr>
              <w:t>包装装潢及其他印刷（C2319）</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使用溶剂型原辅材料时，调墨、供墨、涂布（上光）、印刷、覆膜、复合、清洗等工序含VOCs废气采用燃烧、吸附+燃烧、吸附+冷凝回收、吸附等治理技术，处理效率≥85%；</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3.</w:t>
            </w:r>
            <w:r>
              <w:rPr>
                <w:rFonts w:hint="eastAsia" w:ascii="仿宋_GB2312" w:hAnsi="仿宋_GB2312" w:eastAsia="仿宋_GB2312" w:cs="仿宋_GB2312"/>
                <w:color w:val="000000"/>
                <w:kern w:val="0"/>
                <w:sz w:val="18"/>
                <w:szCs w:val="18"/>
                <w:highlight w:val="none"/>
                <w:lang w:bidi="ar"/>
              </w:rPr>
              <w:t>包装装潢及其他印刷（C2319）</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采用平版印刷工艺或使用非溶剂型原辅材料时，当车间或生产设施排气中NMHC初始排放速率≥2 kg/h时，建设末端治污设施，处理效率≥80%；</w:t>
            </w:r>
          </w:p>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val="en-US" w:eastAsia="zh-CN" w:bidi="ar"/>
              </w:rPr>
              <w:t>4.</w:t>
            </w:r>
            <w:r>
              <w:rPr>
                <w:rFonts w:hint="eastAsia" w:ascii="仿宋_GB2312" w:hAnsi="仿宋_GB2312" w:eastAsia="仿宋_GB2312" w:cs="仿宋_GB2312"/>
                <w:color w:val="000000"/>
                <w:kern w:val="0"/>
                <w:sz w:val="18"/>
                <w:szCs w:val="18"/>
                <w:highlight w:val="none"/>
                <w:lang w:bidi="ar"/>
              </w:rPr>
              <w:t>书、报刊印刷</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C2311</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和本册印刷</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C2312</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车间或生产设施VOCs排气采用吸附-脱附-催化氧化技术或生物法治理技术</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未采用单一光氧或者单一等离子治理技术</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4</w:t>
            </w:r>
          </w:p>
        </w:tc>
        <w:tc>
          <w:tcPr>
            <w:tcW w:w="56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污染物排放</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管理</w:t>
            </w:r>
          </w:p>
        </w:tc>
        <w:tc>
          <w:tcPr>
            <w:tcW w:w="9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大气污染物排放</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《印刷业挥发性有机物排放标准》（DB11/1201）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《挥发性有机物无组织排放控制标准》（GB37822）</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自行监测污染物有组织排放浓度低于DB11/1201限值的50%，厂界、印刷生产场所无组织排放符合DB11/1201和GB37822要求</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自行监测污染物有组织排放浓度低于DB11/1201限值的75%，厂界、印刷生产场所无组织排放符合DB11/1201和GB37822要求</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自行监测污染物排放浓度符合DB11/1201限值要求，厂界、印刷生产场所无组织排放符合DB11/1201和GB37822限值要求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企业提供检测报告或者污染物排放说明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无组织排放</w:t>
            </w:r>
          </w:p>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《挥发性有机物无组织排放控制标准》（GB37822）</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满足GB37822特别控制要求；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调配过程：平版工艺使用自动配墨系统；设置专门的调配间进行调墨、调胶等，废气排至VOCs废气收集处理系统；</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供墨过程：在密闭设备或者密闭负压空间内操作；</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4</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印刷过程：凸版印刷机采用封闭刮刀；烘箱密闭，保持负压；印刷机或者生产车间整体排风收集；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5</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清洗过程：除在机清洗外，其他设备零件的清洗在专用清洗间进行，废气进行收集处理；沾染清洗剂的毛巾或者抹布储存于密闭容器；</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6</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复合过程：烘箱密闭，保持负压；干式复合机整机封闭集气收集；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7</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存储过程：油墨、稀释剂、胶粘剂、清洗剂、上光油等VOCs物料密闭存储，存放于无阳光直射的场所；废油墨、废清洗剂、废活性炭等含VOCs的废物应分类放置于贴有标识的容器内，加盖密封，存放于无阳光直射的场所</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满足GB37822特别控制要求；</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调配过程：设置专门的调配间进行调墨、调胶等，废气排至VOCs废气收集处理系统；</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3</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供墨过程：在密闭设备或者密闭负压空间内操作；</w:t>
            </w:r>
          </w:p>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4</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印刷过程：凸版印刷机采用封闭刮刀；烘箱密闭，保持负压；印刷机或者生产车间整体排风收集；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5</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清洗过程：除在机清洗外，其他设备零件的清洗在专用清洗间进行，废气进行收集处理；沾染清洗剂的毛巾或者抹布储存于密闭容器；</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6</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复合过程：烘箱密闭，保持负压；干式复合机整机封闭集气收集；</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7</w:t>
            </w:r>
            <w:r>
              <w:rPr>
                <w:rFonts w:hint="eastAsia" w:ascii="仿宋_GB2312" w:hAnsi="仿宋_GB2312" w:eastAsia="仿宋_GB2312" w:cs="仿宋_GB2312"/>
                <w:color w:val="000000"/>
                <w:kern w:val="0"/>
                <w:sz w:val="18"/>
                <w:szCs w:val="18"/>
                <w:highlight w:val="none"/>
                <w:lang w:val="en-US" w:eastAsia="zh-CN" w:bidi="ar"/>
              </w:rPr>
              <w:t>.</w:t>
            </w:r>
            <w:r>
              <w:rPr>
                <w:rFonts w:hint="eastAsia" w:ascii="仿宋_GB2312" w:hAnsi="仿宋_GB2312" w:eastAsia="仿宋_GB2312" w:cs="仿宋_GB2312"/>
                <w:color w:val="000000"/>
                <w:kern w:val="0"/>
                <w:sz w:val="18"/>
                <w:szCs w:val="18"/>
                <w:highlight w:val="none"/>
                <w:lang w:bidi="ar"/>
              </w:rPr>
              <w:t>存储过程：油墨、稀释剂、胶粘剂、清洗剂、上光油等VOCs物料密闭存储，存放于无阳光直射的场所；废油墨、废清洗剂、废活性炭等含VOCs的废物应分类放置于贴有标识的容器内，加盖密封，存放于无阳光直射的场所</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满足GB37822</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特别控制要求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单位产品VOCs产生量</w:t>
            </w:r>
          </w:p>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《印刷业清洁生产评价指标体系》</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出版物≤8.3kg/千色令</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出版物≤66.0kg/千色令</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企业提供计算说明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left"/>
              <w:rPr>
                <w:rFonts w:hint="eastAsia" w:ascii="仿宋_GB2312" w:hAnsi="仿宋_GB2312" w:eastAsia="仿宋_GB2312" w:cs="仿宋_GB2312"/>
                <w:color w:val="000000"/>
                <w:sz w:val="18"/>
                <w:szCs w:val="18"/>
                <w:highlight w:val="none"/>
              </w:rPr>
            </w:pP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纸质包装≤8.3kg/千色令</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纸质包装≤66.0kg/千色令</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nil"/>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万元产值VOCs产生量</w:t>
            </w:r>
          </w:p>
          <w:p>
            <w:pPr>
              <w:widowControl/>
              <w:spacing w:line="220" w:lineRule="exact"/>
              <w:jc w:val="left"/>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《清洁生产评价指标体系印刷业》（DB11/T1137）</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平板印刷万元产值VOCs产生量≤0.4kg/万元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凸版印刷万元产值VOCs产生量≤1.0kg/万元</w:t>
            </w:r>
          </w:p>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数字印刷万元产值VOCs产生量≤0.4kg/万元</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平板印刷万元产值VOCs产生量≤1.0kg/万元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凸版印刷万元产值VOCs产生量≤10.0kg/万元</w:t>
            </w:r>
          </w:p>
          <w:p>
            <w:pPr>
              <w:widowControl/>
              <w:spacing w:line="20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数字印刷万元产值VOCs产生量≤1.0kg/万元</w:t>
            </w:r>
          </w:p>
        </w:tc>
        <w:tc>
          <w:tcPr>
            <w:tcW w:w="177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547"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val="en-US" w:eastAsia="zh-CN" w:bidi="ar"/>
              </w:rPr>
              <w:t>4</w:t>
            </w:r>
          </w:p>
        </w:tc>
        <w:tc>
          <w:tcPr>
            <w:tcW w:w="568" w:type="dxa"/>
            <w:vMerge w:val="restar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污染物排放</w:t>
            </w:r>
          </w:p>
          <w:p>
            <w:pPr>
              <w:spacing w:line="240" w:lineRule="exact"/>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管理</w:t>
            </w:r>
          </w:p>
        </w:tc>
        <w:tc>
          <w:tcPr>
            <w:tcW w:w="9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水污染物</w:t>
            </w:r>
          </w:p>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排放</w:t>
            </w:r>
          </w:p>
        </w:tc>
        <w:tc>
          <w:tcPr>
            <w:tcW w:w="31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单位产品废水产生量</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《印刷业清洁生产评价指标体系》</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出版物≤10m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/千色令</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出版物≤27m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/千色令</w:t>
            </w:r>
          </w:p>
        </w:tc>
        <w:tc>
          <w:tcPr>
            <w:tcW w:w="177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企业提供检测报告或者污染物排放说明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left"/>
              <w:rPr>
                <w:rFonts w:hint="eastAsia" w:ascii="仿宋_GB2312" w:hAnsi="仿宋_GB2312" w:eastAsia="仿宋_GB2312" w:cs="仿宋_GB2312"/>
                <w:color w:val="000000"/>
                <w:sz w:val="18"/>
                <w:szCs w:val="18"/>
                <w:highlight w:val="none"/>
              </w:rPr>
            </w:pP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纸质包装≤22m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/千色令</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纸质包装≤35m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/千色令</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水污染物</w:t>
            </w:r>
            <w:r>
              <w:rPr>
                <w:rFonts w:hint="eastAsia" w:ascii="仿宋_GB2312" w:hAnsi="仿宋_GB2312" w:eastAsia="仿宋_GB2312" w:cs="仿宋_GB2312"/>
                <w:color w:val="000000"/>
                <w:kern w:val="0"/>
                <w:sz w:val="18"/>
                <w:szCs w:val="18"/>
                <w:highlight w:val="none"/>
                <w:lang w:eastAsia="zh-CN" w:bidi="ar"/>
              </w:rPr>
              <w:t>排放</w:t>
            </w:r>
            <w:r>
              <w:rPr>
                <w:rFonts w:hint="eastAsia" w:ascii="仿宋_GB2312" w:hAnsi="仿宋_GB2312" w:eastAsia="仿宋_GB2312" w:cs="仿宋_GB2312"/>
                <w:color w:val="000000"/>
                <w:kern w:val="0"/>
                <w:sz w:val="18"/>
                <w:szCs w:val="18"/>
                <w:highlight w:val="none"/>
                <w:lang w:bidi="ar"/>
              </w:rPr>
              <w:t>限值</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《水污染物综合排放标准》（DB11/307）</w:t>
            </w:r>
          </w:p>
        </w:tc>
        <w:tc>
          <w:tcPr>
            <w:tcW w:w="82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lang w:bidi="ar"/>
              </w:rPr>
              <w:t>废水</w:t>
            </w:r>
            <w:r>
              <w:rPr>
                <w:rFonts w:ascii="仿宋_GB2312" w:hAnsi="仿宋_GB2312" w:eastAsia="仿宋_GB2312" w:cs="仿宋_GB2312"/>
                <w:color w:val="000000"/>
                <w:sz w:val="18"/>
                <w:szCs w:val="18"/>
                <w:highlight w:val="none"/>
                <w:lang w:bidi="ar"/>
              </w:rPr>
              <w:t>污染物排放符合DB11/307限值要求</w:t>
            </w:r>
          </w:p>
        </w:tc>
        <w:tc>
          <w:tcPr>
            <w:tcW w:w="1053"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jc w:val="center"/>
        </w:trPr>
        <w:tc>
          <w:tcPr>
            <w:tcW w:w="547"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固体废物</w:t>
            </w:r>
          </w:p>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处置</w:t>
            </w: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《清洁生产评价指标体系印刷业》（DB11/T1137）</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平板印刷万元产值工业固体废物（不含危险废物）产生量≤20kg/万元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凸板印刷万元产值工业固体废物（不含危险废物）产生量≤1kg/万元</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数字印刷万元产值工业固体废物（不含危险废物）产生量≤10kg/万元</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平板印刷万元产值工业固体废物（不含危险废物）产生量≤40kg/万元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凸板印刷万元产值工业固体废物（不含危险废物）产生量≤50kg/万元</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数字印刷万元产值工业固体废物（不含危险废物）产生量≤20kg/万元</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企业提供固体废物和危险废物管理计划、固体废物和危险废物统计台账、危险废物转移联单和委托处置合同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nil"/>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《清洁生产评价指标体系印刷业》（DB11/T1137）</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平板印刷万元产值危险废物产生量≤0.50kg/万元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凸版板印刷万元产值危险废物产生量≤0.05kg/万元</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数字板印刷万元产值危险废物产生量≤1.00kg/万元</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平板印刷万元产值危险废物产生量≤2.00kg/万元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凸版板印刷万元产值危险废物产生量≤0.20kg/万元</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数字板印刷万元产值危险废物产生量≤2.00kg/万元</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《危险废物贮存污染控制标准》（GB18597）</w:t>
            </w:r>
          </w:p>
        </w:tc>
        <w:tc>
          <w:tcPr>
            <w:tcW w:w="82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危险废物管理计划报所在地的生态环境部门备案,并按照管理计划做好危险废物的贮存、转移、利用、处置等工作</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危险废物贮存符合GB18597要求</w:t>
            </w:r>
          </w:p>
        </w:tc>
        <w:tc>
          <w:tcPr>
            <w:tcW w:w="1053"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547"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噪声污染</w:t>
            </w:r>
          </w:p>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防治</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《工业企业厂界环境噪声排放标准》（GB12348）</w:t>
            </w:r>
          </w:p>
        </w:tc>
        <w:tc>
          <w:tcPr>
            <w:tcW w:w="3303"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厂界噪声低于GB12348限值5分贝及以上</w:t>
            </w:r>
          </w:p>
        </w:tc>
        <w:tc>
          <w:tcPr>
            <w:tcW w:w="3222"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宋体" w:eastAsia="仿宋_GB2312"/>
                <w:color w:val="0C0C0C"/>
                <w:sz w:val="18"/>
                <w:szCs w:val="18"/>
                <w:highlight w:val="none"/>
              </w:rPr>
              <w:t>厂界噪声低于GB12348限值1</w:t>
            </w:r>
            <w:r>
              <w:rPr>
                <w:rFonts w:hint="eastAsia" w:ascii="仿宋_GB2312" w:hAnsi="仿宋_GB2312" w:eastAsia="仿宋_GB2312" w:cs="仿宋_GB2312"/>
                <w:color w:val="0C0C0C"/>
                <w:sz w:val="18"/>
                <w:szCs w:val="18"/>
                <w:highlight w:val="none"/>
              </w:rPr>
              <w:t>～</w:t>
            </w:r>
            <w:r>
              <w:rPr>
                <w:rFonts w:hint="eastAsia" w:ascii="仿宋_GB2312" w:hAnsi="宋体" w:eastAsia="仿宋_GB2312"/>
                <w:color w:val="0C0C0C"/>
                <w:sz w:val="18"/>
                <w:szCs w:val="18"/>
                <w:highlight w:val="none"/>
              </w:rPr>
              <w:t>5分贝（不含）之间</w:t>
            </w:r>
          </w:p>
        </w:tc>
        <w:tc>
          <w:tcPr>
            <w:tcW w:w="17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宋体" w:eastAsia="仿宋_GB2312"/>
                <w:color w:val="0C0C0C"/>
                <w:sz w:val="18"/>
                <w:szCs w:val="18"/>
                <w:highlight w:val="none"/>
              </w:rPr>
              <w:t>厂界噪声符合GB12348要求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val="en-US" w:eastAsia="zh-CN" w:bidi="ar"/>
              </w:rPr>
              <w:t>5</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监测</w:t>
            </w: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监控</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水平</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自行监测和自动监控</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《排污许可证申请与核发技术规范印刷工业》（HJ1066）</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《北京市重污染天气重点行业应急减排措施制定技术指南》</w:t>
            </w:r>
          </w:p>
        </w:tc>
        <w:tc>
          <w:tcPr>
            <w:tcW w:w="3303"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1.重点排污单位安装在线监控设备；</w:t>
            </w:r>
          </w:p>
          <w:p>
            <w:pPr>
              <w:widowControl/>
              <w:tabs>
                <w:tab w:val="center" w:pos="4153"/>
                <w:tab w:val="right" w:pos="8306"/>
              </w:tabs>
              <w:snapToGrid/>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2</w:t>
            </w:r>
            <w:r>
              <w:rPr>
                <w:rFonts w:hint="eastAsia" w:ascii="仿宋_GB2312" w:hAnsi="仿宋_GB2312" w:eastAsia="仿宋_GB2312" w:cs="仿宋_GB2312"/>
                <w:color w:val="000000"/>
                <w:kern w:val="0"/>
                <w:sz w:val="18"/>
                <w:szCs w:val="18"/>
                <w:highlight w:val="none"/>
                <w:lang w:bidi="ar"/>
              </w:rPr>
              <w:t>.严格执行HJ1066规定的自行监测管理要求；</w:t>
            </w:r>
          </w:p>
          <w:p>
            <w:pPr>
              <w:widowControl/>
              <w:tabs>
                <w:tab w:val="center" w:pos="4153"/>
                <w:tab w:val="right" w:pos="8306"/>
              </w:tabs>
              <w:snapToGrid/>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3</w:t>
            </w:r>
            <w:r>
              <w:rPr>
                <w:rFonts w:hint="eastAsia" w:ascii="仿宋_GB2312" w:hAnsi="仿宋_GB2312" w:eastAsia="仿宋_GB2312" w:cs="仿宋_GB2312"/>
                <w:color w:val="000000"/>
                <w:kern w:val="0"/>
                <w:sz w:val="18"/>
                <w:szCs w:val="18"/>
                <w:highlight w:val="none"/>
                <w:lang w:bidi="ar"/>
              </w:rPr>
              <w:t>.包装装潢及其他印刷（C2319）重点排污</w:t>
            </w:r>
            <w:r>
              <w:rPr>
                <w:rFonts w:hint="eastAsia" w:ascii="仿宋_GB2312" w:hAnsi="仿宋_GB2312" w:eastAsia="仿宋_GB2312" w:cs="仿宋_GB2312"/>
                <w:color w:val="000000"/>
                <w:kern w:val="0"/>
                <w:sz w:val="18"/>
                <w:szCs w:val="18"/>
                <w:highlight w:val="none"/>
                <w:lang w:eastAsia="zh-CN" w:bidi="ar"/>
              </w:rPr>
              <w:t>单位</w:t>
            </w:r>
            <w:r>
              <w:rPr>
                <w:rFonts w:hint="eastAsia" w:ascii="仿宋_GB2312" w:hAnsi="仿宋_GB2312" w:eastAsia="仿宋_GB2312" w:cs="仿宋_GB2312"/>
                <w:color w:val="000000"/>
                <w:kern w:val="0"/>
                <w:sz w:val="18"/>
                <w:szCs w:val="18"/>
                <w:highlight w:val="none"/>
                <w:lang w:bidi="ar"/>
              </w:rPr>
              <w:t>风量大于10000 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/h的主要排放口安装NMHC在线监测设施（FID检测器），自动监控数据保存一年以上；</w:t>
            </w:r>
            <w:r>
              <w:rPr>
                <w:rFonts w:hint="eastAsia" w:ascii="仿宋_GB2312" w:hAnsi="仿宋_GB2312" w:eastAsia="仿宋_GB2312" w:cs="仿宋_GB2312"/>
                <w:color w:val="000000"/>
                <w:kern w:val="0"/>
                <w:sz w:val="18"/>
                <w:szCs w:val="18"/>
                <w:highlight w:val="none"/>
                <w:lang w:eastAsia="zh-CN" w:bidi="ar"/>
              </w:rPr>
              <w:t>主要排放口</w:t>
            </w:r>
            <w:r>
              <w:rPr>
                <w:rFonts w:hint="eastAsia" w:ascii="仿宋_GB2312" w:hAnsi="仿宋_GB2312" w:eastAsia="仿宋_GB2312" w:cs="仿宋_GB2312"/>
                <w:color w:val="000000"/>
                <w:kern w:val="0"/>
                <w:sz w:val="18"/>
                <w:szCs w:val="18"/>
                <w:highlight w:val="none"/>
                <w:lang w:bidi="ar"/>
              </w:rPr>
              <w:t>按照HJ10</w:t>
            </w:r>
            <w:r>
              <w:rPr>
                <w:rFonts w:hint="eastAsia" w:ascii="仿宋_GB2312" w:hAnsi="仿宋_GB2312" w:eastAsia="仿宋_GB2312" w:cs="仿宋_GB2312"/>
                <w:color w:val="000000"/>
                <w:kern w:val="0"/>
                <w:sz w:val="18"/>
                <w:szCs w:val="18"/>
                <w:highlight w:val="none"/>
                <w:lang w:val="en-US" w:eastAsia="zh-CN" w:bidi="ar"/>
              </w:rPr>
              <w:t>66</w:t>
            </w:r>
            <w:r>
              <w:rPr>
                <w:rFonts w:hint="eastAsia" w:ascii="仿宋_GB2312" w:hAnsi="仿宋_GB2312" w:eastAsia="仿宋_GB2312" w:cs="仿宋_GB2312"/>
                <w:color w:val="000000"/>
                <w:kern w:val="0"/>
                <w:sz w:val="18"/>
                <w:szCs w:val="18"/>
                <w:highlight w:val="none"/>
                <w:lang w:bidi="ar"/>
              </w:rPr>
              <w:t>确定；</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4</w:t>
            </w:r>
            <w:r>
              <w:rPr>
                <w:rFonts w:hint="eastAsia" w:ascii="仿宋_GB2312" w:hAnsi="仿宋_GB2312" w:eastAsia="仿宋_GB2312" w:cs="仿宋_GB2312"/>
                <w:color w:val="000000"/>
                <w:kern w:val="0"/>
                <w:sz w:val="18"/>
                <w:szCs w:val="18"/>
                <w:highlight w:val="none"/>
                <w:lang w:bidi="ar"/>
              </w:rPr>
              <w:t>.包装装潢及其他印刷（C2319）</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安装DCS系统、仪器仪表等装置，连续测量并记录治理设施控制指标温度、压力（压差）、时间和频率值。再生式活性炭连续自动测量并记录温度、再生时间和更换周期；更换式活性炭记录温度、更换周期及更换量；数据保存一年以上</w:t>
            </w:r>
          </w:p>
        </w:tc>
        <w:tc>
          <w:tcPr>
            <w:tcW w:w="3222" w:type="dxa"/>
            <w:tcBorders>
              <w:top w:val="single" w:color="000000" w:sz="4" w:space="0"/>
              <w:left w:val="single" w:color="auto" w:sz="4" w:space="0"/>
              <w:bottom w:val="single" w:color="000000" w:sz="4" w:space="0"/>
              <w:right w:val="single" w:color="auto" w:sz="4" w:space="0"/>
            </w:tcBorders>
            <w:noWrap w:val="0"/>
            <w:vAlign w:val="center"/>
          </w:tcPr>
          <w:p>
            <w:pPr>
              <w:widowControl/>
              <w:tabs>
                <w:tab w:val="center" w:pos="4153"/>
                <w:tab w:val="right" w:pos="8306"/>
              </w:tabs>
              <w:snapToGrid/>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1</w:t>
            </w:r>
            <w:r>
              <w:rPr>
                <w:rFonts w:hint="eastAsia" w:ascii="仿宋_GB2312" w:hAnsi="仿宋_GB2312" w:eastAsia="仿宋_GB2312" w:cs="仿宋_GB2312"/>
                <w:color w:val="000000"/>
                <w:kern w:val="0"/>
                <w:sz w:val="18"/>
                <w:szCs w:val="18"/>
                <w:highlight w:val="none"/>
                <w:lang w:bidi="ar"/>
              </w:rPr>
              <w:t>.重点排污单位安装在线监控设备；</w:t>
            </w:r>
          </w:p>
          <w:p>
            <w:pPr>
              <w:widowControl/>
              <w:tabs>
                <w:tab w:val="center" w:pos="4153"/>
                <w:tab w:val="right" w:pos="8306"/>
              </w:tabs>
              <w:snapToGrid/>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2</w:t>
            </w:r>
            <w:r>
              <w:rPr>
                <w:rFonts w:hint="eastAsia" w:ascii="仿宋_GB2312" w:hAnsi="仿宋_GB2312" w:eastAsia="仿宋_GB2312" w:cs="仿宋_GB2312"/>
                <w:color w:val="000000"/>
                <w:kern w:val="0"/>
                <w:sz w:val="18"/>
                <w:szCs w:val="18"/>
                <w:highlight w:val="none"/>
                <w:lang w:bidi="ar"/>
              </w:rPr>
              <w:t>.严格执行HJ1066规定的自行监测管理要求；</w:t>
            </w:r>
          </w:p>
          <w:p>
            <w:pPr>
              <w:widowControl/>
              <w:tabs>
                <w:tab w:val="center" w:pos="4153"/>
                <w:tab w:val="right" w:pos="8306"/>
              </w:tabs>
              <w:snapToGrid/>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3</w:t>
            </w:r>
            <w:r>
              <w:rPr>
                <w:rFonts w:hint="eastAsia" w:ascii="仿宋_GB2312" w:hAnsi="仿宋_GB2312" w:eastAsia="仿宋_GB2312" w:cs="仿宋_GB2312"/>
                <w:color w:val="000000"/>
                <w:kern w:val="0"/>
                <w:sz w:val="18"/>
                <w:szCs w:val="18"/>
                <w:highlight w:val="none"/>
                <w:lang w:bidi="ar"/>
              </w:rPr>
              <w:t>.包装装潢及其他印刷（C2319）重点排污</w:t>
            </w:r>
            <w:r>
              <w:rPr>
                <w:rFonts w:hint="eastAsia" w:ascii="仿宋_GB2312" w:hAnsi="仿宋_GB2312" w:eastAsia="仿宋_GB2312" w:cs="仿宋_GB2312"/>
                <w:color w:val="000000"/>
                <w:kern w:val="0"/>
                <w:sz w:val="18"/>
                <w:szCs w:val="18"/>
                <w:highlight w:val="none"/>
                <w:lang w:eastAsia="zh-CN" w:bidi="ar"/>
              </w:rPr>
              <w:t>单位</w:t>
            </w:r>
            <w:r>
              <w:rPr>
                <w:rFonts w:hint="eastAsia" w:ascii="仿宋_GB2312" w:hAnsi="仿宋_GB2312" w:eastAsia="仿宋_GB2312" w:cs="仿宋_GB2312"/>
                <w:color w:val="000000"/>
                <w:kern w:val="0"/>
                <w:sz w:val="18"/>
                <w:szCs w:val="18"/>
                <w:highlight w:val="none"/>
                <w:lang w:bidi="ar"/>
              </w:rPr>
              <w:t>风量大于10000 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/h的主要排放口安装NMHC在线监测设施（FID检测器），自动监控数据保存一年以上；</w:t>
            </w:r>
            <w:r>
              <w:rPr>
                <w:rFonts w:hint="eastAsia" w:ascii="仿宋_GB2312" w:hAnsi="仿宋_GB2312" w:eastAsia="仿宋_GB2312" w:cs="仿宋_GB2312"/>
                <w:color w:val="000000"/>
                <w:kern w:val="0"/>
                <w:sz w:val="18"/>
                <w:szCs w:val="18"/>
                <w:highlight w:val="none"/>
                <w:lang w:eastAsia="zh-CN" w:bidi="ar"/>
              </w:rPr>
              <w:t>主要排放口</w:t>
            </w:r>
            <w:r>
              <w:rPr>
                <w:rFonts w:hint="eastAsia" w:ascii="仿宋_GB2312" w:hAnsi="仿宋_GB2312" w:eastAsia="仿宋_GB2312" w:cs="仿宋_GB2312"/>
                <w:color w:val="000000"/>
                <w:kern w:val="0"/>
                <w:sz w:val="18"/>
                <w:szCs w:val="18"/>
                <w:highlight w:val="none"/>
                <w:lang w:bidi="ar"/>
              </w:rPr>
              <w:t>按照HJ10</w:t>
            </w:r>
            <w:r>
              <w:rPr>
                <w:rFonts w:hint="eastAsia" w:ascii="仿宋_GB2312" w:hAnsi="仿宋_GB2312" w:eastAsia="仿宋_GB2312" w:cs="仿宋_GB2312"/>
                <w:color w:val="000000"/>
                <w:kern w:val="0"/>
                <w:sz w:val="18"/>
                <w:szCs w:val="18"/>
                <w:highlight w:val="none"/>
                <w:lang w:val="en-US" w:eastAsia="zh-CN" w:bidi="ar"/>
              </w:rPr>
              <w:t>66</w:t>
            </w:r>
            <w:r>
              <w:rPr>
                <w:rFonts w:hint="eastAsia" w:ascii="仿宋_GB2312" w:hAnsi="仿宋_GB2312" w:eastAsia="仿宋_GB2312" w:cs="仿宋_GB2312"/>
                <w:color w:val="000000"/>
                <w:kern w:val="0"/>
                <w:sz w:val="18"/>
                <w:szCs w:val="18"/>
                <w:highlight w:val="none"/>
                <w:lang w:bidi="ar"/>
              </w:rPr>
              <w:t>确定；</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4</w:t>
            </w:r>
            <w:r>
              <w:rPr>
                <w:rFonts w:hint="eastAsia" w:ascii="仿宋_GB2312" w:hAnsi="仿宋_GB2312" w:eastAsia="仿宋_GB2312" w:cs="仿宋_GB2312"/>
                <w:color w:val="000000"/>
                <w:kern w:val="0"/>
                <w:sz w:val="18"/>
                <w:szCs w:val="18"/>
                <w:highlight w:val="none"/>
                <w:lang w:bidi="ar"/>
              </w:rPr>
              <w:t>.包装装潢及其他印刷（C2319）</w:t>
            </w:r>
            <w:r>
              <w:rPr>
                <w:rFonts w:hint="eastAsia" w:ascii="仿宋_GB2312" w:hAnsi="仿宋_GB2312" w:eastAsia="仿宋_GB2312" w:cs="仿宋_GB2312"/>
                <w:color w:val="000000"/>
                <w:kern w:val="0"/>
                <w:sz w:val="18"/>
                <w:szCs w:val="18"/>
                <w:highlight w:val="none"/>
                <w:lang w:eastAsia="zh-CN" w:bidi="ar"/>
              </w:rPr>
              <w:t>企业</w:t>
            </w:r>
            <w:r>
              <w:rPr>
                <w:rFonts w:hint="eastAsia" w:ascii="仿宋_GB2312" w:hAnsi="仿宋_GB2312" w:eastAsia="仿宋_GB2312" w:cs="仿宋_GB2312"/>
                <w:color w:val="000000"/>
                <w:kern w:val="0"/>
                <w:sz w:val="18"/>
                <w:szCs w:val="18"/>
                <w:highlight w:val="none"/>
                <w:lang w:bidi="ar"/>
              </w:rPr>
              <w:t>安装DCS系统、PLC系统、仪器仪表等装置，记录治理设施主要参数，数据保存一年以上</w:t>
            </w:r>
          </w:p>
        </w:tc>
        <w:tc>
          <w:tcPr>
            <w:tcW w:w="17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重点排污单位安装在线监控设备；</w:t>
            </w:r>
            <w:r>
              <w:rPr>
                <w:rFonts w:hint="eastAsia" w:ascii="仿宋_GB2312" w:hAnsi="仿宋_GB2312" w:eastAsia="仿宋_GB2312" w:cs="仿宋_GB2312"/>
                <w:color w:val="000000"/>
                <w:kern w:val="0"/>
                <w:sz w:val="18"/>
                <w:szCs w:val="18"/>
                <w:highlight w:val="none"/>
                <w:lang w:eastAsia="zh-CN" w:bidi="ar"/>
              </w:rPr>
              <w:t>符合</w:t>
            </w:r>
            <w:r>
              <w:rPr>
                <w:rFonts w:hint="eastAsia" w:ascii="仿宋_GB2312" w:hAnsi="仿宋_GB2312" w:eastAsia="仿宋_GB2312" w:cs="仿宋_GB2312"/>
                <w:color w:val="000000"/>
                <w:kern w:val="0"/>
                <w:sz w:val="18"/>
                <w:szCs w:val="18"/>
                <w:highlight w:val="none"/>
                <w:lang w:bidi="ar"/>
              </w:rPr>
              <w:t>HJ1066要求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5" w:hRule="atLeast"/>
          <w:jc w:val="center"/>
        </w:trPr>
        <w:tc>
          <w:tcPr>
            <w:tcW w:w="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val="en-US" w:eastAsia="zh-CN" w:bidi="ar"/>
              </w:rPr>
              <w:t>6</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C0C0C"/>
                <w:kern w:val="0"/>
                <w:sz w:val="18"/>
                <w:szCs w:val="18"/>
                <w:highlight w:val="none"/>
                <w:lang w:bidi="ar"/>
              </w:rPr>
            </w:pPr>
            <w:r>
              <w:rPr>
                <w:rFonts w:hint="eastAsia" w:ascii="仿宋_GB2312" w:hAnsi="仿宋_GB2312" w:eastAsia="仿宋_GB2312" w:cs="仿宋_GB2312"/>
                <w:color w:val="0C0C0C"/>
                <w:kern w:val="0"/>
                <w:sz w:val="18"/>
                <w:szCs w:val="18"/>
                <w:highlight w:val="none"/>
                <w:lang w:bidi="ar"/>
              </w:rPr>
              <w:t>移动</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C0C0C"/>
                <w:kern w:val="0"/>
                <w:sz w:val="18"/>
                <w:szCs w:val="18"/>
                <w:highlight w:val="none"/>
                <w:lang w:bidi="ar"/>
              </w:rPr>
              <w:t>排放源结构及排放</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sz w:val="18"/>
                <w:szCs w:val="18"/>
                <w:highlight w:val="none"/>
              </w:rPr>
              <w:t>车辆</w:t>
            </w:r>
            <w:r>
              <w:rPr>
                <w:rFonts w:hint="eastAsia" w:ascii="仿宋_GB2312" w:hAnsi="仿宋_GB2312" w:eastAsia="仿宋_GB2312" w:cs="仿宋_GB2312"/>
                <w:color w:val="000000"/>
                <w:sz w:val="18"/>
                <w:szCs w:val="18"/>
                <w:highlight w:val="none"/>
                <w:lang w:eastAsia="zh-CN"/>
              </w:rPr>
              <w:t>和非道路移动机械</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《北京市重污染天气重点行业应急减排措施制定技术指南》物料公路运输使用情况</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《汽油车污染物排放限值及测量方法（双怠速法及简易工况法）》（GB18285）</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《柴油车污染物排放限值及测量方法（自由加速法及加载减速法）》（GB3847）</w:t>
            </w:r>
          </w:p>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《非道路柴油移动机械排气烟度限值及测量方法》(GB36886)</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1.物料公路运输全部使用国五及以上排放标准重型载货车辆（含燃气）或新能源车辆，其中新能源车比例不低于30%；</w:t>
            </w:r>
          </w:p>
          <w:p>
            <w:pPr>
              <w:widowControl/>
              <w:numPr>
                <w:ilvl w:val="0"/>
                <w:numId w:val="0"/>
              </w:numPr>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2.厂内运输和通勤全部使用国五及以上排放标准车辆（含燃气）或者新能源车辆，其中新能源车比例不低于30%；</w:t>
            </w:r>
          </w:p>
          <w:p>
            <w:pPr>
              <w:widowControl/>
              <w:numPr>
                <w:ilvl w:val="0"/>
                <w:numId w:val="0"/>
              </w:numPr>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3.厂内非道路移动机械全部使用国三及以上排放标准或者新能源机械，</w:t>
            </w:r>
            <w:r>
              <w:rPr>
                <w:rFonts w:hint="eastAsia" w:ascii="仿宋_GB2312" w:hAnsi="仿宋_GB2312" w:eastAsia="仿宋_GB2312" w:cs="仿宋_GB2312"/>
                <w:color w:val="000000"/>
                <w:kern w:val="0"/>
                <w:sz w:val="18"/>
                <w:szCs w:val="18"/>
                <w:highlight w:val="none"/>
                <w:lang w:eastAsia="zh-CN" w:bidi="ar"/>
              </w:rPr>
              <w:t>其中</w:t>
            </w:r>
            <w:r>
              <w:rPr>
                <w:rFonts w:hint="eastAsia" w:ascii="仿宋_GB2312" w:hAnsi="仿宋_GB2312" w:eastAsia="仿宋_GB2312" w:cs="仿宋_GB2312"/>
                <w:color w:val="000000"/>
                <w:kern w:val="0"/>
                <w:sz w:val="18"/>
                <w:szCs w:val="18"/>
                <w:highlight w:val="none"/>
                <w:lang w:bidi="ar"/>
              </w:rPr>
              <w:t>新能源叉车比例100%</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1.物料公路运输全部使用国五及以上排放标准重型载货车辆（含燃气）或者新能源车辆，其中新能源车比例不低于15%；</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2.厂内运输和通勤全部使用国五及以上排放标准车辆（含燃气）或者新能源车辆，其中新能源车比例不低于15%；</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3.厂内非道路移动机械全部使用国三及以上排放标准或者新能源机械，其中新能源叉车比例100%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尾气达标排放，汽油车、柴油车污染排放应分别满足GB18285和GB3847要求。非道路移动机械污染排放应满足GB36886的要求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企业提供相关车辆材料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547" w:type="dxa"/>
            <w:vMerge w:val="restart"/>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Cs/>
                <w:color w:val="000000"/>
                <w:kern w:val="0"/>
                <w:sz w:val="18"/>
                <w:szCs w:val="18"/>
                <w:highlight w:val="none"/>
                <w:lang w:eastAsia="zh-CN" w:bidi="ar"/>
              </w:rPr>
            </w:pPr>
            <w:r>
              <w:rPr>
                <w:rFonts w:hint="eastAsia" w:ascii="仿宋_GB2312" w:hAnsi="仿宋_GB2312" w:eastAsia="仿宋_GB2312" w:cs="仿宋_GB2312"/>
                <w:bCs/>
                <w:color w:val="000000"/>
                <w:kern w:val="0"/>
                <w:sz w:val="18"/>
                <w:szCs w:val="18"/>
                <w:highlight w:val="none"/>
                <w:lang w:val="en-US" w:eastAsia="zh-CN" w:bidi="ar"/>
              </w:rPr>
              <w:t>7</w:t>
            </w:r>
          </w:p>
        </w:tc>
        <w:tc>
          <w:tcPr>
            <w:tcW w:w="568" w:type="dxa"/>
            <w:vMerge w:val="restart"/>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碳排放管理</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万元产值</w:t>
            </w:r>
          </w:p>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温室气体</w:t>
            </w:r>
          </w:p>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排放量</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《清洁生产评价指标体系印刷业》</w:t>
            </w:r>
          </w:p>
          <w:p>
            <w:pPr>
              <w:widowControl/>
              <w:spacing w:line="220" w:lineRule="exact"/>
              <w:jc w:val="left"/>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（DB11/T1137）</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firstLine="0" w:firstLineChars="0"/>
              <w:jc w:val="both"/>
              <w:textAlignment w:val="center"/>
              <w:rPr>
                <w:rFonts w:hint="eastAsia"/>
                <w:highlight w:val="none"/>
              </w:rPr>
            </w:pPr>
            <w:r>
              <w:rPr>
                <w:rFonts w:hint="eastAsia" w:ascii="仿宋_GB2312" w:hAnsi="仿宋_GB2312" w:eastAsia="仿宋_GB2312" w:cs="仿宋_GB2312"/>
                <w:color w:val="000000"/>
                <w:kern w:val="0"/>
                <w:sz w:val="18"/>
                <w:szCs w:val="18"/>
                <w:highlight w:val="none"/>
                <w:lang w:bidi="ar"/>
              </w:rPr>
              <w:t>≤0.20tCO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/万元</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≤0.50tCO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/万元</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企业向生态环境部提交的报告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restart"/>
            <w:tcBorders>
              <w:top w:val="nil"/>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碳排放信息披露</w:t>
            </w:r>
          </w:p>
        </w:tc>
        <w:tc>
          <w:tcPr>
            <w:tcW w:w="3101" w:type="dxa"/>
            <w:tcBorders>
              <w:top w:val="nil"/>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北京市重点碳排放单位[年二氧化碳排放</w:t>
            </w:r>
            <w:r>
              <w:rPr>
                <w:rFonts w:hint="eastAsia" w:ascii="仿宋_GB2312" w:hAnsi="仿宋_GB2312" w:eastAsia="仿宋_GB2312" w:cs="仿宋_GB2312"/>
                <w:color w:val="000000"/>
                <w:kern w:val="0"/>
                <w:sz w:val="18"/>
                <w:szCs w:val="18"/>
                <w:highlight w:val="none"/>
                <w:lang w:eastAsia="zh-CN" w:bidi="ar"/>
              </w:rPr>
              <w:t>量</w:t>
            </w:r>
            <w:r>
              <w:rPr>
                <w:rFonts w:hint="eastAsia" w:ascii="仿宋_GB2312" w:hAnsi="仿宋_GB2312" w:eastAsia="仿宋_GB2312" w:cs="仿宋_GB2312"/>
                <w:color w:val="000000"/>
                <w:kern w:val="0"/>
                <w:sz w:val="18"/>
                <w:szCs w:val="18"/>
                <w:highlight w:val="none"/>
                <w:lang w:bidi="ar"/>
              </w:rPr>
              <w:t>5000吨</w:t>
            </w:r>
            <w:r>
              <w:rPr>
                <w:rFonts w:hint="eastAsia" w:ascii="仿宋_GB2312" w:hAnsi="仿宋_GB2312" w:eastAsia="仿宋_GB2312" w:cs="仿宋_GB2312"/>
                <w:color w:val="000000"/>
                <w:kern w:val="0"/>
                <w:sz w:val="18"/>
                <w:szCs w:val="18"/>
                <w:highlight w:val="none"/>
                <w:lang w:eastAsia="zh-CN" w:bidi="ar"/>
              </w:rPr>
              <w:t>（含）</w:t>
            </w:r>
            <w:r>
              <w:rPr>
                <w:rFonts w:hint="eastAsia" w:ascii="仿宋_GB2312" w:hAnsi="仿宋_GB2312" w:eastAsia="仿宋_GB2312" w:cs="仿宋_GB2312"/>
                <w:color w:val="000000"/>
                <w:kern w:val="0"/>
                <w:sz w:val="18"/>
                <w:szCs w:val="18"/>
                <w:highlight w:val="none"/>
                <w:lang w:bidi="ar"/>
              </w:rPr>
              <w:t>及以上]</w:t>
            </w:r>
          </w:p>
        </w:tc>
        <w:tc>
          <w:tcPr>
            <w:tcW w:w="3303" w:type="dxa"/>
            <w:tcBorders>
              <w:top w:val="nil"/>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实际碳排放量低于最终核定配额</w:t>
            </w:r>
          </w:p>
        </w:tc>
        <w:tc>
          <w:tcPr>
            <w:tcW w:w="3222" w:type="dxa"/>
            <w:tcBorders>
              <w:top w:val="nil"/>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实际碳排放量等于最终核定配额（含碳交易、上年富余配额抵消）</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nil"/>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北京市一般报告单位[年</w:t>
            </w:r>
            <w:r>
              <w:rPr>
                <w:rFonts w:hint="eastAsia" w:ascii="仿宋_GB2312" w:hAnsi="仿宋_GB2312" w:eastAsia="仿宋_GB2312" w:cs="仿宋_GB2312"/>
                <w:color w:val="000000"/>
                <w:kern w:val="0"/>
                <w:sz w:val="18"/>
                <w:szCs w:val="18"/>
                <w:highlight w:val="none"/>
                <w:lang w:eastAsia="zh-CN" w:bidi="ar"/>
              </w:rPr>
              <w:t>综合</w:t>
            </w:r>
            <w:r>
              <w:rPr>
                <w:rFonts w:hint="eastAsia" w:ascii="仿宋_GB2312" w:hAnsi="仿宋_GB2312" w:eastAsia="仿宋_GB2312" w:cs="仿宋_GB2312"/>
                <w:color w:val="000000"/>
                <w:kern w:val="0"/>
                <w:sz w:val="18"/>
                <w:szCs w:val="18"/>
                <w:highlight w:val="none"/>
                <w:lang w:bidi="ar"/>
              </w:rPr>
              <w:t>能源消</w:t>
            </w:r>
            <w:r>
              <w:rPr>
                <w:rFonts w:hint="eastAsia" w:ascii="仿宋_GB2312" w:hAnsi="仿宋_GB2312" w:eastAsia="仿宋_GB2312" w:cs="仿宋_GB2312"/>
                <w:color w:val="000000"/>
                <w:kern w:val="0"/>
                <w:sz w:val="18"/>
                <w:szCs w:val="18"/>
                <w:highlight w:val="none"/>
                <w:lang w:eastAsia="zh-CN" w:bidi="ar"/>
              </w:rPr>
              <w:t>费总</w:t>
            </w:r>
            <w:r>
              <w:rPr>
                <w:rFonts w:hint="eastAsia" w:ascii="仿宋_GB2312" w:hAnsi="仿宋_GB2312" w:eastAsia="仿宋_GB2312" w:cs="仿宋_GB2312"/>
                <w:color w:val="000000"/>
                <w:kern w:val="0"/>
                <w:sz w:val="18"/>
                <w:szCs w:val="18"/>
                <w:highlight w:val="none"/>
                <w:lang w:bidi="ar"/>
              </w:rPr>
              <w:t>量2000吨标</w:t>
            </w:r>
            <w:r>
              <w:rPr>
                <w:rFonts w:hint="eastAsia" w:ascii="仿宋_GB2312" w:hAnsi="仿宋_GB2312" w:eastAsia="仿宋_GB2312" w:cs="仿宋_GB2312"/>
                <w:color w:val="000000"/>
                <w:kern w:val="0"/>
                <w:sz w:val="18"/>
                <w:szCs w:val="18"/>
                <w:highlight w:val="none"/>
                <w:lang w:eastAsia="zh-CN" w:bidi="ar"/>
              </w:rPr>
              <w:t>准</w:t>
            </w:r>
            <w:r>
              <w:rPr>
                <w:rFonts w:hint="eastAsia" w:ascii="仿宋_GB2312" w:hAnsi="仿宋_GB2312" w:eastAsia="仿宋_GB2312" w:cs="仿宋_GB2312"/>
                <w:color w:val="000000"/>
                <w:kern w:val="0"/>
                <w:sz w:val="18"/>
                <w:szCs w:val="18"/>
                <w:highlight w:val="none"/>
                <w:lang w:bidi="ar"/>
              </w:rPr>
              <w:t>煤</w:t>
            </w:r>
            <w:r>
              <w:rPr>
                <w:rFonts w:hint="eastAsia" w:ascii="仿宋_GB2312" w:hAnsi="仿宋_GB2312" w:eastAsia="仿宋_GB2312" w:cs="仿宋_GB2312"/>
                <w:color w:val="000000"/>
                <w:kern w:val="0"/>
                <w:sz w:val="18"/>
                <w:szCs w:val="18"/>
                <w:highlight w:val="none"/>
                <w:lang w:eastAsia="zh-CN" w:bidi="ar"/>
              </w:rPr>
              <w:t>（含）</w:t>
            </w:r>
            <w:r>
              <w:rPr>
                <w:rFonts w:hint="eastAsia" w:ascii="仿宋_GB2312" w:hAnsi="仿宋_GB2312" w:eastAsia="仿宋_GB2312" w:cs="仿宋_GB2312"/>
                <w:color w:val="000000"/>
                <w:kern w:val="0"/>
                <w:sz w:val="18"/>
                <w:szCs w:val="18"/>
                <w:highlight w:val="none"/>
                <w:lang w:bidi="ar"/>
              </w:rPr>
              <w:t>及以上]</w:t>
            </w:r>
          </w:p>
        </w:tc>
        <w:tc>
          <w:tcPr>
            <w:tcW w:w="82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firstLine="0" w:firstLineChars="0"/>
              <w:jc w:val="both"/>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有碳核算报告和第三方核查报告</w:t>
            </w:r>
          </w:p>
        </w:tc>
        <w:tc>
          <w:tcPr>
            <w:tcW w:w="1053" w:type="dxa"/>
            <w:vMerge w:val="continue"/>
            <w:tcBorders>
              <w:left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top w:val="nil"/>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年</w:t>
            </w:r>
            <w:r>
              <w:rPr>
                <w:rFonts w:hint="eastAsia" w:ascii="仿宋_GB2312" w:hAnsi="仿宋_GB2312" w:eastAsia="仿宋_GB2312" w:cs="仿宋_GB2312"/>
                <w:color w:val="000000"/>
                <w:kern w:val="0"/>
                <w:sz w:val="18"/>
                <w:szCs w:val="18"/>
                <w:highlight w:val="none"/>
                <w:lang w:eastAsia="zh-CN" w:bidi="ar"/>
              </w:rPr>
              <w:t>综合</w:t>
            </w:r>
            <w:r>
              <w:rPr>
                <w:rFonts w:hint="eastAsia" w:ascii="仿宋_GB2312" w:hAnsi="仿宋_GB2312" w:eastAsia="仿宋_GB2312" w:cs="仿宋_GB2312"/>
                <w:color w:val="000000"/>
                <w:kern w:val="0"/>
                <w:sz w:val="18"/>
                <w:szCs w:val="18"/>
                <w:highlight w:val="none"/>
                <w:lang w:bidi="ar"/>
              </w:rPr>
              <w:t>能源消</w:t>
            </w:r>
            <w:r>
              <w:rPr>
                <w:rFonts w:hint="eastAsia" w:ascii="仿宋_GB2312" w:hAnsi="仿宋_GB2312" w:eastAsia="仿宋_GB2312" w:cs="仿宋_GB2312"/>
                <w:color w:val="000000"/>
                <w:kern w:val="0"/>
                <w:sz w:val="18"/>
                <w:szCs w:val="18"/>
                <w:highlight w:val="none"/>
                <w:lang w:eastAsia="zh-CN" w:bidi="ar"/>
              </w:rPr>
              <w:t>费总量</w:t>
            </w:r>
            <w:r>
              <w:rPr>
                <w:rFonts w:hint="eastAsia" w:ascii="仿宋_GB2312" w:hAnsi="仿宋_GB2312" w:eastAsia="仿宋_GB2312" w:cs="仿宋_GB2312"/>
                <w:color w:val="000000"/>
                <w:kern w:val="0"/>
                <w:sz w:val="18"/>
                <w:szCs w:val="18"/>
                <w:highlight w:val="none"/>
                <w:lang w:bidi="ar"/>
              </w:rPr>
              <w:t>2000吨标准煤以下</w:t>
            </w:r>
            <w:r>
              <w:rPr>
                <w:rFonts w:hint="eastAsia" w:ascii="仿宋_GB2312" w:hAnsi="仿宋_GB2312" w:eastAsia="仿宋_GB2312" w:cs="仿宋_GB2312"/>
                <w:color w:val="000000"/>
                <w:kern w:val="0"/>
                <w:sz w:val="18"/>
                <w:szCs w:val="18"/>
                <w:highlight w:val="none"/>
                <w:lang w:eastAsia="zh-CN" w:bidi="ar"/>
              </w:rPr>
              <w:t>的单位</w:t>
            </w:r>
          </w:p>
        </w:tc>
        <w:tc>
          <w:tcPr>
            <w:tcW w:w="82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使用零碳或者低碳的能源或者技术</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购买CCER用于企业碳配额抵消及其他</w:t>
            </w:r>
          </w:p>
        </w:tc>
        <w:tc>
          <w:tcPr>
            <w:tcW w:w="652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购买CCER或者北京市碳普惠项目减排量用于企业碳配额抵消或者企业、活动碳中和</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CCER项目审批证书；企业提供由北京绿色交易所或者国家有关部委认可的其</w:t>
            </w:r>
            <w:r>
              <w:rPr>
                <w:rFonts w:hint="eastAsia" w:ascii="仿宋_GB2312" w:hAnsi="仿宋_GB2312" w:eastAsia="仿宋_GB2312" w:cs="仿宋_GB2312"/>
                <w:color w:val="000000"/>
                <w:kern w:val="0"/>
                <w:sz w:val="18"/>
                <w:szCs w:val="18"/>
                <w:highlight w:val="none"/>
                <w:lang w:eastAsia="zh-CN" w:bidi="ar"/>
              </w:rPr>
              <w:t>他</w:t>
            </w:r>
            <w:r>
              <w:rPr>
                <w:rFonts w:hint="eastAsia" w:ascii="仿宋_GB2312" w:hAnsi="仿宋_GB2312" w:eastAsia="仿宋_GB2312" w:cs="仿宋_GB2312"/>
                <w:color w:val="000000"/>
                <w:kern w:val="0"/>
                <w:sz w:val="18"/>
                <w:szCs w:val="18"/>
                <w:highlight w:val="none"/>
                <w:lang w:bidi="ar"/>
              </w:rPr>
              <w:t>碳交易中心出具的碳交易证明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jc w:val="center"/>
        </w:trPr>
        <w:tc>
          <w:tcPr>
            <w:tcW w:w="547"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lang w:eastAsia="zh-CN"/>
              </w:rPr>
            </w:pPr>
            <w:r>
              <w:rPr>
                <w:rFonts w:hint="eastAsia" w:ascii="仿宋_GB2312" w:hAnsi="仿宋_GB2312" w:eastAsia="仿宋_GB2312" w:cs="仿宋_GB2312"/>
                <w:bCs/>
                <w:color w:val="000000"/>
                <w:kern w:val="0"/>
                <w:sz w:val="18"/>
                <w:szCs w:val="18"/>
                <w:highlight w:val="none"/>
                <w:lang w:val="en-US" w:eastAsia="zh-CN" w:bidi="ar"/>
              </w:rPr>
              <w:t>8</w:t>
            </w:r>
          </w:p>
        </w:tc>
        <w:tc>
          <w:tcPr>
            <w:tcW w:w="56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能源</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管理</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能源管理</w:t>
            </w:r>
          </w:p>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体系</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建立并实施能源管理制度或者开展能源管理体系认证</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《能源管理体系要求及使用指南》（GB/T23331）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《能源管理体系》（ISO50001）</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通过能源管理体系（GB/T23331、ISO50001）第三方认证</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企业建立并实施能源管理制度</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企业提供能源管理制度或者能源管理体系认证证书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能源消耗</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万元产值综合能耗</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平板印刷≤0.05tce/万元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凸版印刷≤0.05tce/万元</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数字印刷≤0.10tce/万元</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平板印刷≤0.15tce/万元</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凸版印刷≤0.07tce/万元</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数字印刷≤0.12tce/万元</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restart"/>
            <w:tcBorders>
              <w:top w:val="single" w:color="000000" w:sz="4" w:space="0"/>
              <w:left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企业提供能耗数据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left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节能设备使用比例</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通用设备均达到二级能效及以上，使用一级能效产品比例≥60%，全部采用烘箱热能回收利用、锅炉烟气余热回收利用、空压机余热回收技术</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通用设备均达到二级能效及以上，使用一级能效产品比例≥40%，采用烘箱热能回收利用、锅炉烟气余热回收利用、空压机余热回收技术中的</w:t>
            </w:r>
            <w:r>
              <w:rPr>
                <w:rFonts w:hint="eastAsia" w:ascii="仿宋_GB2312" w:hAnsi="仿宋_GB2312" w:eastAsia="仿宋_GB2312" w:cs="仿宋_GB2312"/>
                <w:color w:val="000000"/>
                <w:kern w:val="0"/>
                <w:sz w:val="18"/>
                <w:szCs w:val="18"/>
                <w:highlight w:val="none"/>
                <w:lang w:eastAsia="zh-CN" w:bidi="ar"/>
              </w:rPr>
              <w:t>一</w:t>
            </w:r>
            <w:r>
              <w:rPr>
                <w:rFonts w:hint="eastAsia" w:ascii="仿宋_GB2312" w:hAnsi="仿宋_GB2312" w:eastAsia="仿宋_GB2312" w:cs="仿宋_GB2312"/>
                <w:color w:val="000000"/>
                <w:kern w:val="0"/>
                <w:sz w:val="18"/>
                <w:szCs w:val="18"/>
                <w:highlight w:val="none"/>
                <w:lang w:bidi="ar"/>
              </w:rPr>
              <w:t>项</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right w:val="single" w:color="000000" w:sz="4" w:space="0"/>
            </w:tcBorders>
            <w:noWrap w:val="0"/>
            <w:vAlign w:val="center"/>
          </w:tcPr>
          <w:p>
            <w:pPr>
              <w:spacing w:line="22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left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车间温湿度控制</w:t>
            </w:r>
          </w:p>
        </w:tc>
        <w:tc>
          <w:tcPr>
            <w:tcW w:w="3303"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印刷车间的温湿度分区域自动调节控制</w:t>
            </w:r>
          </w:p>
        </w:tc>
        <w:tc>
          <w:tcPr>
            <w:tcW w:w="322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安装温湿度检测设备，人工调节控制</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vMerge w:val="continue"/>
            <w:tcBorders>
              <w:left w:val="single" w:color="000000" w:sz="4" w:space="0"/>
              <w:right w:val="single" w:color="000000" w:sz="4" w:space="0"/>
            </w:tcBorders>
            <w:noWrap w:val="0"/>
            <w:vAlign w:val="center"/>
          </w:tcPr>
          <w:p>
            <w:pPr>
              <w:spacing w:line="22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547"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left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可再生能源使用</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开发太阳能、空气能、地热等清洁能源或者购买绿色电力证书，可再生能源使用比例≥15</w:t>
            </w:r>
            <w:r>
              <w:rPr>
                <w:rFonts w:ascii="仿宋_GB2312" w:hAnsi="仿宋_GB2312" w:eastAsia="仿宋_GB2312" w:cs="仿宋_GB2312"/>
                <w:color w:val="000000"/>
                <w:kern w:val="0"/>
                <w:sz w:val="18"/>
                <w:szCs w:val="18"/>
                <w:highlight w:val="none"/>
                <w:lang w:bidi="ar"/>
              </w:rPr>
              <w:t>%</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开发太阳能、空气能、地热等清洁能源或购买绿色电力证书，可再生能源使用比例≥5</w:t>
            </w:r>
            <w:r>
              <w:rPr>
                <w:rFonts w:ascii="仿宋_GB2312" w:hAnsi="仿宋_GB2312" w:eastAsia="仿宋_GB2312" w:cs="仿宋_GB2312"/>
                <w:color w:val="000000"/>
                <w:kern w:val="0"/>
                <w:sz w:val="18"/>
                <w:szCs w:val="18"/>
                <w:highlight w:val="none"/>
                <w:lang w:bidi="ar"/>
              </w:rPr>
              <w:t>%</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企业提供证明文件，比如项目可研、立项批复等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jc w:val="center"/>
        </w:trPr>
        <w:tc>
          <w:tcPr>
            <w:tcW w:w="547"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68"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vMerge w:val="continue"/>
            <w:tcBorders>
              <w:left w:val="single" w:color="000000" w:sz="4" w:space="0"/>
              <w:bottom w:val="single" w:color="000000" w:sz="4" w:space="0"/>
              <w:right w:val="single" w:color="000000" w:sz="4" w:space="0"/>
            </w:tcBorders>
            <w:noWrap w:val="0"/>
            <w:vAlign w:val="center"/>
          </w:tcPr>
          <w:p>
            <w:pPr>
              <w:spacing w:line="220" w:lineRule="exact"/>
              <w:jc w:val="center"/>
              <w:rPr>
                <w:rFonts w:hint="eastAsia" w:ascii="仿宋_GB2312" w:hAnsi="仿宋_GB2312" w:eastAsia="仿宋_GB2312" w:cs="仿宋_GB2312"/>
                <w:color w:val="000000"/>
                <w:sz w:val="18"/>
                <w:szCs w:val="18"/>
                <w:highlight w:val="none"/>
              </w:rPr>
            </w:pP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办公场所节能、节水</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单位建筑面积综合能耗≤20kgce/m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建筑物单位面积耗热量≤0.19GJ/m</w:t>
            </w:r>
            <w:r>
              <w:rPr>
                <w:rFonts w:hint="eastAsia" w:ascii="仿宋_GB2312" w:hAnsi="仿宋_GB2312" w:eastAsia="仿宋_GB2312" w:cs="仿宋_GB2312"/>
                <w:color w:val="000000"/>
                <w:kern w:val="0"/>
                <w:sz w:val="18"/>
                <w:szCs w:val="18"/>
                <w:highlight w:val="none"/>
                <w:vertAlign w:val="superscript"/>
                <w:lang w:bidi="ar"/>
              </w:rPr>
              <w:t>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等级1、等级2设备使用率≥80%</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单位建筑面积取水量≤1.0m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单位建筑面积综合能耗≤24kgce/m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建筑物单位面积耗热量≤0.</w:t>
            </w:r>
            <w:r>
              <w:rPr>
                <w:rFonts w:hint="eastAsia" w:ascii="仿宋_GB2312" w:hAnsi="仿宋_GB2312" w:eastAsia="仿宋_GB2312" w:cs="仿宋_GB2312"/>
                <w:color w:val="000000"/>
                <w:kern w:val="0"/>
                <w:sz w:val="18"/>
                <w:szCs w:val="18"/>
                <w:highlight w:val="none"/>
                <w:lang w:val="en" w:bidi="ar"/>
              </w:rPr>
              <w:t>23</w:t>
            </w:r>
            <w:r>
              <w:rPr>
                <w:rFonts w:hint="eastAsia" w:ascii="仿宋_GB2312" w:hAnsi="仿宋_GB2312" w:eastAsia="仿宋_GB2312" w:cs="仿宋_GB2312"/>
                <w:color w:val="000000"/>
                <w:kern w:val="0"/>
                <w:sz w:val="18"/>
                <w:szCs w:val="18"/>
                <w:highlight w:val="none"/>
                <w:lang w:bidi="ar"/>
              </w:rPr>
              <w:t>GJ/m</w:t>
            </w:r>
            <w:r>
              <w:rPr>
                <w:rFonts w:hint="eastAsia" w:ascii="仿宋_GB2312" w:hAnsi="仿宋_GB2312" w:eastAsia="仿宋_GB2312" w:cs="仿宋_GB2312"/>
                <w:color w:val="000000"/>
                <w:kern w:val="0"/>
                <w:sz w:val="18"/>
                <w:szCs w:val="18"/>
                <w:highlight w:val="none"/>
                <w:vertAlign w:val="superscript"/>
                <w:lang w:bidi="ar"/>
              </w:rPr>
              <w:t>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等级1、等级2设备使用率≥60%</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单位建筑面积取水量≤1.5m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val="en-US" w:eastAsia="zh-CN" w:bidi="ar"/>
              </w:rPr>
              <w:t>9</w:t>
            </w:r>
          </w:p>
        </w:tc>
        <w:tc>
          <w:tcPr>
            <w:tcW w:w="5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节能</w:t>
            </w: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减碳</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行动</w:t>
            </w:r>
          </w:p>
        </w:tc>
        <w:tc>
          <w:tcPr>
            <w:tcW w:w="961" w:type="dxa"/>
            <w:tcBorders>
              <w:top w:val="single" w:color="000000" w:sz="4" w:space="0"/>
              <w:left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绿色建筑</w:t>
            </w:r>
          </w:p>
        </w:tc>
        <w:tc>
          <w:tcPr>
            <w:tcW w:w="3101" w:type="dxa"/>
            <w:tcBorders>
              <w:top w:val="single" w:color="000000" w:sz="4" w:space="0"/>
              <w:left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企业办公、厂房、仓储、体育场馆等建筑进行可持续建筑的设计、建造和购置消费活动，可持续建筑包括绿色建筑、超低能耗建筑、装配式建筑等；或者既有建筑节能及绿色化改造活动</w:t>
            </w:r>
          </w:p>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《绿色建筑评价标准》（DB11/T825）</w:t>
            </w:r>
          </w:p>
        </w:tc>
        <w:tc>
          <w:tcPr>
            <w:tcW w:w="3303" w:type="dxa"/>
            <w:tcBorders>
              <w:top w:val="single" w:color="000000" w:sz="4" w:space="0"/>
              <w:left w:val="single" w:color="000000" w:sz="4" w:space="0"/>
              <w:right w:val="single" w:color="auto"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近一年竣工新建建筑取得国家或</w:t>
            </w:r>
            <w:r>
              <w:rPr>
                <w:rFonts w:hint="eastAsia" w:ascii="仿宋_GB2312" w:hAnsi="仿宋_GB2312" w:eastAsia="仿宋_GB2312" w:cs="仿宋_GB2312"/>
                <w:color w:val="000000"/>
                <w:kern w:val="0"/>
                <w:sz w:val="18"/>
                <w:szCs w:val="18"/>
                <w:highlight w:val="none"/>
                <w:lang w:eastAsia="zh-CN" w:bidi="ar"/>
              </w:rPr>
              <w:t>本</w:t>
            </w:r>
            <w:r>
              <w:rPr>
                <w:rFonts w:hint="eastAsia" w:ascii="仿宋_GB2312" w:hAnsi="仿宋_GB2312" w:eastAsia="仿宋_GB2312" w:cs="仿宋_GB2312"/>
                <w:color w:val="000000"/>
                <w:kern w:val="0"/>
                <w:sz w:val="18"/>
                <w:szCs w:val="18"/>
                <w:highlight w:val="none"/>
                <w:lang w:bidi="ar"/>
              </w:rPr>
              <w:t>市颁发的绿色建筑星级标识或预评价达到DB11/T825三星级</w:t>
            </w:r>
          </w:p>
        </w:tc>
        <w:tc>
          <w:tcPr>
            <w:tcW w:w="3222" w:type="dxa"/>
            <w:tcBorders>
              <w:top w:val="single" w:color="000000" w:sz="4" w:space="0"/>
              <w:left w:val="single" w:color="auto"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近一年竣工新建建筑取得国家或</w:t>
            </w:r>
            <w:r>
              <w:rPr>
                <w:rFonts w:hint="eastAsia" w:ascii="仿宋_GB2312" w:hAnsi="仿宋_GB2312" w:eastAsia="仿宋_GB2312" w:cs="仿宋_GB2312"/>
                <w:color w:val="000000"/>
                <w:kern w:val="0"/>
                <w:sz w:val="18"/>
                <w:szCs w:val="18"/>
                <w:highlight w:val="none"/>
                <w:lang w:eastAsia="zh-CN" w:bidi="ar"/>
              </w:rPr>
              <w:t>本</w:t>
            </w:r>
            <w:r>
              <w:rPr>
                <w:rFonts w:hint="eastAsia" w:ascii="仿宋_GB2312" w:hAnsi="仿宋_GB2312" w:eastAsia="仿宋_GB2312" w:cs="仿宋_GB2312"/>
                <w:color w:val="000000"/>
                <w:kern w:val="0"/>
                <w:sz w:val="18"/>
                <w:szCs w:val="18"/>
                <w:highlight w:val="none"/>
                <w:lang w:bidi="ar"/>
              </w:rPr>
              <w:t>市颁发的绿色建筑星级标识或预评价达到DB11/T825二星级</w:t>
            </w:r>
            <w:r>
              <w:rPr>
                <w:rFonts w:hint="eastAsia" w:ascii="仿宋_GB2312" w:hAnsi="仿宋_GB2312" w:eastAsia="仿宋_GB2312" w:cs="仿宋_GB2312"/>
                <w:color w:val="000000"/>
                <w:kern w:val="0"/>
                <w:sz w:val="18"/>
                <w:szCs w:val="18"/>
                <w:highlight w:val="none"/>
                <w:lang w:eastAsia="zh-CN" w:bidi="ar"/>
              </w:rPr>
              <w:t>及</w:t>
            </w:r>
            <w:r>
              <w:rPr>
                <w:rFonts w:hint="eastAsia" w:ascii="仿宋_GB2312" w:hAnsi="仿宋_GB2312" w:eastAsia="仿宋_GB2312" w:cs="仿宋_GB2312"/>
                <w:color w:val="000000"/>
                <w:kern w:val="0"/>
                <w:sz w:val="18"/>
                <w:szCs w:val="18"/>
                <w:highlight w:val="none"/>
                <w:lang w:bidi="ar"/>
              </w:rPr>
              <w:t>以上</w:t>
            </w:r>
          </w:p>
        </w:tc>
        <w:tc>
          <w:tcPr>
            <w:tcW w:w="1774" w:type="dxa"/>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企业提供绿色建筑证书，预评价报告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节能技改</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用能单位节能技改工程节能量奖励资金项目</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近三年入选北京市市级或所属区用能单位节能技改工程节能量奖励资金项目公示名单企业</w:t>
            </w:r>
          </w:p>
        </w:tc>
        <w:tc>
          <w:tcPr>
            <w:tcW w:w="49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委官网公布名单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仿宋_GB2312" w:hAnsi="仿宋_GB2312" w:eastAsia="仿宋_GB2312" w:cs="仿宋_GB2312"/>
                <w:color w:val="00000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bidi="ar"/>
              </w:rPr>
              <w:t>10</w:t>
            </w:r>
          </w:p>
        </w:tc>
        <w:tc>
          <w:tcPr>
            <w:tcW w:w="568"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环境</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管理</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清洁生产</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审核</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企业开展清洁生产审核</w:t>
            </w:r>
          </w:p>
        </w:tc>
        <w:tc>
          <w:tcPr>
            <w:tcW w:w="3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企业通过主管部门组织的清洁生产审核评估验收，达到I级水平</w:t>
            </w:r>
          </w:p>
        </w:tc>
        <w:tc>
          <w:tcPr>
            <w:tcW w:w="3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企业开展清洁生产审核，并完成清洁生产审核报告，达到Ⅲ级水平</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企业提供企业清洁生产审核报告和官方网站的公开信息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环境信息</w:t>
            </w:r>
            <w:r>
              <w:rPr>
                <w:rFonts w:hint="eastAsia" w:ascii="仿宋_GB2312" w:hAnsi="仿宋_GB2312" w:eastAsia="仿宋_GB2312" w:cs="仿宋_GB2312"/>
                <w:color w:val="000000"/>
                <w:kern w:val="0"/>
                <w:sz w:val="18"/>
                <w:szCs w:val="18"/>
                <w:highlight w:val="none"/>
                <w:lang w:eastAsia="zh-CN" w:bidi="ar"/>
              </w:rPr>
              <w:t>依法</w:t>
            </w:r>
            <w:r>
              <w:rPr>
                <w:rFonts w:hint="eastAsia" w:ascii="仿宋_GB2312" w:hAnsi="仿宋_GB2312" w:eastAsia="仿宋_GB2312" w:cs="仿宋_GB2312"/>
                <w:color w:val="000000"/>
                <w:kern w:val="0"/>
                <w:sz w:val="18"/>
                <w:szCs w:val="18"/>
                <w:highlight w:val="none"/>
                <w:lang w:bidi="ar"/>
              </w:rPr>
              <w:t>披露</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公开环境相关的信息</w:t>
            </w:r>
          </w:p>
        </w:tc>
        <w:tc>
          <w:tcPr>
            <w:tcW w:w="82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按照《企业环境信息依法披露管理办法》进行</w:t>
            </w:r>
            <w:r>
              <w:rPr>
                <w:rFonts w:hint="eastAsia" w:ascii="仿宋_GB2312" w:hAnsi="仿宋_GB2312" w:eastAsia="仿宋_GB2312" w:cs="仿宋_GB2312"/>
                <w:color w:val="000000"/>
                <w:kern w:val="0"/>
                <w:sz w:val="18"/>
                <w:szCs w:val="18"/>
                <w:highlight w:val="none"/>
                <w:lang w:eastAsia="zh-CN" w:bidi="ar"/>
              </w:rPr>
              <w:t>环境信息依法披露</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企业提供已披露证明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68"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环境事件</w:t>
            </w:r>
          </w:p>
          <w:p>
            <w:pPr>
              <w:widowControl/>
              <w:spacing w:line="240" w:lineRule="exact"/>
              <w:jc w:val="center"/>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和</w:t>
            </w:r>
            <w:r>
              <w:rPr>
                <w:rFonts w:hint="eastAsia" w:ascii="仿宋_GB2312" w:hAnsi="仿宋_GB2312" w:eastAsia="仿宋_GB2312" w:cs="仿宋_GB2312"/>
                <w:color w:val="000000"/>
                <w:kern w:val="0"/>
                <w:sz w:val="18"/>
                <w:szCs w:val="18"/>
                <w:highlight w:val="none"/>
                <w:lang w:eastAsia="zh-CN" w:bidi="ar"/>
              </w:rPr>
              <w:t>生态环境行政处罚</w:t>
            </w:r>
          </w:p>
        </w:tc>
        <w:tc>
          <w:tcPr>
            <w:tcW w:w="3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突发环境事件和</w:t>
            </w:r>
            <w:r>
              <w:rPr>
                <w:rFonts w:hint="eastAsia" w:ascii="仿宋_GB2312" w:hAnsi="仿宋_GB2312" w:eastAsia="仿宋_GB2312" w:cs="仿宋_GB2312"/>
                <w:color w:val="000000"/>
                <w:kern w:val="0"/>
                <w:sz w:val="18"/>
                <w:szCs w:val="18"/>
                <w:highlight w:val="none"/>
                <w:lang w:eastAsia="zh-CN" w:bidi="ar"/>
              </w:rPr>
              <w:t>生态环境行政处罚</w:t>
            </w:r>
          </w:p>
        </w:tc>
        <w:tc>
          <w:tcPr>
            <w:tcW w:w="652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近三年之内未发生突发环境事件、未受到</w:t>
            </w:r>
            <w:r>
              <w:rPr>
                <w:rFonts w:hint="eastAsia" w:ascii="仿宋_GB2312" w:hAnsi="仿宋_GB2312" w:eastAsia="仿宋_GB2312" w:cs="仿宋_GB2312"/>
                <w:color w:val="000000"/>
                <w:kern w:val="0"/>
                <w:sz w:val="18"/>
                <w:szCs w:val="18"/>
                <w:highlight w:val="none"/>
                <w:lang w:eastAsia="zh-CN" w:bidi="ar"/>
              </w:rPr>
              <w:t>市区两级生态环境部门行政处罚</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0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bidi="ar"/>
              </w:rPr>
              <w:t>信用中国等</w:t>
            </w:r>
          </w:p>
        </w:tc>
      </w:tr>
    </w:tbl>
    <w:p>
      <w:pPr>
        <w:outlineLvl w:val="2"/>
        <w:rPr>
          <w:rFonts w:hint="eastAsia" w:ascii="黑体" w:hAnsi="黑体" w:eastAsia="黑体" w:cs="黑体"/>
          <w:sz w:val="32"/>
          <w:szCs w:val="32"/>
          <w:highlight w:val="none"/>
        </w:rPr>
      </w:pPr>
      <w:r>
        <w:rPr>
          <w:rFonts w:hint="eastAsia" w:ascii="仿宋_GB2312" w:hAnsi="仿宋_GB2312" w:eastAsia="仿宋_GB2312" w:cs="仿宋_GB2312"/>
          <w:color w:val="0C0C0C"/>
          <w:kern w:val="0"/>
          <w:szCs w:val="21"/>
          <w:highlight w:val="none"/>
          <w:lang w:bidi="ar"/>
        </w:rPr>
        <w:br w:type="page"/>
      </w:r>
      <w:r>
        <w:rPr>
          <w:rFonts w:hint="eastAsia" w:ascii="黑体" w:hAnsi="黑体" w:eastAsia="黑体" w:cs="黑体"/>
          <w:sz w:val="32"/>
          <w:szCs w:val="32"/>
          <w:highlight w:val="none"/>
          <w:lang w:bidi="ar"/>
        </w:rPr>
        <w:t>1.</w:t>
      </w:r>
      <w:r>
        <w:rPr>
          <w:rFonts w:hint="eastAsia" w:ascii="黑体" w:hAnsi="黑体" w:eastAsia="黑体" w:cs="黑体"/>
          <w:sz w:val="32"/>
          <w:szCs w:val="32"/>
          <w:highlight w:val="none"/>
        </w:rPr>
        <w:t>3木质家具制造（211）企业绿色绩效评价细则</w:t>
      </w:r>
    </w:p>
    <w:p>
      <w:pPr>
        <w:pStyle w:val="2"/>
        <w:ind w:left="420"/>
        <w:rPr>
          <w:rFonts w:hint="eastAsia" w:ascii="仿宋_GB2312" w:hAnsi="仿宋_GB2312" w:cs="仿宋_GB2312"/>
          <w:color w:val="0C0C0C"/>
          <w:kern w:val="0"/>
          <w:szCs w:val="21"/>
          <w:highlight w:val="none"/>
          <w:lang w:bidi="ar"/>
        </w:rPr>
      </w:pPr>
    </w:p>
    <w:tbl>
      <w:tblPr>
        <w:tblStyle w:val="8"/>
        <w:tblW w:w="144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5"/>
        <w:gridCol w:w="5"/>
        <w:gridCol w:w="532"/>
        <w:gridCol w:w="1179"/>
        <w:gridCol w:w="3285"/>
        <w:gridCol w:w="2920"/>
        <w:gridCol w:w="2910"/>
        <w:gridCol w:w="1966"/>
        <w:gridCol w:w="1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510" w:type="dxa"/>
            <w:gridSpan w:val="2"/>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序号</w:t>
            </w:r>
          </w:p>
        </w:tc>
        <w:tc>
          <w:tcPr>
            <w:tcW w:w="532" w:type="dxa"/>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一级指标</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 w:val="18"/>
                <w:szCs w:val="18"/>
                <w:highlight w:val="none"/>
                <w:lang w:bidi="ar"/>
              </w:rPr>
              <w:t>二级</w:t>
            </w:r>
          </w:p>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指标</w:t>
            </w:r>
          </w:p>
        </w:tc>
        <w:tc>
          <w:tcPr>
            <w:tcW w:w="3285" w:type="dxa"/>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评价依据/内容</w:t>
            </w:r>
          </w:p>
        </w:tc>
        <w:tc>
          <w:tcPr>
            <w:tcW w:w="2920" w:type="dxa"/>
            <w:noWrap w:val="0"/>
            <w:vAlign w:val="center"/>
          </w:tcPr>
          <w:p>
            <w:pPr>
              <w:widowControl/>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 w:val="18"/>
                <w:szCs w:val="18"/>
                <w:highlight w:val="none"/>
                <w:lang w:bidi="ar"/>
              </w:rPr>
              <w:t>绿色标杆企业(深绿)</w:t>
            </w:r>
          </w:p>
        </w:tc>
        <w:tc>
          <w:tcPr>
            <w:tcW w:w="2910" w:type="dxa"/>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bCs/>
                <w:sz w:val="18"/>
                <w:szCs w:val="18"/>
                <w:highlight w:val="none"/>
              </w:rPr>
              <w:t>绿色基准企业(浅绿)</w:t>
            </w:r>
          </w:p>
        </w:tc>
        <w:tc>
          <w:tcPr>
            <w:tcW w:w="1966" w:type="dxa"/>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普通合法企业</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b/>
                <w:color w:val="000000"/>
                <w:kern w:val="0"/>
                <w:sz w:val="18"/>
                <w:szCs w:val="18"/>
                <w:highlight w:val="none"/>
                <w:lang w:bidi="ar"/>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10" w:type="dxa"/>
            <w:gridSpan w:val="2"/>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w:t>
            </w:r>
          </w:p>
        </w:tc>
        <w:tc>
          <w:tcPr>
            <w:tcW w:w="532"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原辅材料</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人造板</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《人造板及其制品甲醛释放量分级》（GB/T39600）</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《人造板及其制品挥发性有机化合物释放量分级》（LY/T3230）</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甲醛释放量符合GB/T39600中E0级及以上级别要求的人造板比例</w:t>
            </w:r>
            <w:r>
              <w:rPr>
                <w:rFonts w:ascii="仿宋_GB2312" w:hAnsi="仿宋_GB2312" w:eastAsia="仿宋_GB2312" w:cs="仿宋_GB2312"/>
                <w:color w:val="000000"/>
                <w:kern w:val="0"/>
                <w:sz w:val="18"/>
                <w:szCs w:val="18"/>
                <w:highlight w:val="none"/>
                <w:lang w:bidi="ar"/>
              </w:rPr>
              <w:t>≥30</w:t>
            </w:r>
            <w:r>
              <w:rPr>
                <w:rFonts w:hint="eastAsia" w:ascii="仿宋_GB2312" w:hAnsi="仿宋_GB2312" w:eastAsia="仿宋_GB2312" w:cs="仿宋_GB2312"/>
                <w:color w:val="000000"/>
                <w:kern w:val="0"/>
                <w:sz w:val="18"/>
                <w:szCs w:val="18"/>
                <w:highlight w:val="none"/>
                <w:lang w:bidi="ar"/>
              </w:rPr>
              <w:t>%，挥发性有机物释放量符合LY/T3230中Ⅰ级要求</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甲醛释放量符合GB39600中的E1级要求，挥发性有机物释放限量符合LY/T3230中Ⅱ级要求</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restart"/>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企业提供原</w:t>
            </w:r>
            <w:r>
              <w:rPr>
                <w:rFonts w:hint="eastAsia" w:ascii="仿宋_GB2312" w:hAnsi="仿宋_GB2312" w:eastAsia="仿宋_GB2312" w:cs="仿宋_GB2312"/>
                <w:color w:val="000000"/>
                <w:kern w:val="0"/>
                <w:sz w:val="18"/>
                <w:szCs w:val="18"/>
                <w:highlight w:val="none"/>
                <w:lang w:eastAsia="zh-CN" w:bidi="ar"/>
              </w:rPr>
              <w:t>辅</w:t>
            </w:r>
            <w:r>
              <w:rPr>
                <w:rFonts w:hint="eastAsia" w:ascii="仿宋_GB2312" w:hAnsi="仿宋_GB2312" w:eastAsia="仿宋_GB2312" w:cs="仿宋_GB2312"/>
                <w:color w:val="000000"/>
                <w:kern w:val="0"/>
                <w:sz w:val="18"/>
                <w:szCs w:val="18"/>
                <w:highlight w:val="none"/>
                <w:lang w:bidi="ar"/>
              </w:rPr>
              <w:t>材料明细、VOCs成分检测报告和核算报告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木材</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《中国森林认证森林经营》（GB/T28951）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《中国森林认证产销监管链》（GB/T28952）</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符合GB/T28951或GB/T28952的规定；除次生原料和回收原料外，不得来源于保护区或被授予保护区的木材</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涂料</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《木质家具制造业大气污染物排放标准》（DB11/1202）</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《木器涂料中有害物质限量》（GB18581）</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《低挥发性有机化合物含量涂料产品技术要求》（GB/T 38597）</w:t>
            </w:r>
          </w:p>
        </w:tc>
        <w:tc>
          <w:tcPr>
            <w:tcW w:w="2920" w:type="dxa"/>
            <w:noWrap w:val="0"/>
            <w:vAlign w:val="center"/>
          </w:tcPr>
          <w:p>
            <w:pPr>
              <w:widowControl/>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不使用溶剂型涂料。水性木器涂料、无溶剂涂料、辐射固化涂料VOCs含量低于GB/T38597中限值的80%，其他有害物质含量符合GB18581限值要求</w:t>
            </w:r>
          </w:p>
        </w:tc>
        <w:tc>
          <w:tcPr>
            <w:tcW w:w="4876" w:type="dxa"/>
            <w:gridSpan w:val="2"/>
            <w:noWrap w:val="0"/>
            <w:vAlign w:val="center"/>
          </w:tcPr>
          <w:p>
            <w:pPr>
              <w:widowControl/>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不使用溶剂型涂料</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水性木器涂料、无溶剂涂料、辐射固化涂料VOCs含量符合GB/T38597限值要求，其他有害物质含量符合GB18581限值要求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胶粘剂</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《胶粘剂挥发性有机化合物限量》（GB33372）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《室内装饰装修材料胶粘剂中有害物质限量》（GB18583）</w:t>
            </w:r>
          </w:p>
        </w:tc>
        <w:tc>
          <w:tcPr>
            <w:tcW w:w="7796" w:type="dxa"/>
            <w:gridSpan w:val="3"/>
            <w:noWrap w:val="0"/>
            <w:vAlign w:val="center"/>
          </w:tcPr>
          <w:p>
            <w:pPr>
              <w:widowControl/>
              <w:spacing w:line="240" w:lineRule="exac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sz w:val="18"/>
                <w:szCs w:val="18"/>
                <w:highlight w:val="none"/>
              </w:rPr>
              <w:t>VOCs含量符合GB33372中水基型或本体型胶粘剂限值要求，其他有害物质含量符合GB18583限值要求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清洗剂</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《清洗剂挥发性有机物含量限值》（GB38508）</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不使用溶剂型清洗剂</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t>符合GB38508水基清洗剂使用比例100%</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不使用溶剂型清洗剂。符合GB38508半水基、水基清洗剂合计比例100%</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w:t>
            </w:r>
            <w:r>
              <w:rPr>
                <w:rStyle w:val="12"/>
                <w:rFonts w:hint="default" w:ascii="仿宋_GB2312" w:hAnsi="仿宋_GB2312" w:eastAsia="仿宋_GB2312" w:cs="仿宋_GB2312"/>
                <w:sz w:val="18"/>
                <w:szCs w:val="18"/>
                <w:highlight w:val="none"/>
                <w:lang w:bidi="ar"/>
              </w:rPr>
              <w:t>产值人造板使用量</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《清洁生产评价指标体系家具制造业》（DB11/T1138）</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≤0.40m</w:t>
            </w:r>
            <w:r>
              <w:rPr>
                <w:rStyle w:val="12"/>
                <w:rFonts w:hint="default" w:ascii="仿宋_GB2312" w:hAnsi="仿宋_GB2312" w:eastAsia="仿宋_GB2312" w:cs="仿宋_GB2312"/>
                <w:sz w:val="18"/>
                <w:szCs w:val="18"/>
                <w:highlight w:val="none"/>
                <w:lang w:bidi="ar"/>
              </w:rPr>
              <w:t>³</w:t>
            </w:r>
            <w:r>
              <w:rPr>
                <w:rFonts w:hint="eastAsia" w:ascii="仿宋_GB2312" w:hAnsi="仿宋_GB2312" w:eastAsia="仿宋_GB2312" w:cs="仿宋_GB2312"/>
                <w:color w:val="000000"/>
                <w:kern w:val="0"/>
                <w:sz w:val="18"/>
                <w:szCs w:val="18"/>
                <w:highlight w:val="none"/>
                <w:lang w:bidi="ar"/>
              </w:rPr>
              <w:t>/万元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≤1.10m</w:t>
            </w:r>
            <w:r>
              <w:rPr>
                <w:rStyle w:val="12"/>
                <w:rFonts w:hint="default" w:ascii="仿宋_GB2312" w:hAnsi="仿宋_GB2312" w:eastAsia="仿宋_GB2312" w:cs="仿宋_GB2312"/>
                <w:sz w:val="18"/>
                <w:szCs w:val="18"/>
                <w:highlight w:val="none"/>
                <w:lang w:bidi="ar"/>
              </w:rPr>
              <w:t>³</w:t>
            </w:r>
            <w:r>
              <w:rPr>
                <w:rFonts w:hint="eastAsia" w:ascii="仿宋_GB2312" w:hAnsi="仿宋_GB2312" w:eastAsia="仿宋_GB2312" w:cs="仿宋_GB2312"/>
                <w:color w:val="000000"/>
                <w:kern w:val="0"/>
                <w:sz w:val="18"/>
                <w:szCs w:val="18"/>
                <w:highlight w:val="none"/>
                <w:lang w:bidi="ar"/>
              </w:rPr>
              <w:t>/万元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w:t>
            </w:r>
            <w:r>
              <w:rPr>
                <w:rStyle w:val="12"/>
                <w:rFonts w:hint="default" w:ascii="仿宋_GB2312" w:hAnsi="仿宋_GB2312" w:eastAsia="仿宋_GB2312" w:cs="仿宋_GB2312"/>
                <w:sz w:val="18"/>
                <w:szCs w:val="18"/>
                <w:highlight w:val="none"/>
                <w:lang w:bidi="ar"/>
              </w:rPr>
              <w:t>产值木材使用量</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《清洁生产评价指标体系家具制造业》（DB11/T1138）</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≤0.01m</w:t>
            </w:r>
            <w:r>
              <w:rPr>
                <w:rStyle w:val="12"/>
                <w:rFonts w:hint="default" w:ascii="仿宋_GB2312" w:hAnsi="仿宋_GB2312" w:eastAsia="仿宋_GB2312" w:cs="仿宋_GB2312"/>
                <w:sz w:val="18"/>
                <w:szCs w:val="18"/>
                <w:highlight w:val="none"/>
                <w:lang w:bidi="ar"/>
              </w:rPr>
              <w:t>³</w:t>
            </w:r>
            <w:r>
              <w:rPr>
                <w:rFonts w:hint="eastAsia" w:ascii="仿宋_GB2312" w:hAnsi="仿宋_GB2312" w:eastAsia="仿宋_GB2312" w:cs="仿宋_GB2312"/>
                <w:color w:val="000000"/>
                <w:kern w:val="0"/>
                <w:sz w:val="18"/>
                <w:szCs w:val="18"/>
                <w:highlight w:val="none"/>
                <w:lang w:bidi="ar"/>
              </w:rPr>
              <w:t>/万元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≤0.10m</w:t>
            </w:r>
            <w:r>
              <w:rPr>
                <w:rStyle w:val="12"/>
                <w:rFonts w:hint="default" w:ascii="仿宋_GB2312" w:hAnsi="仿宋_GB2312" w:eastAsia="仿宋_GB2312" w:cs="仿宋_GB2312"/>
                <w:sz w:val="18"/>
                <w:szCs w:val="18"/>
                <w:highlight w:val="none"/>
                <w:lang w:bidi="ar"/>
              </w:rPr>
              <w:t>³</w:t>
            </w:r>
            <w:r>
              <w:rPr>
                <w:rFonts w:hint="eastAsia" w:ascii="仿宋_GB2312" w:hAnsi="仿宋_GB2312" w:eastAsia="仿宋_GB2312" w:cs="仿宋_GB2312"/>
                <w:color w:val="000000"/>
                <w:kern w:val="0"/>
                <w:sz w:val="18"/>
                <w:szCs w:val="18"/>
                <w:highlight w:val="none"/>
                <w:lang w:bidi="ar"/>
              </w:rPr>
              <w:t>/万元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w:t>
            </w:r>
            <w:r>
              <w:rPr>
                <w:rStyle w:val="12"/>
                <w:rFonts w:hint="default" w:ascii="仿宋_GB2312" w:hAnsi="仿宋_GB2312" w:eastAsia="仿宋_GB2312" w:cs="仿宋_GB2312"/>
                <w:sz w:val="18"/>
                <w:szCs w:val="18"/>
                <w:highlight w:val="none"/>
                <w:lang w:bidi="ar"/>
              </w:rPr>
              <w:t>产值涂料使用量</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《清洁生产评价指标体系家具制造业》（DB11/T1138）</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≤0.18kg/万元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≤1.26kg/万元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jc w:val="center"/>
        </w:trPr>
        <w:tc>
          <w:tcPr>
            <w:tcW w:w="510" w:type="dxa"/>
            <w:gridSpan w:val="2"/>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2</w:t>
            </w:r>
          </w:p>
        </w:tc>
        <w:tc>
          <w:tcPr>
            <w:tcW w:w="532"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生产工艺及装备</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绿色</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装备</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《国家工业和信息化领域节能技术装备推荐目录》</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《北京市节能技术产品推荐目录》</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《清洁生产评价指标体系 家具制造业》（DB11/T1138）</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采用《国家工业和信息化领域节能技术装备推荐目录》《北京市节能技术产品推荐目录》推荐的装备，同时达到《清洁生产评价指标体系 木家具制造业》I级基准值</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采用《国家工业和信息化领域节能技术装备推荐目录》《北京市节能技术产品推荐目录》推荐的装备，同时达到《清洁生产评价指标体系 木家具制造业》Ш级基准值</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企业提供项目可研等说明文件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0" w:type="dxa"/>
            <w:gridSpan w:val="2"/>
            <w:tcBorders>
              <w:bottom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3</w:t>
            </w:r>
          </w:p>
        </w:tc>
        <w:tc>
          <w:tcPr>
            <w:tcW w:w="532"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污染治理技术</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先进治污</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技术</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《家具制造工业污染防治可行技术指南》（HJ1180）</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《北京市重污染天气重点行业应急减排措施制定技术指南》</w:t>
            </w:r>
          </w:p>
        </w:tc>
        <w:tc>
          <w:tcPr>
            <w:tcW w:w="5830" w:type="dxa"/>
            <w:gridSpan w:val="2"/>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1.采用HJ1180</w:t>
            </w:r>
            <w:r>
              <w:rPr>
                <w:rFonts w:hint="eastAsia" w:ascii="仿宋_GB2312" w:hAnsi="仿宋_GB2312" w:eastAsia="仿宋_GB2312" w:cs="仿宋_GB2312"/>
                <w:color w:val="000000"/>
                <w:kern w:val="0"/>
                <w:sz w:val="18"/>
                <w:szCs w:val="18"/>
                <w:highlight w:val="none"/>
                <w:lang w:eastAsia="zh-CN" w:bidi="ar"/>
              </w:rPr>
              <w:t>推荐</w:t>
            </w:r>
            <w:r>
              <w:rPr>
                <w:rFonts w:hint="eastAsia" w:ascii="仿宋_GB2312" w:hAnsi="仿宋_GB2312" w:eastAsia="仿宋_GB2312" w:cs="仿宋_GB2312"/>
                <w:color w:val="000000"/>
                <w:kern w:val="0"/>
                <w:sz w:val="18"/>
                <w:szCs w:val="18"/>
                <w:highlight w:val="none"/>
                <w:lang w:bidi="ar"/>
              </w:rPr>
              <w:t>的污染治理技术；</w:t>
            </w:r>
          </w:p>
          <w:p>
            <w:pPr>
              <w:widowControl/>
              <w:adjustRightInd/>
              <w:snapToGrid/>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2</w:t>
            </w:r>
            <w:r>
              <w:rPr>
                <w:rFonts w:hint="eastAsia" w:ascii="仿宋_GB2312" w:hAnsi="仿宋_GB2312" w:eastAsia="仿宋_GB2312" w:cs="仿宋_GB2312"/>
                <w:color w:val="000000"/>
                <w:kern w:val="0"/>
                <w:sz w:val="18"/>
                <w:szCs w:val="18"/>
                <w:highlight w:val="none"/>
                <w:lang w:bidi="ar"/>
              </w:rPr>
              <w:t>.溶剂型涂料：涂饰（含UV涂料喷涂）、干燥、调配、流平等废气采用漆雾预处理+吸附浓缩+燃烧（蓄热燃烧、催化燃烧）工艺处理</w:t>
            </w:r>
            <w:r>
              <w:rPr>
                <w:rFonts w:hint="eastAsia" w:ascii="仿宋_GB2312" w:hAnsi="仿宋_GB2312" w:eastAsia="仿宋_GB2312" w:cs="仿宋_GB2312"/>
                <w:color w:val="000000"/>
                <w:kern w:val="0"/>
                <w:sz w:val="18"/>
                <w:szCs w:val="18"/>
                <w:highlight w:val="none"/>
                <w:lang w:eastAsia="zh-CN" w:bidi="ar"/>
              </w:rPr>
              <w:t>废气</w:t>
            </w:r>
            <w:r>
              <w:rPr>
                <w:rFonts w:hint="eastAsia" w:ascii="仿宋_GB2312" w:hAnsi="仿宋_GB2312" w:eastAsia="仿宋_GB2312" w:cs="仿宋_GB2312"/>
                <w:color w:val="000000"/>
                <w:kern w:val="0"/>
                <w:sz w:val="18"/>
                <w:szCs w:val="18"/>
                <w:highlight w:val="none"/>
                <w:lang w:bidi="ar"/>
              </w:rPr>
              <w:t>；</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val="en-US" w:eastAsia="zh-CN" w:bidi="ar"/>
              </w:rPr>
              <w:t>3</w:t>
            </w:r>
            <w:r>
              <w:rPr>
                <w:rFonts w:hint="eastAsia" w:ascii="仿宋_GB2312" w:hAnsi="仿宋_GB2312" w:eastAsia="仿宋_GB2312" w:cs="仿宋_GB2312"/>
                <w:color w:val="000000"/>
                <w:kern w:val="0"/>
                <w:sz w:val="18"/>
                <w:szCs w:val="18"/>
                <w:highlight w:val="none"/>
                <w:lang w:bidi="ar"/>
              </w:rPr>
              <w:t>.其他涂料：涂饰、干燥、调配、流平等废气采用漆雾预处理+吸附浓缩+燃烧（蓄热燃烧、催化燃烧），NMHC排放速率&lt;2 kg/h末端采用漆雾预处理+吸附法等</w:t>
            </w:r>
            <w:r>
              <w:rPr>
                <w:rFonts w:hint="eastAsia" w:ascii="仿宋_GB2312" w:hAnsi="仿宋_GB2312" w:eastAsia="仿宋_GB2312" w:cs="仿宋_GB2312"/>
                <w:color w:val="000000"/>
                <w:kern w:val="0"/>
                <w:sz w:val="18"/>
                <w:szCs w:val="18"/>
                <w:highlight w:val="none"/>
                <w:lang w:eastAsia="zh-CN" w:bidi="ar"/>
              </w:rPr>
              <w:t>废气</w:t>
            </w:r>
            <w:r>
              <w:rPr>
                <w:rFonts w:hint="eastAsia" w:ascii="仿宋_GB2312" w:hAnsi="仿宋_GB2312" w:eastAsia="仿宋_GB2312" w:cs="仿宋_GB2312"/>
                <w:color w:val="000000"/>
                <w:kern w:val="0"/>
                <w:sz w:val="18"/>
                <w:szCs w:val="18"/>
                <w:highlight w:val="none"/>
                <w:lang w:bidi="ar"/>
              </w:rPr>
              <w:t>技术工艺处理</w:t>
            </w:r>
          </w:p>
        </w:tc>
        <w:tc>
          <w:tcPr>
            <w:tcW w:w="1966" w:type="dxa"/>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eastAsia="zh-CN" w:bidi="ar"/>
              </w:rPr>
              <w:t>未采用单一光氧或者单一等离子治理技术</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5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4</w:t>
            </w:r>
          </w:p>
        </w:tc>
        <w:tc>
          <w:tcPr>
            <w:tcW w:w="532" w:type="dxa"/>
            <w:vMerge w:val="restart"/>
            <w:tcBorders>
              <w:left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污染物排放管理</w:t>
            </w:r>
          </w:p>
        </w:tc>
        <w:tc>
          <w:tcPr>
            <w:tcW w:w="1179"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大气污染物</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排放</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大气污染物</w:t>
            </w:r>
            <w:r>
              <w:rPr>
                <w:rFonts w:hint="eastAsia" w:ascii="仿宋_GB2312" w:hAnsi="仿宋_GB2312" w:eastAsia="仿宋_GB2312" w:cs="仿宋_GB2312"/>
                <w:color w:val="000000"/>
                <w:kern w:val="0"/>
                <w:sz w:val="18"/>
                <w:szCs w:val="18"/>
                <w:highlight w:val="none"/>
                <w:lang w:eastAsia="zh-CN" w:bidi="ar"/>
              </w:rPr>
              <w:t>排放</w:t>
            </w:r>
            <w:r>
              <w:rPr>
                <w:rFonts w:hint="eastAsia" w:ascii="仿宋_GB2312" w:hAnsi="仿宋_GB2312" w:eastAsia="仿宋_GB2312" w:cs="仿宋_GB2312"/>
                <w:color w:val="000000"/>
                <w:kern w:val="0"/>
                <w:sz w:val="18"/>
                <w:szCs w:val="18"/>
                <w:highlight w:val="none"/>
                <w:lang w:bidi="ar"/>
              </w:rPr>
              <w:t>限值</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《木质家具制造业大气污染物排放标准》（DB11/1202）</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《挥发性有机物无组织排放控制标准》（GB37822）</w:t>
            </w:r>
          </w:p>
        </w:tc>
        <w:tc>
          <w:tcPr>
            <w:tcW w:w="2920" w:type="dxa"/>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自行监测非甲烷总烃和颗粒物排放浓度≤DB11/1202的限值的50%，厂界、非封闭涂装工位/或封闭涂装车间门窗口、喷漆打磨车间的无组织排放符合DB11/1202和GB37822的限值要求</w:t>
            </w:r>
          </w:p>
        </w:tc>
        <w:tc>
          <w:tcPr>
            <w:tcW w:w="2910" w:type="dxa"/>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自行监测非甲烷总烃和颗粒物排放浓度≤DB11/1202的限值的75%，厂界、非封闭涂装工位/或封闭涂装车间门窗口、喷漆打磨车间的无组织排放符合DB11/1202和GB37822的限值要求</w:t>
            </w:r>
          </w:p>
        </w:tc>
        <w:tc>
          <w:tcPr>
            <w:tcW w:w="1966" w:type="dxa"/>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各项污染物排放浓度符合DB11/1202的限值要求，厂界、非封闭涂装工位/或封闭涂装车间门窗口、喷漆打磨车间的无组织排放符合DB11/1202和GB37822的限值要求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企业提供检测报告或污染物排放说明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jc w:val="center"/>
        </w:trPr>
        <w:tc>
          <w:tcPr>
            <w:tcW w:w="5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2" w:type="dxa"/>
            <w:vMerge w:val="continue"/>
            <w:tcBorders>
              <w:left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有机废气收集和处理</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喷涂、施胶、机加工、调漆、供漆等产生废气的工序车间或区域整体密闭负压收集，车间进出口设置双道门；</w:t>
            </w:r>
            <w:r>
              <w:rPr>
                <w:rFonts w:hint="eastAsia" w:ascii="仿宋_GB2312" w:hAnsi="仿宋_GB2312" w:eastAsia="仿宋_GB2312" w:cs="仿宋_GB2312"/>
                <w:color w:val="000000"/>
                <w:kern w:val="0"/>
                <w:sz w:val="18"/>
                <w:szCs w:val="18"/>
                <w:highlight w:val="none"/>
                <w:lang w:eastAsia="zh-CN" w:bidi="ar"/>
              </w:rPr>
              <w:t>车间</w:t>
            </w:r>
            <w:r>
              <w:rPr>
                <w:rFonts w:hint="eastAsia" w:ascii="仿宋_GB2312" w:hAnsi="仿宋_GB2312" w:eastAsia="仿宋_GB2312" w:cs="仿宋_GB2312"/>
                <w:color w:val="000000"/>
                <w:kern w:val="0"/>
                <w:sz w:val="18"/>
                <w:szCs w:val="18"/>
                <w:highlight w:val="none"/>
                <w:lang w:bidi="ar"/>
              </w:rPr>
              <w:t>安装负压表，压力差不少于-5Pa</w:t>
            </w:r>
          </w:p>
        </w:tc>
        <w:tc>
          <w:tcPr>
            <w:tcW w:w="4876" w:type="dxa"/>
            <w:gridSpan w:val="2"/>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喷涂、施胶、机加工、调漆、供漆等工序作业场所密闭并对废气进行收集，设备配备外部排风罩排风，且设备最远端风速≥0.3m/s</w:t>
            </w:r>
          </w:p>
        </w:tc>
        <w:tc>
          <w:tcPr>
            <w:tcW w:w="1179" w:type="dxa"/>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510" w:type="dxa"/>
            <w:gridSpan w:val="2"/>
            <w:vMerge w:val="continue"/>
            <w:tcBorders>
              <w:top w:val="single" w:color="auto" w:sz="4" w:space="0"/>
              <w:left w:val="single" w:color="auto" w:sz="4" w:space="0"/>
              <w:bottom w:val="nil"/>
              <w:right w:val="single" w:color="auto" w:sz="4" w:space="0"/>
            </w:tcBorders>
            <w:noWrap w:val="0"/>
            <w:vAlign w:val="center"/>
          </w:tcPr>
          <w:p>
            <w:pPr>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2" w:type="dxa"/>
            <w:vMerge w:val="continue"/>
            <w:tcBorders>
              <w:left w:val="single" w:color="auto" w:sz="4" w:space="0"/>
              <w:bottom w:val="nil"/>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除尘</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除尘系统配备负压式风机动力系统、脉冲清灰系统、变频控制系统、回风处理系统和温感消防系统</w:t>
            </w:r>
            <w:r>
              <w:rPr>
                <w:rFonts w:hint="eastAsia" w:ascii="仿宋_GB2312" w:hAnsi="仿宋_GB2312" w:eastAsia="仿宋_GB2312" w:cs="仿宋_GB2312"/>
                <w:color w:val="000000"/>
                <w:kern w:val="0"/>
                <w:sz w:val="18"/>
                <w:szCs w:val="18"/>
                <w:highlight w:val="none"/>
                <w:lang w:eastAsia="zh-CN" w:bidi="ar"/>
              </w:rPr>
              <w:t>中</w:t>
            </w:r>
            <w:r>
              <w:rPr>
                <w:rFonts w:hint="eastAsia" w:ascii="仿宋_GB2312" w:hAnsi="仿宋_GB2312" w:eastAsia="仿宋_GB2312" w:cs="仿宋_GB2312"/>
                <w:color w:val="000000"/>
                <w:kern w:val="0"/>
                <w:sz w:val="18"/>
                <w:szCs w:val="18"/>
                <w:highlight w:val="none"/>
                <w:lang w:bidi="ar"/>
              </w:rPr>
              <w:t>的3项以上</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除尘系统配备负压式风机动力系统、脉冲清灰系统、变频控制系统、回风处理系统和温感消防系统</w:t>
            </w:r>
            <w:r>
              <w:rPr>
                <w:rFonts w:hint="eastAsia" w:ascii="仿宋_GB2312" w:hAnsi="仿宋_GB2312" w:eastAsia="仿宋_GB2312" w:cs="仿宋_GB2312"/>
                <w:color w:val="000000"/>
                <w:kern w:val="0"/>
                <w:sz w:val="18"/>
                <w:szCs w:val="18"/>
                <w:highlight w:val="none"/>
                <w:lang w:eastAsia="zh-CN" w:bidi="ar"/>
              </w:rPr>
              <w:t>中</w:t>
            </w:r>
            <w:r>
              <w:rPr>
                <w:rFonts w:hint="eastAsia" w:ascii="仿宋_GB2312" w:hAnsi="仿宋_GB2312" w:eastAsia="仿宋_GB2312" w:cs="仿宋_GB2312"/>
                <w:color w:val="000000"/>
                <w:kern w:val="0"/>
                <w:sz w:val="18"/>
                <w:szCs w:val="18"/>
                <w:highlight w:val="none"/>
                <w:lang w:bidi="ar"/>
              </w:rPr>
              <w:t>的2项及以上</w:t>
            </w:r>
          </w:p>
        </w:tc>
        <w:tc>
          <w:tcPr>
            <w:tcW w:w="1966" w:type="dxa"/>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505" w:type="dxa"/>
            <w:tcBorders>
              <w:top w:val="nil"/>
              <w:left w:val="single" w:color="auto" w:sz="4" w:space="0"/>
              <w:bottom w:val="nil"/>
              <w:right w:val="single" w:color="auto" w:sz="4" w:space="0"/>
            </w:tcBorders>
            <w:noWrap w:val="0"/>
            <w:vAlign w:val="center"/>
          </w:tcPr>
          <w:p>
            <w:pPr>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7" w:type="dxa"/>
            <w:gridSpan w:val="2"/>
            <w:tcBorders>
              <w:top w:val="nil"/>
              <w:left w:val="single" w:color="auto" w:sz="4" w:space="0"/>
              <w:bottom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tcBorders>
              <w:left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vMerge w:val="restart"/>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无组织排放</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《挥发性有机物无组织排放控制标准》（GB37822）</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涂料、稀释剂、清洗剂等原辅材料密闭存储，原辅材料调配、使用、回收等过程采用密闭设备或在密闭空间内操作，采用密闭管道或密闭容器等输送；施胶、调配、喷涂、流平和干燥工序在密闭空间内操作，废气排至VOCs废气收集处理系统</w:t>
            </w:r>
          </w:p>
        </w:tc>
        <w:tc>
          <w:tcPr>
            <w:tcW w:w="1179" w:type="dxa"/>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10" w:type="dxa"/>
            <w:gridSpan w:val="2"/>
            <w:vMerge w:val="restart"/>
            <w:tcBorders>
              <w:top w:val="nil"/>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2" w:type="dxa"/>
            <w:vMerge w:val="restart"/>
            <w:tcBorders>
              <w:top w:val="nil"/>
              <w:left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c>
          <w:tcPr>
            <w:tcW w:w="5830" w:type="dxa"/>
            <w:gridSpan w:val="2"/>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开料、砂光等工序设置中央除尘系统；机加工、打磨工序设置中央除尘系统或采用袋式除尘、滤筒除尘等除尘工艺</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开料、机加工、砂光/打磨、焊接等工序配备除尘设施</w:t>
            </w:r>
          </w:p>
        </w:tc>
        <w:tc>
          <w:tcPr>
            <w:tcW w:w="1179" w:type="dxa"/>
            <w:vMerge w:val="restart"/>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5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2" w:type="dxa"/>
            <w:vMerge w:val="continue"/>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万元产值挥发性有机物（VOCs）产生量</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万元产值VOCs产生量≤0.16kg/万元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万元产值VOCs产生量≤0.60kg/万元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5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2" w:type="dxa"/>
            <w:vMerge w:val="continue"/>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水污染物</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排放</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水污染物浓度限值</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《水污染物综合排放标准》（DB11/307）</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lang w:bidi="ar"/>
              </w:rPr>
              <w:t>废水</w:t>
            </w:r>
            <w:r>
              <w:rPr>
                <w:rFonts w:ascii="仿宋_GB2312" w:hAnsi="仿宋_GB2312" w:eastAsia="仿宋_GB2312" w:cs="仿宋_GB2312"/>
                <w:color w:val="000000"/>
                <w:sz w:val="18"/>
                <w:szCs w:val="18"/>
                <w:highlight w:val="none"/>
                <w:lang w:bidi="ar"/>
              </w:rPr>
              <w:t>污染物排放浓度符合DB11/307限值要求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企业提供检测报告或污染物排放说明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510" w:type="dxa"/>
            <w:gridSpan w:val="2"/>
            <w:vMerge w:val="restart"/>
            <w:tcBorders>
              <w:top w:val="single" w:color="auto" w:sz="4" w:space="0"/>
              <w:bottom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4</w:t>
            </w:r>
          </w:p>
        </w:tc>
        <w:tc>
          <w:tcPr>
            <w:tcW w:w="532" w:type="dxa"/>
            <w:vMerge w:val="restart"/>
            <w:tcBorders>
              <w:top w:val="single" w:color="auto" w:sz="4" w:space="0"/>
              <w:bottom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污染物排放管理</w:t>
            </w:r>
          </w:p>
        </w:tc>
        <w:tc>
          <w:tcPr>
            <w:tcW w:w="1179"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固体废物</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处置</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万元产值工业固废（不含危险废物）产生量</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w:t>
            </w:r>
            <w:r>
              <w:rPr>
                <w:rFonts w:hint="eastAsia" w:ascii="仿宋_GB2312" w:hAnsi="仿宋_GB2312" w:eastAsia="仿宋_GB2312" w:cs="仿宋_GB2312"/>
                <w:color w:val="000000"/>
                <w:kern w:val="0"/>
                <w:sz w:val="18"/>
                <w:szCs w:val="18"/>
                <w:highlight w:val="none"/>
                <w:lang w:val="en-US" w:eastAsia="zh-CN" w:bidi="ar"/>
              </w:rPr>
              <w:t>3</w:t>
            </w:r>
            <w:r>
              <w:rPr>
                <w:rFonts w:hint="eastAsia" w:ascii="仿宋_GB2312" w:hAnsi="仿宋_GB2312" w:eastAsia="仿宋_GB2312" w:cs="仿宋_GB2312"/>
                <w:color w:val="000000"/>
                <w:kern w:val="0"/>
                <w:sz w:val="18"/>
                <w:szCs w:val="18"/>
                <w:highlight w:val="none"/>
                <w:lang w:bidi="ar"/>
              </w:rPr>
              <w:t>kg/万元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≤10kg/万元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restart"/>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企业提供污染物处置和核算说明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510" w:type="dxa"/>
            <w:gridSpan w:val="2"/>
            <w:vMerge w:val="continue"/>
            <w:tcBorders>
              <w:top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tcBorders>
              <w:top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《危险废物贮存污染控制标准》（GB18597）</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危险废物管理计划报所在地的生态环境部门备案,并按照管理计划做好危险废物的贮存、转移、利用、处置等工作</w:t>
            </w:r>
            <w:r>
              <w:rPr>
                <w:rFonts w:hint="eastAsia" w:ascii="仿宋_GB2312" w:hAnsi="仿宋_GB2312" w:eastAsia="仿宋_GB2312" w:cs="仿宋_GB2312"/>
                <w:color w:val="000000"/>
                <w:kern w:val="0"/>
                <w:sz w:val="18"/>
                <w:szCs w:val="18"/>
                <w:highlight w:val="none"/>
                <w:lang w:eastAsia="zh-CN" w:bidi="ar"/>
              </w:rPr>
              <w:t>；</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危险废物贮存符合GB18597</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0" w:type="dxa"/>
            <w:gridSpan w:val="2"/>
            <w:vMerge w:val="continue"/>
            <w:tcBorders>
              <w:top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tcBorders>
              <w:top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万元产值危险废物产生量</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≤0.01kg/万元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≤0.05kg/万元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510" w:type="dxa"/>
            <w:gridSpan w:val="2"/>
            <w:vMerge w:val="continue"/>
            <w:tcBorders>
              <w:top w:val="single" w:color="auto" w:sz="4" w:space="0"/>
              <w:bottom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532" w:type="dxa"/>
            <w:vMerge w:val="continue"/>
            <w:tcBorders>
              <w:top w:val="single" w:color="auto" w:sz="4" w:space="0"/>
              <w:bottom w:val="single" w:color="auto" w:sz="4" w:space="0"/>
            </w:tcBorders>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噪声污染</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防治</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《工业企业厂界环境噪声排放标准》（GB12348）</w:t>
            </w:r>
          </w:p>
        </w:tc>
        <w:tc>
          <w:tcPr>
            <w:tcW w:w="2920" w:type="dxa"/>
            <w:tcBorders>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厂界噪声低于GB12348限值5分贝及以上</w:t>
            </w:r>
          </w:p>
        </w:tc>
        <w:tc>
          <w:tcPr>
            <w:tcW w:w="2910" w:type="dxa"/>
            <w:tcBorders>
              <w:left w:val="single" w:color="auto" w:sz="4" w:space="0"/>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宋体" w:eastAsia="仿宋_GB2312"/>
                <w:color w:val="0C0C0C"/>
                <w:sz w:val="18"/>
                <w:szCs w:val="18"/>
                <w:highlight w:val="none"/>
              </w:rPr>
              <w:t>厂界噪声低于GB12348限值1</w:t>
            </w:r>
            <w:r>
              <w:rPr>
                <w:rFonts w:hint="eastAsia" w:ascii="仿宋_GB2312" w:hAnsi="仿宋_GB2312" w:eastAsia="仿宋_GB2312" w:cs="仿宋_GB2312"/>
                <w:color w:val="0C0C0C"/>
                <w:sz w:val="18"/>
                <w:szCs w:val="18"/>
                <w:highlight w:val="none"/>
              </w:rPr>
              <w:t>～</w:t>
            </w:r>
            <w:r>
              <w:rPr>
                <w:rFonts w:hint="eastAsia" w:ascii="仿宋_GB2312" w:hAnsi="宋体" w:eastAsia="仿宋_GB2312"/>
                <w:color w:val="0C0C0C"/>
                <w:sz w:val="18"/>
                <w:szCs w:val="18"/>
                <w:highlight w:val="none"/>
              </w:rPr>
              <w:t>5分贝（不含）之间</w:t>
            </w:r>
          </w:p>
        </w:tc>
        <w:tc>
          <w:tcPr>
            <w:tcW w:w="1966" w:type="dxa"/>
            <w:tcBorders>
              <w:lef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宋体" w:eastAsia="仿宋_GB2312"/>
                <w:color w:val="0C0C0C"/>
                <w:sz w:val="18"/>
                <w:szCs w:val="18"/>
                <w:highlight w:val="none"/>
              </w:rPr>
              <w:t>厂界噪声符合（GB12348）要求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jc w:val="center"/>
        </w:trPr>
        <w:tc>
          <w:tcPr>
            <w:tcW w:w="510" w:type="dxa"/>
            <w:gridSpan w:val="2"/>
            <w:tcBorders>
              <w:top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5</w:t>
            </w:r>
          </w:p>
        </w:tc>
        <w:tc>
          <w:tcPr>
            <w:tcW w:w="532" w:type="dxa"/>
            <w:tcBorders>
              <w:top w:val="single" w:color="auto"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监测监控水平</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自行监测和自动监控</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《排污许可证申请与核发技术规范家具制造工业》（HJ1027）</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《北京市重污染天气重点行业应急减排措施制定技术指南》</w:t>
            </w:r>
          </w:p>
        </w:tc>
        <w:tc>
          <w:tcPr>
            <w:tcW w:w="2920" w:type="dxa"/>
            <w:tcBorders>
              <w:right w:val="single" w:color="auto" w:sz="4" w:space="0"/>
            </w:tcBorders>
            <w:noWrap w:val="0"/>
            <w:vAlign w:val="center"/>
          </w:tcPr>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1.重点排污单位安装在线监控设备；</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2.重点排污</w:t>
            </w:r>
            <w:r>
              <w:rPr>
                <w:rFonts w:hint="eastAsia" w:ascii="仿宋_GB2312" w:hAnsi="仿宋_GB2312" w:eastAsia="仿宋_GB2312" w:cs="仿宋_GB2312"/>
                <w:color w:val="000000"/>
                <w:kern w:val="0"/>
                <w:sz w:val="18"/>
                <w:szCs w:val="18"/>
                <w:highlight w:val="none"/>
                <w:lang w:eastAsia="zh-CN" w:bidi="ar"/>
              </w:rPr>
              <w:t>单位</w:t>
            </w:r>
            <w:r>
              <w:rPr>
                <w:rFonts w:hint="eastAsia" w:ascii="仿宋_GB2312" w:hAnsi="仿宋_GB2312" w:eastAsia="仿宋_GB2312" w:cs="仿宋_GB2312"/>
                <w:color w:val="000000"/>
                <w:kern w:val="0"/>
                <w:sz w:val="18"/>
                <w:szCs w:val="18"/>
                <w:highlight w:val="none"/>
                <w:lang w:bidi="ar"/>
              </w:rPr>
              <w:t>风量大于10000 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/h的主要排放口安装NMHC在线监测设施（FID检测器），自动监控数据保存一年以上</w:t>
            </w:r>
            <w:r>
              <w:rPr>
                <w:rFonts w:hint="eastAsia" w:ascii="仿宋_GB2312" w:hAnsi="仿宋_GB2312" w:eastAsia="仿宋_GB2312" w:cs="仿宋_GB2312"/>
                <w:color w:val="000000"/>
                <w:kern w:val="0"/>
                <w:sz w:val="18"/>
                <w:szCs w:val="18"/>
                <w:highlight w:val="none"/>
                <w:lang w:eastAsia="zh-CN" w:bidi="ar"/>
              </w:rPr>
              <w:t>。主要排放口</w:t>
            </w:r>
            <w:r>
              <w:rPr>
                <w:rFonts w:hint="eastAsia" w:ascii="仿宋_GB2312" w:hAnsi="仿宋_GB2312" w:eastAsia="仿宋_GB2312" w:cs="仿宋_GB2312"/>
                <w:color w:val="000000"/>
                <w:kern w:val="0"/>
                <w:sz w:val="18"/>
                <w:szCs w:val="18"/>
                <w:highlight w:val="none"/>
                <w:lang w:bidi="ar"/>
              </w:rPr>
              <w:t>按照HJ1027确定</w:t>
            </w:r>
          </w:p>
        </w:tc>
        <w:tc>
          <w:tcPr>
            <w:tcW w:w="2910" w:type="dxa"/>
            <w:tcBorders>
              <w:left w:val="single" w:color="auto" w:sz="4" w:space="0"/>
              <w:right w:val="single" w:color="auto" w:sz="4" w:space="0"/>
            </w:tcBorders>
            <w:noWrap w:val="0"/>
            <w:vAlign w:val="center"/>
          </w:tcPr>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1.重点排污单位安装在线监控设备；</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2.重点排污</w:t>
            </w:r>
            <w:r>
              <w:rPr>
                <w:rFonts w:hint="eastAsia" w:ascii="仿宋_GB2312" w:hAnsi="仿宋_GB2312" w:eastAsia="仿宋_GB2312" w:cs="仿宋_GB2312"/>
                <w:color w:val="000000"/>
                <w:kern w:val="0"/>
                <w:sz w:val="18"/>
                <w:szCs w:val="18"/>
                <w:highlight w:val="none"/>
                <w:lang w:eastAsia="zh-CN" w:bidi="ar"/>
              </w:rPr>
              <w:t>单位</w:t>
            </w:r>
            <w:r>
              <w:rPr>
                <w:rFonts w:hint="eastAsia" w:ascii="仿宋_GB2312" w:hAnsi="仿宋_GB2312" w:eastAsia="仿宋_GB2312" w:cs="仿宋_GB2312"/>
                <w:color w:val="000000"/>
                <w:kern w:val="0"/>
                <w:sz w:val="18"/>
                <w:szCs w:val="18"/>
                <w:highlight w:val="none"/>
                <w:lang w:bidi="ar"/>
              </w:rPr>
              <w:t>风量大于10000 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/h的主要排放口安装NMHC自动监测设施，自动监控数据保存一年以上</w:t>
            </w:r>
            <w:r>
              <w:rPr>
                <w:rFonts w:hint="eastAsia" w:ascii="仿宋_GB2312" w:hAnsi="仿宋_GB2312" w:eastAsia="仿宋_GB2312" w:cs="仿宋_GB2312"/>
                <w:color w:val="000000"/>
                <w:kern w:val="0"/>
                <w:sz w:val="18"/>
                <w:szCs w:val="18"/>
                <w:highlight w:val="none"/>
                <w:lang w:eastAsia="zh-CN" w:bidi="ar"/>
              </w:rPr>
              <w:t>。主要排放口</w:t>
            </w:r>
            <w:r>
              <w:rPr>
                <w:rFonts w:hint="eastAsia" w:ascii="仿宋_GB2312" w:hAnsi="仿宋_GB2312" w:eastAsia="仿宋_GB2312" w:cs="仿宋_GB2312"/>
                <w:color w:val="000000"/>
                <w:kern w:val="0"/>
                <w:sz w:val="18"/>
                <w:szCs w:val="18"/>
                <w:highlight w:val="none"/>
                <w:lang w:bidi="ar"/>
              </w:rPr>
              <w:t>按照HJ1027确定</w:t>
            </w:r>
          </w:p>
        </w:tc>
        <w:tc>
          <w:tcPr>
            <w:tcW w:w="1966" w:type="dxa"/>
            <w:tcBorders>
              <w:lef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eastAsia="zh-CN" w:bidi="ar"/>
              </w:rPr>
              <w:t>符合</w:t>
            </w:r>
            <w:r>
              <w:rPr>
                <w:rFonts w:hint="eastAsia" w:ascii="仿宋_GB2312" w:hAnsi="仿宋_GB2312" w:eastAsia="仿宋_GB2312" w:cs="仿宋_GB2312"/>
                <w:color w:val="000000"/>
                <w:kern w:val="0"/>
                <w:sz w:val="18"/>
                <w:szCs w:val="18"/>
                <w:highlight w:val="none"/>
                <w:lang w:bidi="ar"/>
              </w:rPr>
              <w:t>HJ1027要求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atLeast"/>
          <w:jc w:val="center"/>
        </w:trPr>
        <w:tc>
          <w:tcPr>
            <w:tcW w:w="510" w:type="dxa"/>
            <w:gridSpan w:val="2"/>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6</w:t>
            </w:r>
          </w:p>
        </w:tc>
        <w:tc>
          <w:tcPr>
            <w:tcW w:w="532"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移动排放源结构及排放</w:t>
            </w:r>
          </w:p>
        </w:tc>
        <w:tc>
          <w:tcPr>
            <w:tcW w:w="1179" w:type="dxa"/>
            <w:noWrap w:val="0"/>
            <w:vAlign w:val="center"/>
          </w:tcPr>
          <w:p>
            <w:pPr>
              <w:spacing w:line="240" w:lineRule="exact"/>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rPr>
              <w:t>车辆</w:t>
            </w:r>
            <w:r>
              <w:rPr>
                <w:rFonts w:hint="eastAsia" w:ascii="仿宋_GB2312" w:hAnsi="仿宋_GB2312" w:eastAsia="仿宋_GB2312" w:cs="仿宋_GB2312"/>
                <w:color w:val="000000"/>
                <w:sz w:val="18"/>
                <w:szCs w:val="18"/>
                <w:highlight w:val="none"/>
                <w:lang w:eastAsia="zh-CN"/>
              </w:rPr>
              <w:t>和非道路移动机械</w:t>
            </w:r>
          </w:p>
        </w:tc>
        <w:tc>
          <w:tcPr>
            <w:tcW w:w="3285" w:type="dxa"/>
            <w:noWrap w:val="0"/>
            <w:vAlign w:val="center"/>
          </w:tcPr>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《北京市重污染天气重点行业应急减排措施制定技术指南》物料公路运输使用情况</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《汽油车污染物排放限值及测量方法（双怠速法及简易工况法）》（GB18285）</w:t>
            </w:r>
          </w:p>
          <w:p>
            <w:pPr>
              <w:widowControl/>
              <w:spacing w:line="22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《柴油车污染物排放限值及测量方法（自由加速法及加载减速法）》（GB3847）</w:t>
            </w:r>
          </w:p>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《非道路柴油移动机械排气烟度限值及测量方法》(GB36886)</w:t>
            </w:r>
          </w:p>
        </w:tc>
        <w:tc>
          <w:tcPr>
            <w:tcW w:w="2920" w:type="dxa"/>
            <w:noWrap w:val="0"/>
            <w:vAlign w:val="center"/>
          </w:tcPr>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1.物料公路运输全部使用国五及以上排放标准重型载货车辆（含燃气）或新能源车辆，其中新能源车比例不低于30%；</w:t>
            </w:r>
          </w:p>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2.厂内运输和通勤全部使用国五及以上排放标准车辆（含燃气）或新能源车辆，其中新能源车比例不低于30%；</w:t>
            </w:r>
          </w:p>
          <w:p>
            <w:pPr>
              <w:widowControl/>
              <w:spacing w:line="21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3.厂内非道路移动机械全部使用国三及以上排放标准或新能源机械，</w:t>
            </w:r>
            <w:r>
              <w:rPr>
                <w:rFonts w:hint="eastAsia" w:ascii="仿宋_GB2312" w:hAnsi="仿宋_GB2312" w:eastAsia="仿宋_GB2312" w:cs="仿宋_GB2312"/>
                <w:color w:val="000000"/>
                <w:kern w:val="0"/>
                <w:sz w:val="18"/>
                <w:szCs w:val="18"/>
                <w:highlight w:val="none"/>
                <w:lang w:eastAsia="zh-CN" w:bidi="ar"/>
              </w:rPr>
              <w:t>其中</w:t>
            </w:r>
            <w:r>
              <w:rPr>
                <w:rFonts w:hint="eastAsia" w:ascii="仿宋_GB2312" w:hAnsi="仿宋_GB2312" w:eastAsia="仿宋_GB2312" w:cs="仿宋_GB2312"/>
                <w:color w:val="000000"/>
                <w:kern w:val="0"/>
                <w:sz w:val="18"/>
                <w:szCs w:val="18"/>
                <w:highlight w:val="none"/>
                <w:lang w:bidi="ar"/>
              </w:rPr>
              <w:t>新能源叉车比例100%</w:t>
            </w:r>
          </w:p>
        </w:tc>
        <w:tc>
          <w:tcPr>
            <w:tcW w:w="2910" w:type="dxa"/>
            <w:noWrap w:val="0"/>
            <w:vAlign w:val="center"/>
          </w:tcPr>
          <w:p>
            <w:pPr>
              <w:widowControl/>
              <w:numPr>
                <w:ilvl w:val="0"/>
                <w:numId w:val="0"/>
              </w:numPr>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1.物料公路运输全部使用国五及以上排放标准重型载货车辆（含燃气）或新能源车辆，其中新能源车比例不低于15%；</w:t>
            </w:r>
          </w:p>
          <w:p>
            <w:pPr>
              <w:widowControl/>
              <w:numPr>
                <w:ilvl w:val="0"/>
                <w:numId w:val="0"/>
              </w:numPr>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2.厂内运输和通勤全部使用国五及以上排放标准车辆（含燃气）或新能源车辆，其中新能源车比例不低于15%；</w:t>
            </w:r>
          </w:p>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3.厂内非道路移动机械全部使用国三及以上排放标准或新能源机械，其中新能源叉车比例100%</w:t>
            </w:r>
          </w:p>
        </w:tc>
        <w:tc>
          <w:tcPr>
            <w:tcW w:w="1966" w:type="dxa"/>
            <w:noWrap w:val="0"/>
            <w:vAlign w:val="center"/>
          </w:tcPr>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尾气达标排放。汽油车、柴油车污染排放应分别满足GB18285和GB3847要求。非道路移动机械污染排放应满足GB36886的要求</w:t>
            </w:r>
          </w:p>
          <w:p>
            <w:pPr>
              <w:widowControl/>
              <w:spacing w:line="210" w:lineRule="exact"/>
              <w:jc w:val="left"/>
              <w:textAlignment w:val="center"/>
              <w:rPr>
                <w:rFonts w:hint="eastAsia" w:ascii="仿宋_GB2312" w:hAnsi="仿宋_GB2312" w:eastAsia="仿宋_GB2312" w:cs="仿宋_GB2312"/>
                <w:color w:val="000000"/>
                <w:kern w:val="0"/>
                <w:sz w:val="18"/>
                <w:szCs w:val="18"/>
                <w:highlight w:val="none"/>
                <w:lang w:val="en" w:eastAsia="zh-CN" w:bidi="ar"/>
              </w:rPr>
            </w:pP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企业提供相关车辆材料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510" w:type="dxa"/>
            <w:gridSpan w:val="2"/>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7</w:t>
            </w:r>
          </w:p>
        </w:tc>
        <w:tc>
          <w:tcPr>
            <w:tcW w:w="532"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碳排放管理</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万元产值温室气体排放量</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《清洁生产评价指标体系家具制造业》（DB11</w:t>
            </w:r>
            <w:r>
              <w:rPr>
                <w:rFonts w:ascii="仿宋_GB2312" w:hAnsi="仿宋_GB2312" w:eastAsia="仿宋_GB2312" w:cs="仿宋_GB2312"/>
                <w:color w:val="000000"/>
                <w:kern w:val="0"/>
                <w:sz w:val="18"/>
                <w:szCs w:val="18"/>
                <w:highlight w:val="none"/>
                <w:lang w:val="en" w:bidi="ar"/>
              </w:rPr>
              <w:t>/</w:t>
            </w:r>
            <w:r>
              <w:rPr>
                <w:rFonts w:hint="eastAsia" w:ascii="仿宋_GB2312" w:hAnsi="仿宋_GB2312" w:eastAsia="仿宋_GB2312" w:cs="仿宋_GB2312"/>
                <w:color w:val="000000"/>
                <w:kern w:val="0"/>
                <w:sz w:val="18"/>
                <w:szCs w:val="18"/>
                <w:highlight w:val="none"/>
                <w:lang w:bidi="ar"/>
              </w:rPr>
              <w:t>T1138）</w:t>
            </w:r>
          </w:p>
        </w:tc>
        <w:tc>
          <w:tcPr>
            <w:tcW w:w="2920" w:type="dxa"/>
            <w:tcBorders>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≤0.05tCO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/万元</w:t>
            </w:r>
          </w:p>
        </w:tc>
        <w:tc>
          <w:tcPr>
            <w:tcW w:w="2910" w:type="dxa"/>
            <w:tcBorders>
              <w:lef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≤0.12tCO</w:t>
            </w:r>
            <w:r>
              <w:rPr>
                <w:rFonts w:hint="eastAsia" w:ascii="仿宋_GB2312" w:hAnsi="仿宋_GB2312" w:eastAsia="仿宋_GB2312" w:cs="仿宋_GB2312"/>
                <w:color w:val="000000"/>
                <w:kern w:val="0"/>
                <w:sz w:val="18"/>
                <w:szCs w:val="18"/>
                <w:highlight w:val="none"/>
                <w:vertAlign w:val="subscript"/>
                <w:lang w:bidi="ar"/>
              </w:rPr>
              <w:t>2</w:t>
            </w:r>
            <w:r>
              <w:rPr>
                <w:rFonts w:hint="eastAsia" w:ascii="仿宋_GB2312" w:hAnsi="仿宋_GB2312" w:eastAsia="仿宋_GB2312" w:cs="仿宋_GB2312"/>
                <w:color w:val="000000"/>
                <w:kern w:val="0"/>
                <w:sz w:val="18"/>
                <w:szCs w:val="18"/>
                <w:highlight w:val="none"/>
                <w:lang w:bidi="ar"/>
              </w:rPr>
              <w:t>/万元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restart"/>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企业提供碳核算报告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碳排放信息披露</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北京市一般报告单位（年</w:t>
            </w:r>
            <w:r>
              <w:rPr>
                <w:rFonts w:hint="eastAsia" w:ascii="仿宋_GB2312" w:hAnsi="仿宋_GB2312" w:eastAsia="仿宋_GB2312" w:cs="仿宋_GB2312"/>
                <w:color w:val="000000"/>
                <w:kern w:val="0"/>
                <w:sz w:val="18"/>
                <w:szCs w:val="18"/>
                <w:highlight w:val="none"/>
                <w:lang w:eastAsia="zh-CN" w:bidi="ar"/>
              </w:rPr>
              <w:t>综合</w:t>
            </w:r>
            <w:r>
              <w:rPr>
                <w:rFonts w:hint="eastAsia" w:ascii="仿宋_GB2312" w:hAnsi="仿宋_GB2312" w:eastAsia="仿宋_GB2312" w:cs="仿宋_GB2312"/>
                <w:color w:val="000000"/>
                <w:kern w:val="0"/>
                <w:sz w:val="18"/>
                <w:szCs w:val="18"/>
                <w:highlight w:val="none"/>
                <w:lang w:bidi="ar"/>
              </w:rPr>
              <w:t>能源消</w:t>
            </w:r>
            <w:r>
              <w:rPr>
                <w:rFonts w:hint="eastAsia" w:ascii="仿宋_GB2312" w:hAnsi="仿宋_GB2312" w:eastAsia="仿宋_GB2312" w:cs="仿宋_GB2312"/>
                <w:color w:val="000000"/>
                <w:kern w:val="0"/>
                <w:sz w:val="18"/>
                <w:szCs w:val="18"/>
                <w:highlight w:val="none"/>
                <w:lang w:eastAsia="zh-CN" w:bidi="ar"/>
              </w:rPr>
              <w:t>费总</w:t>
            </w:r>
            <w:r>
              <w:rPr>
                <w:rFonts w:hint="eastAsia" w:ascii="仿宋_GB2312" w:hAnsi="仿宋_GB2312" w:eastAsia="仿宋_GB2312" w:cs="仿宋_GB2312"/>
                <w:color w:val="000000"/>
                <w:kern w:val="0"/>
                <w:sz w:val="18"/>
                <w:szCs w:val="18"/>
                <w:highlight w:val="none"/>
                <w:lang w:bidi="ar"/>
              </w:rPr>
              <w:t>量2000吨标</w:t>
            </w:r>
            <w:r>
              <w:rPr>
                <w:rFonts w:hint="eastAsia" w:ascii="仿宋_GB2312" w:hAnsi="仿宋_GB2312" w:eastAsia="仿宋_GB2312" w:cs="仿宋_GB2312"/>
                <w:color w:val="000000"/>
                <w:kern w:val="0"/>
                <w:sz w:val="18"/>
                <w:szCs w:val="18"/>
                <w:highlight w:val="none"/>
                <w:lang w:eastAsia="zh-CN" w:bidi="ar"/>
              </w:rPr>
              <w:t>准</w:t>
            </w:r>
            <w:r>
              <w:rPr>
                <w:rFonts w:hint="eastAsia" w:ascii="仿宋_GB2312" w:hAnsi="仿宋_GB2312" w:eastAsia="仿宋_GB2312" w:cs="仿宋_GB2312"/>
                <w:color w:val="000000"/>
                <w:kern w:val="0"/>
                <w:sz w:val="18"/>
                <w:szCs w:val="18"/>
                <w:highlight w:val="none"/>
                <w:lang w:bidi="ar"/>
              </w:rPr>
              <w:t>煤及以上）</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有碳核算报告和第三方核查报告</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年</w:t>
            </w:r>
            <w:r>
              <w:rPr>
                <w:rFonts w:hint="eastAsia" w:ascii="仿宋_GB2312" w:hAnsi="仿宋_GB2312" w:eastAsia="仿宋_GB2312" w:cs="仿宋_GB2312"/>
                <w:color w:val="000000"/>
                <w:kern w:val="0"/>
                <w:sz w:val="18"/>
                <w:szCs w:val="18"/>
                <w:highlight w:val="none"/>
                <w:lang w:eastAsia="zh-CN" w:bidi="ar"/>
              </w:rPr>
              <w:t>综合</w:t>
            </w:r>
            <w:r>
              <w:rPr>
                <w:rFonts w:hint="eastAsia" w:ascii="仿宋_GB2312" w:hAnsi="仿宋_GB2312" w:eastAsia="仿宋_GB2312" w:cs="仿宋_GB2312"/>
                <w:color w:val="000000"/>
                <w:kern w:val="0"/>
                <w:sz w:val="18"/>
                <w:szCs w:val="18"/>
                <w:highlight w:val="none"/>
                <w:lang w:bidi="ar"/>
              </w:rPr>
              <w:t>能源消</w:t>
            </w:r>
            <w:r>
              <w:rPr>
                <w:rFonts w:hint="eastAsia" w:ascii="仿宋_GB2312" w:hAnsi="仿宋_GB2312" w:eastAsia="仿宋_GB2312" w:cs="仿宋_GB2312"/>
                <w:color w:val="000000"/>
                <w:kern w:val="0"/>
                <w:sz w:val="18"/>
                <w:szCs w:val="18"/>
                <w:highlight w:val="none"/>
                <w:lang w:eastAsia="zh-CN" w:bidi="ar"/>
              </w:rPr>
              <w:t>费总量</w:t>
            </w:r>
            <w:r>
              <w:rPr>
                <w:rFonts w:hint="eastAsia" w:ascii="仿宋_GB2312" w:hAnsi="仿宋_GB2312" w:eastAsia="仿宋_GB2312" w:cs="仿宋_GB2312"/>
                <w:color w:val="000000"/>
                <w:kern w:val="0"/>
                <w:sz w:val="18"/>
                <w:szCs w:val="18"/>
                <w:highlight w:val="none"/>
                <w:lang w:bidi="ar"/>
              </w:rPr>
              <w:t>2000吨标准煤以下</w:t>
            </w:r>
            <w:r>
              <w:rPr>
                <w:rFonts w:hint="eastAsia" w:ascii="仿宋_GB2312" w:hAnsi="仿宋_GB2312" w:eastAsia="仿宋_GB2312" w:cs="仿宋_GB2312"/>
                <w:color w:val="000000"/>
                <w:kern w:val="0"/>
                <w:sz w:val="18"/>
                <w:szCs w:val="18"/>
                <w:highlight w:val="none"/>
                <w:lang w:eastAsia="zh-CN" w:bidi="ar"/>
              </w:rPr>
              <w:t>单位</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使用零碳或低碳的能源或者技术</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购买CCER用于企业碳配额抵消及其他</w:t>
            </w:r>
          </w:p>
        </w:tc>
        <w:tc>
          <w:tcPr>
            <w:tcW w:w="5830" w:type="dxa"/>
            <w:gridSpan w:val="2"/>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购买CCER或者北京市碳普惠项目减排量用于企业碳配额抵消或</w:t>
            </w:r>
            <w:r>
              <w:rPr>
                <w:rFonts w:hint="eastAsia" w:ascii="仿宋_GB2312" w:hAnsi="仿宋_GB2312" w:eastAsia="仿宋_GB2312" w:cs="仿宋_GB2312"/>
                <w:color w:val="000000"/>
                <w:kern w:val="0"/>
                <w:sz w:val="18"/>
                <w:szCs w:val="18"/>
                <w:highlight w:val="none"/>
                <w:lang w:eastAsia="zh-CN" w:bidi="ar"/>
              </w:rPr>
              <w:t>者</w:t>
            </w:r>
            <w:r>
              <w:rPr>
                <w:rFonts w:hint="eastAsia" w:ascii="仿宋_GB2312" w:hAnsi="仿宋_GB2312" w:eastAsia="仿宋_GB2312" w:cs="仿宋_GB2312"/>
                <w:color w:val="000000"/>
                <w:kern w:val="0"/>
                <w:sz w:val="18"/>
                <w:szCs w:val="18"/>
                <w:highlight w:val="none"/>
                <w:lang w:bidi="ar"/>
              </w:rPr>
              <w:t>企业、活动碳中和</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2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企业提供由北京绿色交易所或国家有关部委认可的其</w:t>
            </w:r>
            <w:r>
              <w:rPr>
                <w:rFonts w:hint="eastAsia" w:ascii="仿宋_GB2312" w:hAnsi="仿宋_GB2312" w:eastAsia="仿宋_GB2312" w:cs="仿宋_GB2312"/>
                <w:color w:val="000000"/>
                <w:kern w:val="0"/>
                <w:sz w:val="18"/>
                <w:szCs w:val="18"/>
                <w:highlight w:val="none"/>
                <w:lang w:eastAsia="zh-CN" w:bidi="ar"/>
              </w:rPr>
              <w:t>他</w:t>
            </w:r>
            <w:r>
              <w:rPr>
                <w:rFonts w:hint="eastAsia" w:ascii="仿宋_GB2312" w:hAnsi="仿宋_GB2312" w:eastAsia="仿宋_GB2312" w:cs="仿宋_GB2312"/>
                <w:color w:val="000000"/>
                <w:kern w:val="0"/>
                <w:sz w:val="18"/>
                <w:szCs w:val="18"/>
                <w:highlight w:val="none"/>
                <w:lang w:bidi="ar"/>
              </w:rPr>
              <w:t>碳交易中心出具的碳交易证明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510" w:type="dxa"/>
            <w:gridSpan w:val="2"/>
            <w:vMerge w:val="restart"/>
            <w:noWrap w:val="0"/>
            <w:vAlign w:val="center"/>
          </w:tcPr>
          <w:p>
            <w:pPr>
              <w:widowControl/>
              <w:spacing w:line="240" w:lineRule="exact"/>
              <w:jc w:val="center"/>
              <w:textAlignment w:val="center"/>
              <w:rPr>
                <w:rFonts w:hint="eastAsia" w:ascii="仿宋_GB2312" w:hAnsi="仿宋_GB2312" w:eastAsia="仿宋_GB2312" w:cs="仿宋_GB2312"/>
                <w:b/>
                <w:color w:val="000000"/>
                <w:sz w:val="18"/>
                <w:szCs w:val="18"/>
                <w:highlight w:val="none"/>
              </w:rPr>
            </w:pPr>
            <w:r>
              <w:rPr>
                <w:rFonts w:hint="eastAsia" w:ascii="仿宋_GB2312" w:hAnsi="仿宋_GB2312" w:eastAsia="仿宋_GB2312" w:cs="仿宋_GB2312"/>
                <w:color w:val="000000"/>
                <w:kern w:val="0"/>
                <w:sz w:val="18"/>
                <w:szCs w:val="18"/>
                <w:highlight w:val="none"/>
                <w:lang w:bidi="ar"/>
              </w:rPr>
              <w:t>8</w:t>
            </w:r>
          </w:p>
        </w:tc>
        <w:tc>
          <w:tcPr>
            <w:tcW w:w="532"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能源管理</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能源管理体系</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建立并实施能源管理制度或者开展能源管理体系认证</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《能源管理体系要求及使用指南》（GB/T23331）</w:t>
            </w:r>
            <w:r>
              <w:rPr>
                <w:rFonts w:hint="eastAsia" w:ascii="仿宋_GB2312" w:hAnsi="仿宋_GB2312" w:eastAsia="仿宋_GB2312" w:cs="仿宋_GB2312"/>
                <w:color w:val="000000"/>
                <w:kern w:val="0"/>
                <w:sz w:val="18"/>
                <w:szCs w:val="18"/>
                <w:highlight w:val="none"/>
                <w:lang w:bidi="ar"/>
              </w:rPr>
              <w:br w:type="textWrapping"/>
            </w:r>
            <w:r>
              <w:rPr>
                <w:rFonts w:hint="eastAsia" w:ascii="仿宋_GB2312" w:hAnsi="仿宋_GB2312" w:eastAsia="仿宋_GB2312" w:cs="仿宋_GB2312"/>
                <w:color w:val="000000"/>
                <w:kern w:val="0"/>
                <w:sz w:val="18"/>
                <w:szCs w:val="18"/>
                <w:highlight w:val="none"/>
                <w:lang w:bidi="ar"/>
              </w:rPr>
              <w:t>《能源管理体系》（ISO50001）</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通过能源管理体系（GB/T23331、ISO50001）第三方认证</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企业建立并实施能源管理制度</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企业提供能源管理制度或者能源管理体系认证证书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能源</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消耗</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万元产值综合能耗</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≤13kgce/万元</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≤30kgce/万元</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restart"/>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企业提供能耗数据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节能设备使用比例</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通用设备均达到二级能效及以上，使用一级能效产品比例≥60%</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通用设备均达到二级能效及以上，使用一级能效产品比例≥40%</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vMerge w:val="continue"/>
            <w:noWrap w:val="0"/>
            <w:vAlign w:val="center"/>
          </w:tcPr>
          <w:p>
            <w:pPr>
              <w:spacing w:line="240" w:lineRule="exact"/>
              <w:jc w:val="left"/>
              <w:rPr>
                <w:rFonts w:hint="eastAsia" w:ascii="仿宋_GB2312" w:hAnsi="仿宋_GB2312" w:eastAsia="仿宋_GB2312" w:cs="仿宋_GB2312"/>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可再生能源使用比例</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≥15%</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≥5%</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企业提供证明文件，比如项目可研、立项批复等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b/>
                <w:color w:val="000000"/>
                <w:sz w:val="18"/>
                <w:szCs w:val="18"/>
                <w:highlight w:val="none"/>
              </w:rPr>
            </w:pPr>
          </w:p>
        </w:tc>
        <w:tc>
          <w:tcPr>
            <w:tcW w:w="532"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办公场所节能、节水</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单位建筑面积综合能耗≤20kgce/m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建筑物单位面积耗热量≤0.19GJ/m</w:t>
            </w:r>
            <w:r>
              <w:rPr>
                <w:rFonts w:hint="eastAsia" w:ascii="仿宋_GB2312" w:hAnsi="仿宋_GB2312" w:eastAsia="仿宋_GB2312" w:cs="仿宋_GB2312"/>
                <w:color w:val="000000"/>
                <w:kern w:val="0"/>
                <w:sz w:val="18"/>
                <w:szCs w:val="18"/>
                <w:highlight w:val="none"/>
                <w:vertAlign w:val="superscript"/>
                <w:lang w:bidi="ar"/>
              </w:rPr>
              <w:t>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等级1、等级2设备使用率≥80%</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单位建筑面积取水量≤1.0m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单位建筑面积综合能耗≤24kgce/m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建筑物单位面积耗热量≤0.</w:t>
            </w:r>
            <w:r>
              <w:rPr>
                <w:rFonts w:hint="eastAsia" w:ascii="仿宋_GB2312" w:hAnsi="仿宋_GB2312" w:eastAsia="仿宋_GB2312" w:cs="仿宋_GB2312"/>
                <w:color w:val="000000"/>
                <w:kern w:val="0"/>
                <w:sz w:val="18"/>
                <w:szCs w:val="18"/>
                <w:highlight w:val="none"/>
                <w:lang w:val="en" w:bidi="ar"/>
              </w:rPr>
              <w:t>23</w:t>
            </w:r>
            <w:r>
              <w:rPr>
                <w:rFonts w:hint="eastAsia" w:ascii="仿宋_GB2312" w:hAnsi="仿宋_GB2312" w:eastAsia="仿宋_GB2312" w:cs="仿宋_GB2312"/>
                <w:color w:val="000000"/>
                <w:kern w:val="0"/>
                <w:sz w:val="18"/>
                <w:szCs w:val="18"/>
                <w:highlight w:val="none"/>
                <w:lang w:bidi="ar"/>
              </w:rPr>
              <w:t>GJ/m</w:t>
            </w:r>
            <w:r>
              <w:rPr>
                <w:rFonts w:hint="eastAsia" w:ascii="仿宋_GB2312" w:hAnsi="仿宋_GB2312" w:eastAsia="仿宋_GB2312" w:cs="仿宋_GB2312"/>
                <w:color w:val="000000"/>
                <w:kern w:val="0"/>
                <w:sz w:val="18"/>
                <w:szCs w:val="18"/>
                <w:highlight w:val="none"/>
                <w:vertAlign w:val="superscript"/>
                <w:lang w:bidi="ar"/>
              </w:rPr>
              <w:t>2</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等级1、等级2设备使用率≥60%</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单位建筑面积取水量≤1.5m</w:t>
            </w:r>
            <w:r>
              <w:rPr>
                <w:rFonts w:hint="eastAsia" w:ascii="仿宋_GB2312" w:hAnsi="仿宋_GB2312" w:eastAsia="仿宋_GB2312" w:cs="仿宋_GB2312"/>
                <w:color w:val="000000"/>
                <w:kern w:val="0"/>
                <w:sz w:val="18"/>
                <w:szCs w:val="18"/>
                <w:highlight w:val="none"/>
                <w:vertAlign w:val="superscript"/>
                <w:lang w:bidi="ar"/>
              </w:rPr>
              <w:t>3</w:t>
            </w:r>
            <w:r>
              <w:rPr>
                <w:rFonts w:hint="eastAsia" w:ascii="仿宋_GB2312" w:hAnsi="仿宋_GB2312" w:eastAsia="仿宋_GB2312" w:cs="仿宋_GB2312"/>
                <w:color w:val="000000"/>
                <w:kern w:val="0"/>
                <w:sz w:val="18"/>
                <w:szCs w:val="18"/>
                <w:highlight w:val="none"/>
                <w:lang w:bidi="ar"/>
              </w:rPr>
              <w:t>/m</w:t>
            </w:r>
            <w:r>
              <w:rPr>
                <w:rFonts w:hint="eastAsia" w:ascii="仿宋_GB2312" w:hAnsi="仿宋_GB2312" w:eastAsia="仿宋_GB2312" w:cs="仿宋_GB2312"/>
                <w:color w:val="000000"/>
                <w:kern w:val="0"/>
                <w:sz w:val="18"/>
                <w:szCs w:val="18"/>
                <w:highlight w:val="none"/>
                <w:vertAlign w:val="superscript"/>
                <w:lang w:bidi="ar"/>
              </w:rPr>
              <w:t>2</w:t>
            </w:r>
            <w:r>
              <w:rPr>
                <w:rFonts w:hint="eastAsia" w:ascii="仿宋_GB2312" w:hAnsi="仿宋_GB2312" w:eastAsia="仿宋_GB2312" w:cs="仿宋_GB2312"/>
                <w:color w:val="000000"/>
                <w:kern w:val="0"/>
                <w:sz w:val="18"/>
                <w:szCs w:val="18"/>
                <w:highlight w:val="none"/>
                <w:lang w:bidi="ar"/>
              </w:rPr>
              <w:t>·a</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企业提供能耗、水耗数据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jc w:val="center"/>
        </w:trPr>
        <w:tc>
          <w:tcPr>
            <w:tcW w:w="505" w:type="dxa"/>
            <w:vMerge w:val="restart"/>
            <w:noWrap w:val="0"/>
            <w:vAlign w:val="center"/>
          </w:tcPr>
          <w:p>
            <w:pPr>
              <w:widowControl/>
              <w:spacing w:line="240" w:lineRule="exact"/>
              <w:jc w:val="center"/>
              <w:textAlignment w:val="center"/>
              <w:rPr>
                <w:rFonts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9</w:t>
            </w:r>
          </w:p>
        </w:tc>
        <w:tc>
          <w:tcPr>
            <w:tcW w:w="537" w:type="dxa"/>
            <w:gridSpan w:val="2"/>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节能减碳行动</w:t>
            </w: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绿色</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建筑</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企业办公、厂房、仓储、体育场馆等建筑进行可持续建筑的设计、建造和购置消费活动，可持续建筑包括绿色建筑、超低能耗建筑、装配式建筑等；或者既有建筑节能及绿色化改造活动</w:t>
            </w:r>
          </w:p>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《绿色建筑评价标准》（DB11/T825）</w:t>
            </w:r>
          </w:p>
        </w:tc>
        <w:tc>
          <w:tcPr>
            <w:tcW w:w="2920" w:type="dxa"/>
            <w:tcBorders>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近一年竣工新建建筑取得国家或</w:t>
            </w:r>
            <w:r>
              <w:rPr>
                <w:rFonts w:hint="eastAsia" w:ascii="仿宋_GB2312" w:hAnsi="仿宋_GB2312" w:eastAsia="仿宋_GB2312" w:cs="仿宋_GB2312"/>
                <w:color w:val="000000"/>
                <w:kern w:val="0"/>
                <w:sz w:val="18"/>
                <w:szCs w:val="18"/>
                <w:highlight w:val="none"/>
                <w:lang w:eastAsia="zh-CN" w:bidi="ar"/>
              </w:rPr>
              <w:t>本</w:t>
            </w:r>
            <w:r>
              <w:rPr>
                <w:rFonts w:hint="eastAsia" w:ascii="仿宋_GB2312" w:hAnsi="仿宋_GB2312" w:eastAsia="仿宋_GB2312" w:cs="仿宋_GB2312"/>
                <w:color w:val="000000"/>
                <w:kern w:val="0"/>
                <w:sz w:val="18"/>
                <w:szCs w:val="18"/>
                <w:highlight w:val="none"/>
                <w:lang w:bidi="ar"/>
              </w:rPr>
              <w:t>市颁发的绿色建筑星级标识</w:t>
            </w:r>
            <w:r>
              <w:rPr>
                <w:rFonts w:hint="eastAsia" w:ascii="仿宋_GB2312" w:hAnsi="仿宋_GB2312" w:eastAsia="仿宋_GB2312" w:cs="仿宋_GB2312"/>
                <w:color w:val="000000"/>
                <w:kern w:val="0"/>
                <w:sz w:val="18"/>
                <w:szCs w:val="18"/>
                <w:highlight w:val="none"/>
                <w:lang w:eastAsia="zh-CN" w:bidi="ar"/>
              </w:rPr>
              <w:t>或</w:t>
            </w:r>
            <w:r>
              <w:rPr>
                <w:rFonts w:hint="eastAsia" w:ascii="仿宋_GB2312" w:hAnsi="仿宋_GB2312" w:eastAsia="仿宋_GB2312" w:cs="仿宋_GB2312"/>
                <w:color w:val="000000"/>
                <w:kern w:val="0"/>
                <w:sz w:val="18"/>
                <w:szCs w:val="18"/>
                <w:highlight w:val="none"/>
                <w:lang w:bidi="ar"/>
              </w:rPr>
              <w:t>预评价达到DB11/T825三星级</w:t>
            </w:r>
          </w:p>
        </w:tc>
        <w:tc>
          <w:tcPr>
            <w:tcW w:w="2910" w:type="dxa"/>
            <w:tcBorders>
              <w:lef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近一年竣工新建建筑取得国家或</w:t>
            </w:r>
            <w:r>
              <w:rPr>
                <w:rFonts w:hint="eastAsia" w:ascii="仿宋_GB2312" w:hAnsi="仿宋_GB2312" w:eastAsia="仿宋_GB2312" w:cs="仿宋_GB2312"/>
                <w:color w:val="000000"/>
                <w:kern w:val="0"/>
                <w:sz w:val="18"/>
                <w:szCs w:val="18"/>
                <w:highlight w:val="none"/>
                <w:lang w:eastAsia="zh-CN" w:bidi="ar"/>
              </w:rPr>
              <w:t>本</w:t>
            </w:r>
            <w:r>
              <w:rPr>
                <w:rFonts w:hint="eastAsia" w:ascii="仿宋_GB2312" w:hAnsi="仿宋_GB2312" w:eastAsia="仿宋_GB2312" w:cs="仿宋_GB2312"/>
                <w:color w:val="000000"/>
                <w:kern w:val="0"/>
                <w:sz w:val="18"/>
                <w:szCs w:val="18"/>
                <w:highlight w:val="none"/>
                <w:lang w:bidi="ar"/>
              </w:rPr>
              <w:t>市颁发的绿色建筑星级标识或预评价达到DB11/T825二星级</w:t>
            </w:r>
            <w:r>
              <w:rPr>
                <w:rFonts w:hint="eastAsia" w:ascii="仿宋_GB2312" w:hAnsi="仿宋_GB2312" w:eastAsia="仿宋_GB2312" w:cs="仿宋_GB2312"/>
                <w:color w:val="000000"/>
                <w:kern w:val="0"/>
                <w:sz w:val="18"/>
                <w:szCs w:val="18"/>
                <w:highlight w:val="none"/>
                <w:lang w:eastAsia="zh-CN" w:bidi="ar"/>
              </w:rPr>
              <w:t>及以上</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企业提供绿色建筑证书，预评价报告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505" w:type="dxa"/>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7"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节能</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技改</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用能单位节能技改工程节能量奖励资金项目</w:t>
            </w:r>
          </w:p>
        </w:tc>
        <w:tc>
          <w:tcPr>
            <w:tcW w:w="5830" w:type="dxa"/>
            <w:gridSpan w:val="2"/>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近三年入选北京市市级或所属区用能单位节能技改工程节能量奖励资金项目公示名单企业</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委官网公布名单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jc w:val="center"/>
        </w:trPr>
        <w:tc>
          <w:tcPr>
            <w:tcW w:w="510" w:type="dxa"/>
            <w:gridSpan w:val="2"/>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10</w:t>
            </w:r>
          </w:p>
        </w:tc>
        <w:tc>
          <w:tcPr>
            <w:tcW w:w="532" w:type="dxa"/>
            <w:vMerge w:val="restart"/>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环境</w:t>
            </w:r>
          </w:p>
          <w:p>
            <w:pPr>
              <w:widowControl/>
              <w:spacing w:line="240" w:lineRule="exact"/>
              <w:jc w:val="center"/>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管理</w:t>
            </w:r>
          </w:p>
        </w:tc>
        <w:tc>
          <w:tcPr>
            <w:tcW w:w="1179" w:type="dxa"/>
            <w:noWrap w:val="0"/>
            <w:vAlign w:val="center"/>
          </w:tcPr>
          <w:p>
            <w:pPr>
              <w:spacing w:line="240" w:lineRule="exact"/>
              <w:jc w:val="center"/>
              <w:rPr>
                <w:rFonts w:hint="eastAsia" w:ascii="仿宋_GB2312" w:hAnsi="仿宋_GB2312" w:eastAsia="仿宋_GB2312" w:cs="仿宋_GB2312"/>
                <w:color w:val="FF0000"/>
                <w:sz w:val="18"/>
                <w:szCs w:val="18"/>
                <w:highlight w:val="none"/>
              </w:rPr>
            </w:pPr>
            <w:r>
              <w:rPr>
                <w:rFonts w:hint="eastAsia" w:ascii="仿宋_GB2312" w:hAnsi="仿宋_GB2312" w:eastAsia="仿宋_GB2312" w:cs="仿宋_GB2312"/>
                <w:color w:val="000000"/>
                <w:kern w:val="0"/>
                <w:sz w:val="18"/>
                <w:szCs w:val="18"/>
                <w:highlight w:val="none"/>
                <w:lang w:bidi="ar"/>
              </w:rPr>
              <w:t>清洁生产审核</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企业开展清洁生产审核</w:t>
            </w:r>
          </w:p>
        </w:tc>
        <w:tc>
          <w:tcPr>
            <w:tcW w:w="292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企业通过主管部门组织的清洁生产审核评估验收，达到I级水平</w:t>
            </w:r>
          </w:p>
        </w:tc>
        <w:tc>
          <w:tcPr>
            <w:tcW w:w="2910"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企业开展清洁生产审核，并完成清洁生产审核报告，达到Ⅲ级水平</w:t>
            </w:r>
          </w:p>
        </w:tc>
        <w:tc>
          <w:tcPr>
            <w:tcW w:w="1966"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企业提供企业清洁生产审核报告和市发</w:t>
            </w:r>
            <w:r>
              <w:rPr>
                <w:rFonts w:hint="eastAsia" w:ascii="仿宋_GB2312" w:hAnsi="仿宋_GB2312" w:eastAsia="仿宋_GB2312" w:cs="仿宋_GB2312"/>
                <w:color w:val="000000"/>
                <w:kern w:val="0"/>
                <w:sz w:val="18"/>
                <w:szCs w:val="18"/>
                <w:highlight w:val="none"/>
                <w:lang w:eastAsia="zh-CN" w:bidi="ar"/>
              </w:rPr>
              <w:t>展</w:t>
            </w:r>
            <w:r>
              <w:rPr>
                <w:rFonts w:hint="eastAsia" w:ascii="仿宋_GB2312" w:hAnsi="仿宋_GB2312" w:eastAsia="仿宋_GB2312" w:cs="仿宋_GB2312"/>
                <w:color w:val="000000"/>
                <w:kern w:val="0"/>
                <w:sz w:val="18"/>
                <w:szCs w:val="18"/>
                <w:highlight w:val="none"/>
                <w:lang w:bidi="ar"/>
              </w:rPr>
              <w:t>改</w:t>
            </w:r>
            <w:r>
              <w:rPr>
                <w:rFonts w:hint="eastAsia" w:ascii="仿宋_GB2312" w:hAnsi="仿宋_GB2312" w:eastAsia="仿宋_GB2312" w:cs="仿宋_GB2312"/>
                <w:color w:val="000000"/>
                <w:kern w:val="0"/>
                <w:sz w:val="18"/>
                <w:szCs w:val="18"/>
                <w:highlight w:val="none"/>
                <w:lang w:eastAsia="zh-CN" w:bidi="ar"/>
              </w:rPr>
              <w:t>革</w:t>
            </w:r>
            <w:r>
              <w:rPr>
                <w:rFonts w:hint="eastAsia" w:ascii="仿宋_GB2312" w:hAnsi="仿宋_GB2312" w:eastAsia="仿宋_GB2312" w:cs="仿宋_GB2312"/>
                <w:color w:val="000000"/>
                <w:kern w:val="0"/>
                <w:sz w:val="18"/>
                <w:szCs w:val="18"/>
                <w:highlight w:val="none"/>
                <w:lang w:bidi="ar"/>
              </w:rPr>
              <w:t>委网站的公开信息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FF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bidi="ar"/>
              </w:rPr>
              <w:t>环境信息依法披露</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公开环境相关的信息</w:t>
            </w:r>
          </w:p>
        </w:tc>
        <w:tc>
          <w:tcPr>
            <w:tcW w:w="7796" w:type="dxa"/>
            <w:gridSpan w:val="3"/>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按照《企业环境信息依法披露管理办法》进行</w:t>
            </w:r>
            <w:r>
              <w:rPr>
                <w:rFonts w:hint="eastAsia" w:ascii="仿宋_GB2312" w:hAnsi="仿宋_GB2312" w:eastAsia="仿宋_GB2312" w:cs="仿宋_GB2312"/>
                <w:color w:val="000000"/>
                <w:kern w:val="0"/>
                <w:sz w:val="18"/>
                <w:szCs w:val="18"/>
                <w:highlight w:val="none"/>
                <w:lang w:eastAsia="zh-CN" w:bidi="ar"/>
              </w:rPr>
              <w:t>环境信息依法披露</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企业提供已披露证明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510" w:type="dxa"/>
            <w:gridSpan w:val="2"/>
            <w:vMerge w:val="continue"/>
            <w:noWrap w:val="0"/>
            <w:vAlign w:val="center"/>
          </w:tcPr>
          <w:p>
            <w:pPr>
              <w:spacing w:line="240" w:lineRule="exact"/>
              <w:jc w:val="center"/>
              <w:rPr>
                <w:rFonts w:hint="eastAsia" w:ascii="仿宋_GB2312" w:hAnsi="仿宋_GB2312" w:eastAsia="仿宋_GB2312" w:cs="仿宋_GB2312"/>
                <w:color w:val="000000"/>
                <w:sz w:val="18"/>
                <w:szCs w:val="18"/>
                <w:highlight w:val="none"/>
              </w:rPr>
            </w:pPr>
          </w:p>
        </w:tc>
        <w:tc>
          <w:tcPr>
            <w:tcW w:w="532" w:type="dxa"/>
            <w:vMerge w:val="continue"/>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rPr>
            </w:pPr>
          </w:p>
        </w:tc>
        <w:tc>
          <w:tcPr>
            <w:tcW w:w="1179" w:type="dxa"/>
            <w:noWrap w:val="0"/>
            <w:vAlign w:val="center"/>
          </w:tcPr>
          <w:p>
            <w:pPr>
              <w:widowControl/>
              <w:spacing w:line="240" w:lineRule="exact"/>
              <w:jc w:val="center"/>
              <w:textAlignment w:val="center"/>
              <w:rPr>
                <w:rFonts w:hint="eastAsia" w:ascii="仿宋_GB2312" w:hAnsi="仿宋_GB2312" w:eastAsia="仿宋_GB2312" w:cs="仿宋_GB2312"/>
                <w:color w:val="FF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突发环境事件和</w:t>
            </w:r>
            <w:r>
              <w:rPr>
                <w:rFonts w:hint="eastAsia" w:ascii="仿宋_GB2312" w:hAnsi="仿宋_GB2312" w:eastAsia="仿宋_GB2312" w:cs="仿宋_GB2312"/>
                <w:color w:val="000000"/>
                <w:kern w:val="0"/>
                <w:sz w:val="18"/>
                <w:szCs w:val="18"/>
                <w:highlight w:val="none"/>
                <w:lang w:eastAsia="zh-CN" w:bidi="ar"/>
              </w:rPr>
              <w:t>生态环境行政处罚</w:t>
            </w:r>
          </w:p>
        </w:tc>
        <w:tc>
          <w:tcPr>
            <w:tcW w:w="3285"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bidi="ar"/>
              </w:rPr>
              <w:t>突发环境事件和</w:t>
            </w:r>
            <w:r>
              <w:rPr>
                <w:rFonts w:hint="eastAsia" w:ascii="仿宋_GB2312" w:hAnsi="仿宋_GB2312" w:eastAsia="仿宋_GB2312" w:cs="仿宋_GB2312"/>
                <w:color w:val="000000"/>
                <w:kern w:val="0"/>
                <w:sz w:val="18"/>
                <w:szCs w:val="18"/>
                <w:highlight w:val="none"/>
                <w:lang w:eastAsia="zh-CN" w:bidi="ar"/>
              </w:rPr>
              <w:t>生态环境行政处罚</w:t>
            </w:r>
          </w:p>
        </w:tc>
        <w:tc>
          <w:tcPr>
            <w:tcW w:w="5830" w:type="dxa"/>
            <w:gridSpan w:val="2"/>
            <w:tcBorders>
              <w:righ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lang w:bidi="ar"/>
              </w:rPr>
              <w:t>近三年之内未发生突发环境事件、未受到</w:t>
            </w:r>
            <w:r>
              <w:rPr>
                <w:rFonts w:hint="eastAsia" w:ascii="仿宋_GB2312" w:hAnsi="仿宋_GB2312" w:eastAsia="仿宋_GB2312" w:cs="仿宋_GB2312"/>
                <w:color w:val="000000"/>
                <w:kern w:val="0"/>
                <w:sz w:val="18"/>
                <w:szCs w:val="18"/>
                <w:highlight w:val="none"/>
                <w:lang w:eastAsia="zh-CN" w:bidi="ar"/>
              </w:rPr>
              <w:t>市区两级生态环境部门行政处罚</w:t>
            </w:r>
          </w:p>
        </w:tc>
        <w:tc>
          <w:tcPr>
            <w:tcW w:w="1966" w:type="dxa"/>
            <w:tcBorders>
              <w:left w:val="single" w:color="auto"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18"/>
                <w:szCs w:val="18"/>
                <w:highlight w:val="none"/>
                <w:lang w:bidi="ar"/>
              </w:rPr>
            </w:pPr>
            <w:r>
              <w:rPr>
                <w:rFonts w:hint="eastAsia" w:ascii="仿宋_GB2312" w:hAnsi="仿宋_GB2312" w:eastAsia="仿宋_GB2312" w:cs="仿宋_GB2312"/>
                <w:color w:val="000000"/>
                <w:kern w:val="0"/>
                <w:sz w:val="18"/>
                <w:szCs w:val="18"/>
                <w:highlight w:val="none"/>
                <w:lang w:bidi="ar"/>
              </w:rPr>
              <w:t>无强制要求</w:t>
            </w:r>
          </w:p>
        </w:tc>
        <w:tc>
          <w:tcPr>
            <w:tcW w:w="1179" w:type="dxa"/>
            <w:noWrap w:val="0"/>
            <w:vAlign w:val="center"/>
          </w:tcPr>
          <w:p>
            <w:pPr>
              <w:widowControl/>
              <w:spacing w:line="240" w:lineRule="exact"/>
              <w:jc w:val="left"/>
              <w:textAlignment w:val="center"/>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kern w:val="0"/>
                <w:sz w:val="18"/>
                <w:szCs w:val="18"/>
                <w:highlight w:val="none"/>
                <w:lang w:eastAsia="zh-CN" w:bidi="ar"/>
              </w:rPr>
              <w:t>信用中国等</w:t>
            </w:r>
          </w:p>
        </w:tc>
      </w:tr>
    </w:tbl>
    <w:p>
      <w:pPr>
        <w:outlineLvl w:val="1"/>
        <w:rPr>
          <w:rFonts w:hint="eastAsia" w:ascii="黑体" w:hAnsi="黑体" w:eastAsia="黑体" w:cs="黑体"/>
          <w:sz w:val="32"/>
          <w:szCs w:val="32"/>
          <w:highlight w:val="none"/>
        </w:rPr>
      </w:pPr>
      <w:r>
        <w:rPr>
          <w:rFonts w:hint="eastAsia" w:ascii="仿宋_GB2312" w:hAnsi="仿宋_GB2312" w:cs="仿宋_GB2312"/>
          <w:color w:val="0C0C0C"/>
          <w:kern w:val="0"/>
          <w:szCs w:val="21"/>
          <w:highlight w:val="none"/>
          <w:lang w:bidi="ar"/>
        </w:rPr>
        <w:br w:type="page"/>
      </w:r>
      <w:r>
        <w:rPr>
          <w:rFonts w:hint="eastAsia" w:ascii="黑体" w:hAnsi="黑体" w:eastAsia="黑体" w:cs="黑体"/>
          <w:color w:val="0C0C0C"/>
          <w:sz w:val="32"/>
          <w:szCs w:val="32"/>
          <w:highlight w:val="none"/>
          <w:lang w:bidi="ar"/>
        </w:rPr>
        <w:t>2</w:t>
      </w:r>
      <w:r>
        <w:rPr>
          <w:rFonts w:hint="eastAsia" w:ascii="黑体" w:hAnsi="黑体" w:eastAsia="黑体" w:cs="黑体"/>
          <w:color w:val="0C0C0C"/>
          <w:sz w:val="32"/>
          <w:szCs w:val="32"/>
          <w:highlight w:val="none"/>
          <w:lang w:val="en" w:bidi="ar"/>
        </w:rPr>
        <w:t>.</w:t>
      </w:r>
      <w:r>
        <w:rPr>
          <w:rFonts w:hint="eastAsia" w:ascii="黑体" w:hAnsi="黑体" w:eastAsia="黑体" w:cs="黑体"/>
          <w:sz w:val="32"/>
          <w:szCs w:val="32"/>
          <w:highlight w:val="none"/>
        </w:rPr>
        <w:t>其</w:t>
      </w:r>
      <w:r>
        <w:rPr>
          <w:rFonts w:hint="eastAsia" w:ascii="黑体" w:hAnsi="黑体" w:eastAsia="黑体" w:cs="黑体"/>
          <w:sz w:val="32"/>
          <w:szCs w:val="32"/>
          <w:highlight w:val="none"/>
          <w:lang w:eastAsia="zh-CN"/>
        </w:rPr>
        <w:t>他</w:t>
      </w:r>
      <w:r>
        <w:rPr>
          <w:rFonts w:hint="eastAsia" w:ascii="黑体" w:hAnsi="黑体" w:eastAsia="黑体" w:cs="黑体"/>
          <w:sz w:val="32"/>
          <w:szCs w:val="32"/>
          <w:highlight w:val="none"/>
        </w:rPr>
        <w:t>非制造业行业企业绿色绩效评价总则</w:t>
      </w:r>
    </w:p>
    <w:p>
      <w:pPr>
        <w:pStyle w:val="2"/>
        <w:ind w:left="420"/>
        <w:rPr>
          <w:rFonts w:hint="eastAsia"/>
          <w:highlight w:val="none"/>
        </w:rPr>
      </w:pPr>
    </w:p>
    <w:tbl>
      <w:tblPr>
        <w:tblStyle w:val="8"/>
        <w:tblW w:w="14396" w:type="dxa"/>
        <w:tblInd w:w="-168" w:type="dxa"/>
        <w:tblLayout w:type="fixed"/>
        <w:tblCellMar>
          <w:top w:w="0" w:type="dxa"/>
          <w:left w:w="0" w:type="dxa"/>
          <w:bottom w:w="0" w:type="dxa"/>
          <w:right w:w="0" w:type="dxa"/>
        </w:tblCellMar>
      </w:tblPr>
      <w:tblGrid>
        <w:gridCol w:w="696"/>
        <w:gridCol w:w="1314"/>
        <w:gridCol w:w="1695"/>
        <w:gridCol w:w="4035"/>
        <w:gridCol w:w="4108"/>
        <w:gridCol w:w="2548"/>
      </w:tblGrid>
      <w:tr>
        <w:tblPrEx>
          <w:tblCellMar>
            <w:top w:w="0" w:type="dxa"/>
            <w:left w:w="0" w:type="dxa"/>
            <w:bottom w:w="0" w:type="dxa"/>
            <w:right w:w="0" w:type="dxa"/>
          </w:tblCellMar>
        </w:tblPrEx>
        <w:trPr>
          <w:trHeight w:val="510" w:hRule="atLeast"/>
          <w:tblHead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序号</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一级指标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二级指标</w:t>
            </w:r>
          </w:p>
        </w:tc>
        <w:tc>
          <w:tcPr>
            <w:tcW w:w="4035" w:type="dxa"/>
            <w:tcBorders>
              <w:top w:val="single" w:color="000000" w:sz="4" w:space="0"/>
              <w:left w:val="single" w:color="000000" w:sz="4" w:space="0"/>
              <w:bottom w:val="single" w:color="000000" w:sz="4" w:space="0"/>
              <w:right w:val="single" w:color="auto"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绿色标杆企业(深绿)</w:t>
            </w:r>
          </w:p>
        </w:tc>
        <w:tc>
          <w:tcPr>
            <w:tcW w:w="4108" w:type="dxa"/>
            <w:tcBorders>
              <w:top w:val="single" w:color="000000" w:sz="4" w:space="0"/>
              <w:left w:val="single" w:color="auto"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绿色基准企业(浅绿)</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普通合法企业</w:t>
            </w:r>
          </w:p>
        </w:tc>
      </w:tr>
      <w:tr>
        <w:tblPrEx>
          <w:tblCellMar>
            <w:top w:w="0" w:type="dxa"/>
            <w:left w:w="0" w:type="dxa"/>
            <w:bottom w:w="0" w:type="dxa"/>
            <w:right w:w="0" w:type="dxa"/>
          </w:tblCellMar>
        </w:tblPrEx>
        <w:trPr>
          <w:trHeight w:val="739" w:hRule="atLeast"/>
        </w:trPr>
        <w:tc>
          <w:tcPr>
            <w:tcW w:w="696"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31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办公楼宇</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节能降耗</w:t>
            </w:r>
          </w:p>
        </w:tc>
        <w:tc>
          <w:tcPr>
            <w:tcW w:w="169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kern w:val="0"/>
                <w:szCs w:val="21"/>
                <w:highlight w:val="none"/>
                <w:vertAlign w:val="superscript"/>
                <w:lang w:bidi="ar"/>
              </w:rPr>
              <w:t>1</w:t>
            </w:r>
          </w:p>
        </w:tc>
        <w:tc>
          <w:tcPr>
            <w:tcW w:w="4035"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w:t>
            </w:r>
            <w:r>
              <w:rPr>
                <w:rFonts w:ascii="仿宋_GB2312" w:hAnsi="仿宋_GB2312" w:eastAsia="仿宋_GB2312" w:cs="仿宋_GB2312"/>
                <w:color w:val="0C0C0C"/>
                <w:szCs w:val="21"/>
                <w:highlight w:val="none"/>
              </w:rPr>
              <w:t>光热系统、太阳能光伏系统、地源热泵系统、空气源热泵热水系统</w:t>
            </w:r>
            <w:r>
              <w:rPr>
                <w:rFonts w:hint="eastAsia" w:ascii="仿宋_GB2312" w:hAnsi="仿宋_GB2312" w:eastAsia="仿宋_GB2312" w:cs="仿宋_GB2312"/>
                <w:color w:val="0C0C0C"/>
                <w:szCs w:val="21"/>
                <w:highlight w:val="none"/>
              </w:rPr>
              <w:t>其中之一</w:t>
            </w:r>
          </w:p>
        </w:tc>
        <w:tc>
          <w:tcPr>
            <w:tcW w:w="4108" w:type="dxa"/>
            <w:tcBorders>
              <w:top w:val="single" w:color="000000" w:sz="4" w:space="0"/>
              <w:left w:val="single" w:color="auto"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采用太阳能热水供应系统、LED照明灯具其中之一</w:t>
            </w:r>
          </w:p>
        </w:tc>
        <w:tc>
          <w:tcPr>
            <w:tcW w:w="2548" w:type="dxa"/>
            <w:tcBorders>
              <w:top w:val="single" w:color="000000" w:sz="4" w:space="0"/>
              <w:left w:val="single" w:color="auto"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90" w:hRule="atLeast"/>
        </w:trPr>
        <w:tc>
          <w:tcPr>
            <w:tcW w:w="696"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p>
        </w:tc>
        <w:tc>
          <w:tcPr>
            <w:tcW w:w="1314"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695"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4108"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548" w:type="dxa"/>
            <w:tcBorders>
              <w:top w:val="single" w:color="000000" w:sz="4" w:space="0"/>
              <w:left w:val="single" w:color="auto"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90" w:hRule="atLeast"/>
        </w:trPr>
        <w:tc>
          <w:tcPr>
            <w:tcW w:w="696"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p>
        </w:tc>
        <w:tc>
          <w:tcPr>
            <w:tcW w:w="1314"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695"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232" w:hRule="atLeast"/>
        </w:trPr>
        <w:tc>
          <w:tcPr>
            <w:tcW w:w="696"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p>
        </w:tc>
        <w:tc>
          <w:tcPr>
            <w:tcW w:w="1314"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695" w:type="dxa"/>
            <w:vMerge w:val="continue"/>
            <w:tcBorders>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069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r>
              <w:rPr>
                <w:rFonts w:hint="eastAsia" w:ascii="仿宋_GB2312" w:hAnsi="仿宋_GB2312" w:eastAsia="仿宋_GB2312" w:cs="仿宋_GB2312"/>
                <w:color w:val="0C0C0C"/>
                <w:kern w:val="0"/>
                <w:szCs w:val="21"/>
                <w:highlight w:val="none"/>
                <w:lang w:bidi="ar"/>
              </w:rPr>
              <w:t>。</w:t>
            </w:r>
          </w:p>
        </w:tc>
      </w:tr>
      <w:tr>
        <w:tblPrEx>
          <w:tblCellMar>
            <w:top w:w="0" w:type="dxa"/>
            <w:left w:w="0" w:type="dxa"/>
            <w:bottom w:w="0" w:type="dxa"/>
            <w:right w:w="0" w:type="dxa"/>
          </w:tblCellMar>
        </w:tblPrEx>
        <w:trPr>
          <w:trHeight w:val="90" w:hRule="atLeast"/>
        </w:trPr>
        <w:tc>
          <w:tcPr>
            <w:tcW w:w="696"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p>
        </w:tc>
        <w:tc>
          <w:tcPr>
            <w:tcW w:w="1314"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设备节能</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等级1、等级2电器使用率≥80%</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等级1、等级2电器使用率≥60%</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20" w:hRule="atLeast"/>
        </w:trPr>
        <w:tc>
          <w:tcPr>
            <w:tcW w:w="696"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p>
        </w:tc>
        <w:tc>
          <w:tcPr>
            <w:tcW w:w="1314" w:type="dxa"/>
            <w:vMerge w:val="continue"/>
            <w:tcBorders>
              <w:left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1089" w:hRule="atLeast"/>
        </w:trPr>
        <w:tc>
          <w:tcPr>
            <w:tcW w:w="696" w:type="dxa"/>
            <w:vMerge w:val="continue"/>
            <w:tcBorders>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仿宋_GB2312" w:hAnsi="仿宋_GB2312" w:eastAsia="仿宋_GB2312" w:cs="仿宋_GB2312"/>
                <w:b/>
                <w:bCs/>
                <w:szCs w:val="21"/>
                <w:highlight w:val="none"/>
              </w:rPr>
            </w:pPr>
          </w:p>
        </w:tc>
        <w:tc>
          <w:tcPr>
            <w:tcW w:w="1314" w:type="dxa"/>
            <w:vMerge w:val="continue"/>
            <w:tcBorders>
              <w:left w:val="single" w:color="000000" w:sz="4" w:space="0"/>
              <w:bottom w:val="single" w:color="000000" w:sz="4" w:space="0"/>
              <w:right w:val="single" w:color="000000" w:sz="4" w:space="0"/>
            </w:tcBorders>
            <w:noWrap w:val="0"/>
            <w:vAlign w:val="center"/>
          </w:tcPr>
          <w:p>
            <w:pPr>
              <w:snapToGrid w:val="0"/>
              <w:spacing w:before="63" w:beforeLines="20" w:after="63" w:afterLines="20"/>
              <w:jc w:val="center"/>
              <w:rPr>
                <w:rFonts w:hint="eastAsia" w:ascii="宋体" w:hAnsi="宋体"/>
                <w:b/>
                <w:bCs/>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绿色建筑</w:t>
            </w:r>
            <w:r>
              <w:rPr>
                <w:rFonts w:hint="eastAsia" w:ascii="仿宋_GB2312" w:hAnsi="宋体" w:eastAsia="仿宋_GB2312"/>
                <w:color w:val="0C0C0C"/>
                <w:szCs w:val="21"/>
                <w:highlight w:val="none"/>
                <w:vertAlign w:val="superscript"/>
              </w:rPr>
              <w:t>2</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eastAsia="仿宋_GB2312" w:cs="仿宋_GB2312"/>
                <w:b w:val="0"/>
                <w:bCs w:val="0"/>
                <w:color w:val="0C0C0C"/>
                <w:szCs w:val="21"/>
                <w:highlight w:val="none"/>
              </w:rPr>
            </w:pPr>
            <w:r>
              <w:rPr>
                <w:rFonts w:hint="eastAsia" w:ascii="仿宋_GB2312" w:hAnsi="宋体" w:eastAsia="仿宋_GB2312"/>
                <w:b w:val="0"/>
                <w:bCs w:val="0"/>
                <w:color w:val="0C0C0C"/>
                <w:szCs w:val="21"/>
                <w:highlight w:val="none"/>
              </w:rPr>
              <w:t>近一年竣工的新建建筑取得国家或</w:t>
            </w:r>
            <w:r>
              <w:rPr>
                <w:rFonts w:hint="eastAsia" w:ascii="仿宋_GB2312" w:hAnsi="宋体" w:eastAsia="仿宋_GB2312"/>
                <w:b w:val="0"/>
                <w:bCs w:val="0"/>
                <w:color w:val="0C0C0C"/>
                <w:szCs w:val="21"/>
                <w:highlight w:val="none"/>
                <w:lang w:eastAsia="zh-CN"/>
              </w:rPr>
              <w:t>本</w:t>
            </w:r>
            <w:r>
              <w:rPr>
                <w:rFonts w:hint="eastAsia" w:ascii="仿宋_GB2312" w:hAnsi="宋体" w:eastAsia="仿宋_GB2312"/>
                <w:b w:val="0"/>
                <w:bCs w:val="0"/>
                <w:color w:val="0C0C0C"/>
                <w:szCs w:val="21"/>
                <w:highlight w:val="none"/>
              </w:rPr>
              <w:t>市颁发的绿色建筑三星级标识或预评价达到《绿色建筑评价标准》（DB11/T825）三星级</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eastAsia="仿宋_GB2312" w:cs="仿宋_GB2312"/>
                <w:b w:val="0"/>
                <w:bCs w:val="0"/>
                <w:color w:val="0C0C0C"/>
                <w:szCs w:val="21"/>
                <w:highlight w:val="none"/>
              </w:rPr>
            </w:pPr>
            <w:r>
              <w:rPr>
                <w:rFonts w:hint="eastAsia" w:ascii="仿宋_GB2312" w:hAnsi="宋体" w:eastAsia="仿宋_GB2312"/>
                <w:b w:val="0"/>
                <w:bCs w:val="0"/>
                <w:color w:val="0C0C0C"/>
                <w:szCs w:val="21"/>
                <w:highlight w:val="none"/>
              </w:rPr>
              <w:t>近一年竣工的新建建筑取得国家或</w:t>
            </w:r>
            <w:r>
              <w:rPr>
                <w:rFonts w:hint="eastAsia" w:ascii="仿宋_GB2312" w:hAnsi="宋体" w:eastAsia="仿宋_GB2312"/>
                <w:b w:val="0"/>
                <w:bCs w:val="0"/>
                <w:color w:val="0C0C0C"/>
                <w:szCs w:val="21"/>
                <w:highlight w:val="none"/>
                <w:lang w:eastAsia="zh-CN"/>
              </w:rPr>
              <w:t>本</w:t>
            </w:r>
            <w:r>
              <w:rPr>
                <w:rFonts w:hint="eastAsia" w:ascii="仿宋_GB2312" w:hAnsi="宋体" w:eastAsia="仿宋_GB2312"/>
                <w:b w:val="0"/>
                <w:bCs w:val="0"/>
                <w:color w:val="0C0C0C"/>
                <w:szCs w:val="21"/>
                <w:highlight w:val="none"/>
              </w:rPr>
              <w:t>市颁发的绿色建筑二星级标识或预评价达到《绿色建筑评价标准》（DB11/T825）二星级</w:t>
            </w:r>
            <w:r>
              <w:rPr>
                <w:rFonts w:hint="eastAsia" w:ascii="仿宋_GB2312" w:hAnsi="宋体" w:eastAsia="仿宋_GB2312"/>
                <w:b w:val="0"/>
                <w:bCs w:val="0"/>
                <w:color w:val="0C0C0C"/>
                <w:szCs w:val="21"/>
                <w:highlight w:val="none"/>
                <w:lang w:eastAsia="zh-CN"/>
              </w:rPr>
              <w:t>及以上</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604" w:hRule="atLeast"/>
        </w:trPr>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2</w:t>
            </w:r>
          </w:p>
        </w:tc>
        <w:tc>
          <w:tcPr>
            <w:tcW w:w="13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污染物排放</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管理</w:t>
            </w:r>
            <w:r>
              <w:rPr>
                <w:rFonts w:hint="eastAsia" w:ascii="仿宋_GB2312" w:hAnsi="仿宋_GB2312" w:eastAsia="仿宋_GB2312" w:cs="仿宋_GB2312"/>
                <w:color w:val="0C0C0C"/>
                <w:kern w:val="0"/>
                <w:szCs w:val="21"/>
                <w:highlight w:val="none"/>
                <w:vertAlign w:val="superscript"/>
                <w:lang w:bidi="ar"/>
              </w:rPr>
              <w:t>3</w:t>
            </w:r>
          </w:p>
        </w:tc>
        <w:tc>
          <w:tcPr>
            <w:tcW w:w="169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大气污染物排放</w:t>
            </w:r>
          </w:p>
        </w:tc>
        <w:tc>
          <w:tcPr>
            <w:tcW w:w="10691"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lang w:eastAsia="zh-CN"/>
              </w:rPr>
            </w:pPr>
            <w:r>
              <w:rPr>
                <w:rFonts w:hint="eastAsia" w:ascii="仿宋_GB2312" w:hAnsi="仿宋_GB2312" w:eastAsia="仿宋_GB2312" w:cs="仿宋_GB2312"/>
                <w:color w:val="0C0C0C"/>
                <w:szCs w:val="21"/>
                <w:highlight w:val="none"/>
              </w:rPr>
              <w:t>排放大气污染物的企业</w:t>
            </w:r>
            <w:r>
              <w:rPr>
                <w:rFonts w:hint="eastAsia" w:ascii="仿宋_GB2312" w:hAnsi="仿宋_GB2312" w:eastAsia="仿宋_GB2312" w:cs="仿宋_GB2312"/>
                <w:color w:val="0C0C0C"/>
                <w:szCs w:val="21"/>
                <w:highlight w:val="none"/>
                <w:lang w:eastAsia="zh-CN"/>
              </w:rPr>
              <w:t>符合</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szCs w:val="21"/>
                <w:highlight w:val="none"/>
              </w:rPr>
              <w:t>大气污染物综合排放标准</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szCs w:val="21"/>
                <w:highlight w:val="none"/>
              </w:rPr>
              <w:t>（DB11/501）限值</w:t>
            </w:r>
            <w:r>
              <w:rPr>
                <w:rFonts w:hint="eastAsia" w:ascii="仿宋_GB2312" w:hAnsi="仿宋_GB2312" w:eastAsia="仿宋_GB2312" w:cs="仿宋_GB2312"/>
                <w:color w:val="0C0C0C"/>
                <w:szCs w:val="21"/>
                <w:highlight w:val="none"/>
                <w:lang w:eastAsia="zh-CN"/>
              </w:rPr>
              <w:t>要求</w:t>
            </w:r>
            <w:r>
              <w:rPr>
                <w:rFonts w:hint="eastAsia" w:ascii="仿宋_GB2312" w:hAnsi="仿宋_GB2312" w:eastAsia="仿宋_GB2312" w:cs="仿宋_GB2312"/>
                <w:color w:val="0C0C0C"/>
                <w:szCs w:val="21"/>
                <w:highlight w:val="none"/>
              </w:rPr>
              <w:t>，汽车维修、餐饮等有行业标准的</w:t>
            </w:r>
            <w:r>
              <w:rPr>
                <w:rFonts w:hint="eastAsia" w:ascii="仿宋_GB2312" w:hAnsi="仿宋_GB2312" w:eastAsia="仿宋_GB2312" w:cs="仿宋_GB2312"/>
                <w:color w:val="0C0C0C"/>
                <w:szCs w:val="21"/>
                <w:highlight w:val="none"/>
                <w:lang w:eastAsia="zh-CN"/>
              </w:rPr>
              <w:t>企业符合</w:t>
            </w:r>
            <w:r>
              <w:rPr>
                <w:rFonts w:hint="eastAsia" w:ascii="仿宋_GB2312" w:hAnsi="仿宋_GB2312" w:eastAsia="仿宋_GB2312" w:cs="仿宋_GB2312"/>
                <w:color w:val="0C0C0C"/>
                <w:szCs w:val="21"/>
                <w:highlight w:val="none"/>
              </w:rPr>
              <w:t>相应行业标准限值</w:t>
            </w:r>
            <w:r>
              <w:rPr>
                <w:rFonts w:hint="eastAsia" w:ascii="仿宋_GB2312" w:hAnsi="仿宋_GB2312" w:eastAsia="仿宋_GB2312" w:cs="仿宋_GB2312"/>
                <w:color w:val="0C0C0C"/>
                <w:szCs w:val="21"/>
                <w:highlight w:val="none"/>
                <w:lang w:eastAsia="zh-CN"/>
              </w:rPr>
              <w:t>要求</w:t>
            </w:r>
          </w:p>
        </w:tc>
      </w:tr>
      <w:tr>
        <w:tblPrEx>
          <w:tblCellMar>
            <w:top w:w="0" w:type="dxa"/>
            <w:left w:w="0" w:type="dxa"/>
            <w:bottom w:w="0" w:type="dxa"/>
            <w:right w:w="0" w:type="dxa"/>
          </w:tblCellMar>
        </w:tblPrEx>
        <w:trPr>
          <w:trHeight w:val="977" w:hRule="atLeast"/>
        </w:trPr>
        <w:tc>
          <w:tcPr>
            <w:tcW w:w="696"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C0C0C"/>
                <w:kern w:val="0"/>
                <w:szCs w:val="21"/>
                <w:highlight w:val="none"/>
                <w:lang w:bidi="ar"/>
              </w:rPr>
            </w:pPr>
          </w:p>
        </w:tc>
        <w:tc>
          <w:tcPr>
            <w:tcW w:w="1314"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p>
        </w:tc>
        <w:tc>
          <w:tcPr>
            <w:tcW w:w="169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p>
        </w:tc>
        <w:tc>
          <w:tcPr>
            <w:tcW w:w="10691"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使用锅炉的，废气排放</w:t>
            </w:r>
            <w:r>
              <w:rPr>
                <w:rFonts w:hint="eastAsia" w:ascii="仿宋_GB2312" w:hAnsi="仿宋_GB2312" w:eastAsia="仿宋_GB2312" w:cs="仿宋_GB2312"/>
                <w:color w:val="0C0C0C"/>
                <w:kern w:val="0"/>
                <w:szCs w:val="21"/>
                <w:highlight w:val="none"/>
                <w:lang w:eastAsia="zh-CN" w:bidi="ar"/>
              </w:rPr>
              <w:t>符合</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kern w:val="0"/>
                <w:szCs w:val="21"/>
                <w:highlight w:val="none"/>
                <w:lang w:bidi="ar"/>
              </w:rPr>
              <w:t>锅炉大气污染物排放标准</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kern w:val="0"/>
                <w:szCs w:val="21"/>
                <w:highlight w:val="none"/>
                <w:lang w:bidi="ar"/>
              </w:rPr>
              <w:t>DB11/139</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szCs w:val="21"/>
                <w:highlight w:val="none"/>
              </w:rPr>
              <w:t>限值</w:t>
            </w:r>
            <w:r>
              <w:rPr>
                <w:rFonts w:hint="eastAsia" w:ascii="仿宋_GB2312" w:hAnsi="仿宋_GB2312" w:eastAsia="仿宋_GB2312" w:cs="仿宋_GB2312"/>
                <w:color w:val="0C0C0C"/>
                <w:szCs w:val="21"/>
                <w:highlight w:val="none"/>
                <w:lang w:eastAsia="zh-CN"/>
              </w:rPr>
              <w:t>要求</w:t>
            </w:r>
            <w:r>
              <w:rPr>
                <w:rFonts w:hint="eastAsia" w:ascii="仿宋_GB2312" w:hAnsi="仿宋_GB2312" w:eastAsia="仿宋_GB2312" w:cs="仿宋_GB2312"/>
                <w:color w:val="0C0C0C"/>
                <w:kern w:val="2"/>
                <w:szCs w:val="21"/>
                <w:highlight w:val="none"/>
                <w:lang w:bidi="ar"/>
              </w:rPr>
              <w:t>；</w:t>
            </w:r>
          </w:p>
          <w:p>
            <w:pPr>
              <w:widowControl/>
              <w:jc w:val="left"/>
              <w:textAlignment w:val="center"/>
              <w:rPr>
                <w:rFonts w:hint="eastAsia" w:ascii="仿宋_GB2312" w:hAnsi="仿宋_GB2312" w:eastAsia="仿宋_GB2312" w:cs="仿宋_GB2312"/>
                <w:color w:val="0C0C0C"/>
                <w:kern w:val="0"/>
                <w:szCs w:val="21"/>
                <w:highlight w:val="none"/>
                <w:lang w:eastAsia="zh-CN" w:bidi="ar"/>
              </w:rPr>
            </w:pPr>
            <w:r>
              <w:rPr>
                <w:rFonts w:hint="eastAsia" w:ascii="仿宋_GB2312" w:hAnsi="仿宋_GB2312" w:eastAsia="仿宋_GB2312" w:cs="仿宋_GB2312"/>
                <w:color w:val="0C0C0C"/>
                <w:kern w:val="0"/>
                <w:szCs w:val="21"/>
                <w:highlight w:val="none"/>
                <w:lang w:bidi="ar"/>
              </w:rPr>
              <w:t>有职工食堂的，后厨安装油烟净化设施，定期清洗并保证设施正常运行，废气排放</w:t>
            </w:r>
            <w:r>
              <w:rPr>
                <w:rFonts w:hint="eastAsia" w:ascii="仿宋_GB2312" w:hAnsi="仿宋_GB2312" w:eastAsia="仿宋_GB2312" w:cs="仿宋_GB2312"/>
                <w:color w:val="0C0C0C"/>
                <w:kern w:val="0"/>
                <w:szCs w:val="21"/>
                <w:highlight w:val="none"/>
                <w:lang w:eastAsia="zh-CN" w:bidi="ar"/>
              </w:rPr>
              <w:t>符合</w:t>
            </w:r>
            <w:r>
              <w:rPr>
                <w:rFonts w:hint="eastAsia" w:ascii="仿宋_GB2312" w:hAnsi="仿宋_GB2312" w:eastAsia="仿宋_GB2312" w:cs="仿宋_GB2312"/>
                <w:color w:val="0C0C0C"/>
                <w:kern w:val="0"/>
                <w:szCs w:val="21"/>
                <w:highlight w:val="none"/>
                <w:lang w:bidi="ar"/>
              </w:rPr>
              <w:t>《餐饮业大气污染物排放标准》（DB11/1488）</w:t>
            </w:r>
            <w:r>
              <w:rPr>
                <w:rFonts w:hint="eastAsia" w:ascii="仿宋_GB2312" w:hAnsi="仿宋_GB2312" w:eastAsia="仿宋_GB2312" w:cs="仿宋_GB2312"/>
                <w:color w:val="0C0C0C"/>
                <w:szCs w:val="21"/>
                <w:highlight w:val="none"/>
              </w:rPr>
              <w:t>限值</w:t>
            </w:r>
            <w:r>
              <w:rPr>
                <w:rFonts w:hint="eastAsia" w:ascii="仿宋_GB2312" w:hAnsi="仿宋_GB2312" w:eastAsia="仿宋_GB2312" w:cs="仿宋_GB2312"/>
                <w:color w:val="0C0C0C"/>
                <w:szCs w:val="21"/>
                <w:highlight w:val="none"/>
                <w:lang w:eastAsia="zh-CN"/>
              </w:rPr>
              <w:t>要求</w:t>
            </w:r>
          </w:p>
        </w:tc>
      </w:tr>
      <w:tr>
        <w:tblPrEx>
          <w:tblCellMar>
            <w:top w:w="0" w:type="dxa"/>
            <w:left w:w="0" w:type="dxa"/>
            <w:bottom w:w="0" w:type="dxa"/>
            <w:right w:w="0" w:type="dxa"/>
          </w:tblCellMar>
        </w:tblPrEx>
        <w:trPr>
          <w:trHeight w:val="397" w:hRule="atLeast"/>
        </w:trPr>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水污染物排放</w:t>
            </w:r>
          </w:p>
        </w:tc>
        <w:tc>
          <w:tcPr>
            <w:tcW w:w="106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kern w:val="2"/>
                <w:szCs w:val="21"/>
                <w:highlight w:val="none"/>
                <w:lang w:bidi="ar"/>
              </w:rPr>
            </w:pPr>
            <w:r>
              <w:rPr>
                <w:rFonts w:hint="eastAsia" w:ascii="仿宋_GB2312" w:hAnsi="仿宋_GB2312" w:eastAsia="仿宋_GB2312" w:cs="仿宋_GB2312"/>
                <w:color w:val="0C0C0C"/>
                <w:kern w:val="2"/>
                <w:szCs w:val="21"/>
                <w:highlight w:val="none"/>
                <w:lang w:bidi="ar"/>
              </w:rPr>
              <w:t>污水排入市政管网，水污染物排放</w:t>
            </w:r>
            <w:r>
              <w:rPr>
                <w:rFonts w:hint="eastAsia" w:ascii="仿宋_GB2312" w:hAnsi="仿宋_GB2312" w:eastAsia="仿宋_GB2312" w:cs="仿宋_GB2312"/>
                <w:color w:val="0C0C0C"/>
                <w:kern w:val="2"/>
                <w:szCs w:val="21"/>
                <w:highlight w:val="none"/>
                <w:lang w:eastAsia="zh-CN" w:bidi="ar"/>
              </w:rPr>
              <w:t>符合</w:t>
            </w:r>
            <w:r>
              <w:rPr>
                <w:rFonts w:hint="eastAsia" w:ascii="仿宋_GB2312" w:hAnsi="仿宋_GB2312" w:eastAsia="仿宋_GB2312" w:cs="仿宋_GB2312"/>
                <w:color w:val="0C0C0C"/>
                <w:kern w:val="2"/>
                <w:szCs w:val="21"/>
                <w:highlight w:val="none"/>
                <w:lang w:bidi="ar"/>
              </w:rPr>
              <w:t>《水污染物综合排放标准》（DB11/307）限值要求</w:t>
            </w:r>
          </w:p>
        </w:tc>
      </w:tr>
      <w:tr>
        <w:tblPrEx>
          <w:tblCellMar>
            <w:top w:w="0" w:type="dxa"/>
            <w:left w:w="0" w:type="dxa"/>
            <w:bottom w:w="0" w:type="dxa"/>
            <w:right w:w="0" w:type="dxa"/>
          </w:tblCellMar>
        </w:tblPrEx>
        <w:trPr>
          <w:trHeight w:val="594" w:hRule="atLeast"/>
        </w:trPr>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固体废物处置</w:t>
            </w:r>
          </w:p>
        </w:tc>
        <w:tc>
          <w:tcPr>
            <w:tcW w:w="106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w:t>
            </w:r>
            <w:r>
              <w:rPr>
                <w:rFonts w:hint="eastAsia" w:ascii="仿宋_GB2312" w:hAnsi="仿宋_GB2312" w:eastAsia="仿宋_GB2312" w:cs="仿宋_GB2312"/>
                <w:color w:val="0C0C0C"/>
                <w:kern w:val="2"/>
                <w:szCs w:val="21"/>
                <w:highlight w:val="none"/>
                <w:lang w:eastAsia="zh-CN" w:bidi="ar"/>
              </w:rPr>
              <w:t>符合</w:t>
            </w:r>
            <w:r>
              <w:rPr>
                <w:rFonts w:hint="eastAsia" w:ascii="仿宋_GB2312" w:hAnsi="仿宋_GB2312" w:eastAsia="仿宋_GB2312" w:cs="仿宋_GB2312"/>
                <w:color w:val="0C0C0C"/>
                <w:szCs w:val="21"/>
                <w:highlight w:val="none"/>
              </w:rPr>
              <w:t>《一般工业固体废物贮存和填埋污染控制标准》（GB18599）</w:t>
            </w:r>
            <w:r>
              <w:rPr>
                <w:rFonts w:hint="eastAsia" w:ascii="仿宋_GB2312" w:hAnsi="仿宋_GB2312" w:eastAsia="仿宋_GB2312" w:cs="仿宋_GB2312"/>
                <w:color w:val="0C0C0C"/>
                <w:szCs w:val="21"/>
                <w:highlight w:val="none"/>
                <w:lang w:eastAsia="zh-CN"/>
              </w:rPr>
              <w:t>要求</w:t>
            </w:r>
            <w:r>
              <w:rPr>
                <w:rFonts w:hint="eastAsia" w:ascii="仿宋_GB2312" w:hAnsi="仿宋_GB2312" w:eastAsia="仿宋_GB2312" w:cs="仿宋_GB2312"/>
                <w:color w:val="0C0C0C"/>
                <w:szCs w:val="21"/>
                <w:highlight w:val="none"/>
              </w:rPr>
              <w:t>；</w:t>
            </w:r>
          </w:p>
          <w:p>
            <w:pPr>
              <w:widowControl/>
              <w:jc w:val="left"/>
              <w:textAlignment w:val="center"/>
              <w:rPr>
                <w:rFonts w:hint="eastAsia" w:ascii="仿宋_GB2312" w:hAnsi="仿宋_GB2312" w:eastAsia="仿宋_GB2312" w:cs="仿宋_GB2312"/>
                <w:color w:val="0C0C0C"/>
                <w:kern w:val="2"/>
                <w:szCs w:val="21"/>
                <w:highlight w:val="none"/>
                <w:lang w:bidi="ar"/>
              </w:rPr>
            </w:pPr>
            <w:r>
              <w:rPr>
                <w:rFonts w:hint="eastAsia" w:ascii="仿宋_GB2312" w:hAnsi="仿宋_GB2312" w:eastAsia="仿宋_GB2312" w:cs="仿宋_GB2312"/>
                <w:color w:val="0C0C0C"/>
                <w:szCs w:val="21"/>
                <w:highlight w:val="none"/>
              </w:rPr>
              <w:t>危险废物</w:t>
            </w:r>
            <w:r>
              <w:rPr>
                <w:rFonts w:hint="eastAsia" w:ascii="仿宋_GB2312" w:hAnsi="仿宋_GB2312" w:eastAsia="仿宋_GB2312" w:cs="仿宋_GB2312"/>
                <w:color w:val="0C0C0C"/>
                <w:kern w:val="2"/>
                <w:szCs w:val="21"/>
                <w:highlight w:val="none"/>
                <w:lang w:eastAsia="zh-CN" w:bidi="ar"/>
              </w:rPr>
              <w:t>符合</w:t>
            </w:r>
            <w:r>
              <w:rPr>
                <w:rFonts w:hint="eastAsia" w:ascii="仿宋_GB2312" w:hAnsi="仿宋_GB2312" w:eastAsia="仿宋_GB2312" w:cs="仿宋_GB2312"/>
                <w:color w:val="0C0C0C"/>
                <w:szCs w:val="21"/>
                <w:highlight w:val="none"/>
              </w:rPr>
              <w:t>《危险废物贮存污染控制标准》（GB18597）</w:t>
            </w:r>
            <w:r>
              <w:rPr>
                <w:rFonts w:hint="eastAsia" w:ascii="仿宋_GB2312" w:hAnsi="仿宋_GB2312" w:eastAsia="仿宋_GB2312" w:cs="仿宋_GB2312"/>
                <w:color w:val="0C0C0C"/>
                <w:szCs w:val="21"/>
                <w:highlight w:val="none"/>
                <w:lang w:eastAsia="zh-CN"/>
              </w:rPr>
              <w:t>要求</w:t>
            </w:r>
          </w:p>
        </w:tc>
      </w:tr>
      <w:tr>
        <w:tblPrEx>
          <w:tblCellMar>
            <w:top w:w="0" w:type="dxa"/>
            <w:left w:w="0" w:type="dxa"/>
            <w:bottom w:w="0" w:type="dxa"/>
            <w:right w:w="0" w:type="dxa"/>
          </w:tblCellMar>
        </w:tblPrEx>
        <w:trPr>
          <w:trHeight w:val="352" w:hRule="atLeast"/>
        </w:trPr>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噪声防治</w:t>
            </w:r>
          </w:p>
        </w:tc>
        <w:tc>
          <w:tcPr>
            <w:tcW w:w="106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边界噪声指标</w:t>
            </w:r>
            <w:r>
              <w:rPr>
                <w:rFonts w:hint="eastAsia" w:ascii="仿宋_GB2312" w:hAnsi="仿宋_GB2312" w:eastAsia="仿宋_GB2312" w:cs="仿宋_GB2312"/>
                <w:color w:val="0C0C0C"/>
                <w:kern w:val="2"/>
                <w:szCs w:val="21"/>
                <w:highlight w:val="none"/>
                <w:lang w:eastAsia="zh-CN" w:bidi="ar"/>
              </w:rPr>
              <w:t>符合</w:t>
            </w:r>
            <w:r>
              <w:rPr>
                <w:rFonts w:hint="eastAsia" w:ascii="仿宋_GB2312" w:hAnsi="仿宋_GB2312" w:eastAsia="仿宋_GB2312" w:cs="仿宋_GB2312"/>
                <w:color w:val="0C0C0C"/>
                <w:szCs w:val="21"/>
                <w:highlight w:val="none"/>
              </w:rPr>
              <w:t>《社会生活环境噪声排放标准》（GB22337）要求</w:t>
            </w:r>
          </w:p>
        </w:tc>
      </w:tr>
      <w:tr>
        <w:tblPrEx>
          <w:tblCellMar>
            <w:top w:w="0" w:type="dxa"/>
            <w:left w:w="0" w:type="dxa"/>
            <w:bottom w:w="0" w:type="dxa"/>
            <w:right w:w="0" w:type="dxa"/>
          </w:tblCellMar>
        </w:tblPrEx>
        <w:trPr>
          <w:trHeight w:val="729" w:hRule="atLeast"/>
        </w:trPr>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3</w:t>
            </w:r>
          </w:p>
        </w:tc>
        <w:tc>
          <w:tcPr>
            <w:tcW w:w="13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移动排放源</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结构及排放</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车辆运输和</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通勤</w:t>
            </w:r>
          </w:p>
        </w:tc>
        <w:tc>
          <w:tcPr>
            <w:tcW w:w="4035" w:type="dxa"/>
            <w:tcBorders>
              <w:top w:val="single" w:color="000000" w:sz="4" w:space="0"/>
              <w:left w:val="single" w:color="000000" w:sz="4" w:space="0"/>
              <w:bottom w:val="single" w:color="000000" w:sz="4" w:space="0"/>
              <w:right w:val="single" w:color="auto" w:sz="4" w:space="0"/>
            </w:tcBorders>
            <w:noWrap w:val="0"/>
            <w:vAlign w:val="center"/>
          </w:tcPr>
          <w:p>
            <w:pPr>
              <w:rPr>
                <w:rFonts w:hint="eastAsia" w:ascii="仿宋_GB2312" w:hAnsi="宋体" w:eastAsia="仿宋_GB2312"/>
                <w:color w:val="0C0C0C"/>
                <w:szCs w:val="21"/>
                <w:highlight w:val="none"/>
              </w:rPr>
            </w:pPr>
            <w:r>
              <w:rPr>
                <w:rFonts w:hint="eastAsia" w:ascii="仿宋_GB2312" w:hAnsi="仿宋_GB2312" w:eastAsia="仿宋_GB2312" w:cs="仿宋_GB2312"/>
                <w:color w:val="0C0C0C"/>
                <w:kern w:val="0"/>
                <w:szCs w:val="21"/>
                <w:highlight w:val="none"/>
                <w:lang w:bidi="ar"/>
              </w:rPr>
              <w:t>运输和通勤</w:t>
            </w:r>
            <w:r>
              <w:rPr>
                <w:rFonts w:hint="eastAsia" w:ascii="仿宋_GB2312" w:hAnsi="宋体" w:eastAsia="仿宋_GB2312"/>
                <w:color w:val="0C0C0C"/>
                <w:szCs w:val="21"/>
                <w:highlight w:val="none"/>
              </w:rPr>
              <w:t>车辆均</w:t>
            </w:r>
            <w:r>
              <w:rPr>
                <w:rFonts w:hint="eastAsia" w:ascii="仿宋_GB2312" w:hAnsi="宋体" w:eastAsia="仿宋_GB2312"/>
                <w:color w:val="0C0C0C"/>
                <w:szCs w:val="21"/>
                <w:highlight w:val="none"/>
                <w:lang w:eastAsia="zh-CN"/>
              </w:rPr>
              <w:t>符合</w:t>
            </w:r>
            <w:r>
              <w:rPr>
                <w:rFonts w:hint="eastAsia" w:ascii="仿宋_GB2312" w:hAnsi="宋体" w:eastAsia="仿宋_GB2312"/>
                <w:color w:val="0C0C0C"/>
                <w:szCs w:val="21"/>
                <w:highlight w:val="none"/>
              </w:rPr>
              <w:t>国五及以上标准，新能源</w:t>
            </w:r>
            <w:r>
              <w:rPr>
                <w:rFonts w:hint="eastAsia" w:ascii="仿宋_GB2312" w:hAnsi="宋体" w:eastAsia="仿宋_GB2312"/>
                <w:color w:val="0C0C0C"/>
                <w:szCs w:val="21"/>
                <w:highlight w:val="none"/>
                <w:lang w:eastAsia="zh-CN"/>
              </w:rPr>
              <w:t>车</w:t>
            </w:r>
            <w:r>
              <w:rPr>
                <w:rFonts w:hint="eastAsia" w:ascii="仿宋_GB2312" w:hAnsi="宋体" w:eastAsia="仿宋_GB2312"/>
                <w:color w:val="0C0C0C"/>
                <w:szCs w:val="21"/>
                <w:highlight w:val="none"/>
              </w:rPr>
              <w:t>比例不低于20%</w:t>
            </w:r>
          </w:p>
        </w:tc>
        <w:tc>
          <w:tcPr>
            <w:tcW w:w="4108"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仿宋_GB2312" w:hAnsi="宋体" w:eastAsia="仿宋_GB2312"/>
                <w:color w:val="0C0C0C"/>
                <w:szCs w:val="21"/>
                <w:highlight w:val="none"/>
              </w:rPr>
            </w:pPr>
            <w:r>
              <w:rPr>
                <w:rFonts w:hint="eastAsia" w:ascii="仿宋_GB2312" w:hAnsi="仿宋_GB2312" w:eastAsia="仿宋_GB2312" w:cs="仿宋_GB2312"/>
                <w:color w:val="0C0C0C"/>
                <w:kern w:val="0"/>
                <w:szCs w:val="21"/>
                <w:highlight w:val="none"/>
                <w:lang w:bidi="ar"/>
              </w:rPr>
              <w:t>运输和通勤</w:t>
            </w:r>
            <w:r>
              <w:rPr>
                <w:rFonts w:hint="eastAsia" w:ascii="仿宋_GB2312" w:hAnsi="宋体" w:eastAsia="仿宋_GB2312"/>
                <w:color w:val="0C0C0C"/>
                <w:szCs w:val="21"/>
                <w:highlight w:val="none"/>
              </w:rPr>
              <w:t>车辆均</w:t>
            </w:r>
            <w:r>
              <w:rPr>
                <w:rFonts w:hint="eastAsia" w:ascii="仿宋_GB2312" w:hAnsi="宋体" w:eastAsia="仿宋_GB2312"/>
                <w:color w:val="0C0C0C"/>
                <w:szCs w:val="21"/>
                <w:highlight w:val="none"/>
                <w:lang w:eastAsia="zh-CN"/>
              </w:rPr>
              <w:t>符合</w:t>
            </w:r>
            <w:r>
              <w:rPr>
                <w:rFonts w:hint="eastAsia" w:ascii="仿宋_GB2312" w:hAnsi="宋体" w:eastAsia="仿宋_GB2312"/>
                <w:color w:val="0C0C0C"/>
                <w:szCs w:val="21"/>
                <w:highlight w:val="none"/>
              </w:rPr>
              <w:t>国五及以上标准，新能源</w:t>
            </w:r>
            <w:r>
              <w:rPr>
                <w:rFonts w:hint="eastAsia" w:ascii="仿宋_GB2312" w:hAnsi="宋体" w:eastAsia="仿宋_GB2312"/>
                <w:color w:val="0C0C0C"/>
                <w:szCs w:val="21"/>
                <w:highlight w:val="none"/>
                <w:lang w:eastAsia="zh-CN"/>
              </w:rPr>
              <w:t>车</w:t>
            </w:r>
            <w:r>
              <w:rPr>
                <w:rFonts w:hint="eastAsia" w:ascii="仿宋_GB2312" w:hAnsi="宋体" w:eastAsia="仿宋_GB2312"/>
                <w:color w:val="0C0C0C"/>
                <w:szCs w:val="21"/>
                <w:highlight w:val="none"/>
              </w:rPr>
              <w:t>比例不低于15%</w:t>
            </w:r>
          </w:p>
        </w:tc>
        <w:tc>
          <w:tcPr>
            <w:tcW w:w="2548" w:type="dxa"/>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w:t>
            </w:r>
          </w:p>
        </w:tc>
      </w:tr>
      <w:tr>
        <w:tblPrEx>
          <w:tblCellMar>
            <w:top w:w="0" w:type="dxa"/>
            <w:left w:w="0" w:type="dxa"/>
            <w:bottom w:w="0" w:type="dxa"/>
            <w:right w:w="0" w:type="dxa"/>
          </w:tblCellMar>
        </w:tblPrEx>
        <w:trPr>
          <w:trHeight w:val="947" w:hRule="atLeast"/>
        </w:trPr>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3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场内非道路</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移动机械</w:t>
            </w:r>
            <w:r>
              <w:rPr>
                <w:rFonts w:hint="eastAsia" w:ascii="仿宋_GB2312" w:hAnsi="仿宋_GB2312" w:eastAsia="仿宋_GB2312" w:cs="仿宋_GB2312"/>
                <w:color w:val="0C0C0C"/>
                <w:kern w:val="0"/>
                <w:szCs w:val="21"/>
                <w:highlight w:val="none"/>
                <w:vertAlign w:val="superscript"/>
                <w:lang w:bidi="ar"/>
              </w:rPr>
              <w:t>4</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olor w:val="0C0C0C"/>
                <w:szCs w:val="21"/>
                <w:highlight w:val="none"/>
              </w:rPr>
            </w:pPr>
            <w:r>
              <w:rPr>
                <w:rFonts w:hint="eastAsia" w:ascii="仿宋_GB2312" w:hAnsi="宋体" w:eastAsia="仿宋_GB2312"/>
                <w:color w:val="0C0C0C"/>
                <w:szCs w:val="21"/>
                <w:highlight w:val="none"/>
              </w:rPr>
              <w:t>使用国三及以上排放标准</w:t>
            </w:r>
            <w:r>
              <w:rPr>
                <w:rFonts w:hint="eastAsia" w:ascii="仿宋_GB2312" w:hAnsi="宋体" w:eastAsia="仿宋_GB2312"/>
                <w:color w:val="0C0C0C"/>
                <w:szCs w:val="21"/>
                <w:highlight w:val="none"/>
                <w:lang w:eastAsia="zh-CN"/>
              </w:rPr>
              <w:t>或者</w:t>
            </w:r>
            <w:r>
              <w:rPr>
                <w:rFonts w:hint="eastAsia" w:ascii="仿宋_GB2312" w:hAnsi="宋体" w:eastAsia="仿宋_GB2312"/>
                <w:color w:val="0C0C0C"/>
                <w:szCs w:val="21"/>
                <w:highlight w:val="none"/>
              </w:rPr>
              <w:t>新能源机械比例为80%，其中新能源叉车比例100%</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olor w:val="0C0C0C"/>
                <w:szCs w:val="21"/>
                <w:highlight w:val="none"/>
              </w:rPr>
            </w:pPr>
            <w:r>
              <w:rPr>
                <w:rFonts w:hint="eastAsia" w:ascii="仿宋_GB2312" w:hAnsi="宋体" w:eastAsia="仿宋_GB2312"/>
                <w:color w:val="0C0C0C"/>
                <w:szCs w:val="21"/>
                <w:highlight w:val="none"/>
                <w:lang w:eastAsia="zh-CN"/>
              </w:rPr>
              <w:t>使用</w:t>
            </w:r>
            <w:r>
              <w:rPr>
                <w:rFonts w:hint="eastAsia" w:ascii="仿宋_GB2312" w:hAnsi="宋体" w:eastAsia="仿宋_GB2312"/>
                <w:color w:val="0C0C0C"/>
                <w:szCs w:val="21"/>
                <w:highlight w:val="none"/>
              </w:rPr>
              <w:t>国三及以上排放标准</w:t>
            </w:r>
            <w:r>
              <w:rPr>
                <w:rFonts w:hint="eastAsia" w:ascii="仿宋_GB2312" w:hAnsi="宋体" w:eastAsia="仿宋_GB2312"/>
                <w:color w:val="0C0C0C"/>
                <w:szCs w:val="21"/>
                <w:highlight w:val="none"/>
                <w:lang w:eastAsia="zh-CN"/>
              </w:rPr>
              <w:t>或者</w:t>
            </w:r>
            <w:r>
              <w:rPr>
                <w:rFonts w:hint="eastAsia" w:ascii="仿宋_GB2312" w:hAnsi="宋体" w:eastAsia="仿宋_GB2312"/>
                <w:color w:val="0C0C0C"/>
                <w:szCs w:val="21"/>
                <w:highlight w:val="none"/>
              </w:rPr>
              <w:t>新能源机械比例为70%，其中新能源叉车比例100%</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尾气达标排放。非道路移动机械污染排放应满足GB36886的要求</w:t>
            </w:r>
          </w:p>
        </w:tc>
      </w:tr>
      <w:tr>
        <w:tblPrEx>
          <w:tblCellMar>
            <w:top w:w="0" w:type="dxa"/>
            <w:left w:w="0" w:type="dxa"/>
            <w:bottom w:w="0" w:type="dxa"/>
            <w:right w:w="0" w:type="dxa"/>
          </w:tblCellMar>
        </w:tblPrEx>
        <w:trPr>
          <w:trHeight w:val="422" w:hRule="atLeast"/>
        </w:trPr>
        <w:tc>
          <w:tcPr>
            <w:tcW w:w="69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4</w:t>
            </w:r>
          </w:p>
        </w:tc>
        <w:tc>
          <w:tcPr>
            <w:tcW w:w="131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节能减碳</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r>
              <w:rPr>
                <w:rFonts w:hint="eastAsia" w:ascii="仿宋_GB2312" w:hAnsi="宋体" w:eastAsia="仿宋_GB2312"/>
                <w:color w:val="0C0C0C"/>
                <w:szCs w:val="21"/>
                <w:highlight w:val="none"/>
              </w:rPr>
              <w:t>碳市场履约</w:t>
            </w:r>
            <w:r>
              <w:rPr>
                <w:rFonts w:hint="eastAsia" w:ascii="仿宋_GB2312" w:hAnsi="宋体" w:eastAsia="仿宋_GB2312"/>
                <w:color w:val="0C0C0C"/>
                <w:szCs w:val="21"/>
                <w:highlight w:val="none"/>
                <w:vertAlign w:val="superscript"/>
              </w:rPr>
              <w:t>5</w:t>
            </w:r>
          </w:p>
        </w:tc>
        <w:tc>
          <w:tcPr>
            <w:tcW w:w="10691"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宋体" w:eastAsia="仿宋_GB2312"/>
                <w:color w:val="0C0C0C"/>
                <w:szCs w:val="21"/>
                <w:highlight w:val="none"/>
              </w:rPr>
              <w:t>纳入碳市场管理的企业开展碳排放核算，编制碳排放报告</w:t>
            </w:r>
          </w:p>
        </w:tc>
      </w:tr>
      <w:tr>
        <w:tblPrEx>
          <w:tblCellMar>
            <w:top w:w="0" w:type="dxa"/>
            <w:left w:w="0" w:type="dxa"/>
            <w:bottom w:w="0" w:type="dxa"/>
            <w:right w:w="0" w:type="dxa"/>
          </w:tblCellMar>
        </w:tblPrEx>
        <w:trPr>
          <w:trHeight w:val="1914" w:hRule="atLeast"/>
        </w:trPr>
        <w:tc>
          <w:tcPr>
            <w:tcW w:w="696" w:type="dxa"/>
            <w:vMerge w:val="continue"/>
            <w:tcBorders>
              <w:left w:val="single" w:color="000000" w:sz="4" w:space="0"/>
              <w:right w:val="single" w:color="000000" w:sz="4" w:space="0"/>
            </w:tcBorders>
            <w:noWrap w:val="0"/>
            <w:vAlign w:val="center"/>
          </w:tcPr>
          <w:p>
            <w:pPr>
              <w:jc w:val="center"/>
              <w:rPr>
                <w:rFonts w:hint="eastAsia" w:ascii="宋体" w:hAnsi="宋体" w:cs="宋体"/>
                <w:color w:val="0C0C0C"/>
                <w:szCs w:val="21"/>
                <w:highlight w:val="none"/>
              </w:rPr>
            </w:pPr>
          </w:p>
        </w:tc>
        <w:tc>
          <w:tcPr>
            <w:tcW w:w="1314" w:type="dxa"/>
            <w:vMerge w:val="continue"/>
            <w:tcBorders>
              <w:left w:val="single" w:color="000000" w:sz="4" w:space="0"/>
              <w:right w:val="single" w:color="000000" w:sz="4" w:space="0"/>
            </w:tcBorders>
            <w:noWrap w:val="0"/>
            <w:vAlign w:val="center"/>
          </w:tcPr>
          <w:p>
            <w:pPr>
              <w:jc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碳排放强度</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pStyle w:val="11"/>
              <w:widowControl/>
              <w:ind w:firstLine="0" w:firstLineChars="0"/>
              <w:rPr>
                <w:rFonts w:hint="eastAsia" w:ascii="仿宋_GB2312" w:hAnsi="宋体" w:eastAsia="仿宋_GB2312"/>
                <w:color w:val="0C0C0C"/>
                <w:szCs w:val="21"/>
                <w:highlight w:val="none"/>
                <w:lang w:eastAsia="zh-CN"/>
              </w:rPr>
            </w:pPr>
            <w:r>
              <w:rPr>
                <w:rFonts w:hint="eastAsia" w:ascii="仿宋_GB2312" w:hAnsi="宋体" w:eastAsia="仿宋_GB2312"/>
                <w:color w:val="0C0C0C"/>
                <w:szCs w:val="21"/>
                <w:highlight w:val="none"/>
              </w:rPr>
              <w:t>1.当行业有碳排放强度先进值时，在相同边界条件下，企业碳排放强度在评价期内达到最新有效的行业先进值</w:t>
            </w:r>
            <w:r>
              <w:rPr>
                <w:rFonts w:hint="eastAsia" w:ascii="仿宋_GB2312" w:hAnsi="宋体" w:eastAsia="仿宋_GB2312"/>
                <w:color w:val="0C0C0C"/>
                <w:szCs w:val="21"/>
                <w:highlight w:val="none"/>
                <w:lang w:eastAsia="zh-CN"/>
              </w:rPr>
              <w:t>；</w:t>
            </w:r>
          </w:p>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2.当行业不存在碳排放强度先进值时，按照企业评价期内年均碳排放强度较上一年的降低率比较，降低率达到5%</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pStyle w:val="11"/>
              <w:widowControl/>
              <w:ind w:firstLine="0" w:firstLineChars="0"/>
              <w:rPr>
                <w:rFonts w:hint="eastAsia" w:ascii="仿宋_GB2312" w:hAnsi="宋体" w:eastAsia="仿宋_GB2312"/>
                <w:color w:val="0C0C0C"/>
                <w:szCs w:val="21"/>
                <w:highlight w:val="none"/>
                <w:lang w:eastAsia="zh-CN"/>
              </w:rPr>
            </w:pPr>
            <w:r>
              <w:rPr>
                <w:rFonts w:hint="eastAsia" w:ascii="仿宋_GB2312" w:hAnsi="宋体" w:eastAsia="仿宋_GB2312"/>
                <w:color w:val="0C0C0C"/>
                <w:szCs w:val="21"/>
                <w:highlight w:val="none"/>
              </w:rPr>
              <w:t>1.当行业有碳排放强度先进值时，在相同边界条件下，企业碳排放强度在评价期内与行业最新有效的先进值的差距在5%以内（含5%）</w:t>
            </w:r>
            <w:r>
              <w:rPr>
                <w:rFonts w:hint="eastAsia" w:ascii="仿宋_GB2312" w:hAnsi="宋体" w:eastAsia="仿宋_GB2312"/>
                <w:color w:val="0C0C0C"/>
                <w:szCs w:val="21"/>
                <w:highlight w:val="none"/>
                <w:lang w:eastAsia="zh-CN"/>
              </w:rPr>
              <w:t>；</w:t>
            </w:r>
          </w:p>
          <w:p>
            <w:pPr>
              <w:rPr>
                <w:rFonts w:hint="eastAsia" w:ascii="仿宋_GB2312" w:hAnsi="宋体" w:eastAsia="仿宋_GB2312"/>
                <w:color w:val="0C0C0C"/>
                <w:szCs w:val="21"/>
                <w:highlight w:val="none"/>
              </w:rPr>
            </w:pPr>
            <w:r>
              <w:rPr>
                <w:rFonts w:hint="eastAsia" w:ascii="仿宋_GB2312" w:hAnsi="宋体" w:eastAsia="仿宋_GB2312"/>
                <w:color w:val="0C0C0C"/>
                <w:szCs w:val="21"/>
                <w:highlight w:val="none"/>
              </w:rPr>
              <w:t>2.当行业不存在碳排放强度先进值时，按照企业评价期内年均碳排放强度较上一年的降低率比较，降低率达到4%</w:t>
            </w:r>
          </w:p>
        </w:tc>
        <w:tc>
          <w:tcPr>
            <w:tcW w:w="254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589" w:hRule="atLeast"/>
        </w:trPr>
        <w:tc>
          <w:tcPr>
            <w:tcW w:w="69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5</w:t>
            </w:r>
          </w:p>
        </w:tc>
        <w:tc>
          <w:tcPr>
            <w:tcW w:w="131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环境管理</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清洁生产</w:t>
            </w:r>
          </w:p>
        </w:tc>
        <w:tc>
          <w:tcPr>
            <w:tcW w:w="4035"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近五年开展清洁生产审核，通过行政主管部门组织的清洁生产审核评估验收</w:t>
            </w:r>
          </w:p>
        </w:tc>
        <w:tc>
          <w:tcPr>
            <w:tcW w:w="6656"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539" w:hRule="atLeast"/>
        </w:trPr>
        <w:tc>
          <w:tcPr>
            <w:tcW w:w="696"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14" w:type="dxa"/>
            <w:vMerge w:val="continue"/>
            <w:tcBorders>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0"/>
                <w:szCs w:val="21"/>
                <w:highlight w:val="none"/>
                <w:lang w:bidi="ar"/>
              </w:rPr>
              <w:t>环境管理制度</w:t>
            </w:r>
          </w:p>
        </w:tc>
        <w:tc>
          <w:tcPr>
            <w:tcW w:w="4035" w:type="dxa"/>
            <w:tcBorders>
              <w:top w:val="single" w:color="000000" w:sz="4" w:space="0"/>
              <w:left w:val="single" w:color="000000" w:sz="4" w:space="0"/>
              <w:bottom w:val="single" w:color="000000"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按照《环境管理体系》GB/T24001建立环境管理体系</w:t>
            </w:r>
          </w:p>
        </w:tc>
        <w:tc>
          <w:tcPr>
            <w:tcW w:w="4108" w:type="dxa"/>
            <w:tcBorders>
              <w:top w:val="single" w:color="000000" w:sz="4" w:space="0"/>
              <w:left w:val="single" w:color="auto" w:sz="4" w:space="0"/>
              <w:bottom w:val="single" w:color="000000"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建立环境管理制度，环境管理手册、程序文件及作业文件齐全</w:t>
            </w:r>
          </w:p>
        </w:tc>
        <w:tc>
          <w:tcPr>
            <w:tcW w:w="2548" w:type="dxa"/>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CellMar>
            <w:top w:w="0" w:type="dxa"/>
            <w:left w:w="0" w:type="dxa"/>
            <w:bottom w:w="0" w:type="dxa"/>
            <w:right w:w="0" w:type="dxa"/>
          </w:tblCellMar>
        </w:tblPrEx>
        <w:trPr>
          <w:trHeight w:val="644" w:hRule="atLeast"/>
        </w:trPr>
        <w:tc>
          <w:tcPr>
            <w:tcW w:w="69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14"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C0C0C"/>
                <w:szCs w:val="21"/>
                <w:highlight w:val="none"/>
                <w:lang w:eastAsia="zh-CN"/>
              </w:rPr>
            </w:pPr>
            <w:r>
              <w:rPr>
                <w:rFonts w:hint="eastAsia" w:ascii="仿宋_GB2312" w:hAnsi="宋体" w:eastAsia="仿宋_GB2312"/>
                <w:color w:val="0C0C0C"/>
                <w:szCs w:val="21"/>
                <w:highlight w:val="none"/>
                <w:lang w:bidi="ar"/>
              </w:rPr>
              <w:t>突发环境事件和</w:t>
            </w:r>
            <w:r>
              <w:rPr>
                <w:rFonts w:hint="eastAsia" w:ascii="仿宋_GB2312" w:hAnsi="宋体" w:eastAsia="仿宋_GB2312"/>
                <w:color w:val="0C0C0C"/>
                <w:szCs w:val="21"/>
                <w:highlight w:val="none"/>
                <w:lang w:eastAsia="zh-CN" w:bidi="ar"/>
              </w:rPr>
              <w:t>生态环境行政处罚</w:t>
            </w:r>
          </w:p>
        </w:tc>
        <w:tc>
          <w:tcPr>
            <w:tcW w:w="106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C0C0C"/>
                <w:szCs w:val="21"/>
                <w:highlight w:val="none"/>
              </w:rPr>
            </w:pPr>
            <w:r>
              <w:rPr>
                <w:rFonts w:hint="eastAsia" w:ascii="仿宋_GB2312" w:hAnsi="宋体" w:eastAsia="仿宋_GB2312"/>
                <w:color w:val="0C0C0C"/>
                <w:szCs w:val="21"/>
                <w:highlight w:val="none"/>
                <w:lang w:bidi="ar"/>
              </w:rPr>
              <w:t>近三年内未发生突发环境事件</w:t>
            </w:r>
            <w:r>
              <w:rPr>
                <w:rFonts w:hint="eastAsia" w:ascii="仿宋_GB2312" w:hAnsi="宋体" w:eastAsia="仿宋_GB2312" w:cs="Times New Roman"/>
                <w:color w:val="0C0C0C"/>
                <w:szCs w:val="21"/>
                <w:highlight w:val="none"/>
                <w:lang w:bidi="ar"/>
              </w:rPr>
              <w:t>、</w:t>
            </w:r>
            <w:r>
              <w:rPr>
                <w:rFonts w:hint="eastAsia" w:ascii="仿宋_GB2312" w:hAnsi="宋体" w:eastAsia="仿宋_GB2312"/>
                <w:color w:val="0C0C0C"/>
                <w:szCs w:val="21"/>
                <w:highlight w:val="none"/>
                <w:lang w:bidi="ar"/>
              </w:rPr>
              <w:t>未受到</w:t>
            </w:r>
            <w:r>
              <w:rPr>
                <w:rFonts w:hint="eastAsia" w:ascii="仿宋_GB2312" w:hAnsi="宋体" w:eastAsia="仿宋_GB2312"/>
                <w:color w:val="0C0C0C"/>
                <w:szCs w:val="21"/>
                <w:highlight w:val="none"/>
                <w:lang w:eastAsia="zh-CN" w:bidi="ar"/>
              </w:rPr>
              <w:t>市区两级生态环境部门行政处罚</w:t>
            </w:r>
          </w:p>
        </w:tc>
      </w:tr>
    </w:tbl>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注：1.办公楼宇为租用的不评价该指标。</w:t>
      </w:r>
    </w:p>
    <w:p>
      <w:pPr>
        <w:ind w:firstLine="840" w:firstLineChars="400"/>
        <w:rPr>
          <w:rFonts w:hint="eastAsia" w:ascii="仿宋_GB2312" w:hAnsi="仿宋_GB2312" w:eastAsia="仿宋_GB2312" w:cs="仿宋_GB2312"/>
          <w:highlight w:val="none"/>
        </w:rPr>
      </w:pPr>
      <w:r>
        <w:rPr>
          <w:rFonts w:hint="eastAsia" w:ascii="仿宋_GB2312" w:hAnsi="仿宋_GB2312" w:eastAsia="仿宋_GB2312" w:cs="仿宋_GB2312"/>
          <w:color w:val="0C0C0C"/>
          <w:kern w:val="0"/>
          <w:szCs w:val="21"/>
          <w:highlight w:val="none"/>
          <w:lang w:bidi="ar"/>
        </w:rPr>
        <w:t>2.绿色建筑：</w:t>
      </w:r>
      <w:r>
        <w:rPr>
          <w:rFonts w:hint="eastAsia" w:ascii="仿宋_GB2312" w:hAnsi="宋体" w:eastAsia="仿宋_GB2312"/>
          <w:color w:val="0C0C0C"/>
          <w:szCs w:val="21"/>
          <w:highlight w:val="none"/>
        </w:rPr>
        <w:t>近一年未竣工新建建筑</w:t>
      </w:r>
      <w:r>
        <w:rPr>
          <w:rFonts w:hint="eastAsia" w:ascii="仿宋_GB2312" w:hAnsi="仿宋_GB2312" w:eastAsia="仿宋_GB2312" w:cs="仿宋_GB2312"/>
          <w:color w:val="0C0C0C"/>
          <w:szCs w:val="21"/>
          <w:highlight w:val="none"/>
        </w:rPr>
        <w:t>的企业不评价该指标。</w:t>
      </w:r>
    </w:p>
    <w:p>
      <w:pPr>
        <w:pStyle w:val="2"/>
        <w:ind w:left="420" w:firstLine="420" w:firstLineChars="20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3.污染物排放管理：企业根据污染物排放实际情况对相应指标进行评价，并辅之证明材料。</w:t>
      </w:r>
    </w:p>
    <w:p>
      <w:pPr>
        <w:pStyle w:val="2"/>
        <w:ind w:left="420" w:firstLine="420" w:firstLineChars="200"/>
        <w:rPr>
          <w:rFonts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4.场内非道路移动机械：不使用非道路移动机械的企业不评价该指标。</w:t>
      </w:r>
    </w:p>
    <w:p>
      <w:pPr>
        <w:pStyle w:val="2"/>
        <w:ind w:left="420" w:firstLine="420" w:firstLineChars="200"/>
        <w:rPr>
          <w:rFonts w:hint="eastAsia" w:ascii="仿宋_GB2312" w:hAnsi="仿宋_GB2312" w:cs="仿宋_GB2312"/>
          <w:color w:val="0C0C0C"/>
          <w:szCs w:val="21"/>
          <w:highlight w:val="none"/>
        </w:rPr>
      </w:pPr>
      <w:r>
        <w:rPr>
          <w:rFonts w:hint="eastAsia" w:ascii="仿宋_GB2312" w:hAnsi="仿宋_GB2312" w:cs="仿宋_GB2312"/>
          <w:highlight w:val="none"/>
        </w:rPr>
        <w:t>5.</w:t>
      </w:r>
      <w:r>
        <w:rPr>
          <w:rFonts w:hint="eastAsia" w:ascii="仿宋_GB2312" w:hAnsi="仿宋_GB2312" w:cs="仿宋_GB2312"/>
          <w:color w:val="0C0C0C"/>
          <w:kern w:val="0"/>
          <w:szCs w:val="21"/>
          <w:highlight w:val="none"/>
          <w:lang w:bidi="ar"/>
        </w:rPr>
        <w:t>碳市场履约：未纳入</w:t>
      </w:r>
      <w:r>
        <w:rPr>
          <w:rFonts w:hint="eastAsia" w:ascii="仿宋_GB2312" w:hAnsi="仿宋_GB2312" w:cs="仿宋_GB2312"/>
          <w:color w:val="0C0C0C"/>
          <w:szCs w:val="21"/>
          <w:highlight w:val="none"/>
        </w:rPr>
        <w:t>碳市场管理的企业不评价该指标。</w:t>
      </w:r>
    </w:p>
    <w:p>
      <w:pPr>
        <w:pStyle w:val="2"/>
        <w:ind w:left="420" w:firstLine="420" w:firstLineChars="200"/>
        <w:rPr>
          <w:rFonts w:hint="eastAsia" w:ascii="仿宋_GB2312" w:hAnsi="仿宋_GB2312" w:cs="仿宋_GB2312"/>
          <w:color w:val="0C0C0C"/>
          <w:szCs w:val="21"/>
          <w:highlight w:val="none"/>
        </w:rPr>
      </w:pPr>
      <w:r>
        <w:rPr>
          <w:rFonts w:hint="eastAsia" w:ascii="仿宋_GB2312" w:hAnsi="仿宋_GB2312" w:cs="仿宋_GB2312"/>
          <w:color w:val="0C0C0C"/>
          <w:szCs w:val="21"/>
          <w:highlight w:val="none"/>
        </w:rPr>
        <w:t>6.被生态环境部门认定为“重污染</w:t>
      </w:r>
      <w:r>
        <w:rPr>
          <w:rFonts w:hint="eastAsia" w:ascii="仿宋_GB2312" w:hAnsi="仿宋_GB2312" w:cs="仿宋_GB2312"/>
          <w:color w:val="0C0C0C"/>
          <w:szCs w:val="21"/>
          <w:highlight w:val="none"/>
          <w:lang w:eastAsia="zh-CN"/>
        </w:rPr>
        <w:t>天气应急减排措施</w:t>
      </w:r>
      <w:r>
        <w:rPr>
          <w:rFonts w:hint="eastAsia" w:ascii="仿宋_GB2312" w:hAnsi="仿宋_GB2312" w:cs="仿宋_GB2312"/>
          <w:color w:val="0C0C0C"/>
          <w:szCs w:val="21"/>
          <w:highlight w:val="none"/>
        </w:rPr>
        <w:t>绩效分级A级”的企业可免评第2、3项中涉及大气污染物排放的内容。</w:t>
      </w:r>
    </w:p>
    <w:p>
      <w:pPr>
        <w:pStyle w:val="2"/>
        <w:ind w:left="420" w:firstLine="420" w:firstLineChars="200"/>
        <w:rPr>
          <w:rFonts w:ascii="仿宋_GB2312" w:hAnsi="仿宋_GB2312" w:cs="仿宋_GB2312"/>
          <w:color w:val="0C0C0C"/>
          <w:szCs w:val="21"/>
          <w:highlight w:val="none"/>
        </w:rPr>
      </w:pPr>
      <w:r>
        <w:rPr>
          <w:rFonts w:hint="eastAsia" w:ascii="仿宋_GB2312" w:hAnsi="仿宋_GB2312" w:cs="仿宋_GB2312"/>
          <w:color w:val="0C0C0C"/>
          <w:szCs w:val="21"/>
          <w:highlight w:val="none"/>
        </w:rPr>
        <w:t>7.被生态环境部门认定为“低碳领跑者”企业可免评第4项</w:t>
      </w:r>
    </w:p>
    <w:p>
      <w:pPr>
        <w:pStyle w:val="2"/>
        <w:ind w:left="0" w:leftChars="0"/>
        <w:rPr>
          <w:rFonts w:hint="eastAsia" w:ascii="黑体" w:hAnsi="黑体" w:eastAsia="黑体" w:cs="黑体"/>
          <w:sz w:val="32"/>
          <w:szCs w:val="32"/>
          <w:highlight w:val="none"/>
        </w:rPr>
      </w:pPr>
      <w:r>
        <w:rPr>
          <w:rFonts w:hint="eastAsia" w:ascii="仿宋_GB2312" w:hAnsi="仿宋_GB2312" w:cs="仿宋_GB2312"/>
          <w:color w:val="0C0C0C"/>
          <w:kern w:val="0"/>
          <w:szCs w:val="21"/>
          <w:highlight w:val="none"/>
          <w:lang w:bidi="ar"/>
        </w:rPr>
        <w:br w:type="page"/>
      </w:r>
      <w:r>
        <w:rPr>
          <w:rFonts w:hint="eastAsia" w:ascii="黑体" w:hAnsi="黑体" w:eastAsia="黑体" w:cs="黑体"/>
          <w:sz w:val="32"/>
          <w:szCs w:val="32"/>
          <w:highlight w:val="none"/>
        </w:rPr>
        <w:t>2.1电力生产（441）企业绿色绩效评价细则</w:t>
      </w:r>
    </w:p>
    <w:tbl>
      <w:tblPr>
        <w:tblStyle w:val="8"/>
        <w:tblW w:w="14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19"/>
        <w:gridCol w:w="850"/>
        <w:gridCol w:w="1725"/>
        <w:gridCol w:w="3840"/>
        <w:gridCol w:w="3809"/>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blHeader/>
          <w:jc w:val="center"/>
        </w:trPr>
        <w:tc>
          <w:tcPr>
            <w:tcW w:w="641" w:type="dxa"/>
            <w:noWrap w:val="0"/>
            <w:vAlign w:val="center"/>
          </w:tcPr>
          <w:p>
            <w:pPr>
              <w:spacing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119" w:type="dxa"/>
            <w:noWrap w:val="0"/>
            <w:vAlign w:val="center"/>
          </w:tcPr>
          <w:p>
            <w:pPr>
              <w:spacing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一级指标</w:t>
            </w:r>
          </w:p>
        </w:tc>
        <w:tc>
          <w:tcPr>
            <w:tcW w:w="2575" w:type="dxa"/>
            <w:gridSpan w:val="2"/>
            <w:noWrap w:val="0"/>
            <w:vAlign w:val="center"/>
          </w:tcPr>
          <w:p>
            <w:pPr>
              <w:spacing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二级指标</w:t>
            </w:r>
          </w:p>
        </w:tc>
        <w:tc>
          <w:tcPr>
            <w:tcW w:w="3840" w:type="dxa"/>
            <w:noWrap w:val="0"/>
            <w:vAlign w:val="center"/>
          </w:tcPr>
          <w:p>
            <w:pPr>
              <w:widowControl/>
              <w:spacing w:line="240" w:lineRule="exact"/>
              <w:jc w:val="center"/>
              <w:textAlignment w:val="center"/>
              <w:rPr>
                <w:rFonts w:hint="eastAsia" w:ascii="仿宋_GB2312" w:hAnsi="仿宋_GB2312" w:eastAsia="仿宋_GB2312" w:cs="仿宋_GB2312"/>
                <w:b/>
                <w:color w:val="000000"/>
                <w:kern w:val="0"/>
                <w:sz w:val="18"/>
                <w:szCs w:val="18"/>
                <w:highlight w:val="none"/>
                <w:lang w:bidi="ar"/>
              </w:rPr>
            </w:pPr>
            <w:r>
              <w:rPr>
                <w:rFonts w:hint="eastAsia" w:ascii="仿宋_GB2312" w:hAnsi="仿宋_GB2312" w:eastAsia="仿宋_GB2312" w:cs="仿宋_GB2312"/>
                <w:b/>
                <w:color w:val="000000"/>
                <w:kern w:val="0"/>
                <w:szCs w:val="21"/>
                <w:highlight w:val="none"/>
                <w:lang w:bidi="ar"/>
              </w:rPr>
              <w:t>绿色标杆企业(深绿)</w:t>
            </w:r>
          </w:p>
        </w:tc>
        <w:tc>
          <w:tcPr>
            <w:tcW w:w="3809" w:type="dxa"/>
            <w:noWrap w:val="0"/>
            <w:vAlign w:val="center"/>
          </w:tcPr>
          <w:p>
            <w:pPr>
              <w:spacing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2535" w:type="dxa"/>
            <w:noWrap w:val="0"/>
            <w:vAlign w:val="center"/>
          </w:tcPr>
          <w:p>
            <w:pPr>
              <w:spacing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合法企业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41" w:type="dxa"/>
            <w:vMerge w:val="restart"/>
            <w:noWrap w:val="0"/>
            <w:vAlign w:val="center"/>
          </w:tcPr>
          <w:p>
            <w:pPr>
              <w:spacing w:beforeLines="0" w:afterLines="0" w:line="280" w:lineRule="exact"/>
              <w:jc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119" w:type="dxa"/>
            <w:vMerge w:val="restart"/>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办公楼宇</w:t>
            </w:r>
          </w:p>
        </w:tc>
        <w:tc>
          <w:tcPr>
            <w:tcW w:w="2575" w:type="dxa"/>
            <w:gridSpan w:val="2"/>
            <w:vMerge w:val="restart"/>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szCs w:val="21"/>
                <w:highlight w:val="none"/>
                <w:vertAlign w:val="superscript"/>
              </w:rPr>
              <w:t>1</w:t>
            </w:r>
          </w:p>
        </w:tc>
        <w:tc>
          <w:tcPr>
            <w:tcW w:w="3840" w:type="dxa"/>
            <w:noWrap w:val="0"/>
            <w:vAlign w:val="center"/>
          </w:tcPr>
          <w:p>
            <w:pPr>
              <w:snapToGrid w:val="0"/>
              <w:spacing w:before="0" w:beforeLines="0" w:after="0" w:afterLines="0" w:line="260" w:lineRule="exac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采用太阳能光热系统、太阳能光伏系统、地源热泵系统、空气源热泵热水系统其中之一</w:t>
            </w:r>
          </w:p>
        </w:tc>
        <w:tc>
          <w:tcPr>
            <w:tcW w:w="3809" w:type="dxa"/>
            <w:noWrap w:val="0"/>
            <w:vAlign w:val="center"/>
          </w:tcPr>
          <w:p>
            <w:pPr>
              <w:snapToGrid w:val="0"/>
              <w:spacing w:before="0" w:beforeLines="0" w:after="0" w:afterLines="0" w:line="260" w:lineRule="exac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采用太阳能热水供应系统、LED照明灯具其中之一</w:t>
            </w:r>
          </w:p>
        </w:tc>
        <w:tc>
          <w:tcPr>
            <w:tcW w:w="2535" w:type="dxa"/>
            <w:noWrap w:val="0"/>
            <w:vAlign w:val="center"/>
          </w:tcPr>
          <w:p>
            <w:pPr>
              <w:snapToGrid w:val="0"/>
              <w:spacing w:before="0" w:beforeLines="0" w:after="0" w:afterLines="0" w:line="280" w:lineRule="exact"/>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noWrap w:val="0"/>
            <w:vAlign w:val="top"/>
          </w:tcPr>
          <w:p>
            <w:pPr>
              <w:spacing w:beforeLines="0" w:afterLines="0" w:line="280" w:lineRule="exact"/>
              <w:jc w:val="center"/>
              <w:rPr>
                <w:rFonts w:hint="eastAsia" w:ascii="仿宋_GB2312" w:hAnsi="仿宋_GB2312" w:eastAsia="仿宋_GB2312" w:cs="仿宋_GB2312"/>
                <w:b/>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2575" w:type="dxa"/>
            <w:gridSpan w:val="2"/>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3840"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809"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535" w:type="dxa"/>
            <w:noWrap w:val="0"/>
            <w:vAlign w:val="center"/>
          </w:tcPr>
          <w:p>
            <w:pPr>
              <w:snapToGrid w:val="0"/>
              <w:spacing w:before="0" w:beforeLines="0" w:after="0" w:afterLines="0" w:line="280" w:lineRule="exact"/>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top"/>
          </w:tcPr>
          <w:p>
            <w:pPr>
              <w:spacing w:beforeLines="0" w:afterLines="0" w:line="280" w:lineRule="exact"/>
              <w:jc w:val="center"/>
              <w:rPr>
                <w:rFonts w:hint="eastAsia" w:ascii="仿宋_GB2312" w:hAnsi="仿宋_GB2312" w:eastAsia="仿宋_GB2312" w:cs="仿宋_GB2312"/>
                <w:b/>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2575" w:type="dxa"/>
            <w:gridSpan w:val="2"/>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3840" w:type="dxa"/>
            <w:noWrap w:val="0"/>
            <w:vAlign w:val="center"/>
          </w:tcPr>
          <w:p>
            <w:pPr>
              <w:widowControl/>
              <w:snapToGrid w:val="0"/>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3809" w:type="dxa"/>
            <w:noWrap w:val="0"/>
            <w:vAlign w:val="center"/>
          </w:tcPr>
          <w:p>
            <w:pPr>
              <w:widowControl/>
              <w:snapToGrid w:val="0"/>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535" w:type="dxa"/>
            <w:noWrap w:val="0"/>
            <w:vAlign w:val="center"/>
          </w:tcPr>
          <w:p>
            <w:pPr>
              <w:snapToGrid w:val="0"/>
              <w:spacing w:before="0" w:beforeLines="0" w:after="0" w:afterLines="0" w:line="280" w:lineRule="exact"/>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41" w:type="dxa"/>
            <w:vMerge w:val="continue"/>
            <w:noWrap w:val="0"/>
            <w:vAlign w:val="top"/>
          </w:tcPr>
          <w:p>
            <w:pPr>
              <w:spacing w:beforeLines="0" w:afterLines="0" w:line="280" w:lineRule="exact"/>
              <w:jc w:val="center"/>
              <w:rPr>
                <w:rFonts w:hint="eastAsia" w:ascii="仿宋_GB2312" w:hAnsi="仿宋_GB2312" w:eastAsia="仿宋_GB2312" w:cs="仿宋_GB2312"/>
                <w:b/>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2575" w:type="dxa"/>
            <w:gridSpan w:val="2"/>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10184" w:type="dxa"/>
            <w:gridSpan w:val="3"/>
            <w:noWrap w:val="0"/>
            <w:vAlign w:val="center"/>
          </w:tcPr>
          <w:p>
            <w:pPr>
              <w:snapToGrid w:val="0"/>
              <w:spacing w:before="0" w:beforeLines="0" w:after="0" w:afterLines="0" w:line="280" w:lineRule="exact"/>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top"/>
          </w:tcPr>
          <w:p>
            <w:pPr>
              <w:spacing w:beforeLines="0" w:afterLines="0" w:line="280" w:lineRule="exact"/>
              <w:jc w:val="center"/>
              <w:rPr>
                <w:rFonts w:hint="eastAsia" w:ascii="仿宋_GB2312" w:hAnsi="仿宋_GB2312" w:eastAsia="仿宋_GB2312" w:cs="仿宋_GB2312"/>
                <w:b/>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2575" w:type="dxa"/>
            <w:gridSpan w:val="2"/>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3840"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3809"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2535" w:type="dxa"/>
            <w:noWrap w:val="0"/>
            <w:vAlign w:val="center"/>
          </w:tcPr>
          <w:p>
            <w:pPr>
              <w:snapToGrid w:val="0"/>
              <w:spacing w:before="0" w:beforeLines="0" w:after="0" w:afterLines="0" w:line="280" w:lineRule="exact"/>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top"/>
          </w:tcPr>
          <w:p>
            <w:pPr>
              <w:spacing w:beforeLines="0" w:afterLines="0" w:line="280" w:lineRule="exact"/>
              <w:jc w:val="center"/>
              <w:rPr>
                <w:rFonts w:hint="eastAsia" w:ascii="仿宋_GB2312" w:hAnsi="仿宋_GB2312" w:eastAsia="仿宋_GB2312" w:cs="仿宋_GB2312"/>
                <w:b/>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b/>
                <w:color w:val="000000"/>
                <w:kern w:val="0"/>
                <w:szCs w:val="21"/>
                <w:highlight w:val="none"/>
              </w:rPr>
            </w:pPr>
          </w:p>
        </w:tc>
        <w:tc>
          <w:tcPr>
            <w:tcW w:w="2575" w:type="dxa"/>
            <w:gridSpan w:val="2"/>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3840"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3809"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2535" w:type="dxa"/>
            <w:noWrap w:val="0"/>
            <w:vAlign w:val="center"/>
          </w:tcPr>
          <w:p>
            <w:pPr>
              <w:snapToGrid w:val="0"/>
              <w:spacing w:before="0" w:beforeLines="0" w:after="0" w:afterLines="0" w:line="280" w:lineRule="exact"/>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41" w:type="dxa"/>
            <w:vMerge w:val="restart"/>
            <w:noWrap w:val="0"/>
            <w:vAlign w:val="center"/>
          </w:tcPr>
          <w:p>
            <w:pPr>
              <w:spacing w:beforeLines="0" w:afterLines="0" w:line="28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color w:val="000000"/>
                <w:kern w:val="0"/>
                <w:szCs w:val="21"/>
                <w:highlight w:val="none"/>
              </w:rPr>
              <w:t>2</w:t>
            </w:r>
          </w:p>
        </w:tc>
        <w:tc>
          <w:tcPr>
            <w:tcW w:w="1119" w:type="dxa"/>
            <w:vMerge w:val="restart"/>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生产工艺及装备</w:t>
            </w:r>
          </w:p>
        </w:tc>
        <w:tc>
          <w:tcPr>
            <w:tcW w:w="2575" w:type="dxa"/>
            <w:gridSpan w:val="2"/>
            <w:noWrap w:val="0"/>
            <w:vAlign w:val="center"/>
          </w:tcPr>
          <w:p>
            <w:pPr>
              <w:widowControl/>
              <w:spacing w:beforeLines="0" w:afterLines="0" w:line="280" w:lineRule="exact"/>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燃机和锅炉设备及系统情况</w:t>
            </w:r>
          </w:p>
        </w:tc>
        <w:tc>
          <w:tcPr>
            <w:tcW w:w="10184" w:type="dxa"/>
            <w:gridSpan w:val="3"/>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采用高效、节能、环保的设计或实施节能减排改造并取得相应减量效益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top"/>
          </w:tcPr>
          <w:p>
            <w:pPr>
              <w:spacing w:beforeLines="0" w:afterLines="0" w:line="280" w:lineRule="exact"/>
              <w:jc w:val="center"/>
              <w:rPr>
                <w:rFonts w:hint="eastAsia" w:ascii="宋体" w:hAnsi="宋体" w:cs="宋体"/>
                <w:b/>
                <w:color w:val="000000"/>
                <w:kern w:val="0"/>
                <w:szCs w:val="21"/>
                <w:highlight w:val="none"/>
              </w:rPr>
            </w:pPr>
          </w:p>
        </w:tc>
        <w:tc>
          <w:tcPr>
            <w:tcW w:w="1119" w:type="dxa"/>
            <w:vMerge w:val="continue"/>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p>
        </w:tc>
        <w:tc>
          <w:tcPr>
            <w:tcW w:w="2575" w:type="dxa"/>
            <w:gridSpan w:val="2"/>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泵、风机系统电机能效</w:t>
            </w:r>
          </w:p>
        </w:tc>
        <w:tc>
          <w:tcPr>
            <w:tcW w:w="3840" w:type="dxa"/>
            <w:noWrap w:val="0"/>
            <w:vAlign w:val="center"/>
          </w:tcPr>
          <w:p>
            <w:pPr>
              <w:widowControl/>
              <w:spacing w:beforeLines="0" w:afterLines="0" w:line="280" w:lineRule="exact"/>
              <w:jc w:val="left"/>
              <w:textAlignment w:val="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近一年</w:t>
            </w:r>
            <w:r>
              <w:rPr>
                <w:rFonts w:hint="eastAsia" w:ascii="仿宋_GB2312" w:hAnsi="仿宋_GB2312" w:eastAsia="仿宋_GB2312" w:cs="仿宋_GB2312"/>
                <w:color w:val="0C0C0C"/>
                <w:szCs w:val="21"/>
                <w:highlight w:val="none"/>
              </w:rPr>
              <w:t>新采购设备全部达到</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《电动机能效限定值及能效等级》（</w:t>
            </w:r>
            <w:r>
              <w:rPr>
                <w:rFonts w:hint="eastAsia" w:ascii="仿宋_GB2312" w:hAnsi="仿宋_GB2312" w:eastAsia="仿宋_GB2312" w:cs="仿宋_GB2312"/>
                <w:color w:val="0C0C0C"/>
                <w:szCs w:val="21"/>
                <w:highlight w:val="none"/>
              </w:rPr>
              <w:t>GB18613</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w:t>
            </w:r>
            <w:r>
              <w:rPr>
                <w:rFonts w:hint="eastAsia" w:ascii="仿宋_GB2312" w:hAnsi="仿宋_GB2312" w:eastAsia="仿宋_GB2312" w:cs="仿宋_GB2312"/>
                <w:color w:val="0C0C0C"/>
                <w:szCs w:val="21"/>
                <w:highlight w:val="none"/>
              </w:rPr>
              <w:t>中二级能效水平</w:t>
            </w:r>
          </w:p>
        </w:tc>
        <w:tc>
          <w:tcPr>
            <w:tcW w:w="3809" w:type="dxa"/>
            <w:noWrap w:val="0"/>
            <w:vAlign w:val="center"/>
          </w:tcPr>
          <w:p>
            <w:pPr>
              <w:widowControl/>
              <w:spacing w:beforeLines="0" w:afterLines="0" w:line="280" w:lineRule="exact"/>
              <w:jc w:val="left"/>
              <w:textAlignment w:val="auto"/>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lang w:eastAsia="zh-CN"/>
              </w:rPr>
              <w:t>近一年</w:t>
            </w:r>
            <w:r>
              <w:rPr>
                <w:rFonts w:hint="eastAsia" w:ascii="仿宋_GB2312" w:hAnsi="仿宋_GB2312" w:eastAsia="仿宋_GB2312" w:cs="仿宋_GB2312"/>
                <w:color w:val="0C0C0C"/>
                <w:szCs w:val="21"/>
                <w:highlight w:val="none"/>
              </w:rPr>
              <w:t>新采购设备中90%及以上达到</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《电动机能效限定值及能效等级》（</w:t>
            </w:r>
            <w:r>
              <w:rPr>
                <w:rFonts w:hint="eastAsia" w:ascii="仿宋_GB2312" w:hAnsi="仿宋_GB2312" w:eastAsia="仿宋_GB2312" w:cs="仿宋_GB2312"/>
                <w:color w:val="0C0C0C"/>
                <w:szCs w:val="21"/>
                <w:highlight w:val="none"/>
              </w:rPr>
              <w:t>GB18613</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w:t>
            </w:r>
            <w:r>
              <w:rPr>
                <w:rFonts w:hint="eastAsia" w:ascii="仿宋_GB2312" w:hAnsi="仿宋_GB2312" w:eastAsia="仿宋_GB2312" w:cs="仿宋_GB2312"/>
                <w:color w:val="0C0C0C"/>
                <w:szCs w:val="21"/>
                <w:highlight w:val="none"/>
              </w:rPr>
              <w:t>中二级能效</w:t>
            </w:r>
            <w:r>
              <w:rPr>
                <w:rFonts w:hint="eastAsia" w:ascii="仿宋_GB2312" w:hAnsi="仿宋_GB2312" w:eastAsia="仿宋_GB2312" w:cs="仿宋_GB2312"/>
                <w:color w:val="0C0C0C"/>
                <w:szCs w:val="21"/>
                <w:highlight w:val="none"/>
                <w:lang w:eastAsia="zh-CN"/>
              </w:rPr>
              <w:t>水平</w:t>
            </w:r>
          </w:p>
        </w:tc>
        <w:tc>
          <w:tcPr>
            <w:tcW w:w="2535"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新采购设备中80%及以上达到</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《电动机能效限定值及能效等级》（</w:t>
            </w:r>
            <w:r>
              <w:rPr>
                <w:rFonts w:hint="eastAsia" w:ascii="仿宋_GB2312" w:hAnsi="仿宋_GB2312" w:eastAsia="仿宋_GB2312" w:cs="仿宋_GB2312"/>
                <w:color w:val="0C0C0C"/>
                <w:szCs w:val="21"/>
                <w:highlight w:val="none"/>
              </w:rPr>
              <w:t>GB18613</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w:t>
            </w:r>
            <w:r>
              <w:rPr>
                <w:rFonts w:hint="eastAsia" w:ascii="仿宋_GB2312" w:hAnsi="仿宋_GB2312" w:eastAsia="仿宋_GB2312" w:cs="仿宋_GB2312"/>
                <w:color w:val="0C0C0C"/>
                <w:szCs w:val="21"/>
                <w:highlight w:val="none"/>
              </w:rPr>
              <w:t>中二级能效水平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top"/>
          </w:tcPr>
          <w:p>
            <w:pPr>
              <w:spacing w:beforeLines="0" w:afterLines="0" w:line="280" w:lineRule="exact"/>
              <w:jc w:val="center"/>
              <w:rPr>
                <w:rFonts w:hint="eastAsia" w:ascii="宋体" w:hAnsi="宋体" w:cs="宋体"/>
                <w:b/>
                <w:color w:val="000000"/>
                <w:kern w:val="0"/>
                <w:szCs w:val="21"/>
                <w:highlight w:val="none"/>
              </w:rPr>
            </w:pPr>
          </w:p>
        </w:tc>
        <w:tc>
          <w:tcPr>
            <w:tcW w:w="1119" w:type="dxa"/>
            <w:vMerge w:val="continue"/>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p>
        </w:tc>
        <w:tc>
          <w:tcPr>
            <w:tcW w:w="2575" w:type="dxa"/>
            <w:gridSpan w:val="2"/>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烟气净化系统配置情况</w:t>
            </w:r>
          </w:p>
        </w:tc>
        <w:tc>
          <w:tcPr>
            <w:tcW w:w="10184" w:type="dxa"/>
            <w:gridSpan w:val="3"/>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烟气净化系统工艺配套齐全，且所有设备运行状况良好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p>
        </w:tc>
        <w:tc>
          <w:tcPr>
            <w:tcW w:w="2575" w:type="dxa"/>
            <w:gridSpan w:val="2"/>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在线监控系统情况</w:t>
            </w:r>
          </w:p>
        </w:tc>
        <w:tc>
          <w:tcPr>
            <w:tcW w:w="7649" w:type="dxa"/>
            <w:gridSpan w:val="2"/>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设有能耗、烟气、污水在线监测系统，且能正常检测各类能源消耗、污染物排放情况</w:t>
            </w:r>
          </w:p>
        </w:tc>
        <w:tc>
          <w:tcPr>
            <w:tcW w:w="2535"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设有能耗和烟气在线监测系统，且能正常检测各类能源消耗、废气排放情况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p>
        </w:tc>
        <w:tc>
          <w:tcPr>
            <w:tcW w:w="2575" w:type="dxa"/>
            <w:gridSpan w:val="2"/>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等效可用系数</w:t>
            </w:r>
          </w:p>
        </w:tc>
        <w:tc>
          <w:tcPr>
            <w:tcW w:w="3840"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≥95%</w:t>
            </w:r>
          </w:p>
        </w:tc>
        <w:tc>
          <w:tcPr>
            <w:tcW w:w="3809"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≥90%</w:t>
            </w:r>
          </w:p>
        </w:tc>
        <w:tc>
          <w:tcPr>
            <w:tcW w:w="2535" w:type="dxa"/>
            <w:noWrap w:val="0"/>
            <w:vAlign w:val="center"/>
          </w:tcPr>
          <w:p>
            <w:pPr>
              <w:widowControl/>
              <w:spacing w:beforeLines="0" w:afterLines="0" w:line="28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restart"/>
            <w:noWrap w:val="0"/>
            <w:vAlign w:val="center"/>
          </w:tcPr>
          <w:p>
            <w:pPr>
              <w:spacing w:beforeLines="0" w:afterLines="0" w:line="280" w:lineRule="exact"/>
              <w:jc w:val="center"/>
              <w:rPr>
                <w:rFonts w:hint="eastAsia" w:ascii="宋体" w:hAnsi="宋体" w:cs="宋体"/>
                <w:color w:val="000000"/>
                <w:kern w:val="0"/>
                <w:szCs w:val="21"/>
                <w:highlight w:val="none"/>
              </w:rPr>
            </w:pPr>
            <w:r>
              <w:rPr>
                <w:rFonts w:hint="eastAsia" w:ascii="仿宋_GB2312" w:hAnsi="仿宋_GB2312" w:eastAsia="仿宋_GB2312" w:cs="仿宋_GB2312"/>
                <w:color w:val="000000"/>
                <w:kern w:val="0"/>
                <w:szCs w:val="21"/>
                <w:highlight w:val="none"/>
              </w:rPr>
              <w:t>3</w:t>
            </w:r>
          </w:p>
        </w:tc>
        <w:tc>
          <w:tcPr>
            <w:tcW w:w="1119" w:type="dxa"/>
            <w:vMerge w:val="restart"/>
            <w:noWrap w:val="0"/>
            <w:vAlign w:val="center"/>
          </w:tcPr>
          <w:p>
            <w:pPr>
              <w:widowControl/>
              <w:spacing w:beforeLines="0" w:afterLines="0" w:line="28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能源综合利用</w:t>
            </w:r>
          </w:p>
        </w:tc>
        <w:tc>
          <w:tcPr>
            <w:tcW w:w="850" w:type="dxa"/>
            <w:vMerge w:val="restart"/>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供电标煤耗</w:t>
            </w:r>
          </w:p>
        </w:tc>
        <w:tc>
          <w:tcPr>
            <w:tcW w:w="1725" w:type="dxa"/>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F级机组</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≤199.08gce/kWh</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≤209.85gce/kWh</w:t>
            </w:r>
          </w:p>
        </w:tc>
        <w:tc>
          <w:tcPr>
            <w:tcW w:w="2535"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850" w:type="dxa"/>
            <w:vMerge w:val="continue"/>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p>
        </w:tc>
        <w:tc>
          <w:tcPr>
            <w:tcW w:w="1725" w:type="dxa"/>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E级机组</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≤211.02gce/kWh</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≤221.60gce/kWh</w:t>
            </w:r>
          </w:p>
        </w:tc>
        <w:tc>
          <w:tcPr>
            <w:tcW w:w="2535"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850" w:type="dxa"/>
            <w:vMerge w:val="continue"/>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p>
        </w:tc>
        <w:tc>
          <w:tcPr>
            <w:tcW w:w="1725" w:type="dxa"/>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B级机组</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≤236.57gce/kWh</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≤240.98gce/kWh</w:t>
            </w:r>
          </w:p>
        </w:tc>
        <w:tc>
          <w:tcPr>
            <w:tcW w:w="2535"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850" w:type="dxa"/>
            <w:vMerge w:val="restart"/>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供热标煤耗</w:t>
            </w:r>
          </w:p>
        </w:tc>
        <w:tc>
          <w:tcPr>
            <w:tcW w:w="1725" w:type="dxa"/>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F级机组</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≤35.63kgce/GJ</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≤37.19kgce/GJ</w:t>
            </w:r>
          </w:p>
        </w:tc>
        <w:tc>
          <w:tcPr>
            <w:tcW w:w="2535"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850" w:type="dxa"/>
            <w:vMerge w:val="continue"/>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p>
        </w:tc>
        <w:tc>
          <w:tcPr>
            <w:tcW w:w="1725" w:type="dxa"/>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E级机组</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≤36.39kgce/GJ</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≤36.7</w:t>
            </w:r>
            <w:r>
              <w:rPr>
                <w:rFonts w:hint="eastAsia" w:ascii="仿宋_GB2312" w:hAnsi="仿宋_GB2312" w:eastAsia="仿宋_GB2312" w:cs="仿宋_GB2312"/>
                <w:highlight w:val="none"/>
                <w:lang w:val="en-US" w:eastAsia="zh-CN"/>
              </w:rPr>
              <w:t>0</w:t>
            </w:r>
            <w:r>
              <w:rPr>
                <w:rFonts w:hint="eastAsia" w:ascii="仿宋_GB2312" w:hAnsi="仿宋_GB2312" w:eastAsia="仿宋_GB2312" w:cs="仿宋_GB2312"/>
                <w:highlight w:val="none"/>
              </w:rPr>
              <w:t>kgce/GJ</w:t>
            </w:r>
          </w:p>
        </w:tc>
        <w:tc>
          <w:tcPr>
            <w:tcW w:w="2535"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850" w:type="dxa"/>
            <w:vMerge w:val="continue"/>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p>
        </w:tc>
        <w:tc>
          <w:tcPr>
            <w:tcW w:w="1725" w:type="dxa"/>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B级机组</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≤35.16kgce/GJ</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≤36.40kgce/GJ</w:t>
            </w:r>
          </w:p>
        </w:tc>
        <w:tc>
          <w:tcPr>
            <w:tcW w:w="2535"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41"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1119" w:type="dxa"/>
            <w:vMerge w:val="continue"/>
            <w:noWrap w:val="0"/>
            <w:vAlign w:val="center"/>
          </w:tcPr>
          <w:p>
            <w:pPr>
              <w:spacing w:beforeLines="0" w:afterLines="0" w:line="280" w:lineRule="exact"/>
              <w:jc w:val="center"/>
              <w:rPr>
                <w:rFonts w:hint="eastAsia" w:ascii="宋体" w:hAnsi="宋体" w:cs="宋体"/>
                <w:color w:val="000000"/>
                <w:kern w:val="0"/>
                <w:szCs w:val="21"/>
                <w:highlight w:val="none"/>
              </w:rPr>
            </w:pPr>
          </w:p>
        </w:tc>
        <w:tc>
          <w:tcPr>
            <w:tcW w:w="2575" w:type="dxa"/>
            <w:gridSpan w:val="2"/>
            <w:noWrap w:val="0"/>
            <w:vAlign w:val="center"/>
          </w:tcPr>
          <w:p>
            <w:pPr>
              <w:spacing w:beforeLines="0" w:afterLines="0"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余热余能利用情况</w:t>
            </w:r>
          </w:p>
        </w:tc>
        <w:tc>
          <w:tcPr>
            <w:tcW w:w="3840"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进行余热回收利用，排烟温度控制在50℃以下</w:t>
            </w:r>
          </w:p>
        </w:tc>
        <w:tc>
          <w:tcPr>
            <w:tcW w:w="3809" w:type="dxa"/>
            <w:noWrap w:val="0"/>
            <w:vAlign w:val="center"/>
          </w:tcPr>
          <w:p>
            <w:pPr>
              <w:spacing w:beforeLines="0" w:afterLines="0"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进行余热回收利用，排烟温度控制在100℃以下</w:t>
            </w:r>
          </w:p>
        </w:tc>
        <w:tc>
          <w:tcPr>
            <w:tcW w:w="2535" w:type="dxa"/>
            <w:noWrap w:val="0"/>
            <w:vAlign w:val="center"/>
          </w:tcPr>
          <w:p>
            <w:pPr>
              <w:spacing w:beforeLines="0" w:afterLines="0" w:line="280" w:lineRule="exact"/>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641"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4</w:t>
            </w:r>
          </w:p>
        </w:tc>
        <w:tc>
          <w:tcPr>
            <w:tcW w:w="1119"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污染排放</w:t>
            </w:r>
          </w:p>
        </w:tc>
        <w:tc>
          <w:tcPr>
            <w:tcW w:w="2575" w:type="dxa"/>
            <w:gridSpan w:val="2"/>
            <w:noWrap w:val="0"/>
            <w:vAlign w:val="center"/>
          </w:tcPr>
          <w:p>
            <w:pPr>
              <w:spacing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氮氧化物排放浓度</w:t>
            </w:r>
          </w:p>
        </w:tc>
        <w:tc>
          <w:tcPr>
            <w:tcW w:w="3840" w:type="dxa"/>
            <w:noWrap w:val="0"/>
            <w:vAlign w:val="center"/>
          </w:tcPr>
          <w:p>
            <w:pPr>
              <w:spacing w:line="280" w:lineRule="exact"/>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≤10mg/m</w:t>
            </w:r>
            <w:r>
              <w:rPr>
                <w:rFonts w:hint="eastAsia" w:ascii="仿宋_GB2312" w:hAnsi="仿宋_GB2312" w:eastAsia="仿宋_GB2312" w:cs="仿宋_GB2312"/>
                <w:highlight w:val="none"/>
                <w:vertAlign w:val="superscript"/>
              </w:rPr>
              <w:t>3</w:t>
            </w:r>
          </w:p>
        </w:tc>
        <w:tc>
          <w:tcPr>
            <w:tcW w:w="3809" w:type="dxa"/>
            <w:noWrap w:val="0"/>
            <w:vAlign w:val="center"/>
          </w:tcPr>
          <w:p>
            <w:pPr>
              <w:spacing w:line="280" w:lineRule="exact"/>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≤15mg/m</w:t>
            </w:r>
            <w:r>
              <w:rPr>
                <w:rFonts w:hint="eastAsia" w:ascii="仿宋_GB2312" w:hAnsi="仿宋_GB2312" w:eastAsia="仿宋_GB2312" w:cs="仿宋_GB2312"/>
                <w:highlight w:val="none"/>
                <w:vertAlign w:val="superscript"/>
              </w:rPr>
              <w:t>3</w:t>
            </w:r>
          </w:p>
        </w:tc>
        <w:tc>
          <w:tcPr>
            <w:tcW w:w="2535" w:type="dxa"/>
            <w:noWrap w:val="0"/>
            <w:vAlign w:val="center"/>
          </w:tcPr>
          <w:p>
            <w:pPr>
              <w:spacing w:line="280" w:lineRule="exact"/>
              <w:jc w:val="lef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highlight w:val="none"/>
              </w:rPr>
              <w:t>符合《 固定式燃气轮机大气污染物排放标准》</w:t>
            </w:r>
            <w:r>
              <w:rPr>
                <w:rFonts w:hint="eastAsia" w:ascii="仿宋_GB2312" w:hAnsi="宋体" w:eastAsia="仿宋_GB2312"/>
                <w:color w:val="0C0C0C"/>
                <w:szCs w:val="21"/>
                <w:highlight w:val="none"/>
              </w:rPr>
              <w:t>（</w:t>
            </w:r>
            <w:r>
              <w:rPr>
                <w:rFonts w:hint="eastAsia" w:ascii="仿宋_GB2312" w:hAnsi="仿宋_GB2312" w:eastAsia="仿宋_GB2312" w:cs="仿宋_GB2312"/>
                <w:highlight w:val="none"/>
              </w:rPr>
              <w:t>DB11/847</w:t>
            </w:r>
            <w:r>
              <w:rPr>
                <w:rFonts w:hint="eastAsia" w:ascii="仿宋_GB2312" w:hAnsi="宋体" w:eastAsia="仿宋_GB2312"/>
                <w:color w:val="0C0C0C"/>
                <w:szCs w:val="21"/>
                <w:highlight w:val="none"/>
              </w:rPr>
              <w:t>）</w:t>
            </w:r>
            <w:r>
              <w:rPr>
                <w:rFonts w:hint="eastAsia" w:ascii="仿宋_GB2312" w:hAnsi="仿宋_GB2312" w:eastAsia="仿宋_GB2312" w:cs="仿宋_GB2312"/>
                <w:highlight w:val="none"/>
              </w:rPr>
              <w:t>和</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kern w:val="0"/>
                <w:szCs w:val="21"/>
                <w:highlight w:val="none"/>
                <w:lang w:bidi="ar"/>
              </w:rPr>
              <w:t>锅炉大气污染物排放标</w:t>
            </w:r>
            <w:r>
              <w:rPr>
                <w:rFonts w:hint="eastAsia" w:ascii="仿宋_GB2312" w:hAnsi="仿宋_GB2312" w:eastAsia="仿宋_GB2312" w:cs="仿宋_GB2312"/>
                <w:color w:val="0C0C0C"/>
                <w:kern w:val="2"/>
                <w:szCs w:val="24"/>
                <w:highlight w:val="none"/>
                <w:lang w:bidi="ar"/>
              </w:rPr>
              <w:t>准</w:t>
            </w:r>
            <w:r>
              <w:rPr>
                <w:rFonts w:hint="eastAsia" w:ascii="仿宋_GB2312" w:hAnsi="仿宋_GB2312" w:eastAsia="仿宋_GB2312" w:cs="仿宋_GB2312"/>
                <w:color w:val="0C0C0C"/>
                <w:szCs w:val="24"/>
                <w:highlight w:val="none"/>
              </w:rPr>
              <w:t>》（</w:t>
            </w:r>
            <w:r>
              <w:rPr>
                <w:rFonts w:hint="eastAsia" w:ascii="仿宋_GB2312" w:hAnsi="仿宋_GB2312" w:eastAsia="仿宋_GB2312" w:cs="仿宋_GB2312"/>
                <w:color w:val="0C0C0C"/>
                <w:kern w:val="2"/>
                <w:szCs w:val="24"/>
                <w:highlight w:val="none"/>
                <w:lang w:bidi="ar"/>
              </w:rPr>
              <w:t>DB11/139</w:t>
            </w:r>
            <w:r>
              <w:rPr>
                <w:rFonts w:hint="eastAsia" w:ascii="仿宋_GB2312" w:hAnsi="仿宋_GB2312" w:eastAsia="仿宋_GB2312" w:cs="仿宋_GB2312"/>
                <w:color w:val="0C0C0C"/>
                <w:szCs w:val="24"/>
                <w:highlight w:val="none"/>
              </w:rPr>
              <w:t>）</w:t>
            </w:r>
            <w:r>
              <w:rPr>
                <w:rFonts w:hint="eastAsia" w:ascii="仿宋_GB2312" w:hAnsi="仿宋_GB2312" w:eastAsia="仿宋_GB2312" w:cs="仿宋_GB2312"/>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1"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spacing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脱硝设备氨逃逸浓度</w:t>
            </w:r>
          </w:p>
        </w:tc>
        <w:tc>
          <w:tcPr>
            <w:tcW w:w="3840" w:type="dxa"/>
            <w:noWrap w:val="0"/>
            <w:vAlign w:val="center"/>
          </w:tcPr>
          <w:p>
            <w:pPr>
              <w:spacing w:line="280" w:lineRule="exact"/>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≤1.0mg/m</w:t>
            </w:r>
            <w:r>
              <w:rPr>
                <w:rFonts w:hint="eastAsia" w:ascii="仿宋_GB2312" w:hAnsi="仿宋_GB2312" w:eastAsia="仿宋_GB2312" w:cs="仿宋_GB2312"/>
                <w:highlight w:val="none"/>
                <w:vertAlign w:val="superscript"/>
              </w:rPr>
              <w:t>3</w:t>
            </w:r>
          </w:p>
        </w:tc>
        <w:tc>
          <w:tcPr>
            <w:tcW w:w="3809" w:type="dxa"/>
            <w:noWrap w:val="0"/>
            <w:vAlign w:val="center"/>
          </w:tcPr>
          <w:p>
            <w:pPr>
              <w:spacing w:line="280" w:lineRule="exact"/>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≤2.0mg/m</w:t>
            </w:r>
            <w:r>
              <w:rPr>
                <w:rFonts w:hint="eastAsia" w:ascii="仿宋_GB2312" w:hAnsi="仿宋_GB2312" w:eastAsia="仿宋_GB2312" w:cs="仿宋_GB2312"/>
                <w:highlight w:val="none"/>
                <w:vertAlign w:val="superscript"/>
              </w:rPr>
              <w:t>3</w:t>
            </w:r>
          </w:p>
        </w:tc>
        <w:tc>
          <w:tcPr>
            <w:tcW w:w="2535" w:type="dxa"/>
            <w:noWrap w:val="0"/>
            <w:vAlign w:val="center"/>
          </w:tcPr>
          <w:p>
            <w:pPr>
              <w:spacing w:line="280" w:lineRule="exact"/>
              <w:jc w:val="left"/>
              <w:rPr>
                <w:rFonts w:hint="eastAsia" w:ascii="仿宋_GB2312" w:hAnsi="仿宋_GB2312" w:eastAsia="仿宋_GB2312" w:cs="仿宋_GB2312"/>
                <w:highlight w:val="none"/>
              </w:rPr>
            </w:pPr>
            <w:r>
              <w:rPr>
                <w:rFonts w:hint="eastAsia" w:ascii="仿宋_GB2312" w:hAnsi="仿宋_GB2312" w:eastAsia="仿宋_GB2312" w:cs="仿宋_GB2312"/>
                <w:color w:val="000000"/>
                <w:kern w:val="0"/>
                <w:szCs w:val="21"/>
                <w:highlight w:val="none"/>
              </w:rPr>
              <w:t>符合</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kern w:val="0"/>
                <w:szCs w:val="21"/>
                <w:highlight w:val="none"/>
                <w:lang w:bidi="ar"/>
              </w:rPr>
              <w:t>锅炉大气污染物排放标</w:t>
            </w:r>
            <w:r>
              <w:rPr>
                <w:rFonts w:hint="eastAsia" w:ascii="仿宋_GB2312" w:hAnsi="仿宋_GB2312" w:eastAsia="仿宋_GB2312" w:cs="仿宋_GB2312"/>
                <w:color w:val="0C0C0C"/>
                <w:kern w:val="2"/>
                <w:szCs w:val="24"/>
                <w:highlight w:val="none"/>
                <w:lang w:bidi="ar"/>
              </w:rPr>
              <w:t>准</w:t>
            </w:r>
            <w:r>
              <w:rPr>
                <w:rFonts w:hint="eastAsia" w:ascii="仿宋_GB2312" w:hAnsi="仿宋_GB2312" w:eastAsia="仿宋_GB2312" w:cs="仿宋_GB2312"/>
                <w:color w:val="0C0C0C"/>
                <w:szCs w:val="24"/>
                <w:highlight w:val="none"/>
                <w:lang w:bidi="ar"/>
              </w:rPr>
              <w:t>》（</w:t>
            </w:r>
            <w:r>
              <w:rPr>
                <w:rFonts w:hint="eastAsia" w:ascii="仿宋_GB2312" w:hAnsi="仿宋_GB2312" w:eastAsia="仿宋_GB2312" w:cs="仿宋_GB2312"/>
                <w:color w:val="0C0C0C"/>
                <w:kern w:val="2"/>
                <w:szCs w:val="24"/>
                <w:highlight w:val="none"/>
                <w:lang w:bidi="ar"/>
              </w:rPr>
              <w:t>DB11/139</w:t>
            </w:r>
            <w:r>
              <w:rPr>
                <w:rFonts w:hint="eastAsia" w:ascii="仿宋_GB2312" w:hAnsi="仿宋_GB2312" w:eastAsia="仿宋_GB2312" w:cs="仿宋_GB2312"/>
                <w:color w:val="0C0C0C"/>
                <w:szCs w:val="24"/>
                <w:highlight w:val="none"/>
                <w:lang w:bidi="ar"/>
              </w:rPr>
              <w:t>）</w:t>
            </w:r>
            <w:r>
              <w:rPr>
                <w:rFonts w:hint="eastAsia" w:ascii="仿宋_GB2312" w:hAnsi="仿宋_GB2312" w:eastAsia="仿宋_GB2312" w:cs="仿宋_GB2312"/>
                <w:color w:val="000000"/>
                <w:kern w:val="2"/>
                <w:szCs w:val="24"/>
                <w:highlight w:val="none"/>
                <w:lang w:bidi="ar"/>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1"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spacing w:line="312" w:lineRule="auto"/>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颗粒物、二氧化硫排放浓度</w:t>
            </w:r>
          </w:p>
        </w:tc>
        <w:tc>
          <w:tcPr>
            <w:tcW w:w="10184" w:type="dxa"/>
            <w:gridSpan w:val="3"/>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符合</w:t>
            </w:r>
            <w:r>
              <w:rPr>
                <w:rFonts w:hint="eastAsia" w:ascii="仿宋_GB2312" w:hAnsi="仿宋_GB2312" w:eastAsia="仿宋_GB2312" w:cs="仿宋_GB2312"/>
                <w:highlight w:val="none"/>
              </w:rPr>
              <w:t>《 固定式燃气轮机大气污染物排放标准》</w:t>
            </w:r>
            <w:r>
              <w:rPr>
                <w:rFonts w:hint="eastAsia" w:ascii="仿宋_GB2312" w:hAnsi="宋体" w:eastAsia="仿宋_GB2312"/>
                <w:color w:val="0C0C0C"/>
                <w:szCs w:val="21"/>
                <w:highlight w:val="none"/>
              </w:rPr>
              <w:t>（</w:t>
            </w:r>
            <w:r>
              <w:rPr>
                <w:rFonts w:hint="eastAsia" w:ascii="仿宋_GB2312" w:hAnsi="仿宋_GB2312" w:eastAsia="仿宋_GB2312" w:cs="仿宋_GB2312"/>
                <w:highlight w:val="none"/>
              </w:rPr>
              <w:t>DB11/847</w:t>
            </w:r>
            <w:r>
              <w:rPr>
                <w:rFonts w:hint="eastAsia" w:ascii="仿宋_GB2312" w:hAnsi="宋体" w:eastAsia="仿宋_GB2312"/>
                <w:color w:val="0C0C0C"/>
                <w:szCs w:val="21"/>
                <w:highlight w:val="none"/>
              </w:rPr>
              <w:t>）</w:t>
            </w:r>
            <w:r>
              <w:rPr>
                <w:rFonts w:hint="eastAsia" w:ascii="仿宋_GB2312" w:hAnsi="仿宋_GB2312" w:eastAsia="仿宋_GB2312" w:cs="仿宋_GB2312"/>
                <w:highlight w:val="none"/>
              </w:rPr>
              <w:t>和</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kern w:val="0"/>
                <w:szCs w:val="21"/>
                <w:highlight w:val="none"/>
                <w:lang w:bidi="ar"/>
              </w:rPr>
              <w:t>锅炉大气污染物排放标准</w:t>
            </w:r>
            <w:r>
              <w:rPr>
                <w:rFonts w:hint="eastAsia" w:ascii="仿宋_GB2312" w:hAnsi="宋体" w:eastAsia="仿宋_GB2312"/>
                <w:color w:val="0C0C0C"/>
                <w:szCs w:val="21"/>
                <w:highlight w:val="none"/>
              </w:rPr>
              <w:t>》（</w:t>
            </w:r>
            <w:r>
              <w:rPr>
                <w:rFonts w:hint="eastAsia" w:ascii="仿宋_GB2312" w:hAnsi="仿宋_GB2312" w:eastAsia="仿宋_GB2312" w:cs="仿宋_GB2312"/>
                <w:color w:val="0C0C0C"/>
                <w:kern w:val="0"/>
                <w:szCs w:val="21"/>
                <w:highlight w:val="none"/>
                <w:lang w:bidi="ar"/>
              </w:rPr>
              <w:t>DB11/139</w:t>
            </w:r>
            <w:r>
              <w:rPr>
                <w:rFonts w:hint="eastAsia" w:ascii="仿宋_GB2312" w:hAnsi="宋体" w:eastAsia="仿宋_GB2312"/>
                <w:color w:val="0C0C0C"/>
                <w:szCs w:val="21"/>
                <w:highlight w:val="none"/>
              </w:rPr>
              <w:t>）</w:t>
            </w:r>
            <w:r>
              <w:rPr>
                <w:rFonts w:hint="eastAsia" w:ascii="仿宋_GB2312" w:hAnsi="仿宋_GB2312" w:eastAsia="仿宋_GB2312" w:cs="仿宋_GB2312"/>
                <w:color w:val="000000"/>
                <w:kern w:val="0"/>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1"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废水排放浓度</w:t>
            </w:r>
          </w:p>
        </w:tc>
        <w:tc>
          <w:tcPr>
            <w:tcW w:w="10184" w:type="dxa"/>
            <w:gridSpan w:val="3"/>
            <w:noWrap w:val="0"/>
            <w:vAlign w:val="center"/>
          </w:tcPr>
          <w:p>
            <w:pPr>
              <w:spacing w:line="312" w:lineRule="auto"/>
              <w:jc w:val="left"/>
              <w:rPr>
                <w:rFonts w:ascii="仿宋_GB2312" w:hAnsi="仿宋_GB2312" w:eastAsia="仿宋_GB2312" w:cs="仿宋_GB2312"/>
                <w:color w:val="000000"/>
                <w:kern w:val="0"/>
                <w:szCs w:val="21"/>
                <w:highlight w:val="none"/>
                <w:lang w:val="en"/>
              </w:rPr>
            </w:pPr>
            <w:r>
              <w:rPr>
                <w:rFonts w:hint="eastAsia" w:ascii="仿宋_GB2312" w:hAnsi="仿宋_GB2312" w:eastAsia="仿宋_GB2312" w:cs="仿宋_GB2312"/>
                <w:color w:val="000000"/>
                <w:kern w:val="0"/>
                <w:szCs w:val="21"/>
                <w:highlight w:val="none"/>
              </w:rPr>
              <w:t>符合</w:t>
            </w:r>
            <w:r>
              <w:rPr>
                <w:rFonts w:hint="eastAsia" w:ascii="仿宋_GB2312" w:hAnsi="仿宋_GB2312" w:eastAsia="仿宋_GB2312" w:cs="仿宋_GB2312"/>
                <w:color w:val="0C0C0C"/>
                <w:kern w:val="0"/>
                <w:szCs w:val="21"/>
                <w:highlight w:val="none"/>
                <w:lang w:bidi="ar"/>
              </w:rPr>
              <w:t>《水污染物综合排放标准》（DB11/307）</w:t>
            </w:r>
            <w:r>
              <w:rPr>
                <w:rFonts w:hint="eastAsia" w:ascii="仿宋_GB2312" w:hAnsi="仿宋_GB2312" w:eastAsia="仿宋_GB2312" w:cs="仿宋_GB2312"/>
                <w:color w:val="000000"/>
                <w:kern w:val="0"/>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41"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厂界噪声</w:t>
            </w:r>
          </w:p>
        </w:tc>
        <w:tc>
          <w:tcPr>
            <w:tcW w:w="10184" w:type="dxa"/>
            <w:gridSpan w:val="3"/>
            <w:noWrap w:val="0"/>
            <w:vAlign w:val="center"/>
          </w:tcPr>
          <w:p>
            <w:pPr>
              <w:spacing w:line="312" w:lineRule="auto"/>
              <w:jc w:val="lef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rPr>
              <w:t>符合</w:t>
            </w:r>
            <w:r>
              <w:rPr>
                <w:rFonts w:hint="eastAsia" w:ascii="仿宋_GB2312" w:hAnsi="仿宋_GB2312" w:eastAsia="仿宋_GB2312" w:cs="仿宋_GB2312"/>
                <w:color w:val="000000"/>
                <w:kern w:val="0"/>
                <w:szCs w:val="18"/>
                <w:highlight w:val="none"/>
                <w:lang w:bidi="ar"/>
              </w:rPr>
              <w:t>《工业企业厂界环境噪声排放标准》（GB12348）</w:t>
            </w:r>
            <w:r>
              <w:rPr>
                <w:rFonts w:hint="eastAsia" w:ascii="仿宋_GB2312" w:hAnsi="仿宋_GB2312" w:eastAsia="仿宋_GB2312" w:cs="仿宋_GB2312"/>
                <w:color w:val="000000"/>
                <w:kern w:val="0"/>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41"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危险废物贮存与处置</w:t>
            </w:r>
          </w:p>
        </w:tc>
        <w:tc>
          <w:tcPr>
            <w:tcW w:w="10184" w:type="dxa"/>
            <w:gridSpan w:val="3"/>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危险废物按照</w:t>
            </w:r>
            <w:r>
              <w:rPr>
                <w:rFonts w:hint="eastAsia" w:ascii="仿宋_GB2312" w:hAnsi="仿宋_GB2312" w:eastAsia="仿宋_GB2312" w:cs="仿宋_GB2312"/>
                <w:color w:val="0C0C0C"/>
                <w:szCs w:val="21"/>
                <w:highlight w:val="none"/>
              </w:rPr>
              <w:t>《危险废物贮存污染控制标准》（GB18597）</w:t>
            </w:r>
            <w:r>
              <w:rPr>
                <w:rFonts w:hint="eastAsia" w:ascii="仿宋_GB2312" w:hAnsi="仿宋_GB2312" w:eastAsia="仿宋_GB2312" w:cs="仿宋_GB2312"/>
                <w:color w:val="000000"/>
                <w:kern w:val="0"/>
                <w:szCs w:val="21"/>
                <w:highlight w:val="none"/>
              </w:rPr>
              <w:t>相关规定进行贮存，由具有相关资质的专业机构进行处理、处置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5</w:t>
            </w:r>
          </w:p>
        </w:tc>
        <w:tc>
          <w:tcPr>
            <w:tcW w:w="1119"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碳排放</w:t>
            </w:r>
          </w:p>
        </w:tc>
        <w:tc>
          <w:tcPr>
            <w:tcW w:w="2575" w:type="dxa"/>
            <w:gridSpan w:val="2"/>
            <w:vMerge w:val="restart"/>
            <w:noWrap w:val="0"/>
            <w:vAlign w:val="center"/>
          </w:tcPr>
          <w:p>
            <w:pPr>
              <w:widowControl/>
              <w:jc w:val="center"/>
              <w:rPr>
                <w:rFonts w:hint="eastAsia" w:ascii="仿宋_GB2312" w:hAnsi="仿宋_GB2312" w:eastAsia="仿宋_GB2312" w:cs="仿宋_GB2312"/>
                <w:color w:val="000000"/>
                <w:kern w:val="0"/>
                <w:sz w:val="22"/>
                <w:highlight w:val="none"/>
              </w:rPr>
            </w:pPr>
          </w:p>
          <w:p>
            <w:pPr>
              <w:widowControl/>
              <w:jc w:val="center"/>
              <w:rPr>
                <w:rFonts w:hint="eastAsia" w:ascii="仿宋_GB2312" w:hAnsi="仿宋_GB2312" w:eastAsia="仿宋_GB2312" w:cs="仿宋_GB2312"/>
                <w:color w:val="000000"/>
                <w:kern w:val="0"/>
                <w:sz w:val="22"/>
                <w:highlight w:val="none"/>
              </w:rPr>
            </w:pPr>
          </w:p>
          <w:p>
            <w:pPr>
              <w:widowControl/>
              <w:jc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Cs w:val="21"/>
                <w:highlight w:val="none"/>
              </w:rPr>
              <w:t>碳排放强度</w:t>
            </w:r>
          </w:p>
          <w:p>
            <w:pPr>
              <w:widowControl/>
              <w:jc w:val="center"/>
              <w:rPr>
                <w:rFonts w:hint="eastAsia" w:ascii="仿宋_GB2312" w:hAnsi="仿宋_GB2312" w:eastAsia="仿宋_GB2312" w:cs="仿宋_GB2312"/>
                <w:color w:val="000000"/>
                <w:kern w:val="0"/>
                <w:sz w:val="22"/>
                <w:highlight w:val="none"/>
              </w:rPr>
            </w:pPr>
          </w:p>
          <w:p>
            <w:pPr>
              <w:widowControl/>
              <w:jc w:val="center"/>
              <w:rPr>
                <w:rFonts w:hint="eastAsia" w:ascii="仿宋_GB2312" w:hAnsi="仿宋_GB2312" w:eastAsia="仿宋_GB2312" w:cs="仿宋_GB2312"/>
                <w:color w:val="000000"/>
                <w:kern w:val="0"/>
                <w:sz w:val="22"/>
                <w:highlight w:val="none"/>
              </w:rPr>
            </w:pPr>
          </w:p>
        </w:tc>
        <w:tc>
          <w:tcPr>
            <w:tcW w:w="7649" w:type="dxa"/>
            <w:gridSpan w:val="2"/>
            <w:noWrap w:val="0"/>
            <w:vAlign w:val="center"/>
          </w:tcPr>
          <w:p>
            <w:pPr>
              <w:widowControl/>
              <w:jc w:val="left"/>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供热：</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59.78kgCO</w:t>
            </w:r>
            <w:r>
              <w:rPr>
                <w:rFonts w:hint="eastAsia" w:ascii="仿宋_GB2312" w:hAnsi="仿宋_GB2312" w:eastAsia="仿宋_GB2312" w:cs="仿宋_GB2312"/>
                <w:color w:val="000000"/>
                <w:kern w:val="0"/>
                <w:sz w:val="22"/>
                <w:highlight w:val="none"/>
                <w:vertAlign w:val="subscript"/>
              </w:rPr>
              <w:t>2</w:t>
            </w:r>
            <w:r>
              <w:rPr>
                <w:rFonts w:hint="eastAsia" w:ascii="仿宋_GB2312" w:hAnsi="仿宋_GB2312" w:eastAsia="仿宋_GB2312" w:cs="仿宋_GB2312"/>
                <w:color w:val="000000"/>
                <w:kern w:val="0"/>
                <w:sz w:val="22"/>
                <w:highlight w:val="none"/>
              </w:rPr>
              <w:t>/GJ</w:t>
            </w:r>
          </w:p>
        </w:tc>
        <w:tc>
          <w:tcPr>
            <w:tcW w:w="2535"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7649" w:type="dxa"/>
            <w:gridSpan w:val="2"/>
            <w:noWrap w:val="0"/>
            <w:vAlign w:val="center"/>
          </w:tcPr>
          <w:p>
            <w:pPr>
              <w:widowControl/>
              <w:jc w:val="left"/>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供电E级</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0.3：</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368.30kgCO</w:t>
            </w:r>
            <w:r>
              <w:rPr>
                <w:rFonts w:hint="eastAsia" w:ascii="仿宋_GB2312" w:hAnsi="仿宋_GB2312" w:eastAsia="仿宋_GB2312" w:cs="仿宋_GB2312"/>
                <w:color w:val="000000"/>
                <w:kern w:val="0"/>
                <w:sz w:val="22"/>
                <w:highlight w:val="none"/>
                <w:vertAlign w:val="subscript"/>
              </w:rPr>
              <w:t>2</w:t>
            </w:r>
            <w:r>
              <w:rPr>
                <w:rFonts w:hint="eastAsia" w:ascii="仿宋_GB2312" w:hAnsi="仿宋_GB2312" w:eastAsia="仿宋_GB2312" w:cs="仿宋_GB2312"/>
                <w:color w:val="000000"/>
                <w:kern w:val="0"/>
                <w:sz w:val="22"/>
                <w:highlight w:val="none"/>
              </w:rPr>
              <w:t>/MWh</w:t>
            </w:r>
          </w:p>
        </w:tc>
        <w:tc>
          <w:tcPr>
            <w:tcW w:w="2535"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7649" w:type="dxa"/>
            <w:gridSpan w:val="2"/>
            <w:noWrap w:val="0"/>
            <w:vAlign w:val="center"/>
          </w:tcPr>
          <w:p>
            <w:pPr>
              <w:widowControl/>
              <w:jc w:val="left"/>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供电E级&gt;0.3：</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341.15kgCO</w:t>
            </w:r>
            <w:r>
              <w:rPr>
                <w:rFonts w:hint="eastAsia" w:ascii="仿宋_GB2312" w:hAnsi="仿宋_GB2312" w:eastAsia="仿宋_GB2312" w:cs="仿宋_GB2312"/>
                <w:color w:val="000000"/>
                <w:kern w:val="0"/>
                <w:sz w:val="22"/>
                <w:highlight w:val="none"/>
                <w:vertAlign w:val="subscript"/>
              </w:rPr>
              <w:t>2</w:t>
            </w:r>
            <w:r>
              <w:rPr>
                <w:rFonts w:hint="eastAsia" w:ascii="仿宋_GB2312" w:hAnsi="仿宋_GB2312" w:eastAsia="仿宋_GB2312" w:cs="仿宋_GB2312"/>
                <w:color w:val="000000"/>
                <w:kern w:val="0"/>
                <w:sz w:val="22"/>
                <w:highlight w:val="none"/>
              </w:rPr>
              <w:t>/MWh</w:t>
            </w:r>
          </w:p>
        </w:tc>
        <w:tc>
          <w:tcPr>
            <w:tcW w:w="2535"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7649" w:type="dxa"/>
            <w:gridSpan w:val="2"/>
            <w:noWrap w:val="0"/>
            <w:vAlign w:val="center"/>
          </w:tcPr>
          <w:p>
            <w:pPr>
              <w:widowControl/>
              <w:jc w:val="left"/>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供电F级</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0.3：</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345.49kgCO</w:t>
            </w:r>
            <w:r>
              <w:rPr>
                <w:rFonts w:hint="eastAsia" w:ascii="仿宋_GB2312" w:hAnsi="仿宋_GB2312" w:eastAsia="仿宋_GB2312" w:cs="仿宋_GB2312"/>
                <w:color w:val="000000"/>
                <w:kern w:val="0"/>
                <w:sz w:val="22"/>
                <w:highlight w:val="none"/>
                <w:vertAlign w:val="subscript"/>
              </w:rPr>
              <w:t>2</w:t>
            </w:r>
            <w:r>
              <w:rPr>
                <w:rFonts w:hint="eastAsia" w:ascii="仿宋_GB2312" w:hAnsi="仿宋_GB2312" w:eastAsia="仿宋_GB2312" w:cs="仿宋_GB2312"/>
                <w:color w:val="000000"/>
                <w:kern w:val="0"/>
                <w:sz w:val="22"/>
                <w:highlight w:val="none"/>
              </w:rPr>
              <w:t>/MWh</w:t>
            </w:r>
          </w:p>
        </w:tc>
        <w:tc>
          <w:tcPr>
            <w:tcW w:w="2535"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7649" w:type="dxa"/>
            <w:gridSpan w:val="2"/>
            <w:noWrap w:val="0"/>
            <w:vAlign w:val="center"/>
          </w:tcPr>
          <w:p>
            <w:pPr>
              <w:widowControl/>
              <w:jc w:val="left"/>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供电F级&gt;0.3：</w:t>
            </w:r>
            <w:r>
              <w:rPr>
                <w:rFonts w:ascii="仿宋_GB2312" w:hAnsi="仿宋_GB2312" w:eastAsia="仿宋_GB2312" w:cs="仿宋_GB2312"/>
                <w:color w:val="000000"/>
                <w:kern w:val="0"/>
                <w:sz w:val="22"/>
                <w:highlight w:val="none"/>
              </w:rPr>
              <w:t>≤</w:t>
            </w:r>
            <w:r>
              <w:rPr>
                <w:rFonts w:hint="eastAsia" w:ascii="仿宋_GB2312" w:hAnsi="仿宋_GB2312" w:eastAsia="仿宋_GB2312" w:cs="仿宋_GB2312"/>
                <w:color w:val="000000"/>
                <w:kern w:val="0"/>
                <w:sz w:val="22"/>
                <w:highlight w:val="none"/>
              </w:rPr>
              <w:t>312.37kgCO</w:t>
            </w:r>
            <w:r>
              <w:rPr>
                <w:rFonts w:hint="eastAsia" w:ascii="仿宋_GB2312" w:hAnsi="仿宋_GB2312" w:eastAsia="仿宋_GB2312" w:cs="仿宋_GB2312"/>
                <w:color w:val="000000"/>
                <w:kern w:val="0"/>
                <w:sz w:val="22"/>
                <w:highlight w:val="none"/>
                <w:vertAlign w:val="subscript"/>
              </w:rPr>
              <w:t>2</w:t>
            </w:r>
            <w:r>
              <w:rPr>
                <w:rFonts w:hint="eastAsia" w:ascii="仿宋_GB2312" w:hAnsi="仿宋_GB2312" w:eastAsia="仿宋_GB2312" w:cs="仿宋_GB2312"/>
                <w:color w:val="000000"/>
                <w:kern w:val="0"/>
                <w:sz w:val="22"/>
                <w:highlight w:val="none"/>
              </w:rPr>
              <w:t>/MWh</w:t>
            </w:r>
          </w:p>
        </w:tc>
        <w:tc>
          <w:tcPr>
            <w:tcW w:w="2535"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641"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widowControl/>
              <w:jc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碳市场履约</w:t>
            </w:r>
          </w:p>
        </w:tc>
        <w:tc>
          <w:tcPr>
            <w:tcW w:w="10184"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北京市重点碳排放单位[年二氧化碳</w:t>
            </w:r>
            <w:r>
              <w:rPr>
                <w:rFonts w:hint="eastAsia" w:ascii="仿宋_GB2312" w:hAnsi="仿宋_GB2312" w:eastAsia="仿宋_GB2312" w:cs="仿宋_GB2312"/>
                <w:color w:val="0C0C0C"/>
                <w:szCs w:val="21"/>
                <w:highlight w:val="none"/>
                <w:lang w:eastAsia="zh-CN"/>
              </w:rPr>
              <w:t>量</w:t>
            </w:r>
            <w:r>
              <w:rPr>
                <w:rFonts w:hint="eastAsia" w:ascii="仿宋_GB2312" w:hAnsi="仿宋_GB2312" w:eastAsia="仿宋_GB2312" w:cs="仿宋_GB2312"/>
                <w:color w:val="0C0C0C"/>
                <w:szCs w:val="21"/>
                <w:highlight w:val="none"/>
              </w:rPr>
              <w:t>排放5000吨</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及以上]按时提交碳排放报告和第三方核查报告，并按要求履约，开展碳资产管理；</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北京市一般报告单位[年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w:t>
            </w:r>
            <w:r>
              <w:rPr>
                <w:rFonts w:hint="eastAsia" w:ascii="仿宋_GB2312" w:hAnsi="仿宋_GB2312" w:eastAsia="仿宋_GB2312" w:cs="仿宋_GB2312"/>
                <w:color w:val="0C0C0C"/>
                <w:szCs w:val="21"/>
                <w:highlight w:val="none"/>
                <w:lang w:eastAsia="zh-CN"/>
              </w:rPr>
              <w:t>消费总</w:t>
            </w:r>
            <w:r>
              <w:rPr>
                <w:rFonts w:hint="eastAsia" w:ascii="仿宋_GB2312" w:hAnsi="仿宋_GB2312" w:eastAsia="仿宋_GB2312" w:cs="仿宋_GB2312"/>
                <w:color w:val="0C0C0C"/>
                <w:szCs w:val="21"/>
                <w:highlight w:val="none"/>
              </w:rPr>
              <w:t>量2000吨标</w:t>
            </w:r>
            <w:r>
              <w:rPr>
                <w:rFonts w:hint="eastAsia" w:ascii="仿宋_GB2312" w:hAnsi="仿宋_GB2312" w:eastAsia="仿宋_GB2312" w:cs="仿宋_GB2312"/>
                <w:color w:val="0C0C0C"/>
                <w:szCs w:val="21"/>
                <w:highlight w:val="none"/>
                <w:lang w:eastAsia="zh-CN"/>
              </w:rPr>
              <w:t>准</w:t>
            </w:r>
            <w:r>
              <w:rPr>
                <w:rFonts w:hint="eastAsia" w:ascii="仿宋_GB2312" w:hAnsi="仿宋_GB2312" w:eastAsia="仿宋_GB2312" w:cs="仿宋_GB2312"/>
                <w:color w:val="0C0C0C"/>
                <w:szCs w:val="21"/>
                <w:highlight w:val="none"/>
              </w:rPr>
              <w:t>煤</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w:t>
            </w:r>
            <w:r>
              <w:rPr>
                <w:rFonts w:hint="eastAsia" w:ascii="仿宋_GB2312" w:hAnsi="仿宋_GB2312" w:eastAsia="仿宋_GB2312" w:cs="仿宋_GB2312"/>
                <w:color w:val="0C0C0C"/>
                <w:szCs w:val="21"/>
                <w:highlight w:val="none"/>
                <w:lang w:eastAsia="zh-CN"/>
              </w:rPr>
              <w:t>]</w:t>
            </w:r>
            <w:r>
              <w:rPr>
                <w:rFonts w:hint="eastAsia" w:ascii="仿宋_GB2312" w:hAnsi="仿宋_GB2312" w:eastAsia="仿宋_GB2312" w:cs="仿宋_GB2312"/>
                <w:color w:val="0C0C0C"/>
                <w:szCs w:val="21"/>
                <w:highlight w:val="none"/>
              </w:rPr>
              <w:t>按时提交碳排放报告；</w:t>
            </w:r>
          </w:p>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w:t>
            </w:r>
            <w:r>
              <w:rPr>
                <w:rFonts w:hint="eastAsia" w:ascii="仿宋_GB2312" w:hAnsi="仿宋_GB2312" w:eastAsia="仿宋_GB2312" w:cs="仿宋_GB2312"/>
                <w:color w:val="0C0C0C"/>
                <w:szCs w:val="21"/>
                <w:highlight w:val="none"/>
              </w:rPr>
              <w:t>量2000吨标准煤以下</w:t>
            </w:r>
            <w:r>
              <w:rPr>
                <w:rFonts w:hint="eastAsia" w:ascii="仿宋_GB2312" w:hAnsi="仿宋_GB2312" w:eastAsia="仿宋_GB2312" w:cs="仿宋_GB2312"/>
                <w:color w:val="0C0C0C"/>
                <w:szCs w:val="21"/>
                <w:highlight w:val="none"/>
                <w:lang w:eastAsia="zh-CN"/>
              </w:rPr>
              <w:t>的单位</w:t>
            </w:r>
            <w:r>
              <w:rPr>
                <w:rFonts w:hint="eastAsia" w:ascii="仿宋_GB2312" w:hAnsi="仿宋_GB2312" w:eastAsia="仿宋_GB2312" w:cs="仿宋_GB2312"/>
                <w:color w:val="0C0C0C"/>
                <w:szCs w:val="21"/>
                <w:highlight w:val="none"/>
              </w:rPr>
              <w:t>开展碳排放核算，编制碳排放报告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widowControl/>
              <w:jc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低碳工作计划</w:t>
            </w:r>
          </w:p>
        </w:tc>
        <w:tc>
          <w:tcPr>
            <w:tcW w:w="7649" w:type="dxa"/>
            <w:gridSpan w:val="2"/>
            <w:noWrap w:val="0"/>
            <w:vAlign w:val="center"/>
          </w:tcPr>
          <w:p>
            <w:pPr>
              <w:spacing w:line="312" w:lineRule="auto"/>
              <w:jc w:val="left"/>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C0C0C"/>
                <w:szCs w:val="21"/>
                <w:highlight w:val="none"/>
              </w:rPr>
              <w:t>制定企业碳中和或低碳行动计划并向社会公布</w:t>
            </w:r>
          </w:p>
        </w:tc>
        <w:tc>
          <w:tcPr>
            <w:tcW w:w="2535" w:type="dxa"/>
            <w:noWrap w:val="0"/>
            <w:vAlign w:val="center"/>
          </w:tcPr>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41"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6</w:t>
            </w:r>
          </w:p>
        </w:tc>
        <w:tc>
          <w:tcPr>
            <w:tcW w:w="1119"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移动排放源结构及排放</w:t>
            </w:r>
          </w:p>
        </w:tc>
        <w:tc>
          <w:tcPr>
            <w:tcW w:w="2575" w:type="dxa"/>
            <w:gridSpan w:val="2"/>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铁路、管道运输</w:t>
            </w:r>
          </w:p>
        </w:tc>
        <w:tc>
          <w:tcPr>
            <w:tcW w:w="38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原辅料铁路、管道运输比例达100%</w:t>
            </w:r>
          </w:p>
        </w:tc>
        <w:tc>
          <w:tcPr>
            <w:tcW w:w="3809" w:type="dxa"/>
            <w:noWrap w:val="0"/>
            <w:vAlign w:val="center"/>
          </w:tcPr>
          <w:p>
            <w:pPr>
              <w:widowControl/>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原辅料铁路、管道运输比例</w:t>
            </w:r>
            <w:r>
              <w:rPr>
                <w:rFonts w:hint="eastAsia" w:ascii="仿宋_GB2312" w:hAnsi="仿宋_GB2312" w:eastAsia="仿宋_GB2312" w:cs="仿宋_GB2312"/>
                <w:color w:val="0C0C0C"/>
                <w:szCs w:val="21"/>
                <w:highlight w:val="none"/>
                <w:lang w:eastAsia="zh-CN"/>
              </w:rPr>
              <w:t>达</w:t>
            </w:r>
            <w:r>
              <w:rPr>
                <w:rFonts w:hint="eastAsia" w:ascii="仿宋_GB2312" w:hAnsi="仿宋_GB2312" w:eastAsia="仿宋_GB2312" w:cs="仿宋_GB2312"/>
                <w:color w:val="0C0C0C"/>
                <w:szCs w:val="21"/>
                <w:highlight w:val="none"/>
              </w:rPr>
              <w:t>80%</w:t>
            </w:r>
            <w:r>
              <w:rPr>
                <w:rFonts w:hint="eastAsia" w:ascii="仿宋_GB2312" w:hAnsi="仿宋_GB2312" w:eastAsia="仿宋_GB2312" w:cs="仿宋_GB2312"/>
                <w:color w:val="0C0C0C"/>
                <w:szCs w:val="21"/>
                <w:highlight w:val="none"/>
                <w:lang w:eastAsia="zh-CN"/>
              </w:rPr>
              <w:t>及</w:t>
            </w:r>
            <w:r>
              <w:rPr>
                <w:rFonts w:hint="eastAsia" w:ascii="仿宋_GB2312" w:hAnsi="仿宋_GB2312" w:eastAsia="仿宋_GB2312" w:cs="仿宋_GB2312"/>
                <w:color w:val="0C0C0C"/>
                <w:szCs w:val="21"/>
                <w:highlight w:val="none"/>
              </w:rPr>
              <w:t>以上</w:t>
            </w:r>
          </w:p>
        </w:tc>
        <w:tc>
          <w:tcPr>
            <w:tcW w:w="2535"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641"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119"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575" w:type="dxa"/>
            <w:gridSpan w:val="2"/>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车辆和非道路移动机械</w:t>
            </w:r>
          </w:p>
        </w:tc>
        <w:tc>
          <w:tcPr>
            <w:tcW w:w="3840" w:type="dxa"/>
            <w:noWrap w:val="0"/>
            <w:vAlign w:val="center"/>
          </w:tcPr>
          <w:p>
            <w:pPr>
              <w:widowControl/>
              <w:numPr>
                <w:ilvl w:val="0"/>
                <w:numId w:val="0"/>
              </w:numPr>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1.公路运输全部使用国五及以上排放标准重型载货车辆（含燃气）或新能源车辆，其中新能源车比例不低于30%；</w:t>
            </w:r>
          </w:p>
          <w:p>
            <w:pPr>
              <w:widowControl/>
              <w:numPr>
                <w:ilvl w:val="0"/>
                <w:numId w:val="0"/>
              </w:numPr>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2.厂内运输和通勤全部使用国五及以上排放标准车辆（含燃气）或新能源车辆，其中新能源车比例不低于30%；</w:t>
            </w:r>
          </w:p>
          <w:p>
            <w:pPr>
              <w:widowControl/>
              <w:numPr>
                <w:ilvl w:val="0"/>
                <w:numId w:val="0"/>
              </w:numPr>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3.厂内非道路移动机械全部使用国三及以上排放标准或新能源机械，</w:t>
            </w:r>
            <w:r>
              <w:rPr>
                <w:rFonts w:hint="eastAsia" w:ascii="仿宋_GB2312" w:hAnsi="仿宋_GB2312" w:eastAsia="仿宋_GB2312" w:cs="仿宋_GB2312"/>
                <w:color w:val="0C0C0C"/>
                <w:szCs w:val="21"/>
                <w:highlight w:val="none"/>
                <w:lang w:eastAsia="zh-CN"/>
              </w:rPr>
              <w:t>其中</w:t>
            </w:r>
            <w:r>
              <w:rPr>
                <w:rFonts w:hint="eastAsia" w:ascii="仿宋_GB2312" w:hAnsi="仿宋_GB2312" w:eastAsia="仿宋_GB2312" w:cs="仿宋_GB2312"/>
                <w:color w:val="0C0C0C"/>
                <w:szCs w:val="21"/>
                <w:highlight w:val="none"/>
              </w:rPr>
              <w:t>新能源叉车比例100%</w:t>
            </w:r>
          </w:p>
        </w:tc>
        <w:tc>
          <w:tcPr>
            <w:tcW w:w="3809" w:type="dxa"/>
            <w:noWrap w:val="0"/>
            <w:vAlign w:val="center"/>
          </w:tcPr>
          <w:p>
            <w:pPr>
              <w:widowControl/>
              <w:numPr>
                <w:ilvl w:val="0"/>
                <w:numId w:val="0"/>
              </w:numPr>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1.公路运输全部使用国五及以上排放标准重型载货车辆（含燃气）或新能源车辆，其中新能源车比例不低于15%；</w:t>
            </w:r>
          </w:p>
          <w:p>
            <w:pPr>
              <w:widowControl/>
              <w:numPr>
                <w:ilvl w:val="0"/>
                <w:numId w:val="0"/>
              </w:numPr>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2.厂内运输和通勤全部使用国五及以上排放标准车辆（含燃气）或新能源车辆，其中新能源车比例不低于15%；</w:t>
            </w:r>
          </w:p>
          <w:p>
            <w:pPr>
              <w:widowControl/>
              <w:numPr>
                <w:ilvl w:val="0"/>
                <w:numId w:val="0"/>
              </w:numPr>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3.厂内非道路移动机械全部使用国三及以上排放标准或新能源机械，其中新能源叉车比例100%</w:t>
            </w:r>
          </w:p>
        </w:tc>
        <w:tc>
          <w:tcPr>
            <w:tcW w:w="2535" w:type="dxa"/>
            <w:noWrap w:val="0"/>
            <w:vAlign w:val="center"/>
          </w:tcPr>
          <w:p>
            <w:pPr>
              <w:widowControl/>
              <w:spacing w:line="22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w:t>
            </w:r>
            <w:r>
              <w:rPr>
                <w:rFonts w:hint="eastAsia" w:ascii="仿宋_GB2312" w:hAnsi="仿宋_GB2312" w:eastAsia="仿宋_GB2312" w:cs="仿宋_GB2312"/>
                <w:color w:val="000000"/>
                <w:kern w:val="0"/>
                <w:szCs w:val="18"/>
                <w:highlight w:val="none"/>
                <w:lang w:bidi="ar"/>
              </w:rPr>
              <w:t>《汽油车污染物排放限值及测量方法（双怠速法及简易工况法）》（GB18285）</w:t>
            </w:r>
            <w:r>
              <w:rPr>
                <w:rFonts w:hint="eastAsia" w:ascii="仿宋_GB2312" w:hAnsi="仿宋_GB2312" w:eastAsia="仿宋_GB2312" w:cs="仿宋_GB2312"/>
                <w:color w:val="0C0C0C"/>
                <w:szCs w:val="21"/>
                <w:highlight w:val="none"/>
              </w:rPr>
              <w:t>和</w:t>
            </w:r>
            <w:r>
              <w:rPr>
                <w:rFonts w:hint="eastAsia" w:ascii="仿宋_GB2312" w:hAnsi="仿宋_GB2312" w:eastAsia="仿宋_GB2312" w:cs="仿宋_GB2312"/>
                <w:color w:val="000000"/>
                <w:kern w:val="0"/>
                <w:szCs w:val="18"/>
                <w:highlight w:val="none"/>
                <w:lang w:bidi="ar"/>
              </w:rPr>
              <w:t>《柴油车污染物排放限值及测量方法（自由加速法及加载减速法）》（GB3847）</w:t>
            </w:r>
            <w:r>
              <w:rPr>
                <w:rFonts w:hint="eastAsia" w:ascii="仿宋_GB2312" w:hAnsi="仿宋_GB2312" w:eastAsia="仿宋_GB2312" w:cs="仿宋_GB2312"/>
                <w:color w:val="0C0C0C"/>
                <w:szCs w:val="21"/>
                <w:highlight w:val="none"/>
              </w:rPr>
              <w:t>要求，非道路移动机械污染排放应满足</w:t>
            </w:r>
            <w:r>
              <w:rPr>
                <w:rFonts w:hint="eastAsia" w:ascii="仿宋_GB2312" w:hAnsi="仿宋_GB2312" w:eastAsia="仿宋_GB2312" w:cs="仿宋_GB2312"/>
                <w:color w:val="000000"/>
                <w:kern w:val="0"/>
                <w:szCs w:val="18"/>
                <w:highlight w:val="none"/>
                <w:lang w:bidi="ar"/>
              </w:rPr>
              <w:t>《非道路柴油移动机械排气烟度限值及测量方法》（GB36886）</w:t>
            </w:r>
            <w:r>
              <w:rPr>
                <w:rFonts w:hint="eastAsia" w:ascii="仿宋_GB2312" w:hAnsi="仿宋_GB2312" w:eastAsia="仿宋_GB2312" w:cs="仿宋_GB2312"/>
                <w:color w:val="0C0C0C"/>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641" w:type="dxa"/>
            <w:noWrap w:val="0"/>
            <w:vAlign w:val="center"/>
          </w:tcPr>
          <w:p>
            <w:pPr>
              <w:widowControl/>
              <w:jc w:val="center"/>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kern w:val="0"/>
                <w:szCs w:val="21"/>
                <w:highlight w:val="none"/>
                <w:lang w:bidi="ar"/>
              </w:rPr>
              <w:t>7</w:t>
            </w:r>
          </w:p>
        </w:tc>
        <w:tc>
          <w:tcPr>
            <w:tcW w:w="1119" w:type="dxa"/>
            <w:noWrap w:val="0"/>
            <w:vAlign w:val="center"/>
          </w:tcPr>
          <w:p>
            <w:pPr>
              <w:widowControl/>
              <w:jc w:val="center"/>
              <w:textAlignment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C0C0C"/>
                <w:szCs w:val="21"/>
                <w:highlight w:val="none"/>
                <w:lang w:bidi="ar"/>
              </w:rPr>
              <w:t>突发环境事件和</w:t>
            </w:r>
            <w:r>
              <w:rPr>
                <w:rFonts w:hint="eastAsia" w:ascii="仿宋_GB2312" w:hAnsi="仿宋_GB2312" w:eastAsia="仿宋_GB2312" w:cs="仿宋_GB2312"/>
                <w:color w:val="0C0C0C"/>
                <w:szCs w:val="21"/>
                <w:highlight w:val="none"/>
                <w:lang w:eastAsia="zh-CN" w:bidi="ar"/>
              </w:rPr>
              <w:t>生态环境行政处罚</w:t>
            </w:r>
          </w:p>
        </w:tc>
        <w:tc>
          <w:tcPr>
            <w:tcW w:w="2575"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lang w:bidi="ar"/>
              </w:rPr>
              <w:t>突发环境事件和</w:t>
            </w:r>
            <w:r>
              <w:rPr>
                <w:rFonts w:hint="eastAsia" w:ascii="仿宋_GB2312" w:hAnsi="仿宋_GB2312" w:eastAsia="仿宋_GB2312" w:cs="仿宋_GB2312"/>
                <w:color w:val="0C0C0C"/>
                <w:szCs w:val="21"/>
                <w:highlight w:val="none"/>
                <w:lang w:eastAsia="zh-CN" w:bidi="ar"/>
              </w:rPr>
              <w:t>生态环境行政处罚</w:t>
            </w:r>
          </w:p>
        </w:tc>
        <w:tc>
          <w:tcPr>
            <w:tcW w:w="7649"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bidi="ar"/>
              </w:rPr>
              <w:t>近三年之内未发生突发环境事件、未</w:t>
            </w:r>
            <w:r>
              <w:rPr>
                <w:rFonts w:hint="eastAsia" w:ascii="仿宋_GB2312" w:hAnsi="宋体" w:eastAsia="仿宋_GB2312"/>
                <w:color w:val="0C0C0C"/>
                <w:szCs w:val="21"/>
                <w:highlight w:val="none"/>
              </w:rPr>
              <w:t>受</w:t>
            </w:r>
            <w:r>
              <w:rPr>
                <w:rFonts w:hint="eastAsia" w:ascii="仿宋_GB2312" w:hAnsi="宋体" w:eastAsia="仿宋_GB2312"/>
                <w:color w:val="0C0C0C"/>
                <w:szCs w:val="21"/>
                <w:highlight w:val="none"/>
                <w:lang w:bidi="ar"/>
              </w:rPr>
              <w:t>到</w:t>
            </w:r>
            <w:r>
              <w:rPr>
                <w:rFonts w:hint="eastAsia" w:ascii="仿宋_GB2312" w:hAnsi="仿宋_GB2312" w:eastAsia="仿宋_GB2312" w:cs="仿宋_GB2312"/>
                <w:color w:val="0C0C0C"/>
                <w:szCs w:val="21"/>
                <w:highlight w:val="none"/>
                <w:lang w:eastAsia="zh-CN" w:bidi="ar"/>
              </w:rPr>
              <w:t>市区两级生态环境部门行政处罚</w:t>
            </w:r>
          </w:p>
        </w:tc>
        <w:tc>
          <w:tcPr>
            <w:tcW w:w="2535" w:type="dxa"/>
            <w:noWrap w:val="0"/>
            <w:vAlign w:val="center"/>
          </w:tcPr>
          <w:p>
            <w:pPr>
              <w:widowControl/>
              <w:jc w:val="left"/>
              <w:textAlignment w:val="center"/>
              <w:rPr>
                <w:rFonts w:hint="eastAsia" w:ascii="仿宋_GB2312" w:hAnsi="仿宋_GB2312" w:eastAsia="仿宋_GB2312" w:cs="仿宋_GB2312"/>
                <w:color w:val="0C0C0C"/>
                <w:szCs w:val="21"/>
                <w:highlight w:val="none"/>
                <w:lang w:bidi="ar"/>
              </w:rPr>
            </w:pPr>
            <w:r>
              <w:rPr>
                <w:rFonts w:hint="eastAsia" w:ascii="仿宋_GB2312" w:hAnsi="仿宋_GB2312" w:eastAsia="仿宋_GB2312" w:cs="仿宋_GB2312"/>
                <w:color w:val="0C0C0C"/>
                <w:szCs w:val="21"/>
                <w:highlight w:val="none"/>
              </w:rPr>
              <w:t>无强制要求</w:t>
            </w:r>
          </w:p>
        </w:tc>
      </w:tr>
    </w:tbl>
    <w:p>
      <w:pPr>
        <w:pStyle w:val="2"/>
        <w:ind w:left="420"/>
        <w:rPr>
          <w:highlight w:val="none"/>
        </w:rPr>
      </w:pPr>
    </w:p>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注：办公楼宇为租用的不评价该指标</w:t>
      </w:r>
    </w:p>
    <w:p>
      <w:pPr>
        <w:pStyle w:val="2"/>
        <w:ind w:left="0" w:leftChars="0"/>
        <w:outlineLvl w:val="2"/>
        <w:rPr>
          <w:rFonts w:hint="eastAsia" w:ascii="黑体" w:hAnsi="黑体" w:eastAsia="黑体" w:cs="黑体"/>
          <w:sz w:val="32"/>
          <w:szCs w:val="32"/>
          <w:highlight w:val="none"/>
        </w:rPr>
      </w:pPr>
      <w:r>
        <w:rPr>
          <w:rFonts w:hint="eastAsia"/>
          <w:highlight w:val="none"/>
        </w:rPr>
        <w:br w:type="page"/>
      </w:r>
      <w:r>
        <w:rPr>
          <w:rFonts w:hint="eastAsia" w:ascii="黑体" w:hAnsi="黑体" w:eastAsia="黑体" w:cs="黑体"/>
          <w:sz w:val="32"/>
          <w:szCs w:val="32"/>
          <w:highlight w:val="none"/>
        </w:rPr>
        <w:t>2.2热力生产和供应（443）企业绿色绩效评价细则</w:t>
      </w:r>
    </w:p>
    <w:tbl>
      <w:tblPr>
        <w:tblStyle w:val="8"/>
        <w:tblW w:w="14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35"/>
        <w:gridCol w:w="2685"/>
        <w:gridCol w:w="3382"/>
        <w:gridCol w:w="336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blHeader/>
          <w:jc w:val="center"/>
        </w:trPr>
        <w:tc>
          <w:tcPr>
            <w:tcW w:w="645"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335"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一级指标</w:t>
            </w:r>
          </w:p>
        </w:tc>
        <w:tc>
          <w:tcPr>
            <w:tcW w:w="2685"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二级指标</w:t>
            </w:r>
          </w:p>
        </w:tc>
        <w:tc>
          <w:tcPr>
            <w:tcW w:w="3382"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3360" w:type="dxa"/>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3006"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bCs/>
                <w:szCs w:val="21"/>
                <w:highlight w:val="none"/>
              </w:rPr>
              <w:t>合法企业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restart"/>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33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办公楼宇</w:t>
            </w:r>
          </w:p>
        </w:tc>
        <w:tc>
          <w:tcPr>
            <w:tcW w:w="268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szCs w:val="21"/>
                <w:highlight w:val="none"/>
                <w:vertAlign w:val="superscript"/>
              </w:rPr>
              <w:t>1</w:t>
            </w:r>
          </w:p>
        </w:tc>
        <w:tc>
          <w:tcPr>
            <w:tcW w:w="6742" w:type="dxa"/>
            <w:gridSpan w:val="2"/>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采用地源热泵系统、太阳能热水供应系统、LED照明灯具、太阳能光伏等系统其中之一</w:t>
            </w:r>
          </w:p>
        </w:tc>
        <w:tc>
          <w:tcPr>
            <w:tcW w:w="3006" w:type="dxa"/>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4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3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268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338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006" w:type="dxa"/>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3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268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3382"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3360"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3006" w:type="dxa"/>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4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3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268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9748" w:type="dxa"/>
            <w:gridSpan w:val="3"/>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4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3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338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3006" w:type="dxa"/>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35" w:type="dxa"/>
            <w:vMerge w:val="continue"/>
            <w:noWrap w:val="0"/>
            <w:vAlign w:val="center"/>
          </w:tcPr>
          <w:p>
            <w:pPr>
              <w:spacing w:line="312" w:lineRule="auto"/>
              <w:jc w:val="center"/>
              <w:rPr>
                <w:rFonts w:hint="eastAsia" w:ascii="宋体" w:hAnsi="宋体" w:cs="宋体"/>
                <w:b/>
                <w:color w:val="000000"/>
                <w:kern w:val="0"/>
                <w:szCs w:val="21"/>
                <w:highlight w:val="none"/>
              </w:rPr>
            </w:pP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338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3006" w:type="dxa"/>
            <w:noWrap w:val="0"/>
            <w:vAlign w:val="center"/>
          </w:tcPr>
          <w:p>
            <w:pPr>
              <w:snapToGrid w:val="0"/>
              <w:spacing w:before="63" w:beforeLines="20" w:after="63" w:afterLines="20"/>
              <w:jc w:val="left"/>
              <w:rPr>
                <w:rFonts w:hint="eastAsia" w:ascii="宋体" w:hAnsi="宋体"/>
                <w:b/>
                <w:bCs/>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5" w:type="dxa"/>
            <w:vMerge w:val="restart"/>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2</w:t>
            </w:r>
          </w:p>
        </w:tc>
        <w:tc>
          <w:tcPr>
            <w:tcW w:w="133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生产工艺</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及装备</w:t>
            </w: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锅炉设备情况</w:t>
            </w:r>
          </w:p>
        </w:tc>
        <w:tc>
          <w:tcPr>
            <w:tcW w:w="9748"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采用高效、节能、环保的设计或实施节能减排改造并取得相应减量效益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45" w:type="dxa"/>
            <w:vMerge w:val="continue"/>
            <w:noWrap w:val="0"/>
            <w:vAlign w:val="top"/>
          </w:tcPr>
          <w:p>
            <w:pPr>
              <w:spacing w:line="312" w:lineRule="auto"/>
              <w:jc w:val="center"/>
              <w:rPr>
                <w:rFonts w:hint="eastAsia" w:ascii="宋体" w:hAnsi="宋体" w:cs="宋体"/>
                <w:b/>
                <w:color w:val="000000"/>
                <w:kern w:val="0"/>
                <w:szCs w:val="21"/>
                <w:highlight w:val="none"/>
              </w:rPr>
            </w:pPr>
          </w:p>
        </w:tc>
        <w:tc>
          <w:tcPr>
            <w:tcW w:w="133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泵、风机系统电机能效</w:t>
            </w:r>
          </w:p>
        </w:tc>
        <w:tc>
          <w:tcPr>
            <w:tcW w:w="338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近一年</w:t>
            </w:r>
            <w:r>
              <w:rPr>
                <w:rFonts w:hint="eastAsia" w:ascii="仿宋_GB2312" w:hAnsi="仿宋_GB2312" w:eastAsia="仿宋_GB2312" w:cs="仿宋_GB2312"/>
                <w:color w:val="0C0C0C"/>
                <w:szCs w:val="21"/>
                <w:highlight w:val="none"/>
              </w:rPr>
              <w:t>新采购设备全部达到</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《电动机能效限定值及能效等级》（</w:t>
            </w:r>
            <w:r>
              <w:rPr>
                <w:rFonts w:hint="eastAsia" w:ascii="仿宋_GB2312" w:hAnsi="仿宋_GB2312" w:eastAsia="仿宋_GB2312" w:cs="仿宋_GB2312"/>
                <w:color w:val="0C0C0C"/>
                <w:szCs w:val="21"/>
                <w:highlight w:val="none"/>
              </w:rPr>
              <w:t>GB18613</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w:t>
            </w:r>
            <w:r>
              <w:rPr>
                <w:rFonts w:hint="eastAsia" w:ascii="仿宋_GB2312" w:hAnsi="仿宋_GB2312" w:eastAsia="仿宋_GB2312" w:cs="仿宋_GB2312"/>
                <w:color w:val="0C0C0C"/>
                <w:szCs w:val="21"/>
                <w:highlight w:val="none"/>
              </w:rPr>
              <w:t>中二级能效水平</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lang w:eastAsia="zh-CN"/>
              </w:rPr>
              <w:t>近一年</w:t>
            </w:r>
            <w:r>
              <w:rPr>
                <w:rFonts w:hint="eastAsia" w:ascii="仿宋_GB2312" w:hAnsi="仿宋_GB2312" w:eastAsia="仿宋_GB2312" w:cs="仿宋_GB2312"/>
                <w:color w:val="0C0C0C"/>
                <w:szCs w:val="21"/>
                <w:highlight w:val="none"/>
              </w:rPr>
              <w:t>新采购设备中90%及以上达到</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《电动机能效限定值及能效等级》（</w:t>
            </w:r>
            <w:r>
              <w:rPr>
                <w:rFonts w:hint="eastAsia" w:ascii="仿宋_GB2312" w:hAnsi="仿宋_GB2312" w:eastAsia="仿宋_GB2312" w:cs="仿宋_GB2312"/>
                <w:color w:val="0C0C0C"/>
                <w:szCs w:val="21"/>
                <w:highlight w:val="none"/>
              </w:rPr>
              <w:t>GB18613</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w:t>
            </w:r>
            <w:r>
              <w:rPr>
                <w:rFonts w:hint="eastAsia" w:ascii="仿宋_GB2312" w:hAnsi="仿宋_GB2312" w:eastAsia="仿宋_GB2312" w:cs="仿宋_GB2312"/>
                <w:color w:val="0C0C0C"/>
                <w:szCs w:val="21"/>
                <w:highlight w:val="none"/>
              </w:rPr>
              <w:t>中二级能效</w:t>
            </w:r>
            <w:r>
              <w:rPr>
                <w:rFonts w:hint="eastAsia" w:ascii="仿宋_GB2312" w:hAnsi="仿宋_GB2312" w:eastAsia="仿宋_GB2312" w:cs="仿宋_GB2312"/>
                <w:color w:val="0C0C0C"/>
                <w:szCs w:val="21"/>
                <w:highlight w:val="none"/>
                <w:lang w:eastAsia="zh-CN"/>
              </w:rPr>
              <w:t>水平</w:t>
            </w:r>
          </w:p>
        </w:tc>
        <w:tc>
          <w:tcPr>
            <w:tcW w:w="300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近一年</w:t>
            </w:r>
            <w:r>
              <w:rPr>
                <w:rFonts w:hint="eastAsia" w:ascii="仿宋_GB2312" w:hAnsi="仿宋_GB2312" w:eastAsia="仿宋_GB2312" w:cs="仿宋_GB2312"/>
                <w:color w:val="0C0C0C"/>
                <w:szCs w:val="21"/>
                <w:highlight w:val="none"/>
              </w:rPr>
              <w:t>新采购设备中80%及以上达到</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《电动机能效限定值及能效等级》（</w:t>
            </w:r>
            <w:r>
              <w:rPr>
                <w:rFonts w:hint="eastAsia" w:ascii="仿宋_GB2312" w:hAnsi="仿宋_GB2312" w:eastAsia="仿宋_GB2312" w:cs="仿宋_GB2312"/>
                <w:color w:val="0C0C0C"/>
                <w:szCs w:val="21"/>
                <w:highlight w:val="none"/>
              </w:rPr>
              <w:t>GB18613</w:t>
            </w:r>
            <w:r>
              <w:rPr>
                <w:rFonts w:hint="eastAsia" w:ascii="仿宋_GB2312" w:hAnsi="仿宋_GB2312" w:eastAsia="仿宋_GB2312" w:cs="仿宋_GB2312"/>
                <w:i w:val="0"/>
                <w:caps w:val="0"/>
                <w:color w:val="0C0C0C"/>
                <w:spacing w:val="0"/>
                <w:kern w:val="2"/>
                <w:sz w:val="21"/>
                <w:szCs w:val="21"/>
                <w:highlight w:val="none"/>
                <w:shd w:val="clear" w:color="auto" w:fill="auto"/>
                <w:lang w:val="en-US" w:eastAsia="zh-CN" w:bidi="ar"/>
              </w:rPr>
              <w:t>）</w:t>
            </w:r>
            <w:r>
              <w:rPr>
                <w:rFonts w:hint="eastAsia" w:ascii="仿宋_GB2312" w:hAnsi="仿宋_GB2312" w:eastAsia="仿宋_GB2312" w:cs="仿宋_GB2312"/>
                <w:color w:val="0C0C0C"/>
                <w:szCs w:val="21"/>
                <w:highlight w:val="none"/>
              </w:rPr>
              <w:t>中二级能效水平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45" w:type="dxa"/>
            <w:vMerge w:val="continue"/>
            <w:noWrap w:val="0"/>
            <w:vAlign w:val="top"/>
          </w:tcPr>
          <w:p>
            <w:pPr>
              <w:spacing w:line="312" w:lineRule="auto"/>
              <w:jc w:val="center"/>
              <w:rPr>
                <w:rFonts w:hint="eastAsia" w:ascii="宋体" w:hAnsi="宋体" w:cs="宋体"/>
                <w:b/>
                <w:color w:val="000000"/>
                <w:kern w:val="0"/>
                <w:szCs w:val="21"/>
                <w:highlight w:val="none"/>
              </w:rPr>
            </w:pPr>
          </w:p>
        </w:tc>
        <w:tc>
          <w:tcPr>
            <w:tcW w:w="133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自动化控制系统情况</w:t>
            </w:r>
          </w:p>
        </w:tc>
        <w:tc>
          <w:tcPr>
            <w:tcW w:w="3382" w:type="dxa"/>
            <w:noWrap w:val="0"/>
            <w:vAlign w:val="center"/>
          </w:tcPr>
          <w:p>
            <w:pPr>
              <w:widowControl/>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配备自动化控制系统，可实现生产工艺参数监测和系统运行自动优化控制功能</w:t>
            </w:r>
          </w:p>
        </w:tc>
        <w:tc>
          <w:tcPr>
            <w:tcW w:w="3360" w:type="dxa"/>
            <w:noWrap w:val="0"/>
            <w:vAlign w:val="center"/>
          </w:tcPr>
          <w:p>
            <w:pPr>
              <w:widowControl/>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配备自动化控制系统，可实现生产工艺参数监测</w:t>
            </w:r>
          </w:p>
        </w:tc>
        <w:tc>
          <w:tcPr>
            <w:tcW w:w="300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45"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33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在线监控系统情况</w:t>
            </w:r>
          </w:p>
        </w:tc>
        <w:tc>
          <w:tcPr>
            <w:tcW w:w="674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安装能耗、烟气在线监测系统，且能正常监测能源消耗、烟气排放情况</w:t>
            </w:r>
          </w:p>
        </w:tc>
        <w:tc>
          <w:tcPr>
            <w:tcW w:w="300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45"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w:t>
            </w:r>
          </w:p>
        </w:tc>
        <w:tc>
          <w:tcPr>
            <w:tcW w:w="133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资源与能源消耗</w:t>
            </w: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单位供热量天然气消耗量</w:t>
            </w:r>
          </w:p>
        </w:tc>
        <w:tc>
          <w:tcPr>
            <w:tcW w:w="338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≤28.6m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/GJ</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≤29.50m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/GJ</w:t>
            </w:r>
          </w:p>
        </w:tc>
        <w:tc>
          <w:tcPr>
            <w:tcW w:w="300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单位供热量水资源消耗量</w:t>
            </w:r>
          </w:p>
        </w:tc>
        <w:tc>
          <w:tcPr>
            <w:tcW w:w="338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≤42.4L/GJ</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≤103.46L/GJ</w:t>
            </w:r>
          </w:p>
        </w:tc>
        <w:tc>
          <w:tcPr>
            <w:tcW w:w="300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45"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4</w:t>
            </w:r>
          </w:p>
        </w:tc>
        <w:tc>
          <w:tcPr>
            <w:tcW w:w="133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能源综合</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利用</w:t>
            </w:r>
          </w:p>
        </w:tc>
        <w:tc>
          <w:tcPr>
            <w:tcW w:w="268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余热余能利用情况</w:t>
            </w:r>
          </w:p>
        </w:tc>
        <w:tc>
          <w:tcPr>
            <w:tcW w:w="3382" w:type="dxa"/>
            <w:noWrap w:val="0"/>
            <w:vAlign w:val="center"/>
          </w:tcPr>
          <w:p>
            <w:pPr>
              <w:spacing w:line="240" w:lineRule="exact"/>
              <w:jc w:val="lef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rPr>
              <w:t>进行余热回收利用，排烟温度控制在50℃以下</w:t>
            </w:r>
          </w:p>
        </w:tc>
        <w:tc>
          <w:tcPr>
            <w:tcW w:w="3360" w:type="dxa"/>
            <w:noWrap w:val="0"/>
            <w:vAlign w:val="center"/>
          </w:tcPr>
          <w:p>
            <w:pPr>
              <w:spacing w:line="240" w:lineRule="exact"/>
              <w:jc w:val="lef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rPr>
              <w:t>进行余热回收利用，排烟温度控制在100℃以下</w:t>
            </w:r>
          </w:p>
        </w:tc>
        <w:tc>
          <w:tcPr>
            <w:tcW w:w="3006"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685" w:type="dxa"/>
            <w:noWrap w:val="0"/>
            <w:vAlign w:val="center"/>
          </w:tcPr>
          <w:p>
            <w:pPr>
              <w:spacing w:line="28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水资源回收利用情况</w:t>
            </w:r>
          </w:p>
        </w:tc>
        <w:tc>
          <w:tcPr>
            <w:tcW w:w="6742" w:type="dxa"/>
            <w:gridSpan w:val="2"/>
            <w:noWrap w:val="0"/>
            <w:vAlign w:val="center"/>
          </w:tcPr>
          <w:p>
            <w:pPr>
              <w:spacing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进行冷凝水回收</w:t>
            </w:r>
          </w:p>
        </w:tc>
        <w:tc>
          <w:tcPr>
            <w:tcW w:w="3006" w:type="dxa"/>
            <w:noWrap w:val="0"/>
            <w:vAlign w:val="center"/>
          </w:tcPr>
          <w:p>
            <w:pPr>
              <w:spacing w:line="28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45"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5</w:t>
            </w:r>
          </w:p>
        </w:tc>
        <w:tc>
          <w:tcPr>
            <w:tcW w:w="1335"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污染排放</w:t>
            </w:r>
          </w:p>
        </w:tc>
        <w:tc>
          <w:tcPr>
            <w:tcW w:w="268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氮氧化物排放浓度</w:t>
            </w:r>
          </w:p>
        </w:tc>
        <w:tc>
          <w:tcPr>
            <w:tcW w:w="3382"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≤15mg/m</w:t>
            </w:r>
            <w:r>
              <w:rPr>
                <w:rFonts w:hint="eastAsia" w:ascii="仿宋_GB2312" w:hAnsi="仿宋_GB2312" w:eastAsia="仿宋_GB2312" w:cs="仿宋_GB2312"/>
                <w:color w:val="0C0C0C"/>
                <w:szCs w:val="21"/>
                <w:highlight w:val="none"/>
                <w:vertAlign w:val="superscript"/>
              </w:rPr>
              <w:t>3</w:t>
            </w:r>
          </w:p>
        </w:tc>
        <w:tc>
          <w:tcPr>
            <w:tcW w:w="336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≤20mg/m</w:t>
            </w:r>
            <w:r>
              <w:rPr>
                <w:rFonts w:hint="eastAsia" w:ascii="仿宋_GB2312" w:hAnsi="仿宋_GB2312" w:eastAsia="仿宋_GB2312" w:cs="仿宋_GB2312"/>
                <w:color w:val="0C0C0C"/>
                <w:szCs w:val="21"/>
                <w:highlight w:val="none"/>
                <w:vertAlign w:val="superscript"/>
              </w:rPr>
              <w:t>3</w:t>
            </w:r>
          </w:p>
        </w:tc>
        <w:tc>
          <w:tcPr>
            <w:tcW w:w="3006" w:type="dxa"/>
            <w:noWrap w:val="0"/>
            <w:vAlign w:val="center"/>
          </w:tcPr>
          <w:p>
            <w:pPr>
              <w:spacing w:line="240" w:lineRule="exact"/>
              <w:jc w:val="left"/>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符合《 固定式燃气轮机大气污染物排放标准》（DB11/847）和《锅炉大气污染物排放标准》（DB11/139）的要求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68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脱硝设备氨逃逸浓度</w:t>
            </w:r>
          </w:p>
        </w:tc>
        <w:tc>
          <w:tcPr>
            <w:tcW w:w="3382"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≤1.0mg/m</w:t>
            </w:r>
            <w:r>
              <w:rPr>
                <w:rFonts w:hint="eastAsia" w:ascii="仿宋_GB2312" w:hAnsi="仿宋_GB2312" w:eastAsia="仿宋_GB2312" w:cs="仿宋_GB2312"/>
                <w:color w:val="000000"/>
                <w:kern w:val="0"/>
                <w:szCs w:val="21"/>
                <w:highlight w:val="none"/>
                <w:vertAlign w:val="superscript"/>
              </w:rPr>
              <w:t>3</w:t>
            </w:r>
          </w:p>
        </w:tc>
        <w:tc>
          <w:tcPr>
            <w:tcW w:w="3360"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≤2.0mg/m</w:t>
            </w:r>
            <w:r>
              <w:rPr>
                <w:rFonts w:hint="eastAsia" w:ascii="仿宋_GB2312" w:hAnsi="仿宋_GB2312" w:eastAsia="仿宋_GB2312" w:cs="仿宋_GB2312"/>
                <w:color w:val="000000"/>
                <w:kern w:val="0"/>
                <w:szCs w:val="21"/>
                <w:highlight w:val="none"/>
                <w:vertAlign w:val="superscript"/>
              </w:rPr>
              <w:t>3</w:t>
            </w:r>
          </w:p>
        </w:tc>
        <w:tc>
          <w:tcPr>
            <w:tcW w:w="3006" w:type="dxa"/>
            <w:noWrap w:val="0"/>
            <w:vAlign w:val="center"/>
          </w:tcPr>
          <w:p>
            <w:pPr>
              <w:spacing w:line="240" w:lineRule="exact"/>
              <w:jc w:val="left"/>
              <w:rPr>
                <w:rFonts w:hint="eastAsia" w:ascii="仿宋_GB2312" w:hAnsi="仿宋_GB2312" w:eastAsia="仿宋_GB2312" w:cs="仿宋_GB2312"/>
                <w:color w:val="0C0C0C"/>
                <w:kern w:val="0"/>
                <w:szCs w:val="21"/>
                <w:highlight w:val="none"/>
                <w:lang w:eastAsia="zh-CN" w:bidi="ar"/>
              </w:rPr>
            </w:pPr>
            <w:r>
              <w:rPr>
                <w:rFonts w:hint="eastAsia" w:ascii="仿宋_GB2312" w:hAnsi="仿宋_GB2312" w:eastAsia="仿宋_GB2312" w:cs="仿宋_GB2312"/>
                <w:color w:val="0C0C0C"/>
                <w:kern w:val="0"/>
                <w:szCs w:val="21"/>
                <w:highlight w:val="none"/>
                <w:lang w:bidi="ar"/>
              </w:rPr>
              <w:t>符合《锅炉大气污染物排放标准》（DB11/139）的</w:t>
            </w:r>
            <w:r>
              <w:rPr>
                <w:rFonts w:hint="eastAsia" w:ascii="仿宋_GB2312" w:hAnsi="仿宋_GB2312" w:eastAsia="仿宋_GB2312" w:cs="仿宋_GB2312"/>
                <w:color w:val="0C0C0C"/>
                <w:kern w:val="0"/>
                <w:szCs w:val="21"/>
                <w:highlight w:val="none"/>
                <w:lang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685" w:type="dxa"/>
            <w:noWrap w:val="0"/>
            <w:vAlign w:val="center"/>
          </w:tcPr>
          <w:p>
            <w:pPr>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颗粒物、二氧化硫排放浓度</w:t>
            </w:r>
          </w:p>
          <w:p>
            <w:pPr>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烟气黑度</w:t>
            </w:r>
          </w:p>
        </w:tc>
        <w:tc>
          <w:tcPr>
            <w:tcW w:w="9748" w:type="dxa"/>
            <w:gridSpan w:val="3"/>
            <w:noWrap w:val="0"/>
            <w:vAlign w:val="center"/>
          </w:tcPr>
          <w:p>
            <w:pPr>
              <w:spacing w:line="312" w:lineRule="auto"/>
              <w:jc w:val="left"/>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符合《锅炉大气污染物排放标准》（DB11/139）的要求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68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废水排放浓度</w:t>
            </w:r>
          </w:p>
        </w:tc>
        <w:tc>
          <w:tcPr>
            <w:tcW w:w="9748" w:type="dxa"/>
            <w:gridSpan w:val="3"/>
            <w:noWrap w:val="0"/>
            <w:vAlign w:val="center"/>
          </w:tcPr>
          <w:p>
            <w:pPr>
              <w:spacing w:line="312" w:lineRule="auto"/>
              <w:jc w:val="left"/>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符合《水污染物综合排放标准》（DB11/307）的要求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68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厂界噪声</w:t>
            </w:r>
          </w:p>
        </w:tc>
        <w:tc>
          <w:tcPr>
            <w:tcW w:w="9748" w:type="dxa"/>
            <w:gridSpan w:val="3"/>
            <w:noWrap w:val="0"/>
            <w:vAlign w:val="center"/>
          </w:tcPr>
          <w:p>
            <w:pPr>
              <w:spacing w:line="312" w:lineRule="auto"/>
              <w:jc w:val="left"/>
              <w:rPr>
                <w:rFonts w:hint="eastAsia" w:ascii="仿宋_GB2312" w:hAnsi="仿宋_GB2312" w:eastAsia="仿宋_GB2312" w:cs="仿宋_GB2312"/>
                <w:color w:val="0C0C0C"/>
                <w:kern w:val="0"/>
                <w:szCs w:val="21"/>
                <w:highlight w:val="none"/>
                <w:lang w:bidi="ar"/>
              </w:rPr>
            </w:pPr>
            <w:r>
              <w:rPr>
                <w:rFonts w:hint="eastAsia" w:ascii="仿宋_GB2312" w:hAnsi="仿宋_GB2312" w:eastAsia="仿宋_GB2312" w:cs="仿宋_GB2312"/>
                <w:color w:val="0C0C0C"/>
                <w:kern w:val="0"/>
                <w:szCs w:val="21"/>
                <w:highlight w:val="none"/>
                <w:lang w:bidi="ar"/>
              </w:rPr>
              <w:t>符合《工业企业厂界环境噪声排放标准》（GB12348）的要求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4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3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268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危险废物贮存与处置</w:t>
            </w:r>
          </w:p>
        </w:tc>
        <w:tc>
          <w:tcPr>
            <w:tcW w:w="9748" w:type="dxa"/>
            <w:gridSpan w:val="3"/>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危险废物应按照</w:t>
            </w:r>
            <w:r>
              <w:rPr>
                <w:rFonts w:hint="eastAsia" w:ascii="仿宋_GB2312" w:hAnsi="仿宋_GB2312" w:eastAsia="仿宋_GB2312" w:cs="仿宋_GB2312"/>
                <w:color w:val="0C0C0C"/>
                <w:szCs w:val="21"/>
                <w:highlight w:val="none"/>
              </w:rPr>
              <w:t>《危险废物贮存污染控制标准》（GB18597）</w:t>
            </w:r>
            <w:r>
              <w:rPr>
                <w:rFonts w:hint="eastAsia" w:ascii="仿宋_GB2312" w:hAnsi="仿宋_GB2312" w:eastAsia="仿宋_GB2312" w:cs="仿宋_GB2312"/>
                <w:color w:val="000000"/>
                <w:kern w:val="0"/>
                <w:szCs w:val="21"/>
                <w:highlight w:val="none"/>
              </w:rPr>
              <w:t>相关规定进行贮存，由具有相关资质的专业机构进行处理、处置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6</w:t>
            </w:r>
          </w:p>
        </w:tc>
        <w:tc>
          <w:tcPr>
            <w:tcW w:w="1335"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碳排放</w:t>
            </w:r>
          </w:p>
        </w:tc>
        <w:tc>
          <w:tcPr>
            <w:tcW w:w="2685" w:type="dxa"/>
            <w:vMerge w:val="restart"/>
            <w:noWrap w:val="0"/>
            <w:vAlign w:val="center"/>
          </w:tcPr>
          <w:p>
            <w:pPr>
              <w:widowControl/>
              <w:jc w:val="center"/>
              <w:rPr>
                <w:rFonts w:hint="eastAsia" w:ascii="仿宋_GB2312" w:hAnsi="仿宋_GB2312" w:eastAsia="仿宋_GB2312" w:cs="仿宋_GB2312"/>
                <w:color w:val="000000"/>
                <w:kern w:val="0"/>
                <w:sz w:val="22"/>
                <w:highlight w:val="none"/>
              </w:rPr>
            </w:pPr>
          </w:p>
          <w:p>
            <w:pPr>
              <w:widowControl/>
              <w:jc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Cs w:val="21"/>
                <w:highlight w:val="none"/>
              </w:rPr>
              <w:t>碳排放强度</w:t>
            </w:r>
          </w:p>
          <w:p>
            <w:pPr>
              <w:widowControl/>
              <w:jc w:val="center"/>
              <w:rPr>
                <w:rFonts w:hint="eastAsia" w:ascii="仿宋_GB2312" w:hAnsi="仿宋_GB2312" w:eastAsia="仿宋_GB2312" w:cs="仿宋_GB2312"/>
                <w:color w:val="000000"/>
                <w:kern w:val="0"/>
                <w:sz w:val="22"/>
                <w:highlight w:val="none"/>
              </w:rPr>
            </w:pPr>
          </w:p>
        </w:tc>
        <w:tc>
          <w:tcPr>
            <w:tcW w:w="6742" w:type="dxa"/>
            <w:gridSpan w:val="2"/>
            <w:noWrap w:val="0"/>
            <w:vAlign w:val="center"/>
          </w:tcPr>
          <w:p>
            <w:pPr>
              <w:widowControl/>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燃气供热锅炉≤62.11kgCO</w:t>
            </w:r>
            <w:r>
              <w:rPr>
                <w:rFonts w:hint="eastAsia" w:ascii="仿宋_GB2312" w:hAnsi="仿宋_GB2312" w:eastAsia="仿宋_GB2312" w:cs="仿宋_GB2312"/>
                <w:color w:val="000000"/>
                <w:kern w:val="0"/>
                <w:szCs w:val="21"/>
                <w:highlight w:val="none"/>
                <w:vertAlign w:val="subscript"/>
              </w:rPr>
              <w:t>2</w:t>
            </w:r>
            <w:r>
              <w:rPr>
                <w:rFonts w:hint="eastAsia" w:ascii="仿宋_GB2312" w:hAnsi="仿宋_GB2312" w:eastAsia="仿宋_GB2312" w:cs="仿宋_GB2312"/>
                <w:color w:val="000000"/>
                <w:kern w:val="0"/>
                <w:szCs w:val="21"/>
                <w:highlight w:val="none"/>
              </w:rPr>
              <w:t>/GJ</w:t>
            </w:r>
          </w:p>
        </w:tc>
        <w:tc>
          <w:tcPr>
            <w:tcW w:w="3006"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335" w:type="dxa"/>
            <w:vMerge w:val="continue"/>
            <w:noWrap w:val="0"/>
            <w:vAlign w:val="center"/>
          </w:tcPr>
          <w:p>
            <w:pPr>
              <w:spacing w:line="312" w:lineRule="auto"/>
              <w:jc w:val="center"/>
              <w:rPr>
                <w:rFonts w:ascii="宋体" w:hAnsi="宋体" w:cs="宋体"/>
                <w:color w:val="000000"/>
                <w:kern w:val="0"/>
                <w:szCs w:val="21"/>
                <w:highlight w:val="none"/>
              </w:rPr>
            </w:pPr>
          </w:p>
        </w:tc>
        <w:tc>
          <w:tcPr>
            <w:tcW w:w="2685" w:type="dxa"/>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6742" w:type="dxa"/>
            <w:gridSpan w:val="2"/>
            <w:noWrap w:val="0"/>
            <w:vAlign w:val="center"/>
          </w:tcPr>
          <w:p>
            <w:pPr>
              <w:widowControl/>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燃油供热锅炉≤80.50kgCO</w:t>
            </w:r>
            <w:r>
              <w:rPr>
                <w:rFonts w:hint="eastAsia" w:ascii="仿宋_GB2312" w:hAnsi="仿宋_GB2312" w:eastAsia="仿宋_GB2312" w:cs="仿宋_GB2312"/>
                <w:color w:val="000000"/>
                <w:kern w:val="0"/>
                <w:szCs w:val="21"/>
                <w:highlight w:val="none"/>
                <w:vertAlign w:val="subscript"/>
              </w:rPr>
              <w:t>2</w:t>
            </w:r>
            <w:r>
              <w:rPr>
                <w:rFonts w:hint="eastAsia" w:ascii="仿宋_GB2312" w:hAnsi="仿宋_GB2312" w:eastAsia="仿宋_GB2312" w:cs="仿宋_GB2312"/>
                <w:color w:val="000000"/>
                <w:kern w:val="0"/>
                <w:szCs w:val="21"/>
                <w:highlight w:val="none"/>
              </w:rPr>
              <w:t>/GJ</w:t>
            </w:r>
          </w:p>
        </w:tc>
        <w:tc>
          <w:tcPr>
            <w:tcW w:w="3006"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335" w:type="dxa"/>
            <w:vMerge w:val="continue"/>
            <w:noWrap w:val="0"/>
            <w:vAlign w:val="center"/>
          </w:tcPr>
          <w:p>
            <w:pPr>
              <w:spacing w:line="312" w:lineRule="auto"/>
              <w:jc w:val="center"/>
              <w:rPr>
                <w:rFonts w:ascii="宋体" w:hAnsi="宋体" w:cs="宋体"/>
                <w:color w:val="000000"/>
                <w:kern w:val="0"/>
                <w:szCs w:val="21"/>
                <w:highlight w:val="none"/>
              </w:rPr>
            </w:pPr>
          </w:p>
        </w:tc>
        <w:tc>
          <w:tcPr>
            <w:tcW w:w="2685" w:type="dxa"/>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6742" w:type="dxa"/>
            <w:gridSpan w:val="2"/>
            <w:noWrap w:val="0"/>
            <w:vAlign w:val="center"/>
          </w:tcPr>
          <w:p>
            <w:pPr>
              <w:widowControl/>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电锅炉供热≤175.04kgCO</w:t>
            </w:r>
            <w:r>
              <w:rPr>
                <w:rFonts w:hint="eastAsia" w:ascii="仿宋_GB2312" w:hAnsi="仿宋_GB2312" w:eastAsia="仿宋_GB2312" w:cs="仿宋_GB2312"/>
                <w:color w:val="000000"/>
                <w:kern w:val="0"/>
                <w:szCs w:val="21"/>
                <w:highlight w:val="none"/>
                <w:vertAlign w:val="subscript"/>
              </w:rPr>
              <w:t>2</w:t>
            </w:r>
            <w:r>
              <w:rPr>
                <w:rFonts w:hint="eastAsia" w:ascii="仿宋_GB2312" w:hAnsi="仿宋_GB2312" w:eastAsia="仿宋_GB2312" w:cs="仿宋_GB2312"/>
                <w:color w:val="000000"/>
                <w:kern w:val="0"/>
                <w:szCs w:val="21"/>
                <w:highlight w:val="none"/>
              </w:rPr>
              <w:t>/GJ</w:t>
            </w:r>
          </w:p>
        </w:tc>
        <w:tc>
          <w:tcPr>
            <w:tcW w:w="3006"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335" w:type="dxa"/>
            <w:vMerge w:val="continue"/>
            <w:noWrap w:val="0"/>
            <w:vAlign w:val="center"/>
          </w:tcPr>
          <w:p>
            <w:pPr>
              <w:spacing w:line="312" w:lineRule="auto"/>
              <w:jc w:val="center"/>
              <w:rPr>
                <w:rFonts w:ascii="宋体" w:hAnsi="宋体" w:cs="宋体"/>
                <w:color w:val="000000"/>
                <w:kern w:val="0"/>
                <w:szCs w:val="21"/>
                <w:highlight w:val="none"/>
              </w:rPr>
            </w:pPr>
          </w:p>
        </w:tc>
        <w:tc>
          <w:tcPr>
            <w:tcW w:w="2685" w:type="dxa"/>
            <w:vMerge w:val="continue"/>
            <w:noWrap w:val="0"/>
            <w:vAlign w:val="center"/>
          </w:tcPr>
          <w:p>
            <w:pPr>
              <w:widowControl/>
              <w:jc w:val="center"/>
              <w:rPr>
                <w:rFonts w:hint="eastAsia" w:ascii="仿宋_GB2312" w:hAnsi="仿宋_GB2312" w:eastAsia="仿宋_GB2312" w:cs="仿宋_GB2312"/>
                <w:color w:val="000000"/>
                <w:kern w:val="0"/>
                <w:sz w:val="22"/>
                <w:highlight w:val="none"/>
              </w:rPr>
            </w:pPr>
          </w:p>
        </w:tc>
        <w:tc>
          <w:tcPr>
            <w:tcW w:w="6742" w:type="dxa"/>
            <w:gridSpan w:val="2"/>
            <w:noWrap w:val="0"/>
            <w:vAlign w:val="center"/>
          </w:tcPr>
          <w:p>
            <w:pPr>
              <w:widowControl/>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地源热泵供热≤44.05kgCO</w:t>
            </w:r>
            <w:r>
              <w:rPr>
                <w:rFonts w:hint="eastAsia" w:ascii="仿宋_GB2312" w:hAnsi="仿宋_GB2312" w:eastAsia="仿宋_GB2312" w:cs="仿宋_GB2312"/>
                <w:color w:val="000000"/>
                <w:kern w:val="0"/>
                <w:szCs w:val="21"/>
                <w:highlight w:val="none"/>
                <w:vertAlign w:val="subscript"/>
              </w:rPr>
              <w:t>2</w:t>
            </w:r>
            <w:r>
              <w:rPr>
                <w:rFonts w:hint="eastAsia" w:ascii="仿宋_GB2312" w:hAnsi="仿宋_GB2312" w:eastAsia="仿宋_GB2312" w:cs="仿宋_GB2312"/>
                <w:color w:val="000000"/>
                <w:kern w:val="0"/>
                <w:szCs w:val="21"/>
                <w:highlight w:val="none"/>
              </w:rPr>
              <w:t>/GJ</w:t>
            </w:r>
          </w:p>
        </w:tc>
        <w:tc>
          <w:tcPr>
            <w:tcW w:w="3006" w:type="dxa"/>
            <w:noWrap w:val="0"/>
            <w:vAlign w:val="center"/>
          </w:tcPr>
          <w:p>
            <w:pPr>
              <w:spacing w:line="312" w:lineRule="auto"/>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45"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335" w:type="dxa"/>
            <w:vMerge w:val="continue"/>
            <w:noWrap w:val="0"/>
            <w:vAlign w:val="center"/>
          </w:tcPr>
          <w:p>
            <w:pPr>
              <w:spacing w:line="312" w:lineRule="auto"/>
              <w:jc w:val="center"/>
              <w:rPr>
                <w:rFonts w:ascii="宋体" w:hAnsi="宋体" w:cs="宋体"/>
                <w:color w:val="000000"/>
                <w:kern w:val="0"/>
                <w:szCs w:val="21"/>
                <w:highlight w:val="none"/>
              </w:rPr>
            </w:pPr>
          </w:p>
        </w:tc>
        <w:tc>
          <w:tcPr>
            <w:tcW w:w="2685" w:type="dxa"/>
            <w:noWrap w:val="0"/>
            <w:vAlign w:val="center"/>
          </w:tcPr>
          <w:p>
            <w:pPr>
              <w:widowControl/>
              <w:jc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碳市场履约</w:t>
            </w:r>
          </w:p>
        </w:tc>
        <w:tc>
          <w:tcPr>
            <w:tcW w:w="9748"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北京市重点碳排放单位[年二氧化碳排放</w:t>
            </w:r>
            <w:r>
              <w:rPr>
                <w:rFonts w:hint="eastAsia" w:ascii="仿宋_GB2312" w:hAnsi="仿宋_GB2312" w:eastAsia="仿宋_GB2312" w:cs="仿宋_GB2312"/>
                <w:color w:val="0C0C0C"/>
                <w:szCs w:val="21"/>
                <w:highlight w:val="none"/>
                <w:lang w:eastAsia="zh-CN"/>
              </w:rPr>
              <w:t>量</w:t>
            </w:r>
            <w:r>
              <w:rPr>
                <w:rFonts w:hint="eastAsia" w:ascii="仿宋_GB2312" w:hAnsi="仿宋_GB2312" w:eastAsia="仿宋_GB2312" w:cs="仿宋_GB2312"/>
                <w:color w:val="0C0C0C"/>
                <w:szCs w:val="21"/>
                <w:highlight w:val="none"/>
              </w:rPr>
              <w:t>5000吨</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及以上]按时提交碳排放报告和第三方核查报告，并按要求履约，开展碳资产管理；</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北京市一般报告单位[年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w:t>
            </w:r>
            <w:r>
              <w:rPr>
                <w:rFonts w:hint="eastAsia" w:ascii="仿宋_GB2312" w:hAnsi="仿宋_GB2312" w:eastAsia="仿宋_GB2312" w:cs="仿宋_GB2312"/>
                <w:color w:val="0C0C0C"/>
                <w:szCs w:val="21"/>
                <w:highlight w:val="none"/>
              </w:rPr>
              <w:t>量2000吨标</w:t>
            </w:r>
            <w:r>
              <w:rPr>
                <w:rFonts w:hint="eastAsia" w:ascii="仿宋_GB2312" w:hAnsi="仿宋_GB2312" w:eastAsia="仿宋_GB2312" w:cs="仿宋_GB2312"/>
                <w:color w:val="0C0C0C"/>
                <w:szCs w:val="21"/>
                <w:highlight w:val="none"/>
                <w:lang w:eastAsia="zh-CN"/>
              </w:rPr>
              <w:t>准</w:t>
            </w:r>
            <w:r>
              <w:rPr>
                <w:rFonts w:hint="eastAsia" w:ascii="仿宋_GB2312" w:hAnsi="仿宋_GB2312" w:eastAsia="仿宋_GB2312" w:cs="仿宋_GB2312"/>
                <w:color w:val="0C0C0C"/>
                <w:szCs w:val="21"/>
                <w:highlight w:val="none"/>
              </w:rPr>
              <w:t>煤</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w:t>
            </w:r>
          </w:p>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费总量</w:t>
            </w:r>
            <w:r>
              <w:rPr>
                <w:rFonts w:hint="eastAsia" w:ascii="仿宋_GB2312" w:hAnsi="仿宋_GB2312" w:eastAsia="仿宋_GB2312" w:cs="仿宋_GB2312"/>
                <w:color w:val="0C0C0C"/>
                <w:szCs w:val="21"/>
                <w:highlight w:val="none"/>
              </w:rPr>
              <w:t>2000吨标准煤</w:t>
            </w:r>
            <w:r>
              <w:rPr>
                <w:rFonts w:hint="eastAsia" w:ascii="仿宋_GB2312" w:hAnsi="仿宋_GB2312" w:eastAsia="仿宋_GB2312" w:cs="仿宋_GB2312"/>
                <w:color w:val="0C0C0C"/>
                <w:szCs w:val="21"/>
                <w:highlight w:val="none"/>
                <w:lang w:eastAsia="zh-CN"/>
              </w:rPr>
              <w:t>的单位</w:t>
            </w:r>
            <w:r>
              <w:rPr>
                <w:rFonts w:hint="eastAsia" w:ascii="仿宋_GB2312" w:hAnsi="仿宋_GB2312" w:eastAsia="仿宋_GB2312" w:cs="仿宋_GB2312"/>
                <w:color w:val="0C0C0C"/>
                <w:szCs w:val="21"/>
                <w:highlight w:val="none"/>
              </w:rPr>
              <w:t>以下开展碳排放核算，编制碳排放报告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5" w:type="dxa"/>
            <w:vMerge w:val="continue"/>
            <w:noWrap w:val="0"/>
            <w:vAlign w:val="center"/>
          </w:tcPr>
          <w:p>
            <w:pPr>
              <w:spacing w:line="312" w:lineRule="auto"/>
              <w:jc w:val="center"/>
              <w:rPr>
                <w:rFonts w:hint="eastAsia" w:ascii="宋体" w:hAnsi="宋体" w:cs="宋体"/>
                <w:color w:val="000000"/>
                <w:kern w:val="0"/>
                <w:szCs w:val="21"/>
                <w:highlight w:val="none"/>
              </w:rPr>
            </w:pPr>
          </w:p>
        </w:tc>
        <w:tc>
          <w:tcPr>
            <w:tcW w:w="1335" w:type="dxa"/>
            <w:vMerge w:val="continue"/>
            <w:noWrap w:val="0"/>
            <w:vAlign w:val="center"/>
          </w:tcPr>
          <w:p>
            <w:pPr>
              <w:spacing w:line="312" w:lineRule="auto"/>
              <w:jc w:val="center"/>
              <w:rPr>
                <w:rFonts w:ascii="宋体" w:hAnsi="宋体" w:cs="宋体"/>
                <w:color w:val="000000"/>
                <w:kern w:val="0"/>
                <w:szCs w:val="21"/>
                <w:highlight w:val="none"/>
              </w:rPr>
            </w:pPr>
          </w:p>
        </w:tc>
        <w:tc>
          <w:tcPr>
            <w:tcW w:w="2685" w:type="dxa"/>
            <w:noWrap w:val="0"/>
            <w:vAlign w:val="center"/>
          </w:tcPr>
          <w:p>
            <w:pPr>
              <w:widowControl/>
              <w:spacing w:line="240" w:lineRule="exact"/>
              <w:jc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00000"/>
                <w:kern w:val="0"/>
                <w:sz w:val="22"/>
                <w:highlight w:val="none"/>
              </w:rPr>
              <w:t>低碳工作计划</w:t>
            </w:r>
          </w:p>
        </w:tc>
        <w:tc>
          <w:tcPr>
            <w:tcW w:w="6742" w:type="dxa"/>
            <w:gridSpan w:val="2"/>
            <w:tcBorders>
              <w:right w:val="single" w:color="000000" w:sz="4" w:space="0"/>
            </w:tcBorders>
            <w:noWrap w:val="0"/>
            <w:vAlign w:val="center"/>
          </w:tcPr>
          <w:p>
            <w:pPr>
              <w:spacing w:line="240" w:lineRule="exac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制定企业碳中和或低碳行动计划并向社会公布</w:t>
            </w:r>
          </w:p>
        </w:tc>
        <w:tc>
          <w:tcPr>
            <w:tcW w:w="3006" w:type="dxa"/>
            <w:tcBorders>
              <w:left w:val="single" w:color="000000" w:sz="4" w:space="0"/>
            </w:tcBorders>
            <w:noWrap w:val="0"/>
            <w:vAlign w:val="center"/>
          </w:tcPr>
          <w:p>
            <w:pPr>
              <w:spacing w:line="240" w:lineRule="exac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64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7</w:t>
            </w:r>
          </w:p>
        </w:tc>
        <w:tc>
          <w:tcPr>
            <w:tcW w:w="133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移动排放源结构及排放</w:t>
            </w:r>
          </w:p>
        </w:tc>
        <w:tc>
          <w:tcPr>
            <w:tcW w:w="2685" w:type="dxa"/>
            <w:noWrap w:val="0"/>
            <w:vAlign w:val="center"/>
          </w:tcPr>
          <w:p>
            <w:pPr>
              <w:widowControl/>
              <w:jc w:val="center"/>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车辆</w:t>
            </w:r>
            <w:r>
              <w:rPr>
                <w:rFonts w:hint="eastAsia" w:ascii="仿宋_GB2312" w:hAnsi="仿宋_GB2312" w:eastAsia="仿宋_GB2312" w:cs="仿宋_GB2312"/>
                <w:color w:val="0C0C0C"/>
                <w:szCs w:val="21"/>
                <w:highlight w:val="none"/>
                <w:lang w:eastAsia="zh-CN"/>
              </w:rPr>
              <w:t>和非道路</w:t>
            </w:r>
          </w:p>
          <w:p>
            <w:pPr>
              <w:widowControl/>
              <w:jc w:val="center"/>
              <w:textAlignment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C0C0C"/>
                <w:szCs w:val="21"/>
                <w:highlight w:val="none"/>
                <w:lang w:eastAsia="zh-CN"/>
              </w:rPr>
              <w:t>移动机械管理</w:t>
            </w:r>
          </w:p>
        </w:tc>
        <w:tc>
          <w:tcPr>
            <w:tcW w:w="3382" w:type="dxa"/>
            <w:noWrap w:val="0"/>
            <w:vAlign w:val="center"/>
          </w:tcPr>
          <w:p>
            <w:pPr>
              <w:spacing w:line="240" w:lineRule="atLeas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1.物料公路运输全部使用国五及以上排放标准重型载货车辆（含燃气）或新能源车辆，其中新能源车比例不低于30%；</w:t>
            </w:r>
          </w:p>
          <w:p>
            <w:pPr>
              <w:spacing w:line="240" w:lineRule="atLeas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2.厂内运输和通勤全部使用国五及以上排放标准车辆（含燃气）或新能源车辆，其中新能源车比例不低于30%；</w:t>
            </w:r>
          </w:p>
          <w:p>
            <w:pPr>
              <w:spacing w:line="240" w:lineRule="atLeas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3.厂内非道路移动机械全部使用国三及以上排放标准或新能源机械，</w:t>
            </w:r>
            <w:r>
              <w:rPr>
                <w:rFonts w:hint="eastAsia" w:ascii="仿宋_GB2312" w:hAnsi="仿宋_GB2312" w:eastAsia="仿宋_GB2312" w:cs="仿宋_GB2312"/>
                <w:color w:val="0C0C0C"/>
                <w:szCs w:val="21"/>
                <w:highlight w:val="none"/>
                <w:lang w:eastAsia="zh-CN"/>
              </w:rPr>
              <w:t>其中</w:t>
            </w:r>
            <w:r>
              <w:rPr>
                <w:rFonts w:hint="eastAsia" w:ascii="仿宋_GB2312" w:hAnsi="仿宋_GB2312" w:eastAsia="仿宋_GB2312" w:cs="仿宋_GB2312"/>
                <w:color w:val="0C0C0C"/>
                <w:szCs w:val="21"/>
                <w:highlight w:val="none"/>
              </w:rPr>
              <w:t>新能源叉车比例100%</w:t>
            </w:r>
          </w:p>
        </w:tc>
        <w:tc>
          <w:tcPr>
            <w:tcW w:w="3360" w:type="dxa"/>
            <w:noWrap w:val="0"/>
            <w:vAlign w:val="center"/>
          </w:tcPr>
          <w:p>
            <w:pPr>
              <w:spacing w:line="240" w:lineRule="atLeas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1.物料公路运输全部使用国五及以上排放标准重型载货车辆（含燃气）或新能源车辆，其中新能源车比例不低于15%；</w:t>
            </w:r>
          </w:p>
          <w:p>
            <w:pPr>
              <w:spacing w:line="240" w:lineRule="atLeas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2.厂内运输和通勤全部使用国五及以上排放标准车辆（含燃气）或新能源车辆，其中新能源车比例不低于15%；</w:t>
            </w:r>
          </w:p>
          <w:p>
            <w:pPr>
              <w:spacing w:line="240" w:lineRule="atLeast"/>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3.厂内非道路移动机械全部使用国三及以上排放标准或新能源机械，其中新能源叉车比例100%</w:t>
            </w:r>
          </w:p>
        </w:tc>
        <w:tc>
          <w:tcPr>
            <w:tcW w:w="3006" w:type="dxa"/>
            <w:noWrap w:val="0"/>
            <w:vAlign w:val="center"/>
          </w:tcPr>
          <w:p>
            <w:pPr>
              <w:widowControl/>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w:t>
            </w:r>
            <w:r>
              <w:rPr>
                <w:rFonts w:hint="eastAsia" w:ascii="仿宋_GB2312" w:hAnsi="仿宋_GB2312" w:eastAsia="仿宋_GB2312" w:cs="仿宋_GB2312"/>
                <w:color w:val="0C0C0C"/>
                <w:kern w:val="2"/>
                <w:szCs w:val="21"/>
                <w:highlight w:val="none"/>
                <w:lang w:bidi="ar"/>
              </w:rPr>
              <w:t>《汽油车污染物排放限值及测量方法（双怠速法及简易工况法）》（GB18285）</w:t>
            </w:r>
            <w:r>
              <w:rPr>
                <w:rFonts w:hint="eastAsia" w:ascii="仿宋_GB2312" w:hAnsi="仿宋_GB2312" w:eastAsia="仿宋_GB2312" w:cs="仿宋_GB2312"/>
                <w:color w:val="0C0C0C"/>
                <w:szCs w:val="21"/>
                <w:highlight w:val="none"/>
              </w:rPr>
              <w:t>和</w:t>
            </w:r>
            <w:r>
              <w:rPr>
                <w:rFonts w:hint="eastAsia" w:ascii="仿宋_GB2312" w:hAnsi="仿宋_GB2312" w:eastAsia="仿宋_GB2312" w:cs="仿宋_GB2312"/>
                <w:color w:val="0C0C0C"/>
                <w:kern w:val="2"/>
                <w:szCs w:val="21"/>
                <w:highlight w:val="none"/>
                <w:lang w:bidi="ar"/>
              </w:rPr>
              <w:t>《柴油车污染物排放限值及测量方法（自由加速法及加载减速法）》（GB3847）</w:t>
            </w:r>
            <w:r>
              <w:rPr>
                <w:rFonts w:hint="eastAsia" w:ascii="仿宋_GB2312" w:hAnsi="仿宋_GB2312" w:eastAsia="仿宋_GB2312" w:cs="仿宋_GB2312"/>
                <w:color w:val="0C0C0C"/>
                <w:szCs w:val="21"/>
                <w:highlight w:val="none"/>
              </w:rPr>
              <w:t>要求，非道路移动机械污染排放应满足</w:t>
            </w:r>
            <w:r>
              <w:rPr>
                <w:rFonts w:hint="eastAsia" w:ascii="仿宋_GB2312" w:hAnsi="仿宋_GB2312" w:eastAsia="仿宋_GB2312" w:cs="仿宋_GB2312"/>
                <w:color w:val="0C0C0C"/>
                <w:kern w:val="2"/>
                <w:szCs w:val="21"/>
                <w:highlight w:val="none"/>
                <w:lang w:bidi="ar"/>
              </w:rPr>
              <w:t>《非道路柴油移动机械排气烟度限值及测量方法》（GB36886）</w:t>
            </w:r>
            <w:r>
              <w:rPr>
                <w:rFonts w:hint="eastAsia" w:ascii="仿宋_GB2312" w:hAnsi="仿宋_GB2312" w:eastAsia="仿宋_GB2312" w:cs="仿宋_GB2312"/>
                <w:color w:val="0C0C0C"/>
                <w:szCs w:val="21"/>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645" w:type="dxa"/>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8</w:t>
            </w:r>
          </w:p>
        </w:tc>
        <w:tc>
          <w:tcPr>
            <w:tcW w:w="1335" w:type="dxa"/>
            <w:noWrap w:val="0"/>
            <w:vAlign w:val="center"/>
          </w:tcPr>
          <w:p>
            <w:pPr>
              <w:widowControl/>
              <w:jc w:val="center"/>
              <w:textAlignment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C0C0C"/>
                <w:szCs w:val="21"/>
                <w:highlight w:val="none"/>
                <w:lang w:eastAsia="zh-CN" w:bidi="ar"/>
              </w:rPr>
              <w:t>突发</w:t>
            </w:r>
            <w:r>
              <w:rPr>
                <w:rFonts w:hint="eastAsia" w:ascii="仿宋_GB2312" w:hAnsi="仿宋_GB2312" w:eastAsia="仿宋_GB2312" w:cs="仿宋_GB2312"/>
                <w:color w:val="0C0C0C"/>
                <w:szCs w:val="21"/>
                <w:highlight w:val="none"/>
                <w:lang w:bidi="ar"/>
              </w:rPr>
              <w:t>环境事件和</w:t>
            </w:r>
            <w:r>
              <w:rPr>
                <w:rFonts w:hint="eastAsia" w:ascii="仿宋_GB2312" w:hAnsi="仿宋_GB2312" w:eastAsia="仿宋_GB2312" w:cs="仿宋_GB2312"/>
                <w:color w:val="0C0C0C"/>
                <w:szCs w:val="21"/>
                <w:highlight w:val="none"/>
                <w:lang w:eastAsia="zh-CN" w:bidi="ar"/>
              </w:rPr>
              <w:t>生态环境行政处罚</w:t>
            </w:r>
          </w:p>
        </w:tc>
        <w:tc>
          <w:tcPr>
            <w:tcW w:w="2685" w:type="dxa"/>
            <w:noWrap w:val="0"/>
            <w:vAlign w:val="center"/>
          </w:tcPr>
          <w:p>
            <w:pPr>
              <w:widowControl/>
              <w:jc w:val="center"/>
              <w:textAlignment w:val="center"/>
              <w:rPr>
                <w:rFonts w:hint="eastAsia" w:ascii="仿宋_GB2312" w:hAnsi="仿宋_GB2312" w:eastAsia="仿宋_GB2312" w:cs="仿宋_GB2312"/>
                <w:color w:val="000000"/>
                <w:kern w:val="0"/>
                <w:sz w:val="22"/>
                <w:highlight w:val="none"/>
                <w:lang w:eastAsia="zh-CN"/>
              </w:rPr>
            </w:pPr>
            <w:r>
              <w:rPr>
                <w:rFonts w:hint="eastAsia" w:ascii="仿宋_GB2312" w:hAnsi="仿宋_GB2312" w:eastAsia="仿宋_GB2312" w:cs="仿宋_GB2312"/>
                <w:color w:val="0C0C0C"/>
                <w:szCs w:val="21"/>
                <w:highlight w:val="none"/>
                <w:lang w:bidi="ar"/>
              </w:rPr>
              <w:t>突发环境事件和</w:t>
            </w:r>
            <w:r>
              <w:rPr>
                <w:rFonts w:hint="eastAsia" w:ascii="仿宋_GB2312" w:hAnsi="仿宋_GB2312" w:eastAsia="仿宋_GB2312" w:cs="仿宋_GB2312"/>
                <w:color w:val="0C0C0C"/>
                <w:szCs w:val="21"/>
                <w:highlight w:val="none"/>
                <w:lang w:eastAsia="zh-CN" w:bidi="ar"/>
              </w:rPr>
              <w:t>生态环境行政处罚</w:t>
            </w:r>
          </w:p>
        </w:tc>
        <w:tc>
          <w:tcPr>
            <w:tcW w:w="6742" w:type="dxa"/>
            <w:gridSpan w:val="2"/>
            <w:noWrap w:val="0"/>
            <w:vAlign w:val="center"/>
          </w:tcPr>
          <w:p>
            <w:pPr>
              <w:widowControl/>
              <w:jc w:val="left"/>
              <w:textAlignment w:val="center"/>
              <w:rPr>
                <w:rFonts w:hint="eastAsia" w:ascii="仿宋_GB2312" w:hAnsi="仿宋_GB2312" w:eastAsia="仿宋_GB2312" w:cs="仿宋_GB2312"/>
                <w:color w:val="000000"/>
                <w:kern w:val="0"/>
                <w:sz w:val="22"/>
                <w:highlight w:val="none"/>
              </w:rPr>
            </w:pPr>
            <w:r>
              <w:rPr>
                <w:rFonts w:hint="eastAsia" w:ascii="仿宋_GB2312" w:hAnsi="仿宋_GB2312" w:eastAsia="仿宋_GB2312" w:cs="仿宋_GB2312"/>
                <w:color w:val="0C0C0C"/>
                <w:szCs w:val="21"/>
                <w:highlight w:val="none"/>
                <w:lang w:bidi="ar"/>
              </w:rPr>
              <w:t>近三年之内未发生突发环境事件、</w:t>
            </w:r>
            <w:r>
              <w:rPr>
                <w:rFonts w:hint="eastAsia" w:ascii="仿宋_GB2312" w:hAnsi="宋体" w:eastAsia="仿宋_GB2312"/>
                <w:color w:val="0C0C0C"/>
                <w:szCs w:val="21"/>
                <w:highlight w:val="none"/>
              </w:rPr>
              <w:t>未受</w:t>
            </w:r>
            <w:r>
              <w:rPr>
                <w:rFonts w:hint="eastAsia" w:ascii="仿宋_GB2312" w:hAnsi="宋体" w:eastAsia="仿宋_GB2312"/>
                <w:color w:val="0C0C0C"/>
                <w:szCs w:val="21"/>
                <w:highlight w:val="none"/>
                <w:lang w:bidi="ar"/>
              </w:rPr>
              <w:t>到</w:t>
            </w:r>
            <w:r>
              <w:rPr>
                <w:rFonts w:hint="eastAsia" w:ascii="仿宋_GB2312" w:hAnsi="仿宋_GB2312" w:eastAsia="仿宋_GB2312" w:cs="仿宋_GB2312"/>
                <w:color w:val="0C0C0C"/>
                <w:szCs w:val="21"/>
                <w:highlight w:val="none"/>
                <w:lang w:eastAsia="zh-CN" w:bidi="ar"/>
              </w:rPr>
              <w:t>市区两级生态环境部门行政处罚</w:t>
            </w:r>
          </w:p>
        </w:tc>
        <w:tc>
          <w:tcPr>
            <w:tcW w:w="3006" w:type="dxa"/>
            <w:noWrap w:val="0"/>
            <w:vAlign w:val="center"/>
          </w:tcPr>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注：办公楼宇为租用的不评价该指标</w:t>
      </w:r>
    </w:p>
    <w:p>
      <w:pPr>
        <w:pStyle w:val="2"/>
        <w:ind w:left="0" w:leftChars="0"/>
        <w:rPr>
          <w:rFonts w:hint="eastAsia" w:ascii="黑体" w:hAnsi="黑体" w:eastAsia="黑体" w:cs="黑体"/>
          <w:sz w:val="32"/>
          <w:szCs w:val="32"/>
          <w:highlight w:val="none"/>
        </w:rPr>
      </w:pPr>
      <w:r>
        <w:rPr>
          <w:rFonts w:hint="eastAsia"/>
          <w:highlight w:val="none"/>
        </w:rPr>
        <w:br w:type="page"/>
      </w:r>
      <w:r>
        <w:rPr>
          <w:rFonts w:hint="eastAsia" w:ascii="黑体" w:hAnsi="黑体" w:eastAsia="黑体" w:cs="黑体"/>
          <w:sz w:val="32"/>
          <w:szCs w:val="32"/>
          <w:highlight w:val="none"/>
        </w:rPr>
        <w:t>2.3房屋建筑业（47）企业绿色绩效评价细则</w:t>
      </w:r>
    </w:p>
    <w:tbl>
      <w:tblPr>
        <w:tblStyle w:val="8"/>
        <w:tblW w:w="14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059"/>
        <w:gridCol w:w="1346"/>
        <w:gridCol w:w="4783"/>
        <w:gridCol w:w="4863"/>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blHeader/>
          <w:jc w:val="center"/>
        </w:trPr>
        <w:tc>
          <w:tcPr>
            <w:tcW w:w="635" w:type="dxa"/>
            <w:noWrap w:val="0"/>
            <w:vAlign w:val="center"/>
          </w:tcPr>
          <w:p>
            <w:pPr>
              <w:spacing w:beforeLines="0" w:afterLines="0" w:line="240" w:lineRule="exact"/>
              <w:ind w:left="-105" w:leftChars="-50" w:right="-105" w:rightChars="-50"/>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059" w:type="dxa"/>
            <w:noWrap w:val="0"/>
            <w:vAlign w:val="center"/>
          </w:tcPr>
          <w:p>
            <w:pPr>
              <w:spacing w:beforeLines="0" w:afterLines="0" w:line="240" w:lineRule="exact"/>
              <w:ind w:left="-105" w:leftChars="-50" w:right="-105" w:rightChars="-50"/>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一级指标</w:t>
            </w:r>
          </w:p>
        </w:tc>
        <w:tc>
          <w:tcPr>
            <w:tcW w:w="1346" w:type="dxa"/>
            <w:noWrap w:val="0"/>
            <w:vAlign w:val="center"/>
          </w:tcPr>
          <w:p>
            <w:pPr>
              <w:spacing w:beforeLines="0" w:afterLines="0" w:line="240" w:lineRule="exact"/>
              <w:ind w:left="-105" w:leftChars="-50" w:right="-105" w:rightChars="-50"/>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二级指标</w:t>
            </w:r>
          </w:p>
        </w:tc>
        <w:tc>
          <w:tcPr>
            <w:tcW w:w="4783"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4863" w:type="dxa"/>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1940"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bCs/>
                <w:szCs w:val="21"/>
                <w:highlight w:val="none"/>
              </w:rPr>
              <w:t>合法企业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noWrap w:val="0"/>
            <w:vAlign w:val="center"/>
          </w:tcPr>
          <w:p>
            <w:pPr>
              <w:spacing w:line="312" w:lineRule="auto"/>
              <w:ind w:left="-105" w:leftChars="-50" w:right="-105" w:rightChars="-50"/>
              <w:jc w:val="center"/>
              <w:rPr>
                <w:rFonts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059" w:type="dxa"/>
            <w:vMerge w:val="restart"/>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办公楼宇</w:t>
            </w: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w:t>
            </w:r>
          </w:p>
        </w:tc>
        <w:tc>
          <w:tcPr>
            <w:tcW w:w="4783"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采用太阳能光热系统、太阳能光伏系统、地源热泵系统、空气源热泵热水系统其中之一</w:t>
            </w:r>
          </w:p>
        </w:tc>
        <w:tc>
          <w:tcPr>
            <w:tcW w:w="4863"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采用太阳能热水供应系统、LED照明灯具其中之一</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noWrap w:val="0"/>
            <w:vAlign w:val="top"/>
          </w:tcPr>
          <w:p>
            <w:pPr>
              <w:spacing w:line="312" w:lineRule="auto"/>
              <w:ind w:left="-105" w:leftChars="-50" w:right="-105" w:rightChars="-50"/>
              <w:jc w:val="center"/>
              <w:rPr>
                <w:rFonts w:hint="eastAsia" w:ascii="仿宋_GB2312" w:hAnsi="仿宋_GB2312" w:eastAsia="仿宋_GB2312" w:cs="仿宋_GB2312"/>
                <w:b/>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污染物排放</w:t>
            </w:r>
          </w:p>
        </w:tc>
        <w:tc>
          <w:tcPr>
            <w:tcW w:w="11586"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若使用锅炉，废气排放执行DB11/139；有职工食堂的，后厨安装油烟净化设施，定期清洗并保证设施正常运行，废气排放执行DB11/1488；</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生活污水排入市政管网或自建污水处理站达标排放,排放执行DB11/307；</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一般固体废物按照GB18599相关规定执行,废灯管、废镉镍电池等危险废物按照GB18597相关规定执行；</w:t>
            </w:r>
          </w:p>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噪声排放执行GB22337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noWrap w:val="0"/>
            <w:vAlign w:val="top"/>
          </w:tcPr>
          <w:p>
            <w:pPr>
              <w:spacing w:line="312" w:lineRule="auto"/>
              <w:ind w:left="-105" w:leftChars="-50" w:right="-105" w:rightChars="-50"/>
              <w:jc w:val="center"/>
              <w:rPr>
                <w:rFonts w:hint="eastAsia" w:ascii="仿宋_GB2312" w:hAnsi="仿宋_GB2312" w:eastAsia="仿宋_GB2312" w:cs="仿宋_GB2312"/>
                <w:b/>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vMerge w:val="restart"/>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szCs w:val="21"/>
                <w:highlight w:val="none"/>
                <w:vertAlign w:val="superscript"/>
              </w:rPr>
              <w:t>1</w:t>
            </w:r>
          </w:p>
        </w:tc>
        <w:tc>
          <w:tcPr>
            <w:tcW w:w="478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486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noWrap w:val="0"/>
            <w:vAlign w:val="top"/>
          </w:tcPr>
          <w:p>
            <w:pPr>
              <w:spacing w:line="312" w:lineRule="auto"/>
              <w:ind w:left="-105" w:leftChars="-50" w:right="-105" w:rightChars="-50"/>
              <w:jc w:val="center"/>
              <w:rPr>
                <w:rFonts w:hint="eastAsia"/>
                <w:highlight w:val="none"/>
              </w:rPr>
            </w:pPr>
          </w:p>
          <w:p>
            <w:pPr>
              <w:pStyle w:val="13"/>
              <w:ind w:left="-105" w:leftChars="-50" w:right="-105" w:rightChars="-50"/>
              <w:textAlignment w:val="auto"/>
              <w:rPr>
                <w:rFonts w:hint="eastAsia"/>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vMerge w:val="continue"/>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p>
        </w:tc>
        <w:tc>
          <w:tcPr>
            <w:tcW w:w="4783"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4863"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1940"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noWrap w:val="0"/>
            <w:vAlign w:val="top"/>
          </w:tcPr>
          <w:p>
            <w:pPr>
              <w:spacing w:line="312" w:lineRule="auto"/>
              <w:ind w:left="-105" w:leftChars="-50" w:right="-105" w:rightChars="-50"/>
              <w:jc w:val="center"/>
              <w:rPr>
                <w:rFonts w:hint="eastAsia" w:ascii="仿宋_GB2312" w:hAnsi="仿宋_GB2312" w:eastAsia="仿宋_GB2312" w:cs="仿宋_GB2312"/>
                <w:b/>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vMerge w:val="continue"/>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p>
        </w:tc>
        <w:tc>
          <w:tcPr>
            <w:tcW w:w="11586"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5" w:type="dxa"/>
            <w:vMerge w:val="continue"/>
            <w:noWrap w:val="0"/>
            <w:vAlign w:val="top"/>
          </w:tcPr>
          <w:p>
            <w:pPr>
              <w:spacing w:line="312" w:lineRule="auto"/>
              <w:ind w:left="-105" w:leftChars="-50" w:right="-105" w:rightChars="-50"/>
              <w:jc w:val="center"/>
              <w:rPr>
                <w:rFonts w:hint="eastAsia" w:ascii="仿宋_GB2312" w:hAnsi="仿宋_GB2312" w:eastAsia="仿宋_GB2312" w:cs="仿宋_GB2312"/>
                <w:b/>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478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486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noWrap w:val="0"/>
            <w:vAlign w:val="top"/>
          </w:tcPr>
          <w:p>
            <w:pPr>
              <w:spacing w:line="312" w:lineRule="auto"/>
              <w:ind w:left="-105" w:leftChars="-50" w:right="-105" w:rightChars="-50"/>
              <w:jc w:val="center"/>
              <w:rPr>
                <w:rFonts w:hint="eastAsia" w:ascii="仿宋_GB2312" w:hAnsi="仿宋_GB2312" w:eastAsia="仿宋_GB2312" w:cs="仿宋_GB2312"/>
                <w:b/>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478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486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5" w:type="dxa"/>
            <w:vMerge w:val="restart"/>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w:t>
            </w:r>
          </w:p>
        </w:tc>
        <w:tc>
          <w:tcPr>
            <w:tcW w:w="1059" w:type="dxa"/>
            <w:vMerge w:val="restart"/>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工程实施</w:t>
            </w: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施工工法</w:t>
            </w:r>
          </w:p>
        </w:tc>
        <w:tc>
          <w:tcPr>
            <w:tcW w:w="478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按照《工程建设工法管理办法》，获得国家级工法证书</w:t>
            </w:r>
          </w:p>
        </w:tc>
        <w:tc>
          <w:tcPr>
            <w:tcW w:w="486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获得省（部）级工法批准文件或工法证书</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5" w:type="dxa"/>
            <w:vMerge w:val="continue"/>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绿色建材</w:t>
            </w:r>
          </w:p>
        </w:tc>
        <w:tc>
          <w:tcPr>
            <w:tcW w:w="4783"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在施工地使用经认证的绿色建材比例不低于50%</w:t>
            </w:r>
          </w:p>
        </w:tc>
        <w:tc>
          <w:tcPr>
            <w:tcW w:w="486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在施工地使用经认证的绿色建材比例不低于30%</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635" w:type="dxa"/>
            <w:vMerge w:val="continue"/>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车辆和非道路移动机械</w:t>
            </w:r>
          </w:p>
        </w:tc>
        <w:tc>
          <w:tcPr>
            <w:tcW w:w="4783"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1.物料、建材、渣土运输全部使用国五及以上排放标准重型载货车辆（含燃气）或新能源车辆，其中新能源车比例不低于20%；</w:t>
            </w:r>
          </w:p>
          <w:p>
            <w:pPr>
              <w:widowControl/>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2.厂内运输</w:t>
            </w:r>
            <w:r>
              <w:rPr>
                <w:rFonts w:hint="eastAsia" w:ascii="仿宋_GB2312" w:hAnsi="仿宋_GB2312" w:eastAsia="仿宋_GB2312" w:cs="仿宋_GB2312"/>
                <w:color w:val="0C0C0C"/>
                <w:szCs w:val="21"/>
                <w:highlight w:val="none"/>
              </w:rPr>
              <w:t>和通勤</w:t>
            </w:r>
            <w:r>
              <w:rPr>
                <w:rFonts w:hint="eastAsia" w:ascii="仿宋_GB2312" w:hAnsi="仿宋_GB2312" w:eastAsia="仿宋_GB2312" w:cs="仿宋_GB2312"/>
                <w:color w:val="000000"/>
                <w:kern w:val="0"/>
                <w:szCs w:val="21"/>
                <w:highlight w:val="none"/>
              </w:rPr>
              <w:t>全部使用国五及以上排放标准车辆（含燃气）或新能源车辆，其中新能源车比例不低于30%；</w:t>
            </w:r>
          </w:p>
          <w:p>
            <w:pPr>
              <w:widowControl/>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3.非道路移动机械使用国三及以上排放标准或新能源机械比例为80%，其中新能源叉车比例100%</w:t>
            </w:r>
          </w:p>
        </w:tc>
        <w:tc>
          <w:tcPr>
            <w:tcW w:w="4863" w:type="dxa"/>
            <w:noWrap w:val="0"/>
            <w:vAlign w:val="center"/>
          </w:tcPr>
          <w:p>
            <w:pPr>
              <w:widowControl/>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1.物料、建材、渣土运输</w:t>
            </w:r>
            <w:r>
              <w:rPr>
                <w:rFonts w:hint="eastAsia" w:ascii="仿宋_GB2312" w:hAnsi="仿宋_GB2312" w:eastAsia="仿宋_GB2312" w:cs="仿宋_GB2312"/>
                <w:color w:val="000000"/>
                <w:kern w:val="0"/>
                <w:szCs w:val="21"/>
                <w:highlight w:val="none"/>
                <w:lang w:eastAsia="zh-CN"/>
              </w:rPr>
              <w:t>全部</w:t>
            </w:r>
            <w:r>
              <w:rPr>
                <w:rFonts w:hint="eastAsia" w:ascii="仿宋_GB2312" w:hAnsi="仿宋_GB2312" w:eastAsia="仿宋_GB2312" w:cs="仿宋_GB2312"/>
                <w:color w:val="000000"/>
                <w:kern w:val="0"/>
                <w:szCs w:val="21"/>
                <w:highlight w:val="none"/>
              </w:rPr>
              <w:t>使用国五及以上排放标准重型载货车辆（含燃气）或新能源车辆，其中新能源车比例不低于15%；</w:t>
            </w:r>
          </w:p>
          <w:p>
            <w:pPr>
              <w:widowControl/>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2.厂内运输</w:t>
            </w:r>
            <w:r>
              <w:rPr>
                <w:rFonts w:hint="eastAsia" w:ascii="仿宋_GB2312" w:hAnsi="仿宋_GB2312" w:eastAsia="仿宋_GB2312" w:cs="仿宋_GB2312"/>
                <w:color w:val="0C0C0C"/>
                <w:szCs w:val="21"/>
                <w:highlight w:val="none"/>
              </w:rPr>
              <w:t>和通勤</w:t>
            </w:r>
            <w:r>
              <w:rPr>
                <w:rFonts w:hint="eastAsia" w:ascii="仿宋_GB2312" w:hAnsi="仿宋_GB2312" w:eastAsia="仿宋_GB2312" w:cs="仿宋_GB2312"/>
                <w:color w:val="000000"/>
                <w:kern w:val="0"/>
                <w:szCs w:val="21"/>
                <w:highlight w:val="none"/>
              </w:rPr>
              <w:t>全部使用国五及以上排放标准车辆（含燃气）或新能源车辆，其中新能源车比例不低于15%；</w:t>
            </w:r>
          </w:p>
          <w:p>
            <w:pPr>
              <w:widowControl/>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3.非道路移动机械使用国三及以上排放标准或新能源机械比例为70%，其中新能源叉车比例100%</w:t>
            </w:r>
          </w:p>
        </w:tc>
        <w:tc>
          <w:tcPr>
            <w:tcW w:w="1940" w:type="dxa"/>
            <w:noWrap w:val="0"/>
            <w:vAlign w:val="center"/>
          </w:tcPr>
          <w:p>
            <w:pPr>
              <w:widowControl/>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尾气达标排放。汽油车、柴油车污染排放应分别满足GB18285和GB3847要求，非道路移动机械污染排放应满足GB36886的要求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635" w:type="dxa"/>
            <w:vMerge w:val="continue"/>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污染控制</w:t>
            </w:r>
          </w:p>
        </w:tc>
        <w:tc>
          <w:tcPr>
            <w:tcW w:w="4783"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近一年实施的工程获</w:t>
            </w:r>
            <w:r>
              <w:rPr>
                <w:rFonts w:hint="eastAsia" w:ascii="仿宋_GB2312" w:hAnsi="仿宋_GB2312" w:eastAsia="仿宋_GB2312" w:cs="仿宋_GB2312"/>
                <w:color w:val="0C0C0C"/>
                <w:szCs w:val="21"/>
                <w:highlight w:val="none"/>
              </w:rPr>
              <w:t>扬尘治理先进工地通报表扬</w:t>
            </w:r>
          </w:p>
        </w:tc>
        <w:tc>
          <w:tcPr>
            <w:tcW w:w="486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近一年实施的工程获“</w:t>
            </w:r>
            <w:r>
              <w:rPr>
                <w:rFonts w:hint="eastAsia" w:ascii="仿宋_GB2312" w:hAnsi="仿宋_GB2312" w:eastAsia="仿宋_GB2312" w:cs="仿宋_GB2312"/>
                <w:color w:val="0C0C0C"/>
                <w:szCs w:val="21"/>
                <w:highlight w:val="none"/>
              </w:rPr>
              <w:t>绿牌</w:t>
            </w:r>
            <w:r>
              <w:rPr>
                <w:rFonts w:hint="eastAsia" w:ascii="仿宋_GB2312" w:hAnsi="仿宋_GB2312" w:eastAsia="仿宋_GB2312" w:cs="仿宋_GB2312"/>
                <w:color w:val="000000"/>
                <w:kern w:val="0"/>
                <w:szCs w:val="21"/>
                <w:highlight w:val="none"/>
              </w:rPr>
              <w:t>”</w:t>
            </w:r>
            <w:r>
              <w:rPr>
                <w:rFonts w:hint="eastAsia" w:ascii="仿宋_GB2312" w:hAnsi="仿宋_GB2312" w:eastAsia="仿宋_GB2312" w:cs="仿宋_GB2312"/>
                <w:color w:val="0C0C0C"/>
                <w:szCs w:val="21"/>
                <w:highlight w:val="none"/>
              </w:rPr>
              <w:t>工地</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5" w:type="dxa"/>
            <w:vMerge w:val="continue"/>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绿色安全工地</w:t>
            </w:r>
          </w:p>
        </w:tc>
        <w:tc>
          <w:tcPr>
            <w:tcW w:w="4783"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近三年实施的工程纳入北京市绿色安全样板工地名单</w:t>
            </w:r>
          </w:p>
        </w:tc>
        <w:tc>
          <w:tcPr>
            <w:tcW w:w="4863" w:type="dxa"/>
            <w:noWrap w:val="0"/>
            <w:vAlign w:val="center"/>
          </w:tcPr>
          <w:p>
            <w:pPr>
              <w:widowControl/>
              <w:ind w:left="-105" w:leftChars="-50" w:right="-105" w:rightChars="-50"/>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近三年实施的工程纳入北京市绿色安全工地名单</w:t>
            </w:r>
          </w:p>
        </w:tc>
        <w:tc>
          <w:tcPr>
            <w:tcW w:w="194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35" w:type="dxa"/>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w:t>
            </w:r>
          </w:p>
        </w:tc>
        <w:tc>
          <w:tcPr>
            <w:tcW w:w="1059"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建筑成果</w:t>
            </w:r>
          </w:p>
        </w:tc>
        <w:tc>
          <w:tcPr>
            <w:tcW w:w="1346" w:type="dxa"/>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绿色建筑</w:t>
            </w:r>
          </w:p>
        </w:tc>
        <w:tc>
          <w:tcPr>
            <w:tcW w:w="4783" w:type="dxa"/>
            <w:noWrap w:val="0"/>
            <w:vAlign w:val="center"/>
          </w:tcPr>
          <w:p>
            <w:pP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近三年完成的房屋建筑成果取得国家或</w:t>
            </w:r>
            <w:r>
              <w:rPr>
                <w:rFonts w:hint="eastAsia" w:ascii="仿宋_GB2312" w:hAnsi="仿宋_GB2312" w:eastAsia="仿宋_GB2312" w:cs="仿宋_GB2312"/>
                <w:color w:val="000000"/>
                <w:kern w:val="0"/>
                <w:szCs w:val="21"/>
                <w:highlight w:val="none"/>
                <w:lang w:eastAsia="zh-CN"/>
              </w:rPr>
              <w:t>本</w:t>
            </w:r>
            <w:r>
              <w:rPr>
                <w:rFonts w:hint="eastAsia" w:ascii="仿宋_GB2312" w:hAnsi="仿宋_GB2312" w:eastAsia="仿宋_GB2312" w:cs="仿宋_GB2312"/>
                <w:color w:val="000000"/>
                <w:kern w:val="0"/>
                <w:szCs w:val="21"/>
                <w:highlight w:val="none"/>
              </w:rPr>
              <w:t>市颁发的绿色建筑三星级标识或预评价达到DB11/T825三星级</w:t>
            </w:r>
          </w:p>
        </w:tc>
        <w:tc>
          <w:tcPr>
            <w:tcW w:w="4863" w:type="dxa"/>
            <w:noWrap w:val="0"/>
            <w:vAlign w:val="center"/>
          </w:tcPr>
          <w:p>
            <w:pP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rPr>
              <w:t>近三年的</w:t>
            </w:r>
            <w:r>
              <w:rPr>
                <w:rFonts w:hint="eastAsia" w:ascii="仿宋_GB2312" w:hAnsi="仿宋_GB2312" w:eastAsia="仿宋_GB2312" w:cs="仿宋_GB2312"/>
                <w:color w:val="000000"/>
                <w:kern w:val="0"/>
                <w:szCs w:val="21"/>
                <w:highlight w:val="none"/>
                <w:lang w:eastAsia="zh-CN"/>
              </w:rPr>
              <w:t>完成的房屋</w:t>
            </w:r>
            <w:r>
              <w:rPr>
                <w:rFonts w:hint="eastAsia" w:ascii="仿宋_GB2312" w:hAnsi="仿宋_GB2312" w:eastAsia="仿宋_GB2312" w:cs="仿宋_GB2312"/>
                <w:color w:val="000000"/>
                <w:kern w:val="0"/>
                <w:szCs w:val="21"/>
                <w:highlight w:val="none"/>
              </w:rPr>
              <w:t>建筑成果取得国家或</w:t>
            </w:r>
            <w:r>
              <w:rPr>
                <w:rFonts w:hint="eastAsia" w:ascii="仿宋_GB2312" w:hAnsi="仿宋_GB2312" w:eastAsia="仿宋_GB2312" w:cs="仿宋_GB2312"/>
                <w:color w:val="000000"/>
                <w:kern w:val="0"/>
                <w:szCs w:val="21"/>
                <w:highlight w:val="none"/>
                <w:lang w:eastAsia="zh-CN"/>
              </w:rPr>
              <w:t>本</w:t>
            </w:r>
            <w:r>
              <w:rPr>
                <w:rFonts w:hint="eastAsia" w:ascii="仿宋_GB2312" w:hAnsi="仿宋_GB2312" w:eastAsia="仿宋_GB2312" w:cs="仿宋_GB2312"/>
                <w:color w:val="000000"/>
                <w:kern w:val="0"/>
                <w:szCs w:val="21"/>
                <w:highlight w:val="none"/>
              </w:rPr>
              <w:t>市颁发的绿色建筑二星级标识或预评价达到DB11/T825二星级</w:t>
            </w:r>
            <w:r>
              <w:rPr>
                <w:rFonts w:hint="eastAsia" w:ascii="仿宋_GB2312" w:hAnsi="仿宋_GB2312" w:eastAsia="仿宋_GB2312" w:cs="仿宋_GB2312"/>
                <w:color w:val="000000"/>
                <w:kern w:val="0"/>
                <w:szCs w:val="21"/>
                <w:highlight w:val="none"/>
                <w:lang w:eastAsia="zh-CN"/>
              </w:rPr>
              <w:t>及以上</w:t>
            </w:r>
          </w:p>
        </w:tc>
        <w:tc>
          <w:tcPr>
            <w:tcW w:w="194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5" w:type="dxa"/>
            <w:vMerge w:val="restart"/>
            <w:noWrap w:val="0"/>
            <w:vAlign w:val="center"/>
          </w:tcPr>
          <w:p>
            <w:pPr>
              <w:spacing w:line="312" w:lineRule="auto"/>
              <w:ind w:left="-105" w:leftChars="-50" w:right="-105" w:rightChars="-50"/>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4</w:t>
            </w:r>
          </w:p>
        </w:tc>
        <w:tc>
          <w:tcPr>
            <w:tcW w:w="1059" w:type="dxa"/>
            <w:vMerge w:val="restart"/>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环境管理</w:t>
            </w: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清洁生产审核</w:t>
            </w:r>
          </w:p>
        </w:tc>
        <w:tc>
          <w:tcPr>
            <w:tcW w:w="9646"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00000"/>
                <w:kern w:val="0"/>
                <w:szCs w:val="21"/>
                <w:highlight w:val="none"/>
              </w:rPr>
            </w:pPr>
            <w:r>
              <w:rPr>
                <w:rFonts w:ascii="仿宋_GB2312" w:hAnsi="仿宋_GB2312" w:eastAsia="仿宋_GB2312" w:cs="仿宋_GB2312"/>
                <w:color w:val="0C0C0C"/>
                <w:szCs w:val="21"/>
                <w:highlight w:val="none"/>
              </w:rPr>
              <w:t>按照《清洁生产审核办法》开展清洁生产审核，有完善的清洁生产管理机构，并持续开展清洁生产</w:t>
            </w:r>
          </w:p>
        </w:tc>
        <w:tc>
          <w:tcPr>
            <w:tcW w:w="1940" w:type="dxa"/>
            <w:noWrap w:val="0"/>
            <w:vAlign w:val="center"/>
          </w:tcPr>
          <w:p>
            <w:pPr>
              <w:spacing w:line="312" w:lineRule="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35" w:type="dxa"/>
            <w:vMerge w:val="continue"/>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建立环境</w:t>
            </w:r>
          </w:p>
          <w:p>
            <w:pPr>
              <w:widowControl/>
              <w:ind w:left="-105" w:leftChars="-50" w:right="-105" w:rightChars="-50"/>
              <w:jc w:val="center"/>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管理体系</w:t>
            </w:r>
          </w:p>
        </w:tc>
        <w:tc>
          <w:tcPr>
            <w:tcW w:w="4783"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按照GB/T24001建立环境管理体系，并取得认证</w:t>
            </w:r>
          </w:p>
        </w:tc>
        <w:tc>
          <w:tcPr>
            <w:tcW w:w="4863"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建立环境管理制度，环境管理手册、程序文件及作业文件齐全</w:t>
            </w:r>
          </w:p>
        </w:tc>
        <w:tc>
          <w:tcPr>
            <w:tcW w:w="1940" w:type="dxa"/>
            <w:noWrap w:val="0"/>
            <w:vAlign w:val="center"/>
          </w:tcPr>
          <w:p>
            <w:pPr>
              <w:spacing w:line="312" w:lineRule="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35" w:type="dxa"/>
            <w:vMerge w:val="continue"/>
            <w:noWrap w:val="0"/>
            <w:vAlign w:val="center"/>
          </w:tcPr>
          <w:p>
            <w:pPr>
              <w:spacing w:line="312" w:lineRule="auto"/>
              <w:ind w:left="-105" w:leftChars="-50" w:right="-105" w:rightChars="-50"/>
              <w:jc w:val="center"/>
              <w:rPr>
                <w:rFonts w:hint="eastAsia" w:ascii="仿宋_GB2312" w:hAnsi="仿宋_GB2312" w:eastAsia="仿宋_GB2312" w:cs="仿宋_GB2312"/>
                <w:color w:val="000000"/>
                <w:kern w:val="0"/>
                <w:szCs w:val="21"/>
                <w:highlight w:val="none"/>
              </w:rPr>
            </w:pPr>
          </w:p>
        </w:tc>
        <w:tc>
          <w:tcPr>
            <w:tcW w:w="1059"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346" w:type="dxa"/>
            <w:noWrap w:val="0"/>
            <w:vAlign w:val="center"/>
          </w:tcPr>
          <w:p>
            <w:pPr>
              <w:widowControl/>
              <w:ind w:left="-105" w:leftChars="-50" w:right="-105" w:rightChars="-50"/>
              <w:jc w:val="center"/>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lang w:bidi="ar"/>
              </w:rPr>
              <w:t>突发环境事件和</w:t>
            </w:r>
            <w:r>
              <w:rPr>
                <w:rFonts w:hint="eastAsia" w:ascii="仿宋_GB2312" w:hAnsi="仿宋_GB2312" w:eastAsia="仿宋_GB2312" w:cs="仿宋_GB2312"/>
                <w:color w:val="0C0C0C"/>
                <w:szCs w:val="21"/>
                <w:highlight w:val="none"/>
                <w:lang w:eastAsia="zh-CN" w:bidi="ar"/>
              </w:rPr>
              <w:t>生态环境行政处罚</w:t>
            </w:r>
          </w:p>
        </w:tc>
        <w:tc>
          <w:tcPr>
            <w:tcW w:w="9646"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bidi="ar"/>
              </w:rPr>
              <w:t>近三年之内未发生突发环境事件、</w:t>
            </w:r>
            <w:r>
              <w:rPr>
                <w:rFonts w:hint="eastAsia" w:ascii="仿宋_GB2312" w:hAnsi="宋体" w:eastAsia="仿宋_GB2312"/>
                <w:color w:val="0C0C0C"/>
                <w:szCs w:val="21"/>
                <w:highlight w:val="none"/>
              </w:rPr>
              <w:t>未受</w:t>
            </w:r>
            <w:r>
              <w:rPr>
                <w:rFonts w:hint="eastAsia" w:ascii="仿宋_GB2312" w:hAnsi="宋体" w:eastAsia="仿宋_GB2312"/>
                <w:color w:val="0C0C0C"/>
                <w:szCs w:val="21"/>
                <w:highlight w:val="none"/>
                <w:lang w:bidi="ar"/>
              </w:rPr>
              <w:t>到</w:t>
            </w:r>
            <w:r>
              <w:rPr>
                <w:rFonts w:hint="eastAsia" w:ascii="仿宋_GB2312" w:hAnsi="仿宋_GB2312" w:eastAsia="仿宋_GB2312" w:cs="仿宋_GB2312"/>
                <w:color w:val="0C0C0C"/>
                <w:szCs w:val="21"/>
                <w:highlight w:val="none"/>
                <w:lang w:eastAsia="zh-CN" w:bidi="ar"/>
              </w:rPr>
              <w:t>市区两级生态环境部门行政处罚</w:t>
            </w:r>
          </w:p>
        </w:tc>
        <w:tc>
          <w:tcPr>
            <w:tcW w:w="1940" w:type="dxa"/>
            <w:noWrap w:val="0"/>
            <w:vAlign w:val="center"/>
          </w:tcPr>
          <w:p>
            <w:pPr>
              <w:spacing w:line="312" w:lineRule="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注：办公楼宇为租用的不评价该指标</w:t>
      </w:r>
    </w:p>
    <w:p>
      <w:pPr>
        <w:outlineLvl w:val="2"/>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r>
        <w:rPr>
          <w:rFonts w:hint="eastAsia" w:ascii="黑体" w:hAnsi="黑体" w:eastAsia="黑体" w:cs="黑体"/>
          <w:sz w:val="32"/>
          <w:szCs w:val="32"/>
          <w:highlight w:val="none"/>
        </w:rPr>
        <w:t>2.4道路运输业（54）企业绿色绩效评价细则</w:t>
      </w:r>
    </w:p>
    <w:p>
      <w:pPr>
        <w:pStyle w:val="13"/>
        <w:ind w:left="0" w:leftChars="0" w:firstLine="0" w:firstLineChars="0"/>
        <w:rPr>
          <w:rFonts w:hint="eastAsia" w:ascii="仿宋_GB2312" w:hAnsi="仿宋_GB2312" w:eastAsia="仿宋_GB2312" w:cs="仿宋_GB2312"/>
          <w:highlight w:val="none"/>
        </w:rPr>
      </w:pPr>
    </w:p>
    <w:tbl>
      <w:tblPr>
        <w:tblStyle w:val="8"/>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92"/>
        <w:gridCol w:w="648"/>
        <w:gridCol w:w="900"/>
        <w:gridCol w:w="4187"/>
        <w:gridCol w:w="11"/>
        <w:gridCol w:w="6"/>
        <w:gridCol w:w="416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690"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392"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一级指标</w:t>
            </w:r>
          </w:p>
        </w:tc>
        <w:tc>
          <w:tcPr>
            <w:tcW w:w="1548" w:type="dxa"/>
            <w:gridSpan w:val="2"/>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二级指标</w:t>
            </w:r>
          </w:p>
        </w:tc>
        <w:tc>
          <w:tcPr>
            <w:tcW w:w="4198" w:type="dxa"/>
            <w:gridSpan w:val="2"/>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4172" w:type="dxa"/>
            <w:gridSpan w:val="2"/>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2490"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bCs/>
                <w:szCs w:val="21"/>
                <w:highlight w:val="none"/>
              </w:rPr>
              <w:t>普通合法企业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690" w:type="dxa"/>
            <w:vMerge w:val="restart"/>
            <w:noWrap w:val="0"/>
            <w:vAlign w:val="center"/>
          </w:tcPr>
          <w:p>
            <w:pPr>
              <w:spacing w:line="312" w:lineRule="auto"/>
              <w:jc w:val="center"/>
              <w:rPr>
                <w:rFonts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392"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办公场所</w:t>
            </w: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w:t>
            </w:r>
          </w:p>
        </w:tc>
        <w:tc>
          <w:tcPr>
            <w:tcW w:w="4204" w:type="dxa"/>
            <w:gridSpan w:val="3"/>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采用太阳能光热系统、太阳能光伏系统、地源热泵系统、空气源热泵热水系统其中之一</w:t>
            </w:r>
          </w:p>
        </w:tc>
        <w:tc>
          <w:tcPr>
            <w:tcW w:w="4166"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采用太阳能热水供应系统、LED照明灯具其中之一</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污染物排放</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若使用锅炉，废气排放执行DB11/139；有职工食堂的，后厨安装油烟净化设施，定期清洗并保证设施正常运行，废气排放执行DB11/1488；</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生活污水排入市政管网或自建污水处理站达标排放,排放执行DB11/307；</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w:t>
            </w:r>
            <w:r>
              <w:rPr>
                <w:rFonts w:hint="eastAsia" w:ascii="仿宋_GB2312" w:hAnsi="仿宋_GB2312" w:eastAsia="仿宋_GB2312" w:cs="仿宋_GB2312"/>
                <w:color w:val="0C0C0C"/>
                <w:szCs w:val="21"/>
                <w:highlight w:val="none"/>
                <w:lang w:eastAsia="zh-CN"/>
              </w:rPr>
              <w:t>管理</w:t>
            </w:r>
            <w:r>
              <w:rPr>
                <w:rFonts w:hint="eastAsia" w:ascii="仿宋_GB2312" w:hAnsi="仿宋_GB2312" w:eastAsia="仿宋_GB2312" w:cs="仿宋_GB2312"/>
                <w:color w:val="0C0C0C"/>
                <w:szCs w:val="21"/>
                <w:highlight w:val="none"/>
              </w:rPr>
              <w:t>执行GB18599,废灯管、废镉镍电池等危险废物</w:t>
            </w:r>
            <w:r>
              <w:rPr>
                <w:rFonts w:hint="eastAsia" w:ascii="仿宋_GB2312" w:hAnsi="仿宋_GB2312" w:eastAsia="仿宋_GB2312" w:cs="仿宋_GB2312"/>
                <w:color w:val="0C0C0C"/>
                <w:szCs w:val="21"/>
                <w:highlight w:val="none"/>
                <w:lang w:eastAsia="zh-CN"/>
              </w:rPr>
              <w:t>管理执行</w:t>
            </w:r>
            <w:r>
              <w:rPr>
                <w:rFonts w:hint="eastAsia" w:ascii="仿宋_GB2312" w:hAnsi="仿宋_GB2312" w:eastAsia="仿宋_GB2312" w:cs="仿宋_GB2312"/>
                <w:color w:val="0C0C0C"/>
                <w:szCs w:val="21"/>
                <w:highlight w:val="none"/>
              </w:rPr>
              <w:t>GB18597；</w:t>
            </w:r>
          </w:p>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噪声排放执行GB22337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szCs w:val="21"/>
                <w:highlight w:val="none"/>
                <w:vertAlign w:val="superscript"/>
              </w:rPr>
              <w:t>1</w:t>
            </w:r>
          </w:p>
        </w:tc>
        <w:tc>
          <w:tcPr>
            <w:tcW w:w="4187"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4183"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8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4183" w:type="dxa"/>
            <w:gridSpan w:val="3"/>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490"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人均排水量</w:t>
            </w:r>
          </w:p>
        </w:tc>
        <w:tc>
          <w:tcPr>
            <w:tcW w:w="4198" w:type="dxa"/>
            <w:gridSpan w:val="2"/>
            <w:noWrap w:val="0"/>
            <w:vAlign w:val="center"/>
          </w:tcPr>
          <w:p>
            <w:pPr>
              <w:widowControl/>
              <w:jc w:val="left"/>
              <w:textAlignment w:val="center"/>
              <w:rPr>
                <w:rFonts w:ascii="仿宋_GB2312" w:hAnsi="仿宋_GB2312" w:eastAsia="仿宋_GB2312" w:cs="仿宋_GB2312"/>
                <w:color w:val="0C0C0C"/>
                <w:szCs w:val="21"/>
                <w:highlight w:val="none"/>
                <w:lang w:val="en"/>
              </w:rPr>
            </w:pPr>
            <w:r>
              <w:rPr>
                <w:rFonts w:hint="eastAsia" w:ascii="仿宋_GB2312" w:hAnsi="仿宋_GB2312" w:eastAsia="仿宋_GB2312" w:cs="仿宋_GB2312"/>
                <w:color w:val="0C0C0C"/>
                <w:szCs w:val="21"/>
                <w:highlight w:val="none"/>
              </w:rPr>
              <w:t>≤13m</w:t>
            </w:r>
            <w:r>
              <w:rPr>
                <w:rFonts w:hint="eastAsia"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lang w:val="en"/>
              </w:rPr>
              <w:t>/(</w:t>
            </w:r>
            <w:r>
              <w:rPr>
                <w:rFonts w:hint="eastAsia" w:ascii="仿宋_GB2312" w:hAnsi="仿宋_GB2312" w:eastAsia="仿宋_GB2312" w:cs="仿宋_GB2312"/>
                <w:color w:val="0C0C0C"/>
                <w:szCs w:val="21"/>
                <w:highlight w:val="none"/>
                <w:lang w:val="en"/>
              </w:rPr>
              <w:t>人</w:t>
            </w:r>
            <w:r>
              <w:rPr>
                <w:rFonts w:hint="eastAsia" w:ascii="仿宋_GB2312" w:hAnsi="仿宋_GB2312" w:eastAsia="仿宋_GB2312" w:cs="仿宋_GB2312"/>
                <w:color w:val="0C0C0C"/>
                <w:szCs w:val="21"/>
                <w:highlight w:val="none"/>
              </w:rPr>
              <w:t>·a）</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≤16m</w:t>
            </w:r>
            <w:r>
              <w:rPr>
                <w:rFonts w:hint="eastAsia"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lang w:val="en"/>
              </w:rPr>
              <w:t>/(</w:t>
            </w:r>
            <w:r>
              <w:rPr>
                <w:rFonts w:hint="eastAsia" w:ascii="仿宋_GB2312" w:hAnsi="仿宋_GB2312" w:eastAsia="仿宋_GB2312" w:cs="仿宋_GB2312"/>
                <w:color w:val="0C0C0C"/>
                <w:szCs w:val="21"/>
                <w:highlight w:val="none"/>
                <w:lang w:val="en"/>
              </w:rPr>
              <w:t>人</w:t>
            </w:r>
            <w:r>
              <w:rPr>
                <w:rFonts w:hint="eastAsia" w:ascii="仿宋_GB2312" w:hAnsi="仿宋_GB2312" w:eastAsia="仿宋_GB2312" w:cs="仿宋_GB2312"/>
                <w:color w:val="0C0C0C"/>
                <w:szCs w:val="21"/>
                <w:highlight w:val="none"/>
              </w:rPr>
              <w:t>·a）</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jc w:val="center"/>
        </w:trPr>
        <w:tc>
          <w:tcPr>
            <w:tcW w:w="690" w:type="dxa"/>
            <w:vMerge w:val="restart"/>
            <w:noWrap w:val="0"/>
            <w:vAlign w:val="center"/>
          </w:tcPr>
          <w:p>
            <w:pPr>
              <w:spacing w:line="312" w:lineRule="auto"/>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w:t>
            </w:r>
          </w:p>
        </w:tc>
        <w:tc>
          <w:tcPr>
            <w:tcW w:w="1392"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车辆及辅助设施要求</w:t>
            </w:r>
          </w:p>
        </w:tc>
        <w:tc>
          <w:tcPr>
            <w:tcW w:w="1548" w:type="dxa"/>
            <w:gridSpan w:val="2"/>
            <w:noWrap w:val="0"/>
            <w:vAlign w:val="center"/>
          </w:tcPr>
          <w:p>
            <w:pPr>
              <w:widowControl/>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车辆排放标准与新能源车推广指标</w:t>
            </w: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1.全部使用国五及以上排放标准载货车辆（含燃气）或新能源车辆，其中新能源车比例不低于50%；</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2.全部使用国五及以上排放标准载客车辆（含燃气）或新能源车辆，其中新能源车比例不低于50%；公交行业新能源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比例不低于70%；出租行业新能源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比例不低于80%</w:t>
            </w:r>
            <w:r>
              <w:rPr>
                <w:rFonts w:hint="eastAsia" w:ascii="仿宋_GB2312" w:hAnsi="仿宋_GB2312" w:eastAsia="仿宋_GB2312" w:cs="仿宋_GB2312"/>
                <w:color w:val="0C0C0C"/>
                <w:szCs w:val="21"/>
                <w:highlight w:val="none"/>
                <w:lang w:eastAsia="zh-CN"/>
              </w:rPr>
              <w:t>；</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3.厂内非道路移动机械全部使用国三及以上排放标准或新能源机械，其中新能源叉车比例100%</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1.全部使用国五及以上排放标准载货车辆（含燃气）或新能源车辆，其中新能源车比例不低于30%；</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2.全部使用国五及以上排放标准载客车辆（含燃气）或新能源车辆，其中新能源车比例不低于30%；公交行业新能源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比例不低于60%；出租行业新能源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比例不低于70%</w:t>
            </w:r>
            <w:r>
              <w:rPr>
                <w:rFonts w:hint="eastAsia" w:ascii="仿宋_GB2312" w:hAnsi="仿宋_GB2312" w:eastAsia="仿宋_GB2312" w:cs="仿宋_GB2312"/>
                <w:color w:val="0C0C0C"/>
                <w:szCs w:val="21"/>
                <w:highlight w:val="none"/>
                <w:lang w:eastAsia="zh-CN"/>
              </w:rPr>
              <w:t>；</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3.厂内非道路移动机械全部使用国三及以上排放标准或新能源机械，其中新能源叉车比例100%</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尾气达标排放。汽油车、柴油车污染排放应分别满足GB18285和GB3847要求，非道路移动机械污染排放应满足GB36886的要求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648"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车辆其他要求</w:t>
            </w:r>
          </w:p>
        </w:tc>
        <w:tc>
          <w:tcPr>
            <w:tcW w:w="90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公共电汽车</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车辆车况在使用年限内；具有监控管理功能，定位功能，车载能耗排放监测设备，具有车厢内监控系统等，车辆按时添加尿素，并定期更换减排装置（SCR等）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648"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90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城市轨道交通</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车辆符合行业行驶标准要求，车辆车况在使用年限内，具有监控管理功能，定位功能，具有车厢内监控系统等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648"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90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出租车客运</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车辆车况在使用年限内，制定新能源与清洁能源车辆使用计划；车辆配备数据化收费系统；车辆符合DB11/T223相关规定；配备OBD报警装置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648"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90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货物</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车辆车况在使用年限内，车辆具有监控管理功能</w:t>
            </w:r>
            <w:r>
              <w:rPr>
                <w:rFonts w:hint="eastAsia" w:ascii="仿宋_GB2312" w:hAnsi="仿宋_GB2312" w:eastAsia="仿宋_GB2312" w:cs="仿宋_GB2312"/>
                <w:color w:val="0C0C0C"/>
                <w:szCs w:val="21"/>
                <w:highlight w:val="none"/>
                <w:lang w:eastAsia="zh-CN"/>
              </w:rPr>
              <w:t>、</w:t>
            </w:r>
            <w:r>
              <w:rPr>
                <w:rFonts w:hint="eastAsia" w:ascii="仿宋_GB2312" w:hAnsi="仿宋_GB2312" w:eastAsia="仿宋_GB2312" w:cs="仿宋_GB2312"/>
                <w:color w:val="0C0C0C"/>
                <w:szCs w:val="21"/>
                <w:highlight w:val="none"/>
              </w:rPr>
              <w:t>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辅助设施要求</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不使用国家及本市已经明令淘汰的装备设施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90" w:type="dxa"/>
            <w:vMerge w:val="restart"/>
            <w:noWrap w:val="0"/>
            <w:vAlign w:val="center"/>
          </w:tcPr>
          <w:p>
            <w:pPr>
              <w:spacing w:line="312" w:lineRule="auto"/>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w:t>
            </w:r>
          </w:p>
        </w:tc>
        <w:tc>
          <w:tcPr>
            <w:tcW w:w="1392"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能源消耗</w:t>
            </w: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公共电汽车</w:t>
            </w:r>
          </w:p>
        </w:tc>
        <w:tc>
          <w:tcPr>
            <w:tcW w:w="4198" w:type="dxa"/>
            <w:gridSpan w:val="2"/>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万公里综合能耗≤5.2吨标准煤/(万公里)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万公里综合能耗≤5.8吨标准煤/(万公里)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城市轨道交通</w:t>
            </w: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万人公里综合能耗≤0.07吨标准煤/</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(万人公里)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万人公里综合能耗≤0.08吨标准煤/(万人公里)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出租车客运</w:t>
            </w: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万公里综合能耗≤0.75吨标准煤/(万公里)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万公里综合能耗≤1.15吨标准煤/(万公里)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货运运输</w:t>
            </w: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微型汽油车公里汽油消耗≤0.11升/(公里)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微型汽油车公里汽油消耗≤0.14升/(公里)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轻型汽油车公里汽油消耗≤0.14升/(公里)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轻型汽油车公里汽油消耗≤0.16升/(公里)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微型柴油车公里柴油消耗≤0.11升/(公里)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微型柴油车公里柴油消耗≤0.14升/(公里)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轻型柴油车公里柴油消耗≤0.17升/(公里)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轻型柴油车公里柴油消耗≤0.22升/(公里)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中型柴油车吨公里柴油消耗≤0.026升/(吨公里)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中型柴油车吨公里柴油消耗≤0.03升/(吨公里)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98"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重型柴油车吨公里柴油消耗≤0.016升/(吨公里)</w:t>
            </w:r>
          </w:p>
        </w:tc>
        <w:tc>
          <w:tcPr>
            <w:tcW w:w="4172"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重型柴油车吨公里柴油消耗≤0.022升/(吨公里)</w:t>
            </w:r>
          </w:p>
        </w:tc>
        <w:tc>
          <w:tcPr>
            <w:tcW w:w="2490"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690" w:type="dxa"/>
            <w:vMerge w:val="restart"/>
            <w:noWrap w:val="0"/>
            <w:vAlign w:val="center"/>
          </w:tcPr>
          <w:p>
            <w:pPr>
              <w:spacing w:line="312" w:lineRule="auto"/>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4</w:t>
            </w:r>
          </w:p>
        </w:tc>
        <w:tc>
          <w:tcPr>
            <w:tcW w:w="1392"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碳排放管理</w:t>
            </w: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碳市场履约</w:t>
            </w:r>
          </w:p>
        </w:tc>
        <w:tc>
          <w:tcPr>
            <w:tcW w:w="10860"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北京市重点碳排放单位[年二氧化碳排放</w:t>
            </w:r>
            <w:r>
              <w:rPr>
                <w:rFonts w:hint="eastAsia" w:ascii="仿宋_GB2312" w:hAnsi="仿宋_GB2312" w:eastAsia="仿宋_GB2312" w:cs="仿宋_GB2312"/>
                <w:color w:val="0C0C0C"/>
                <w:szCs w:val="21"/>
                <w:highlight w:val="none"/>
                <w:lang w:eastAsia="zh-CN"/>
              </w:rPr>
              <w:t>量</w:t>
            </w:r>
            <w:r>
              <w:rPr>
                <w:rFonts w:hint="eastAsia" w:ascii="仿宋_GB2312" w:hAnsi="仿宋_GB2312" w:eastAsia="仿宋_GB2312" w:cs="仿宋_GB2312"/>
                <w:color w:val="0C0C0C"/>
                <w:szCs w:val="21"/>
                <w:highlight w:val="none"/>
              </w:rPr>
              <w:t>5000吨</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及以上]按时提交碳排放报告和第三方核查报告，并按要求履约，开展碳资产管理；</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北京市一般报告单位[年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w:t>
            </w:r>
            <w:r>
              <w:rPr>
                <w:rFonts w:hint="eastAsia" w:ascii="仿宋_GB2312" w:hAnsi="仿宋_GB2312" w:eastAsia="仿宋_GB2312" w:cs="仿宋_GB2312"/>
                <w:color w:val="0C0C0C"/>
                <w:szCs w:val="21"/>
                <w:highlight w:val="none"/>
              </w:rPr>
              <w:t>量2000吨标</w:t>
            </w:r>
            <w:r>
              <w:rPr>
                <w:rFonts w:hint="eastAsia" w:ascii="仿宋_GB2312" w:hAnsi="仿宋_GB2312" w:eastAsia="仿宋_GB2312" w:cs="仿宋_GB2312"/>
                <w:color w:val="0C0C0C"/>
                <w:szCs w:val="21"/>
                <w:highlight w:val="none"/>
                <w:lang w:eastAsia="zh-CN"/>
              </w:rPr>
              <w:t>准</w:t>
            </w:r>
            <w:r>
              <w:rPr>
                <w:rFonts w:hint="eastAsia" w:ascii="仿宋_GB2312" w:hAnsi="仿宋_GB2312" w:eastAsia="仿宋_GB2312" w:cs="仿宋_GB2312"/>
                <w:color w:val="0C0C0C"/>
                <w:szCs w:val="21"/>
                <w:highlight w:val="none"/>
              </w:rPr>
              <w:t>煤</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w:t>
            </w:r>
          </w:p>
          <w:p>
            <w:pPr>
              <w:spacing w:line="312" w:lineRule="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费总量</w:t>
            </w:r>
            <w:r>
              <w:rPr>
                <w:rFonts w:hint="eastAsia" w:ascii="仿宋_GB2312" w:hAnsi="仿宋_GB2312" w:eastAsia="仿宋_GB2312" w:cs="仿宋_GB2312"/>
                <w:color w:val="0C0C0C"/>
                <w:szCs w:val="21"/>
                <w:highlight w:val="none"/>
              </w:rPr>
              <w:t>2000吨标准煤以下</w:t>
            </w:r>
            <w:r>
              <w:rPr>
                <w:rFonts w:hint="eastAsia" w:ascii="仿宋_GB2312" w:hAnsi="仿宋_GB2312" w:eastAsia="仿宋_GB2312" w:cs="仿宋_GB2312"/>
                <w:color w:val="0C0C0C"/>
                <w:szCs w:val="21"/>
                <w:highlight w:val="none"/>
                <w:lang w:eastAsia="zh-CN"/>
              </w:rPr>
              <w:t>的单位</w:t>
            </w:r>
            <w:r>
              <w:rPr>
                <w:rFonts w:hint="eastAsia" w:ascii="仿宋_GB2312" w:hAnsi="仿宋_GB2312" w:eastAsia="仿宋_GB2312" w:cs="仿宋_GB2312"/>
                <w:color w:val="0C0C0C"/>
                <w:szCs w:val="21"/>
                <w:highlight w:val="none"/>
              </w:rPr>
              <w:t>开展碳排放核算，编制碳排放报告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0"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92"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48" w:type="dxa"/>
            <w:gridSpan w:val="2"/>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低碳工作计划</w:t>
            </w:r>
          </w:p>
        </w:tc>
        <w:tc>
          <w:tcPr>
            <w:tcW w:w="8370" w:type="dxa"/>
            <w:gridSpan w:val="4"/>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制定企业碳中和或低碳行动计划并向社会公布</w:t>
            </w:r>
          </w:p>
        </w:tc>
        <w:tc>
          <w:tcPr>
            <w:tcW w:w="2490"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注：办公楼宇为租用的不评价该指标</w:t>
      </w:r>
    </w:p>
    <w:p>
      <w:pPr>
        <w:rPr>
          <w:rFonts w:hint="eastAsia" w:ascii="黑体" w:hAnsi="黑体" w:eastAsia="黑体" w:cs="黑体"/>
          <w:sz w:val="32"/>
          <w:szCs w:val="32"/>
          <w:highlight w:val="none"/>
        </w:rPr>
      </w:pPr>
    </w:p>
    <w:p>
      <w:pPr>
        <w:outlineLvl w:val="2"/>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r>
        <w:rPr>
          <w:rFonts w:hint="eastAsia" w:ascii="黑体" w:hAnsi="黑体" w:eastAsia="黑体" w:cs="黑体"/>
          <w:sz w:val="32"/>
          <w:szCs w:val="32"/>
          <w:highlight w:val="none"/>
        </w:rPr>
        <w:t>2.5住宿业（61）企业评价细则</w:t>
      </w:r>
    </w:p>
    <w:tbl>
      <w:tblPr>
        <w:tblStyle w:val="8"/>
        <w:tblW w:w="14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395"/>
        <w:gridCol w:w="1333"/>
        <w:gridCol w:w="11"/>
        <w:gridCol w:w="1452"/>
        <w:gridCol w:w="3669"/>
        <w:gridCol w:w="276"/>
        <w:gridCol w:w="3369"/>
        <w:gridCol w:w="14"/>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jc w:val="center"/>
        </w:trPr>
        <w:tc>
          <w:tcPr>
            <w:tcW w:w="790" w:type="dxa"/>
            <w:noWrap w:val="0"/>
            <w:vAlign w:val="center"/>
          </w:tcPr>
          <w:p>
            <w:pPr>
              <w:widowControl/>
              <w:snapToGrid w:val="0"/>
              <w:spacing w:beforeLines="0" w:afterLines="0" w:line="240" w:lineRule="exact"/>
              <w:textAlignment w:val="center"/>
              <w:rPr>
                <w:rFonts w:hint="eastAsia" w:ascii="仿宋_GB2312" w:hAnsi="仿宋_GB2312" w:eastAsia="仿宋_GB2312" w:cs="仿宋_GB2312"/>
                <w:b/>
                <w:bCs/>
                <w:color w:val="000000"/>
                <w:kern w:val="0"/>
                <w:szCs w:val="21"/>
                <w:highlight w:val="none"/>
                <w:lang w:bidi="ar"/>
              </w:rPr>
            </w:pPr>
            <w:r>
              <w:rPr>
                <w:rFonts w:hint="eastAsia" w:ascii="仿宋_GB2312" w:hAnsi="仿宋_GB2312" w:eastAsia="仿宋_GB2312" w:cs="仿宋_GB2312"/>
                <w:b/>
                <w:bCs/>
                <w:color w:val="000000"/>
                <w:kern w:val="0"/>
                <w:szCs w:val="21"/>
                <w:highlight w:val="none"/>
                <w:lang w:bidi="ar"/>
              </w:rPr>
              <w:t>序号</w:t>
            </w:r>
          </w:p>
        </w:tc>
        <w:tc>
          <w:tcPr>
            <w:tcW w:w="1395" w:type="dxa"/>
            <w:noWrap w:val="0"/>
            <w:vAlign w:val="center"/>
          </w:tcPr>
          <w:p>
            <w:pPr>
              <w:spacing w:beforeLines="0" w:afterLines="0" w:line="240" w:lineRule="exact"/>
              <w:jc w:val="center"/>
              <w:rPr>
                <w:rFonts w:hint="eastAsia" w:ascii="仿宋_GB2312" w:hAnsi="仿宋_GB2312" w:eastAsia="仿宋_GB2312" w:cs="仿宋_GB2312"/>
                <w:b/>
                <w:bCs/>
                <w:color w:val="000000"/>
                <w:szCs w:val="21"/>
                <w:highlight w:val="none"/>
              </w:rPr>
            </w:pPr>
            <w:r>
              <w:rPr>
                <w:rFonts w:hint="eastAsia" w:ascii="仿宋_GB2312" w:hAnsi="仿宋_GB2312" w:eastAsia="仿宋_GB2312" w:cs="仿宋_GB2312"/>
                <w:b/>
                <w:color w:val="000000"/>
                <w:kern w:val="0"/>
                <w:szCs w:val="21"/>
                <w:highlight w:val="none"/>
              </w:rPr>
              <w:t>一级指标</w:t>
            </w:r>
          </w:p>
        </w:tc>
        <w:tc>
          <w:tcPr>
            <w:tcW w:w="2796" w:type="dxa"/>
            <w:gridSpan w:val="3"/>
            <w:noWrap w:val="0"/>
            <w:vAlign w:val="center"/>
          </w:tcPr>
          <w:p>
            <w:pPr>
              <w:spacing w:beforeLines="0" w:afterLines="0" w:line="240" w:lineRule="exact"/>
              <w:jc w:val="center"/>
              <w:rPr>
                <w:rFonts w:hint="eastAsia" w:ascii="仿宋_GB2312" w:hAnsi="仿宋_GB2312" w:eastAsia="仿宋_GB2312" w:cs="仿宋_GB2312"/>
                <w:b/>
                <w:bCs/>
                <w:color w:val="000000"/>
                <w:szCs w:val="21"/>
                <w:highlight w:val="none"/>
              </w:rPr>
            </w:pPr>
            <w:r>
              <w:rPr>
                <w:rFonts w:hint="eastAsia" w:ascii="仿宋_GB2312" w:hAnsi="仿宋_GB2312" w:eastAsia="仿宋_GB2312" w:cs="仿宋_GB2312"/>
                <w:b/>
                <w:color w:val="000000"/>
                <w:kern w:val="0"/>
                <w:szCs w:val="21"/>
                <w:highlight w:val="none"/>
              </w:rPr>
              <w:t>二级指标</w:t>
            </w:r>
          </w:p>
        </w:tc>
        <w:tc>
          <w:tcPr>
            <w:tcW w:w="3669" w:type="dxa"/>
            <w:noWrap w:val="0"/>
            <w:vAlign w:val="center"/>
          </w:tcPr>
          <w:p>
            <w:pPr>
              <w:snapToGrid w:val="0"/>
              <w:spacing w:before="0" w:beforeLines="0" w:after="0" w:afterLines="0" w:line="240" w:lineRule="exact"/>
              <w:jc w:val="center"/>
              <w:rPr>
                <w:rFonts w:hint="eastAsia" w:ascii="仿宋_GB2312" w:hAnsi="仿宋_GB2312" w:eastAsia="仿宋_GB2312" w:cs="仿宋_GB2312"/>
                <w:b/>
                <w:bCs/>
                <w:color w:val="000000"/>
                <w:szCs w:val="21"/>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3659" w:type="dxa"/>
            <w:gridSpan w:val="3"/>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2111" w:type="dxa"/>
            <w:noWrap w:val="0"/>
            <w:vAlign w:val="center"/>
          </w:tcPr>
          <w:p>
            <w:pPr>
              <w:snapToGrid w:val="0"/>
              <w:spacing w:before="63" w:beforeLines="20" w:after="63" w:afterLines="20"/>
              <w:jc w:val="center"/>
              <w:rPr>
                <w:rFonts w:hint="eastAsia" w:ascii="仿宋_GB2312" w:hAnsi="仿宋_GB2312" w:eastAsia="仿宋_GB2312" w:cs="仿宋_GB2312"/>
                <w:b/>
                <w:bCs/>
                <w:color w:val="000000"/>
                <w:szCs w:val="21"/>
                <w:highlight w:val="none"/>
              </w:rPr>
            </w:pPr>
            <w:r>
              <w:rPr>
                <w:rFonts w:hint="eastAsia" w:ascii="仿宋_GB2312" w:hAnsi="仿宋_GB2312" w:eastAsia="仿宋_GB2312" w:cs="仿宋_GB2312"/>
                <w:b/>
                <w:bCs/>
                <w:szCs w:val="21"/>
                <w:highlight w:val="none"/>
              </w:rPr>
              <w:t>普通合法企业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79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w:t>
            </w:r>
          </w:p>
        </w:tc>
        <w:tc>
          <w:tcPr>
            <w:tcW w:w="139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经营场所</w:t>
            </w:r>
          </w:p>
        </w:tc>
        <w:tc>
          <w:tcPr>
            <w:tcW w:w="2796" w:type="dxa"/>
            <w:gridSpan w:val="3"/>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空调系统</w:t>
            </w:r>
          </w:p>
        </w:tc>
        <w:tc>
          <w:tcPr>
            <w:tcW w:w="7328" w:type="dxa"/>
            <w:gridSpan w:val="4"/>
            <w:tcBorders>
              <w:bottom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冷热源选用性能系数（COP值）、综合部分负荷性能系数（IPLV）、能效比（EER）、额定热效率高的节能产品；</w:t>
            </w:r>
          </w:p>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空调采暖系统的冷热源机组能效比符合GB50189</w:t>
            </w:r>
          </w:p>
        </w:tc>
        <w:tc>
          <w:tcPr>
            <w:tcW w:w="2111" w:type="dxa"/>
            <w:tcBorders>
              <w:bottom w:val="single" w:color="auto" w:sz="4" w:space="0"/>
            </w:tcBorders>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9439" w:type="dxa"/>
            <w:gridSpan w:val="5"/>
            <w:tcBorders>
              <w:top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更新空调时应采用环保制冷剂，禁止使用CFC-11，12，113等国家规定的受控消耗臭氧层物质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采暖系统</w:t>
            </w:r>
          </w:p>
        </w:tc>
        <w:tc>
          <w:tcPr>
            <w:tcW w:w="3669" w:type="dxa"/>
            <w:tcBorders>
              <w:right w:val="single" w:color="auto" w:sz="4" w:space="0"/>
            </w:tcBorders>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lang w:val="en"/>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11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供配电系统</w:t>
            </w:r>
          </w:p>
        </w:tc>
        <w:tc>
          <w:tcPr>
            <w:tcW w:w="7328"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根据用电负荷的大小和性能，合理配置变压器的容量和台数，变压器应选用高效低耗型</w:t>
            </w:r>
          </w:p>
        </w:tc>
        <w:tc>
          <w:tcPr>
            <w:tcW w:w="211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照明系统</w:t>
            </w:r>
          </w:p>
        </w:tc>
        <w:tc>
          <w:tcPr>
            <w:tcW w:w="7328"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节能灯使用率为100%</w:t>
            </w:r>
          </w:p>
        </w:tc>
        <w:tc>
          <w:tcPr>
            <w:tcW w:w="211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给排水系统</w:t>
            </w:r>
          </w:p>
        </w:tc>
        <w:tc>
          <w:tcPr>
            <w:tcW w:w="7328"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用水器具符合</w:t>
            </w:r>
            <w:r>
              <w:rPr>
                <w:rFonts w:ascii="仿宋_GB2312" w:hAnsi="仿宋_GB2312" w:eastAsia="仿宋_GB2312" w:cs="仿宋_GB2312"/>
                <w:color w:val="0C0C0C"/>
                <w:szCs w:val="21"/>
                <w:highlight w:val="none"/>
              </w:rPr>
              <w:t>CJ/T164</w:t>
            </w:r>
            <w:r>
              <w:rPr>
                <w:rFonts w:hint="eastAsia" w:ascii="仿宋_GB2312" w:hAnsi="仿宋_GB2312" w:eastAsia="仿宋_GB2312" w:cs="仿宋_GB2312"/>
                <w:color w:val="0C0C0C"/>
                <w:szCs w:val="21"/>
                <w:highlight w:val="none"/>
                <w:lang w:eastAsia="zh-CN"/>
              </w:rPr>
              <w:t>；</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采用低噪声、高效节能型水泵;</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建筑面积2万m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以上的住宿业建设中水设施，并有效利用中水，中水运行管理符合DB11/T348</w:t>
            </w:r>
          </w:p>
        </w:tc>
        <w:tc>
          <w:tcPr>
            <w:tcW w:w="211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211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装备设施</w:t>
            </w:r>
          </w:p>
        </w:tc>
        <w:tc>
          <w:tcPr>
            <w:tcW w:w="9439" w:type="dxa"/>
            <w:gridSpan w:val="5"/>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符合国家和本市产业政策，不使用国家和本市明令淘汰的落后装备设施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79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w:t>
            </w:r>
          </w:p>
        </w:tc>
        <w:tc>
          <w:tcPr>
            <w:tcW w:w="139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资源和能源</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利用</w:t>
            </w:r>
          </w:p>
        </w:tc>
        <w:tc>
          <w:tcPr>
            <w:tcW w:w="1344" w:type="dxa"/>
            <w:gridSpan w:val="2"/>
            <w:vMerge w:val="restart"/>
            <w:tcBorders>
              <w:righ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w:t>
            </w:r>
          </w:p>
        </w:tc>
        <w:tc>
          <w:tcPr>
            <w:tcW w:w="1452" w:type="dxa"/>
            <w:tcBorders>
              <w:left w:val="single" w:color="auto" w:sz="4" w:space="0"/>
            </w:tcBorders>
            <w:noWrap w:val="0"/>
            <w:vAlign w:val="center"/>
          </w:tcPr>
          <w:p>
            <w:pPr>
              <w:widowControl/>
              <w:numPr>
                <w:ilvl w:val="0"/>
                <w:numId w:val="2"/>
              </w:numPr>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二星级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≤32kgce/m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44" w:type="dxa"/>
            <w:gridSpan w:val="2"/>
            <w:vMerge w:val="continue"/>
            <w:tcBorders>
              <w:righ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p>
        </w:tc>
        <w:tc>
          <w:tcPr>
            <w:tcW w:w="1452" w:type="dxa"/>
            <w:tcBorders>
              <w:lef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三星级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≤35kgce/m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≤43kgce/m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44" w:type="dxa"/>
            <w:gridSpan w:val="2"/>
            <w:vMerge w:val="continue"/>
            <w:tcBorders>
              <w:righ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p>
        </w:tc>
        <w:tc>
          <w:tcPr>
            <w:tcW w:w="1452" w:type="dxa"/>
            <w:tcBorders>
              <w:lef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四、五星级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≤38kgce/m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44" w:type="dxa"/>
            <w:gridSpan w:val="2"/>
            <w:vMerge w:val="restart"/>
            <w:tcBorders>
              <w:righ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单位床位取水量</w:t>
            </w:r>
          </w:p>
        </w:tc>
        <w:tc>
          <w:tcPr>
            <w:tcW w:w="1452" w:type="dxa"/>
            <w:tcBorders>
              <w:left w:val="single" w:color="auto" w:sz="4" w:space="0"/>
            </w:tcBorders>
            <w:noWrap w:val="0"/>
            <w:vAlign w:val="center"/>
          </w:tcPr>
          <w:p>
            <w:pPr>
              <w:widowControl/>
              <w:numPr>
                <w:ilvl w:val="0"/>
                <w:numId w:val="0"/>
              </w:numPr>
              <w:jc w:val="both"/>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一、</w:t>
            </w:r>
            <w:r>
              <w:rPr>
                <w:rFonts w:hint="eastAsia" w:ascii="仿宋_GB2312" w:hAnsi="仿宋_GB2312" w:eastAsia="仿宋_GB2312" w:cs="仿宋_GB2312"/>
                <w:color w:val="0C0C0C"/>
                <w:szCs w:val="21"/>
                <w:highlight w:val="none"/>
              </w:rPr>
              <w:t>二星级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/床·a</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≤140m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/床·a</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44" w:type="dxa"/>
            <w:gridSpan w:val="2"/>
            <w:vMerge w:val="continue"/>
            <w:tcBorders>
              <w:righ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p>
        </w:tc>
        <w:tc>
          <w:tcPr>
            <w:tcW w:w="1452" w:type="dxa"/>
            <w:tcBorders>
              <w:lef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三星级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≤165m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/床·a</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/床·a</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44" w:type="dxa"/>
            <w:gridSpan w:val="2"/>
            <w:vMerge w:val="continue"/>
            <w:tcBorders>
              <w:right w:val="single" w:color="auto" w:sz="4" w:space="0"/>
            </w:tcBorders>
            <w:noWrap w:val="0"/>
            <w:vAlign w:val="center"/>
          </w:tcPr>
          <w:p>
            <w:pPr>
              <w:widowControl/>
              <w:jc w:val="center"/>
              <w:textAlignment w:val="center"/>
              <w:rPr>
                <w:rFonts w:ascii="仿宋_GB2312" w:hAnsi="仿宋_GB2312" w:eastAsia="仿宋_GB2312" w:cs="仿宋_GB2312"/>
                <w:color w:val="0C0C0C"/>
                <w:szCs w:val="21"/>
                <w:highlight w:val="none"/>
              </w:rPr>
            </w:pPr>
          </w:p>
        </w:tc>
        <w:tc>
          <w:tcPr>
            <w:tcW w:w="1452" w:type="dxa"/>
            <w:tcBorders>
              <w:lef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四、五星级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≤180m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/床·a</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≤260m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/床·a</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能源管理</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按照GB/T23331建立能源管理体系，并取得认证</w:t>
            </w:r>
          </w:p>
        </w:tc>
        <w:tc>
          <w:tcPr>
            <w:tcW w:w="3659" w:type="dxa"/>
            <w:gridSpan w:val="3"/>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建立能源管理制度，能源管理手册、程序文件及作业文件齐全</w:t>
            </w:r>
          </w:p>
        </w:tc>
        <w:tc>
          <w:tcPr>
            <w:tcW w:w="2111" w:type="dxa"/>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w:t>
            </w:r>
          </w:p>
        </w:tc>
        <w:tc>
          <w:tcPr>
            <w:tcW w:w="139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污染物排放管理</w:t>
            </w:r>
          </w:p>
        </w:tc>
        <w:tc>
          <w:tcPr>
            <w:tcW w:w="1333" w:type="dxa"/>
            <w:vMerge w:val="restart"/>
            <w:tcBorders>
              <w:righ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单位床位废水产生量</w:t>
            </w:r>
          </w:p>
        </w:tc>
        <w:tc>
          <w:tcPr>
            <w:tcW w:w="1463" w:type="dxa"/>
            <w:gridSpan w:val="2"/>
            <w:tcBorders>
              <w:lef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一、二星级</w:t>
            </w:r>
          </w:p>
        </w:tc>
        <w:tc>
          <w:tcPr>
            <w:tcW w:w="3669" w:type="dxa"/>
            <w:tcBorders>
              <w:right w:val="single" w:color="auto" w:sz="4" w:space="0"/>
            </w:tcBorders>
            <w:noWrap w:val="0"/>
            <w:vAlign w:val="center"/>
          </w:tcPr>
          <w:p>
            <w:pPr>
              <w:widowControl/>
              <w:snapToGrid w:val="0"/>
              <w:spacing w:line="240" w:lineRule="exact"/>
              <w:jc w:val="left"/>
              <w:textAlignment w:val="center"/>
              <w:rPr>
                <w:rFonts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w:t>
            </w:r>
            <w:r>
              <w:rPr>
                <w:rFonts w:ascii="仿宋_GB2312" w:hAnsi="仿宋_GB2312" w:eastAsia="仿宋_GB2312" w:cs="仿宋_GB2312"/>
                <w:color w:val="0C0C0C"/>
                <w:szCs w:val="21"/>
                <w:highlight w:val="none"/>
              </w:rPr>
              <w:t>10</w:t>
            </w:r>
            <w:r>
              <w:rPr>
                <w:rFonts w:hint="eastAsia" w:ascii="仿宋_GB2312" w:hAnsi="仿宋_GB2312" w:eastAsia="仿宋_GB2312" w:cs="仿宋_GB2312"/>
                <w:color w:val="0C0C0C"/>
                <w:szCs w:val="21"/>
                <w:highlight w:val="none"/>
              </w:rPr>
              <w:t>0</w:t>
            </w:r>
            <w:r>
              <w:rPr>
                <w:rFonts w:ascii="仿宋_GB2312" w:hAnsi="仿宋_GB2312" w:eastAsia="仿宋_GB2312" w:cs="仿宋_GB2312"/>
                <w:color w:val="0C0C0C"/>
                <w:szCs w:val="21"/>
                <w:highlight w:val="none"/>
              </w:rPr>
              <w:t>m</w:t>
            </w:r>
            <w:r>
              <w:rPr>
                <w:rFonts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rPr>
              <w:t>/床·a</w:t>
            </w:r>
          </w:p>
        </w:tc>
        <w:tc>
          <w:tcPr>
            <w:tcW w:w="3645" w:type="dxa"/>
            <w:gridSpan w:val="2"/>
            <w:tcBorders>
              <w:left w:val="single" w:color="auto" w:sz="4" w:space="0"/>
            </w:tcBorders>
            <w:noWrap w:val="0"/>
            <w:vAlign w:val="center"/>
          </w:tcPr>
          <w:p>
            <w:pPr>
              <w:widowControl/>
              <w:snapToGrid w:val="0"/>
              <w:spacing w:line="240" w:lineRule="exact"/>
              <w:jc w:val="left"/>
              <w:textAlignment w:val="center"/>
              <w:rPr>
                <w:rFonts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≤140</w:t>
            </w:r>
            <w:r>
              <w:rPr>
                <w:rFonts w:ascii="仿宋_GB2312" w:hAnsi="仿宋_GB2312" w:eastAsia="仿宋_GB2312" w:cs="仿宋_GB2312"/>
                <w:color w:val="0C0C0C"/>
                <w:szCs w:val="21"/>
                <w:highlight w:val="none"/>
              </w:rPr>
              <w:t>m</w:t>
            </w:r>
            <w:r>
              <w:rPr>
                <w:rFonts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rPr>
              <w:t>/床·a</w:t>
            </w:r>
          </w:p>
        </w:tc>
        <w:tc>
          <w:tcPr>
            <w:tcW w:w="2125" w:type="dxa"/>
            <w:gridSpan w:val="2"/>
            <w:noWrap w:val="0"/>
            <w:vAlign w:val="center"/>
          </w:tcPr>
          <w:p>
            <w:pPr>
              <w:widowControl/>
              <w:snapToGrid w:val="0"/>
              <w:spacing w:line="240" w:lineRule="exact"/>
              <w:jc w:val="left"/>
              <w:textAlignment w:val="center"/>
              <w:rPr>
                <w:rFonts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33" w:type="dxa"/>
            <w:vMerge w:val="continue"/>
            <w:tcBorders>
              <w:righ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463" w:type="dxa"/>
            <w:gridSpan w:val="2"/>
            <w:tcBorders>
              <w:lef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三星级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w:t>
            </w:r>
            <w:r>
              <w:rPr>
                <w:rFonts w:ascii="仿宋_GB2312" w:hAnsi="仿宋_GB2312" w:eastAsia="仿宋_GB2312" w:cs="仿宋_GB2312"/>
                <w:color w:val="0C0C0C"/>
                <w:szCs w:val="21"/>
                <w:highlight w:val="none"/>
              </w:rPr>
              <w:t>1</w:t>
            </w:r>
            <w:r>
              <w:rPr>
                <w:rFonts w:hint="eastAsia" w:ascii="仿宋_GB2312" w:hAnsi="仿宋_GB2312" w:eastAsia="仿宋_GB2312" w:cs="仿宋_GB2312"/>
                <w:color w:val="0C0C0C"/>
                <w:szCs w:val="21"/>
                <w:highlight w:val="none"/>
              </w:rPr>
              <w:t>65</w:t>
            </w:r>
            <w:r>
              <w:rPr>
                <w:rFonts w:ascii="仿宋_GB2312" w:hAnsi="仿宋_GB2312" w:eastAsia="仿宋_GB2312" w:cs="仿宋_GB2312"/>
                <w:color w:val="0C0C0C"/>
                <w:szCs w:val="21"/>
                <w:highlight w:val="none"/>
              </w:rPr>
              <w:t>m</w:t>
            </w:r>
            <w:r>
              <w:rPr>
                <w:rFonts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rPr>
              <w:t>/床·a</w:t>
            </w:r>
          </w:p>
        </w:tc>
        <w:tc>
          <w:tcPr>
            <w:tcW w:w="3645" w:type="dxa"/>
            <w:gridSpan w:val="2"/>
            <w:tcBorders>
              <w:left w:val="single" w:color="auto"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≤210</w:t>
            </w:r>
            <w:r>
              <w:rPr>
                <w:rFonts w:ascii="仿宋_GB2312" w:hAnsi="仿宋_GB2312" w:eastAsia="仿宋_GB2312" w:cs="仿宋_GB2312"/>
                <w:color w:val="0C0C0C"/>
                <w:szCs w:val="21"/>
                <w:highlight w:val="none"/>
              </w:rPr>
              <w:t>m</w:t>
            </w:r>
            <w:r>
              <w:rPr>
                <w:rFonts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rPr>
              <w:t>/床·a</w:t>
            </w:r>
          </w:p>
        </w:tc>
        <w:tc>
          <w:tcPr>
            <w:tcW w:w="2125" w:type="dxa"/>
            <w:gridSpan w:val="2"/>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33" w:type="dxa"/>
            <w:vMerge w:val="continue"/>
            <w:tcBorders>
              <w:righ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463" w:type="dxa"/>
            <w:gridSpan w:val="2"/>
            <w:tcBorders>
              <w:left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四、五星级</w:t>
            </w:r>
          </w:p>
        </w:tc>
        <w:tc>
          <w:tcPr>
            <w:tcW w:w="3669"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w:t>
            </w:r>
            <w:r>
              <w:rPr>
                <w:rFonts w:ascii="仿宋_GB2312" w:hAnsi="仿宋_GB2312" w:eastAsia="仿宋_GB2312" w:cs="仿宋_GB2312"/>
                <w:color w:val="0C0C0C"/>
                <w:szCs w:val="21"/>
                <w:highlight w:val="none"/>
              </w:rPr>
              <w:t>1</w:t>
            </w:r>
            <w:r>
              <w:rPr>
                <w:rFonts w:hint="eastAsia" w:ascii="仿宋_GB2312" w:hAnsi="仿宋_GB2312" w:eastAsia="仿宋_GB2312" w:cs="仿宋_GB2312"/>
                <w:color w:val="0C0C0C"/>
                <w:szCs w:val="21"/>
                <w:highlight w:val="none"/>
              </w:rPr>
              <w:t>80</w:t>
            </w:r>
            <w:r>
              <w:rPr>
                <w:rFonts w:ascii="仿宋_GB2312" w:hAnsi="仿宋_GB2312" w:eastAsia="仿宋_GB2312" w:cs="仿宋_GB2312"/>
                <w:color w:val="0C0C0C"/>
                <w:szCs w:val="21"/>
                <w:highlight w:val="none"/>
              </w:rPr>
              <w:t>m</w:t>
            </w:r>
            <w:r>
              <w:rPr>
                <w:rFonts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rPr>
              <w:t>/床·a</w:t>
            </w:r>
          </w:p>
        </w:tc>
        <w:tc>
          <w:tcPr>
            <w:tcW w:w="3645" w:type="dxa"/>
            <w:gridSpan w:val="2"/>
            <w:tcBorders>
              <w:left w:val="single" w:color="auto"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≤260</w:t>
            </w:r>
            <w:r>
              <w:rPr>
                <w:rFonts w:ascii="仿宋_GB2312" w:hAnsi="仿宋_GB2312" w:eastAsia="仿宋_GB2312" w:cs="仿宋_GB2312"/>
                <w:color w:val="0C0C0C"/>
                <w:szCs w:val="21"/>
                <w:highlight w:val="none"/>
              </w:rPr>
              <w:t>m</w:t>
            </w:r>
            <w:r>
              <w:rPr>
                <w:rFonts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rPr>
              <w:t>/床·a</w:t>
            </w:r>
          </w:p>
        </w:tc>
        <w:tc>
          <w:tcPr>
            <w:tcW w:w="2125" w:type="dxa"/>
            <w:gridSpan w:val="2"/>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污染物排放要求</w:t>
            </w:r>
          </w:p>
        </w:tc>
        <w:tc>
          <w:tcPr>
            <w:tcW w:w="9439" w:type="dxa"/>
            <w:gridSpan w:val="5"/>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有</w:t>
            </w:r>
            <w:r>
              <w:rPr>
                <w:rFonts w:hint="eastAsia" w:ascii="仿宋_GB2312" w:hAnsi="仿宋_GB2312" w:eastAsia="仿宋_GB2312" w:cs="仿宋_GB2312"/>
                <w:color w:val="0C0C0C"/>
                <w:szCs w:val="21"/>
                <w:highlight w:val="none"/>
                <w:lang w:eastAsia="zh-CN"/>
              </w:rPr>
              <w:t>餐厅或者员工食堂</w:t>
            </w:r>
            <w:r>
              <w:rPr>
                <w:rFonts w:hint="eastAsia" w:ascii="仿宋_GB2312" w:hAnsi="仿宋_GB2312" w:eastAsia="仿宋_GB2312" w:cs="仿宋_GB2312"/>
                <w:color w:val="0C0C0C"/>
                <w:szCs w:val="21"/>
                <w:highlight w:val="none"/>
              </w:rPr>
              <w:t>的，后厨安装油烟净化设施，定期清洗并保证设施正常运行，废气排放执行DB11/1488；锅炉废气排放执行DB11/139；</w:t>
            </w:r>
            <w:r>
              <w:rPr>
                <w:rFonts w:hint="eastAsia" w:ascii="仿宋_GB2312" w:hAnsi="仿宋_GB2312" w:eastAsia="仿宋_GB2312" w:cs="仿宋_GB2312"/>
                <w:color w:val="0C0C0C"/>
                <w:szCs w:val="21"/>
                <w:highlight w:val="none"/>
                <w:lang w:eastAsia="zh-CN"/>
              </w:rPr>
              <w:t>污水</w:t>
            </w:r>
            <w:r>
              <w:rPr>
                <w:rFonts w:hint="eastAsia" w:ascii="仿宋_GB2312" w:hAnsi="仿宋_GB2312" w:eastAsia="仿宋_GB2312" w:cs="仿宋_GB2312"/>
                <w:color w:val="0C0C0C"/>
                <w:szCs w:val="21"/>
                <w:highlight w:val="none"/>
              </w:rPr>
              <w:t>排放执行DB11/307；噪声</w:t>
            </w:r>
            <w:r>
              <w:rPr>
                <w:rFonts w:hint="eastAsia" w:ascii="仿宋_GB2312" w:hAnsi="仿宋_GB2312" w:eastAsia="仿宋_GB2312" w:cs="仿宋_GB2312"/>
                <w:color w:val="0C0C0C"/>
                <w:szCs w:val="21"/>
                <w:highlight w:val="none"/>
                <w:lang w:eastAsia="zh-CN"/>
              </w:rPr>
              <w:t>排放</w:t>
            </w:r>
            <w:r>
              <w:rPr>
                <w:rFonts w:hint="eastAsia" w:ascii="仿宋_GB2312" w:hAnsi="仿宋_GB2312" w:eastAsia="仿宋_GB2312" w:cs="仿宋_GB2312"/>
                <w:color w:val="0C0C0C"/>
                <w:szCs w:val="21"/>
                <w:highlight w:val="none"/>
              </w:rPr>
              <w:t>执行GB22337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79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w:t>
            </w:r>
          </w:p>
        </w:tc>
        <w:tc>
          <w:tcPr>
            <w:tcW w:w="139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碳排放管理</w:t>
            </w: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碳市场履约</w:t>
            </w:r>
          </w:p>
        </w:tc>
        <w:tc>
          <w:tcPr>
            <w:tcW w:w="9439"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北京市重点碳排放单位[年二氧化碳排放</w:t>
            </w:r>
            <w:r>
              <w:rPr>
                <w:rFonts w:hint="eastAsia" w:ascii="仿宋_GB2312" w:hAnsi="仿宋_GB2312" w:eastAsia="仿宋_GB2312" w:cs="仿宋_GB2312"/>
                <w:color w:val="0C0C0C"/>
                <w:szCs w:val="21"/>
                <w:highlight w:val="none"/>
                <w:lang w:eastAsia="zh-CN"/>
              </w:rPr>
              <w:t>量</w:t>
            </w:r>
            <w:r>
              <w:rPr>
                <w:rFonts w:hint="eastAsia" w:ascii="仿宋_GB2312" w:hAnsi="仿宋_GB2312" w:eastAsia="仿宋_GB2312" w:cs="仿宋_GB2312"/>
                <w:color w:val="0C0C0C"/>
                <w:szCs w:val="21"/>
                <w:highlight w:val="none"/>
              </w:rPr>
              <w:t>5000吨</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及以上]按时提交碳排放报告和第三方核查报告，并按要求履约，开展碳资产管理；</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北京市一般报告单位[年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w:t>
            </w:r>
            <w:r>
              <w:rPr>
                <w:rFonts w:hint="eastAsia" w:ascii="仿宋_GB2312" w:hAnsi="仿宋_GB2312" w:eastAsia="仿宋_GB2312" w:cs="仿宋_GB2312"/>
                <w:color w:val="0C0C0C"/>
                <w:szCs w:val="21"/>
                <w:highlight w:val="none"/>
              </w:rPr>
              <w:t>量2000吨</w:t>
            </w:r>
            <w:r>
              <w:rPr>
                <w:rFonts w:hint="eastAsia" w:ascii="仿宋_GB2312" w:hAnsi="仿宋_GB2312" w:eastAsia="仿宋_GB2312" w:cs="仿宋_GB2312"/>
                <w:color w:val="0C0C0C"/>
                <w:szCs w:val="21"/>
                <w:highlight w:val="none"/>
                <w:lang w:eastAsia="zh-CN"/>
              </w:rPr>
              <w:t>标准煤（含）</w:t>
            </w:r>
            <w:r>
              <w:rPr>
                <w:rFonts w:hint="eastAsia" w:ascii="仿宋_GB2312" w:hAnsi="仿宋_GB2312" w:eastAsia="仿宋_GB2312" w:cs="仿宋_GB2312"/>
                <w:color w:val="0C0C0C"/>
                <w:szCs w:val="21"/>
                <w:highlight w:val="none"/>
              </w:rPr>
              <w:t>及以上]按时提交碳排放报告；</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费总量</w:t>
            </w:r>
            <w:r>
              <w:rPr>
                <w:rFonts w:hint="eastAsia" w:ascii="仿宋_GB2312" w:hAnsi="仿宋_GB2312" w:eastAsia="仿宋_GB2312" w:cs="仿宋_GB2312"/>
                <w:color w:val="0C0C0C"/>
                <w:szCs w:val="21"/>
                <w:highlight w:val="none"/>
              </w:rPr>
              <w:t>2000吨标准煤以下</w:t>
            </w:r>
            <w:r>
              <w:rPr>
                <w:rFonts w:hint="eastAsia" w:ascii="仿宋_GB2312" w:hAnsi="仿宋_GB2312" w:eastAsia="仿宋_GB2312" w:cs="仿宋_GB2312"/>
                <w:color w:val="0C0C0C"/>
                <w:szCs w:val="21"/>
                <w:highlight w:val="none"/>
                <w:lang w:eastAsia="zh-CN"/>
              </w:rPr>
              <w:t>的单位</w:t>
            </w:r>
            <w:r>
              <w:rPr>
                <w:rFonts w:hint="eastAsia" w:ascii="仿宋_GB2312" w:hAnsi="仿宋_GB2312" w:eastAsia="仿宋_GB2312" w:cs="仿宋_GB2312"/>
                <w:color w:val="0C0C0C"/>
                <w:szCs w:val="21"/>
                <w:highlight w:val="none"/>
              </w:rPr>
              <w:t>开展碳排放核算，编制碳排放报告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低碳工作计划</w:t>
            </w:r>
          </w:p>
        </w:tc>
        <w:tc>
          <w:tcPr>
            <w:tcW w:w="7328" w:type="dxa"/>
            <w:gridSpan w:val="4"/>
            <w:tcBorders>
              <w:bottom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制定企业碳中和或低碳行动计划并向社会公布</w:t>
            </w:r>
          </w:p>
        </w:tc>
        <w:tc>
          <w:tcPr>
            <w:tcW w:w="211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5</w:t>
            </w:r>
          </w:p>
        </w:tc>
        <w:tc>
          <w:tcPr>
            <w:tcW w:w="139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移动排放源结构及排放</w:t>
            </w: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车辆排放标准与新能源车推广指标</w:t>
            </w:r>
          </w:p>
        </w:tc>
        <w:tc>
          <w:tcPr>
            <w:tcW w:w="3669" w:type="dxa"/>
            <w:tcBorders>
              <w:top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运输和通勤车辆均</w:t>
            </w:r>
            <w:r>
              <w:rPr>
                <w:rFonts w:hint="eastAsia" w:ascii="仿宋_GB2312" w:hAnsi="仿宋_GB2312" w:eastAsia="仿宋_GB2312" w:cs="仿宋_GB2312"/>
                <w:color w:val="0C0C0C"/>
                <w:szCs w:val="21"/>
                <w:highlight w:val="none"/>
                <w:lang w:eastAsia="zh-CN"/>
              </w:rPr>
              <w:t>符合</w:t>
            </w:r>
            <w:r>
              <w:rPr>
                <w:rFonts w:hint="eastAsia"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比例不低于30%</w:t>
            </w:r>
          </w:p>
        </w:tc>
        <w:tc>
          <w:tcPr>
            <w:tcW w:w="3659" w:type="dxa"/>
            <w:gridSpan w:val="3"/>
            <w:tcBorders>
              <w:top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运输和通勤车辆均</w:t>
            </w:r>
            <w:r>
              <w:rPr>
                <w:rFonts w:hint="eastAsia" w:ascii="仿宋_GB2312" w:hAnsi="仿宋_GB2312" w:eastAsia="仿宋_GB2312" w:cs="仿宋_GB2312"/>
                <w:color w:val="0C0C0C"/>
                <w:szCs w:val="21"/>
                <w:highlight w:val="none"/>
                <w:lang w:eastAsia="zh-CN"/>
              </w:rPr>
              <w:t>符合</w:t>
            </w:r>
            <w:r>
              <w:rPr>
                <w:rFonts w:hint="eastAsia"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比例不低于15%</w:t>
            </w:r>
          </w:p>
        </w:tc>
        <w:tc>
          <w:tcPr>
            <w:tcW w:w="211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6</w:t>
            </w:r>
          </w:p>
        </w:tc>
        <w:tc>
          <w:tcPr>
            <w:tcW w:w="139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环境审核</w:t>
            </w: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清洁生产审核</w:t>
            </w:r>
          </w:p>
        </w:tc>
        <w:tc>
          <w:tcPr>
            <w:tcW w:w="7328" w:type="dxa"/>
            <w:gridSpan w:val="4"/>
            <w:tcBorders>
              <w:right w:val="single" w:color="000000" w:sz="4" w:space="0"/>
            </w:tcBorders>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按照《清洁生产审核办法》开展清洁生产审核，有完善的清洁生产管理机构，并持续开展清洁生产</w:t>
            </w:r>
          </w:p>
        </w:tc>
        <w:tc>
          <w:tcPr>
            <w:tcW w:w="2111" w:type="dxa"/>
            <w:tcBorders>
              <w:left w:val="single" w:color="000000"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绿色饭店认证</w:t>
            </w:r>
          </w:p>
        </w:tc>
        <w:tc>
          <w:tcPr>
            <w:tcW w:w="3945" w:type="dxa"/>
            <w:gridSpan w:val="2"/>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通过绿色饭店认证</w:t>
            </w:r>
          </w:p>
        </w:tc>
        <w:tc>
          <w:tcPr>
            <w:tcW w:w="3383" w:type="dxa"/>
            <w:gridSpan w:val="2"/>
            <w:tcBorders>
              <w:left w:val="single" w:color="auto"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按绿色饭店认证标准管理</w:t>
            </w:r>
          </w:p>
        </w:tc>
        <w:tc>
          <w:tcPr>
            <w:tcW w:w="2111" w:type="dxa"/>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建立环境管理体系</w:t>
            </w:r>
          </w:p>
        </w:tc>
        <w:tc>
          <w:tcPr>
            <w:tcW w:w="3945" w:type="dxa"/>
            <w:gridSpan w:val="2"/>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按照GB/T24001建立环境管理体系，并取得认证</w:t>
            </w:r>
          </w:p>
        </w:tc>
        <w:tc>
          <w:tcPr>
            <w:tcW w:w="3383" w:type="dxa"/>
            <w:gridSpan w:val="2"/>
            <w:tcBorders>
              <w:left w:val="single" w:color="auto"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建立环境管理制度，环境管理手册、程序文件及作业文件齐全</w:t>
            </w:r>
          </w:p>
        </w:tc>
        <w:tc>
          <w:tcPr>
            <w:tcW w:w="2111" w:type="dxa"/>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79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7</w:t>
            </w:r>
          </w:p>
        </w:tc>
        <w:tc>
          <w:tcPr>
            <w:tcW w:w="1395"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环境管理</w:t>
            </w:r>
          </w:p>
        </w:tc>
        <w:tc>
          <w:tcPr>
            <w:tcW w:w="2796" w:type="dxa"/>
            <w:gridSpan w:val="3"/>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原材料与消费品管理</w:t>
            </w:r>
          </w:p>
        </w:tc>
        <w:tc>
          <w:tcPr>
            <w:tcW w:w="9439" w:type="dxa"/>
            <w:gridSpan w:val="5"/>
            <w:tcBorders>
              <w:bottom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*装饰装修材料符合GB18580、GB18581、GB18582、GB18583、GB18584、GB18585、GB18586、GB18587、GB18597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79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9439" w:type="dxa"/>
            <w:gridSpan w:val="5"/>
            <w:tcBorders>
              <w:top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使用环保型洗浴和洗涤用品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90" w:type="dxa"/>
            <w:vMerge w:val="continue"/>
            <w:noWrap w:val="0"/>
            <w:vAlign w:val="center"/>
          </w:tcPr>
          <w:p>
            <w:pPr>
              <w:widowControl/>
              <w:jc w:val="center"/>
              <w:textAlignment w:val="center"/>
              <w:rPr>
                <w:rFonts w:ascii="仿宋_GB2312" w:hAnsi="仿宋_GB2312" w:eastAsia="仿宋_GB2312" w:cs="仿宋_GB2312"/>
                <w:color w:val="0C0C0C"/>
                <w:szCs w:val="21"/>
                <w:highlight w:val="none"/>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固体废物管理</w:t>
            </w:r>
          </w:p>
        </w:tc>
        <w:tc>
          <w:tcPr>
            <w:tcW w:w="9439" w:type="dxa"/>
            <w:gridSpan w:val="5"/>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一般固体废物按照GB18599相关规定执行；</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危险废物按照GB18597相关规定执行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790" w:type="dxa"/>
            <w:vMerge w:val="continue"/>
            <w:noWrap w:val="0"/>
            <w:vAlign w:val="center"/>
          </w:tcPr>
          <w:p>
            <w:pPr>
              <w:widowControl/>
              <w:snapToGrid w:val="0"/>
              <w:spacing w:line="240" w:lineRule="exact"/>
              <w:jc w:val="left"/>
              <w:textAlignment w:val="center"/>
              <w:rPr>
                <w:rFonts w:hint="eastAsia" w:ascii="仿宋" w:hAnsi="仿宋" w:eastAsia="仿宋" w:cs="仿宋"/>
                <w:color w:val="000000"/>
                <w:kern w:val="0"/>
                <w:sz w:val="20"/>
                <w:szCs w:val="20"/>
                <w:highlight w:val="none"/>
                <w:lang w:bidi="ar"/>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资源回收利用</w:t>
            </w:r>
          </w:p>
        </w:tc>
        <w:tc>
          <w:tcPr>
            <w:tcW w:w="7328" w:type="dxa"/>
            <w:gridSpan w:val="4"/>
            <w:tcBorders>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剩余肥皂/卫生纸等，废旧床单/毛巾等物品具备有效收集和再利用措施</w:t>
            </w:r>
          </w:p>
        </w:tc>
        <w:tc>
          <w:tcPr>
            <w:tcW w:w="2111" w:type="dxa"/>
            <w:tcBorders>
              <w:lef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90" w:type="dxa"/>
            <w:vMerge w:val="continue"/>
            <w:noWrap w:val="0"/>
            <w:vAlign w:val="center"/>
          </w:tcPr>
          <w:p>
            <w:pPr>
              <w:widowControl/>
              <w:snapToGrid w:val="0"/>
              <w:spacing w:line="240" w:lineRule="exact"/>
              <w:jc w:val="left"/>
              <w:textAlignment w:val="center"/>
              <w:rPr>
                <w:rFonts w:hint="eastAsia" w:ascii="仿宋" w:hAnsi="仿宋" w:eastAsia="仿宋" w:cs="仿宋"/>
                <w:color w:val="000000"/>
                <w:kern w:val="0"/>
                <w:sz w:val="20"/>
                <w:szCs w:val="20"/>
                <w:highlight w:val="none"/>
                <w:lang w:bidi="ar"/>
              </w:rPr>
            </w:pPr>
          </w:p>
        </w:tc>
        <w:tc>
          <w:tcPr>
            <w:tcW w:w="1395"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796" w:type="dxa"/>
            <w:gridSpan w:val="3"/>
            <w:noWrap w:val="0"/>
            <w:vAlign w:val="center"/>
          </w:tcPr>
          <w:p>
            <w:pPr>
              <w:widowControl/>
              <w:jc w:val="center"/>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kern w:val="0"/>
                <w:szCs w:val="21"/>
                <w:highlight w:val="none"/>
                <w:lang w:eastAsia="zh-CN" w:bidi="ar"/>
              </w:rPr>
              <w:t>生态环境行政处罚</w:t>
            </w:r>
          </w:p>
        </w:tc>
        <w:tc>
          <w:tcPr>
            <w:tcW w:w="7328" w:type="dxa"/>
            <w:gridSpan w:val="4"/>
            <w:tcBorders>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宋体" w:eastAsia="仿宋_GB2312"/>
                <w:color w:val="0C0C0C"/>
                <w:szCs w:val="21"/>
                <w:highlight w:val="none"/>
              </w:rPr>
              <w:t>近三年之内未受</w:t>
            </w:r>
            <w:r>
              <w:rPr>
                <w:rFonts w:hint="eastAsia" w:ascii="仿宋_GB2312" w:hAnsi="宋体" w:eastAsia="仿宋_GB2312"/>
                <w:color w:val="0C0C0C"/>
                <w:szCs w:val="21"/>
                <w:highlight w:val="none"/>
                <w:lang w:bidi="ar"/>
              </w:rPr>
              <w:t>到</w:t>
            </w:r>
            <w:r>
              <w:rPr>
                <w:rFonts w:hint="eastAsia" w:ascii="仿宋_GB2312" w:hAnsi="宋体" w:eastAsia="仿宋_GB2312"/>
                <w:color w:val="0C0C0C"/>
                <w:szCs w:val="21"/>
                <w:highlight w:val="none"/>
                <w:lang w:eastAsia="zh-CN"/>
              </w:rPr>
              <w:t>市区两级生态环境部门行政处罚</w:t>
            </w:r>
          </w:p>
        </w:tc>
        <w:tc>
          <w:tcPr>
            <w:tcW w:w="2111" w:type="dxa"/>
            <w:tcBorders>
              <w:lef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outlineLvl w:val="2"/>
        <w:rPr>
          <w:rFonts w:hint="eastAsia" w:ascii="黑体" w:hAnsi="黑体" w:eastAsia="黑体" w:cs="黑体"/>
          <w:sz w:val="32"/>
          <w:szCs w:val="32"/>
          <w:highlight w:val="none"/>
        </w:rPr>
      </w:pPr>
      <w:r>
        <w:rPr>
          <w:rFonts w:hint="eastAsia" w:ascii="仿宋_GB2312" w:hAnsi="仿宋_GB2312" w:eastAsia="仿宋_GB2312" w:cs="仿宋_GB2312"/>
          <w:sz w:val="28"/>
          <w:szCs w:val="28"/>
          <w:highlight w:val="none"/>
        </w:rPr>
        <w:br w:type="page"/>
      </w:r>
      <w:r>
        <w:rPr>
          <w:rFonts w:hint="eastAsia" w:ascii="黑体" w:hAnsi="黑体" w:eastAsia="黑体" w:cs="黑体"/>
          <w:sz w:val="32"/>
          <w:szCs w:val="32"/>
          <w:highlight w:val="none"/>
        </w:rPr>
        <w:t>2.6餐饮业（62）企业评价细则</w:t>
      </w:r>
    </w:p>
    <w:tbl>
      <w:tblPr>
        <w:tblStyle w:val="8"/>
        <w:tblW w:w="144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560"/>
        <w:gridCol w:w="2435"/>
        <w:gridCol w:w="3653"/>
        <w:gridCol w:w="3650"/>
        <w:gridCol w:w="20"/>
        <w:gridCol w:w="2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blHeader/>
          <w:jc w:val="center"/>
        </w:trPr>
        <w:tc>
          <w:tcPr>
            <w:tcW w:w="810" w:type="dxa"/>
            <w:noWrap w:val="0"/>
            <w:vAlign w:val="center"/>
          </w:tcPr>
          <w:p>
            <w:pPr>
              <w:widowControl/>
              <w:snapToGrid w:val="0"/>
              <w:spacing w:line="240" w:lineRule="exact"/>
              <w:jc w:val="center"/>
              <w:textAlignment w:val="center"/>
              <w:rPr>
                <w:rFonts w:hint="eastAsia" w:ascii="仿宋_GB2312" w:hAnsi="仿宋_GB2312" w:eastAsia="仿宋_GB2312" w:cs="仿宋_GB2312"/>
                <w:b/>
                <w:bCs/>
                <w:color w:val="000000"/>
                <w:kern w:val="0"/>
                <w:sz w:val="20"/>
                <w:szCs w:val="20"/>
                <w:highlight w:val="none"/>
                <w:lang w:bidi="ar"/>
              </w:rPr>
            </w:pPr>
            <w:r>
              <w:rPr>
                <w:rFonts w:hint="eastAsia" w:ascii="仿宋_GB2312" w:hAnsi="仿宋_GB2312" w:eastAsia="仿宋_GB2312" w:cs="仿宋_GB2312"/>
                <w:b/>
                <w:bCs/>
                <w:color w:val="000000"/>
                <w:kern w:val="0"/>
                <w:szCs w:val="21"/>
                <w:highlight w:val="none"/>
                <w:lang w:bidi="ar"/>
              </w:rPr>
              <w:t>序号</w:t>
            </w:r>
          </w:p>
        </w:tc>
        <w:tc>
          <w:tcPr>
            <w:tcW w:w="1560" w:type="dxa"/>
            <w:noWrap w:val="0"/>
            <w:vAlign w:val="center"/>
          </w:tcPr>
          <w:p>
            <w:pPr>
              <w:spacing w:beforeLines="0" w:afterLines="0" w:line="240" w:lineRule="exact"/>
              <w:jc w:val="center"/>
              <w:rPr>
                <w:rFonts w:hint="eastAsia" w:ascii="仿宋_GB2312" w:hAnsi="仿宋_GB2312" w:eastAsia="仿宋_GB2312" w:cs="仿宋_GB2312"/>
                <w:b/>
                <w:bCs/>
                <w:color w:val="000000"/>
                <w:sz w:val="24"/>
                <w:highlight w:val="none"/>
              </w:rPr>
            </w:pPr>
            <w:r>
              <w:rPr>
                <w:rFonts w:hint="eastAsia" w:ascii="仿宋_GB2312" w:hAnsi="仿宋_GB2312" w:eastAsia="仿宋_GB2312" w:cs="仿宋_GB2312"/>
                <w:b/>
                <w:color w:val="000000"/>
                <w:kern w:val="0"/>
                <w:szCs w:val="21"/>
                <w:highlight w:val="none"/>
              </w:rPr>
              <w:t>一级指标</w:t>
            </w:r>
          </w:p>
        </w:tc>
        <w:tc>
          <w:tcPr>
            <w:tcW w:w="2435" w:type="dxa"/>
            <w:noWrap w:val="0"/>
            <w:vAlign w:val="center"/>
          </w:tcPr>
          <w:p>
            <w:pPr>
              <w:spacing w:beforeLines="0" w:afterLines="0" w:line="240" w:lineRule="exact"/>
              <w:jc w:val="center"/>
              <w:rPr>
                <w:rFonts w:hint="eastAsia" w:ascii="仿宋_GB2312" w:hAnsi="仿宋_GB2312" w:eastAsia="仿宋_GB2312" w:cs="仿宋_GB2312"/>
                <w:b/>
                <w:bCs/>
                <w:color w:val="000000"/>
                <w:sz w:val="24"/>
                <w:highlight w:val="none"/>
              </w:rPr>
            </w:pPr>
            <w:r>
              <w:rPr>
                <w:rFonts w:hint="eastAsia" w:ascii="仿宋_GB2312" w:hAnsi="仿宋_GB2312" w:eastAsia="仿宋_GB2312" w:cs="仿宋_GB2312"/>
                <w:b/>
                <w:color w:val="000000"/>
                <w:kern w:val="0"/>
                <w:szCs w:val="21"/>
                <w:highlight w:val="none"/>
              </w:rPr>
              <w:t>二级指标</w:t>
            </w:r>
          </w:p>
        </w:tc>
        <w:tc>
          <w:tcPr>
            <w:tcW w:w="3653" w:type="dxa"/>
            <w:noWrap w:val="0"/>
            <w:vAlign w:val="center"/>
          </w:tcPr>
          <w:p>
            <w:pPr>
              <w:snapToGrid w:val="0"/>
              <w:spacing w:before="0" w:beforeLines="0" w:after="0" w:afterLines="0" w:line="240" w:lineRule="exact"/>
              <w:jc w:val="center"/>
              <w:rPr>
                <w:rFonts w:hint="eastAsia" w:ascii="仿宋_GB2312" w:hAnsi="仿宋_GB2312" w:eastAsia="仿宋_GB2312" w:cs="仿宋_GB2312"/>
                <w:b/>
                <w:bCs/>
                <w:color w:val="000000"/>
                <w:sz w:val="24"/>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3650" w:type="dxa"/>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2377" w:type="dxa"/>
            <w:gridSpan w:val="2"/>
            <w:noWrap w:val="0"/>
            <w:vAlign w:val="center"/>
          </w:tcPr>
          <w:p>
            <w:pPr>
              <w:snapToGrid w:val="0"/>
              <w:spacing w:before="63" w:beforeLines="20" w:after="63" w:afterLines="20"/>
              <w:jc w:val="center"/>
              <w:rPr>
                <w:rFonts w:hint="eastAsia" w:ascii="仿宋_GB2312" w:hAnsi="仿宋_GB2312" w:eastAsia="仿宋_GB2312" w:cs="仿宋_GB2312"/>
                <w:b/>
                <w:bCs/>
                <w:color w:val="000000"/>
                <w:sz w:val="24"/>
                <w:highlight w:val="none"/>
              </w:rPr>
            </w:pPr>
            <w:r>
              <w:rPr>
                <w:rFonts w:hint="eastAsia" w:ascii="仿宋_GB2312" w:hAnsi="仿宋_GB2312" w:eastAsia="仿宋_GB2312" w:cs="仿宋_GB2312"/>
                <w:b/>
                <w:bCs/>
                <w:szCs w:val="21"/>
                <w:highlight w:val="none"/>
              </w:rPr>
              <w:t>普通合法企业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81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经营场所</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空调系统</w:t>
            </w:r>
          </w:p>
        </w:tc>
        <w:tc>
          <w:tcPr>
            <w:tcW w:w="7303"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中央空调应采用通风系统智能控制、变频调速等节能技术</w:t>
            </w:r>
            <w:r>
              <w:rPr>
                <w:rFonts w:hint="eastAsia" w:ascii="仿宋_GB2312" w:hAnsi="仿宋_GB2312" w:eastAsia="仿宋_GB2312" w:cs="仿宋_GB2312"/>
                <w:color w:val="0C0C0C"/>
                <w:szCs w:val="21"/>
                <w:highlight w:val="none"/>
                <w:lang w:eastAsia="zh-CN"/>
              </w:rPr>
              <w:t>；</w:t>
            </w:r>
          </w:p>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分体空调应加装独立的智能型节电器及其他节能技术</w:t>
            </w:r>
          </w:p>
        </w:tc>
        <w:tc>
          <w:tcPr>
            <w:tcW w:w="2377" w:type="dxa"/>
            <w:gridSpan w:val="2"/>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采暖系统</w:t>
            </w:r>
          </w:p>
        </w:tc>
        <w:tc>
          <w:tcPr>
            <w:tcW w:w="3653"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3650" w:type="dxa"/>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377" w:type="dxa"/>
            <w:gridSpan w:val="2"/>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照明系统</w:t>
            </w:r>
          </w:p>
        </w:tc>
        <w:tc>
          <w:tcPr>
            <w:tcW w:w="7303" w:type="dxa"/>
            <w:gridSpan w:val="2"/>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节能灯使用率为100%</w:t>
            </w:r>
          </w:p>
        </w:tc>
        <w:tc>
          <w:tcPr>
            <w:tcW w:w="2377" w:type="dxa"/>
            <w:gridSpan w:val="2"/>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3653"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3650" w:type="dxa"/>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2377" w:type="dxa"/>
            <w:gridSpan w:val="2"/>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水资源和能源</w:t>
            </w:r>
          </w:p>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利用</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单位餐次取水量</w:t>
            </w:r>
          </w:p>
        </w:tc>
        <w:tc>
          <w:tcPr>
            <w:tcW w:w="3653" w:type="dxa"/>
            <w:tcBorders>
              <w:right w:val="single" w:color="auto" w:sz="4" w:space="0"/>
            </w:tcBorders>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≤20L/(人·餐)</w:t>
            </w:r>
          </w:p>
        </w:tc>
        <w:tc>
          <w:tcPr>
            <w:tcW w:w="3650" w:type="dxa"/>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≤30L/(人·餐)</w:t>
            </w:r>
          </w:p>
        </w:tc>
        <w:tc>
          <w:tcPr>
            <w:tcW w:w="2377" w:type="dxa"/>
            <w:gridSpan w:val="2"/>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单位餐次综合能耗</w:t>
            </w:r>
          </w:p>
        </w:tc>
        <w:tc>
          <w:tcPr>
            <w:tcW w:w="3653" w:type="dxa"/>
            <w:tcBorders>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≤0.6kgce/(人·餐)</w:t>
            </w:r>
          </w:p>
        </w:tc>
        <w:tc>
          <w:tcPr>
            <w:tcW w:w="3650" w:type="dxa"/>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≤0.8kgce/(人·餐)</w:t>
            </w:r>
          </w:p>
        </w:tc>
        <w:tc>
          <w:tcPr>
            <w:tcW w:w="2377" w:type="dxa"/>
            <w:gridSpan w:val="2"/>
            <w:noWrap w:val="0"/>
            <w:vAlign w:val="center"/>
          </w:tcPr>
          <w:p>
            <w:pPr>
              <w:widowControl/>
              <w:snapToGrid w:val="0"/>
              <w:spacing w:line="240" w:lineRule="exact"/>
              <w:jc w:val="left"/>
              <w:textAlignment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大气污染物排放管理</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油烟净化设施</w:t>
            </w:r>
          </w:p>
        </w:tc>
        <w:tc>
          <w:tcPr>
            <w:tcW w:w="7303" w:type="dxa"/>
            <w:gridSpan w:val="2"/>
            <w:noWrap w:val="0"/>
            <w:vAlign w:val="center"/>
          </w:tcPr>
          <w:p>
            <w:pPr>
              <w:widowControl/>
              <w:snapToGrid w:val="0"/>
              <w:spacing w:line="240" w:lineRule="exact"/>
              <w:jc w:val="left"/>
              <w:textAlignment w:val="center"/>
              <w:rPr>
                <w:rFonts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安装节能环保型废气治理设施</w:t>
            </w:r>
            <w:r>
              <w:rPr>
                <w:rFonts w:hint="eastAsia" w:ascii="仿宋_GB2312" w:hAnsi="仿宋_GB2312" w:eastAsia="仿宋_GB2312" w:cs="仿宋_GB2312"/>
                <w:color w:val="0C0C0C"/>
                <w:szCs w:val="21"/>
                <w:highlight w:val="none"/>
                <w:lang w:eastAsia="zh-CN"/>
              </w:rPr>
              <w:t>，</w:t>
            </w:r>
            <w:r>
              <w:rPr>
                <w:rFonts w:hint="eastAsia" w:ascii="仿宋_GB2312" w:hAnsi="仿宋_GB2312" w:eastAsia="仿宋_GB2312" w:cs="仿宋_GB2312"/>
                <w:color w:val="0C0C0C"/>
                <w:szCs w:val="21"/>
                <w:highlight w:val="none"/>
              </w:rPr>
              <w:t>治理设施正常运行</w:t>
            </w:r>
          </w:p>
        </w:tc>
        <w:tc>
          <w:tcPr>
            <w:tcW w:w="2377" w:type="dxa"/>
            <w:gridSpan w:val="2"/>
            <w:noWrap w:val="0"/>
            <w:vAlign w:val="center"/>
          </w:tcPr>
          <w:p>
            <w:pPr>
              <w:widowControl/>
              <w:snapToGrid w:val="0"/>
              <w:spacing w:line="240" w:lineRule="exact"/>
              <w:jc w:val="left"/>
              <w:textAlignment w:val="center"/>
              <w:rPr>
                <w:rFonts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安装废气治理设施,治理设施正常运行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监测点位和采样平台</w:t>
            </w:r>
          </w:p>
        </w:tc>
        <w:tc>
          <w:tcPr>
            <w:tcW w:w="9680"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按规定设置监测点位和采样平台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清洗、维护净化设备</w:t>
            </w:r>
          </w:p>
        </w:tc>
        <w:tc>
          <w:tcPr>
            <w:tcW w:w="9680"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按规定每月清洗、维护净化设备</w:t>
            </w:r>
            <w:r>
              <w:rPr>
                <w:rFonts w:hint="eastAsia" w:ascii="仿宋_GB2312" w:hAnsi="仿宋_GB2312" w:eastAsia="仿宋_GB2312" w:cs="仿宋_GB2312"/>
                <w:color w:val="0C0C0C"/>
                <w:szCs w:val="21"/>
                <w:highlight w:val="none"/>
                <w:lang w:eastAsia="zh-CN"/>
              </w:rPr>
              <w:t>，</w:t>
            </w:r>
            <w:r>
              <w:rPr>
                <w:rFonts w:hint="eastAsia" w:ascii="仿宋_GB2312" w:hAnsi="仿宋_GB2312" w:eastAsia="仿宋_GB2312" w:cs="仿宋_GB2312"/>
                <w:color w:val="0C0C0C"/>
                <w:szCs w:val="21"/>
                <w:highlight w:val="none"/>
              </w:rPr>
              <w:t>管线不存在跑风滴漏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废气排放</w:t>
            </w:r>
          </w:p>
        </w:tc>
        <w:tc>
          <w:tcPr>
            <w:tcW w:w="9680"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餐饮油烟排放</w:t>
            </w:r>
            <w:r>
              <w:rPr>
                <w:rFonts w:hint="eastAsia" w:ascii="仿宋_GB2312" w:hAnsi="仿宋_GB2312" w:eastAsia="仿宋_GB2312" w:cs="仿宋_GB2312"/>
                <w:color w:val="0C0C0C"/>
                <w:szCs w:val="21"/>
                <w:highlight w:val="none"/>
                <w:lang w:eastAsia="zh-CN"/>
              </w:rPr>
              <w:t>执行</w:t>
            </w:r>
            <w:r>
              <w:rPr>
                <w:rFonts w:hint="eastAsia" w:ascii="仿宋_GB2312" w:hAnsi="仿宋_GB2312" w:eastAsia="仿宋_GB2312" w:cs="仿宋_GB2312"/>
                <w:color w:val="0C0C0C"/>
                <w:szCs w:val="21"/>
                <w:highlight w:val="none"/>
              </w:rPr>
              <w:t>DB11/1488</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锅炉废气排放</w:t>
            </w:r>
            <w:r>
              <w:rPr>
                <w:rFonts w:hint="eastAsia" w:ascii="仿宋_GB2312" w:hAnsi="仿宋_GB2312" w:eastAsia="仿宋_GB2312" w:cs="仿宋_GB2312"/>
                <w:color w:val="0C0C0C"/>
                <w:szCs w:val="21"/>
                <w:highlight w:val="none"/>
                <w:lang w:eastAsia="zh-CN"/>
              </w:rPr>
              <w:t>执行</w:t>
            </w:r>
            <w:r>
              <w:rPr>
                <w:rFonts w:hint="eastAsia" w:ascii="仿宋_GB2312" w:hAnsi="仿宋_GB2312" w:eastAsia="仿宋_GB2312" w:cs="仿宋_GB2312"/>
                <w:color w:val="0C0C0C"/>
                <w:szCs w:val="21"/>
                <w:highlight w:val="none"/>
              </w:rPr>
              <w:t>DB11/139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水污染物排放管理</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单位餐次废水产生量</w:t>
            </w:r>
          </w:p>
        </w:tc>
        <w:tc>
          <w:tcPr>
            <w:tcW w:w="3653" w:type="dxa"/>
            <w:tcBorders>
              <w:right w:val="single" w:color="auto" w:sz="4" w:space="0"/>
            </w:tcBorders>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≤18L/(人·餐)</w:t>
            </w:r>
          </w:p>
        </w:tc>
        <w:tc>
          <w:tcPr>
            <w:tcW w:w="3650" w:type="dxa"/>
            <w:tcBorders>
              <w:left w:val="single" w:color="auto"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≤27L/(人·餐)</w:t>
            </w:r>
          </w:p>
        </w:tc>
        <w:tc>
          <w:tcPr>
            <w:tcW w:w="2377" w:type="dxa"/>
            <w:gridSpan w:val="2"/>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污</w:t>
            </w:r>
            <w:r>
              <w:rPr>
                <w:rFonts w:hint="eastAsia" w:ascii="仿宋_GB2312" w:hAnsi="仿宋_GB2312" w:eastAsia="仿宋_GB2312" w:cs="仿宋_GB2312"/>
                <w:color w:val="0C0C0C"/>
                <w:szCs w:val="21"/>
                <w:highlight w:val="none"/>
              </w:rPr>
              <w:t>水排放</w:t>
            </w:r>
          </w:p>
        </w:tc>
        <w:tc>
          <w:tcPr>
            <w:tcW w:w="9680"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污</w:t>
            </w:r>
            <w:r>
              <w:rPr>
                <w:rFonts w:hint="eastAsia" w:ascii="仿宋_GB2312" w:hAnsi="仿宋_GB2312" w:eastAsia="仿宋_GB2312" w:cs="仿宋_GB2312"/>
                <w:color w:val="0C0C0C"/>
                <w:szCs w:val="21"/>
                <w:highlight w:val="none"/>
              </w:rPr>
              <w:t>水排放执行DB11/307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污</w:t>
            </w:r>
            <w:r>
              <w:rPr>
                <w:rFonts w:hint="eastAsia" w:ascii="仿宋_GB2312" w:hAnsi="仿宋_GB2312" w:eastAsia="仿宋_GB2312" w:cs="仿宋_GB2312"/>
                <w:color w:val="0C0C0C"/>
                <w:szCs w:val="21"/>
                <w:highlight w:val="none"/>
              </w:rPr>
              <w:t>水排放管理</w:t>
            </w:r>
          </w:p>
        </w:tc>
        <w:tc>
          <w:tcPr>
            <w:tcW w:w="9680" w:type="dxa"/>
            <w:gridSpan w:val="4"/>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污水排入环境水体的餐饮企业必须建立污水处理设施；</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污水排入城市排水管网的餐饮企业必须设置隔油和残渣过滤装置；</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不得将残渣直接排入下水道；隔油与残渣过滤装置应定期清理；隔油设施不应设在厨房、饮食制作间及其他有卫生要求的空间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810" w:type="dxa"/>
            <w:vMerge w:val="restart"/>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5</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固体废物管理</w:t>
            </w:r>
          </w:p>
        </w:tc>
        <w:tc>
          <w:tcPr>
            <w:tcW w:w="2435" w:type="dxa"/>
            <w:tcBorders>
              <w:bottom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固体废物管理</w:t>
            </w:r>
          </w:p>
        </w:tc>
        <w:tc>
          <w:tcPr>
            <w:tcW w:w="9680" w:type="dxa"/>
            <w:gridSpan w:val="4"/>
            <w:tcBorders>
              <w:bottom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w:t>
            </w:r>
            <w:r>
              <w:rPr>
                <w:rFonts w:hint="eastAsia" w:ascii="仿宋_GB2312" w:hAnsi="仿宋_GB2312" w:eastAsia="仿宋_GB2312" w:cs="仿宋_GB2312"/>
                <w:color w:val="0C0C0C"/>
                <w:szCs w:val="21"/>
                <w:highlight w:val="none"/>
                <w:lang w:eastAsia="zh-CN"/>
              </w:rPr>
              <w:t>管理执行</w:t>
            </w:r>
            <w:r>
              <w:rPr>
                <w:rFonts w:hint="eastAsia" w:ascii="仿宋_GB2312" w:hAnsi="仿宋_GB2312" w:eastAsia="仿宋_GB2312" w:cs="仿宋_GB2312"/>
                <w:color w:val="0C0C0C"/>
                <w:szCs w:val="21"/>
                <w:highlight w:val="none"/>
              </w:rPr>
              <w:t>GB18599；</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危险废物</w:t>
            </w:r>
            <w:r>
              <w:rPr>
                <w:rFonts w:hint="eastAsia" w:ascii="仿宋_GB2312" w:hAnsi="仿宋_GB2312" w:eastAsia="仿宋_GB2312" w:cs="仿宋_GB2312"/>
                <w:color w:val="0C0C0C"/>
                <w:szCs w:val="21"/>
                <w:highlight w:val="none"/>
                <w:lang w:eastAsia="zh-CN"/>
              </w:rPr>
              <w:t>管理执行</w:t>
            </w:r>
            <w:r>
              <w:rPr>
                <w:rFonts w:hint="eastAsia" w:ascii="仿宋_GB2312" w:hAnsi="仿宋_GB2312" w:eastAsia="仿宋_GB2312" w:cs="仿宋_GB2312"/>
                <w:color w:val="0C0C0C"/>
                <w:szCs w:val="21"/>
                <w:highlight w:val="none"/>
              </w:rPr>
              <w:t>GB18597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tcBorders>
              <w:top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餐厨垃圾管理</w:t>
            </w:r>
          </w:p>
        </w:tc>
        <w:tc>
          <w:tcPr>
            <w:tcW w:w="9680" w:type="dxa"/>
            <w:gridSpan w:val="4"/>
            <w:tcBorders>
              <w:top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餐厨垃圾与非餐厨垃圾分开收集；</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餐厨垃圾中的厨余垃圾和废弃食用油脂应当分别单独收集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tcBorders>
              <w:top w:val="single" w:color="auto" w:sz="4" w:space="0"/>
            </w:tcBorders>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废弃油脂管理</w:t>
            </w:r>
          </w:p>
        </w:tc>
        <w:tc>
          <w:tcPr>
            <w:tcW w:w="7303" w:type="dxa"/>
            <w:gridSpan w:val="2"/>
            <w:tcBorders>
              <w:top w:val="single" w:color="auto" w:sz="4" w:space="0"/>
              <w:righ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废弃油脂及时收集并使用专用密闭容器盛放，安排专人管理；</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定期统计废弃油脂的种类、数量和去向以及防止污染的设施；</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除直接作为废物排放外，交由有资质的机构进行处理处置</w:t>
            </w:r>
          </w:p>
        </w:tc>
        <w:tc>
          <w:tcPr>
            <w:tcW w:w="2377" w:type="dxa"/>
            <w:gridSpan w:val="2"/>
            <w:tcBorders>
              <w:left w:val="single" w:color="auto" w:sz="4" w:space="0"/>
            </w:tcBorders>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810" w:type="dxa"/>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6</w:t>
            </w:r>
          </w:p>
        </w:tc>
        <w:tc>
          <w:tcPr>
            <w:tcW w:w="156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噪声管理</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噪声管理</w:t>
            </w:r>
          </w:p>
        </w:tc>
        <w:tc>
          <w:tcPr>
            <w:tcW w:w="9680" w:type="dxa"/>
            <w:gridSpan w:val="4"/>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噪声</w:t>
            </w:r>
            <w:r>
              <w:rPr>
                <w:rFonts w:hint="eastAsia" w:ascii="仿宋_GB2312" w:hAnsi="仿宋_GB2312" w:eastAsia="仿宋_GB2312" w:cs="仿宋_GB2312"/>
                <w:color w:val="0C0C0C"/>
                <w:szCs w:val="21"/>
                <w:highlight w:val="none"/>
                <w:lang w:eastAsia="zh-CN"/>
              </w:rPr>
              <w:t>排放</w:t>
            </w:r>
            <w:r>
              <w:rPr>
                <w:rFonts w:hint="eastAsia" w:ascii="仿宋_GB2312" w:hAnsi="仿宋_GB2312" w:eastAsia="仿宋_GB2312" w:cs="仿宋_GB2312"/>
                <w:color w:val="0C0C0C"/>
                <w:szCs w:val="21"/>
                <w:highlight w:val="none"/>
              </w:rPr>
              <w:t>执行GB22337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jc w:val="center"/>
        </w:trPr>
        <w:tc>
          <w:tcPr>
            <w:tcW w:w="81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7</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碳排放管理</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碳市场履约</w:t>
            </w:r>
          </w:p>
        </w:tc>
        <w:tc>
          <w:tcPr>
            <w:tcW w:w="9680" w:type="dxa"/>
            <w:gridSpan w:val="4"/>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北京市重点碳排放单位[年二氧化碳排放</w:t>
            </w:r>
            <w:r>
              <w:rPr>
                <w:rFonts w:hint="eastAsia" w:ascii="仿宋_GB2312" w:hAnsi="仿宋_GB2312" w:eastAsia="仿宋_GB2312" w:cs="仿宋_GB2312"/>
                <w:color w:val="0C0C0C"/>
                <w:szCs w:val="21"/>
                <w:highlight w:val="none"/>
                <w:lang w:eastAsia="zh-CN"/>
              </w:rPr>
              <w:t>量</w:t>
            </w:r>
            <w:r>
              <w:rPr>
                <w:rFonts w:hint="eastAsia" w:ascii="仿宋_GB2312" w:hAnsi="仿宋_GB2312" w:eastAsia="仿宋_GB2312" w:cs="仿宋_GB2312"/>
                <w:color w:val="0C0C0C"/>
                <w:szCs w:val="21"/>
                <w:highlight w:val="none"/>
              </w:rPr>
              <w:t>5000吨</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及以上]按时提交碳排放报告和第三方核查报告，并按要求履约，开展碳资产管理；</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北京市一般报告单位[年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w:t>
            </w:r>
            <w:r>
              <w:rPr>
                <w:rFonts w:hint="eastAsia" w:ascii="仿宋_GB2312" w:hAnsi="仿宋_GB2312" w:eastAsia="仿宋_GB2312" w:cs="仿宋_GB2312"/>
                <w:color w:val="0C0C0C"/>
                <w:szCs w:val="21"/>
                <w:highlight w:val="none"/>
              </w:rPr>
              <w:t>量2000吨标</w:t>
            </w:r>
            <w:r>
              <w:rPr>
                <w:rFonts w:hint="eastAsia" w:ascii="仿宋_GB2312" w:hAnsi="仿宋_GB2312" w:eastAsia="仿宋_GB2312" w:cs="仿宋_GB2312"/>
                <w:color w:val="0C0C0C"/>
                <w:szCs w:val="21"/>
                <w:highlight w:val="none"/>
                <w:lang w:eastAsia="zh-CN"/>
              </w:rPr>
              <w:t>准</w:t>
            </w:r>
            <w:r>
              <w:rPr>
                <w:rFonts w:hint="eastAsia" w:ascii="仿宋_GB2312" w:hAnsi="仿宋_GB2312" w:eastAsia="仿宋_GB2312" w:cs="仿宋_GB2312"/>
                <w:color w:val="0C0C0C"/>
                <w:szCs w:val="21"/>
                <w:highlight w:val="none"/>
              </w:rPr>
              <w:t>煤</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费总量</w:t>
            </w:r>
            <w:r>
              <w:rPr>
                <w:rFonts w:hint="eastAsia" w:ascii="仿宋_GB2312" w:hAnsi="仿宋_GB2312" w:eastAsia="仿宋_GB2312" w:cs="仿宋_GB2312"/>
                <w:color w:val="0C0C0C"/>
                <w:szCs w:val="21"/>
                <w:highlight w:val="none"/>
              </w:rPr>
              <w:t>2000吨标准煤以下</w:t>
            </w:r>
            <w:r>
              <w:rPr>
                <w:rFonts w:hint="eastAsia" w:ascii="仿宋_GB2312" w:hAnsi="仿宋_GB2312" w:eastAsia="仿宋_GB2312" w:cs="仿宋_GB2312"/>
                <w:color w:val="0C0C0C"/>
                <w:szCs w:val="21"/>
                <w:highlight w:val="none"/>
                <w:lang w:eastAsia="zh-CN"/>
              </w:rPr>
              <w:t>的单位</w:t>
            </w:r>
            <w:r>
              <w:rPr>
                <w:rFonts w:hint="eastAsia" w:ascii="仿宋_GB2312" w:hAnsi="仿宋_GB2312" w:eastAsia="仿宋_GB2312" w:cs="仿宋_GB2312"/>
                <w:color w:val="0C0C0C"/>
                <w:szCs w:val="21"/>
                <w:highlight w:val="none"/>
              </w:rPr>
              <w:t>开展碳排放核算，编制碳排放报告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81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低碳工作计划</w:t>
            </w:r>
          </w:p>
        </w:tc>
        <w:tc>
          <w:tcPr>
            <w:tcW w:w="7323" w:type="dxa"/>
            <w:gridSpan w:val="3"/>
            <w:tcBorders>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制定企业碳中和或低碳行动计划并向社会公布</w:t>
            </w:r>
          </w:p>
        </w:tc>
        <w:tc>
          <w:tcPr>
            <w:tcW w:w="2357" w:type="dxa"/>
            <w:tcBorders>
              <w:lef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81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8</w:t>
            </w:r>
          </w:p>
        </w:tc>
        <w:tc>
          <w:tcPr>
            <w:tcW w:w="1560"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移动排放源结构及排放</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车辆排放标准与新能源车推广指标</w:t>
            </w:r>
          </w:p>
        </w:tc>
        <w:tc>
          <w:tcPr>
            <w:tcW w:w="3653" w:type="dxa"/>
            <w:tcBorders>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运输和通勤车辆均</w:t>
            </w:r>
            <w:r>
              <w:rPr>
                <w:rFonts w:hint="eastAsia" w:ascii="仿宋_GB2312" w:hAnsi="仿宋_GB2312" w:eastAsia="仿宋_GB2312" w:cs="仿宋_GB2312"/>
                <w:color w:val="0C0C0C"/>
                <w:szCs w:val="21"/>
                <w:highlight w:val="none"/>
                <w:lang w:eastAsia="zh-CN"/>
              </w:rPr>
              <w:t>符合</w:t>
            </w:r>
            <w:r>
              <w:rPr>
                <w:rFonts w:hint="eastAsia"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比例不低于30%</w:t>
            </w:r>
          </w:p>
        </w:tc>
        <w:tc>
          <w:tcPr>
            <w:tcW w:w="3670" w:type="dxa"/>
            <w:gridSpan w:val="2"/>
            <w:tcBorders>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运输和通勤车辆均</w:t>
            </w:r>
            <w:r>
              <w:rPr>
                <w:rFonts w:hint="eastAsia" w:ascii="仿宋_GB2312" w:hAnsi="仿宋_GB2312" w:eastAsia="仿宋_GB2312" w:cs="仿宋_GB2312"/>
                <w:color w:val="0C0C0C"/>
                <w:szCs w:val="21"/>
                <w:highlight w:val="none"/>
                <w:lang w:eastAsia="zh-CN"/>
              </w:rPr>
              <w:t>符合</w:t>
            </w:r>
            <w:r>
              <w:rPr>
                <w:rFonts w:hint="eastAsia"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比例不低于15%</w:t>
            </w:r>
          </w:p>
        </w:tc>
        <w:tc>
          <w:tcPr>
            <w:tcW w:w="2357" w:type="dxa"/>
            <w:tcBorders>
              <w:lef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810" w:type="dxa"/>
            <w:vMerge w:val="restart"/>
            <w:noWrap w:val="0"/>
            <w:vAlign w:val="center"/>
          </w:tcPr>
          <w:p>
            <w:pPr>
              <w:snapToGrid w:val="0"/>
              <w:spacing w:line="240" w:lineRule="exact"/>
              <w:jc w:val="center"/>
              <w:rPr>
                <w:rFonts w:hint="eastAsia" w:ascii="仿宋" w:hAnsi="仿宋" w:eastAsia="仿宋" w:cs="仿宋"/>
                <w:color w:val="000000"/>
                <w:sz w:val="24"/>
                <w:highlight w:val="none"/>
              </w:rPr>
            </w:pPr>
            <w:r>
              <w:rPr>
                <w:rFonts w:hint="eastAsia" w:ascii="仿宋_GB2312" w:hAnsi="仿宋_GB2312" w:eastAsia="仿宋_GB2312" w:cs="仿宋_GB2312"/>
                <w:color w:val="0C0C0C"/>
                <w:szCs w:val="21"/>
                <w:highlight w:val="none"/>
              </w:rPr>
              <w:t>9</w:t>
            </w:r>
          </w:p>
        </w:tc>
        <w:tc>
          <w:tcPr>
            <w:tcW w:w="1560"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环境管理</w:t>
            </w: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一次性餐具使用</w:t>
            </w:r>
          </w:p>
        </w:tc>
        <w:tc>
          <w:tcPr>
            <w:tcW w:w="7303" w:type="dxa"/>
            <w:gridSpan w:val="2"/>
            <w:tcBorders>
              <w:righ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不使用一次性发泡塑料餐具、一次性木制筷子</w:t>
            </w:r>
          </w:p>
        </w:tc>
        <w:tc>
          <w:tcPr>
            <w:tcW w:w="2377" w:type="dxa"/>
            <w:gridSpan w:val="2"/>
            <w:tcBorders>
              <w:left w:val="single" w:color="auto" w:sz="4" w:space="0"/>
            </w:tcBorders>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810" w:type="dxa"/>
            <w:vMerge w:val="continue"/>
            <w:noWrap w:val="0"/>
            <w:vAlign w:val="center"/>
          </w:tcPr>
          <w:p>
            <w:pPr>
              <w:snapToGrid w:val="0"/>
              <w:spacing w:line="240" w:lineRule="exact"/>
              <w:jc w:val="center"/>
              <w:rPr>
                <w:rFonts w:hint="eastAsia" w:ascii="仿宋" w:hAnsi="仿宋" w:eastAsia="仿宋" w:cs="仿宋"/>
                <w:color w:val="000000"/>
                <w:sz w:val="24"/>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洗涤剂使用</w:t>
            </w:r>
          </w:p>
        </w:tc>
        <w:tc>
          <w:tcPr>
            <w:tcW w:w="7303"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使用环保型洗涤剂</w:t>
            </w:r>
          </w:p>
        </w:tc>
        <w:tc>
          <w:tcPr>
            <w:tcW w:w="2377"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810" w:type="dxa"/>
            <w:vMerge w:val="continue"/>
            <w:noWrap w:val="0"/>
            <w:vAlign w:val="center"/>
          </w:tcPr>
          <w:p>
            <w:pPr>
              <w:snapToGrid w:val="0"/>
              <w:spacing w:line="240" w:lineRule="exact"/>
              <w:jc w:val="center"/>
              <w:rPr>
                <w:rFonts w:hint="eastAsia" w:ascii="仿宋" w:hAnsi="仿宋" w:eastAsia="仿宋" w:cs="仿宋"/>
                <w:color w:val="000000"/>
                <w:sz w:val="24"/>
                <w:highlight w:val="none"/>
              </w:rPr>
            </w:pPr>
          </w:p>
        </w:tc>
        <w:tc>
          <w:tcPr>
            <w:tcW w:w="1560"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435" w:type="dxa"/>
            <w:noWrap w:val="0"/>
            <w:vAlign w:val="center"/>
          </w:tcPr>
          <w:p>
            <w:pPr>
              <w:widowControl/>
              <w:jc w:val="center"/>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kern w:val="0"/>
                <w:szCs w:val="21"/>
                <w:highlight w:val="none"/>
                <w:lang w:eastAsia="zh-CN" w:bidi="ar"/>
              </w:rPr>
              <w:t>生态环境行政处罚</w:t>
            </w:r>
          </w:p>
        </w:tc>
        <w:tc>
          <w:tcPr>
            <w:tcW w:w="7303"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宋体" w:eastAsia="仿宋_GB2312"/>
                <w:color w:val="0C0C0C"/>
                <w:szCs w:val="21"/>
                <w:highlight w:val="none"/>
              </w:rPr>
              <w:t>近三年之内未受</w:t>
            </w:r>
            <w:r>
              <w:rPr>
                <w:rFonts w:hint="eastAsia" w:ascii="仿宋_GB2312" w:hAnsi="宋体" w:eastAsia="仿宋_GB2312"/>
                <w:color w:val="0C0C0C"/>
                <w:szCs w:val="21"/>
                <w:highlight w:val="none"/>
                <w:lang w:bidi="ar"/>
              </w:rPr>
              <w:t>到</w:t>
            </w:r>
            <w:r>
              <w:rPr>
                <w:rFonts w:hint="eastAsia" w:ascii="仿宋_GB2312" w:hAnsi="宋体" w:eastAsia="仿宋_GB2312"/>
                <w:color w:val="0C0C0C"/>
                <w:szCs w:val="21"/>
                <w:highlight w:val="none"/>
                <w:lang w:eastAsia="zh-CN"/>
              </w:rPr>
              <w:t>市区两级生态环境部门行政处罚</w:t>
            </w:r>
          </w:p>
        </w:tc>
        <w:tc>
          <w:tcPr>
            <w:tcW w:w="2377"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rPr>
          <w:rFonts w:hint="eastAsia"/>
          <w:highlight w:val="none"/>
        </w:rPr>
      </w:pPr>
    </w:p>
    <w:p>
      <w:pPr>
        <w:outlineLvl w:val="2"/>
        <w:rPr>
          <w:rFonts w:ascii="黑体" w:hAnsi="黑体" w:eastAsia="黑体" w:cs="黑体"/>
          <w:sz w:val="32"/>
          <w:szCs w:val="32"/>
          <w:highlight w:val="none"/>
        </w:rPr>
      </w:pPr>
      <w:r>
        <w:rPr>
          <w:rFonts w:hint="eastAsia"/>
          <w:highlight w:val="none"/>
        </w:rPr>
        <w:br w:type="page"/>
      </w:r>
      <w:r>
        <w:rPr>
          <w:rFonts w:hint="eastAsia" w:ascii="黑体" w:hAnsi="黑体" w:eastAsia="黑体" w:cs="黑体"/>
          <w:sz w:val="32"/>
          <w:szCs w:val="32"/>
          <w:highlight w:val="none"/>
        </w:rPr>
        <w:t>2.7信息传输、软件和信息技术服务业（63、64、65）企业评价细则</w:t>
      </w:r>
    </w:p>
    <w:tbl>
      <w:tblPr>
        <w:tblStyle w:val="8"/>
        <w:tblW w:w="1433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86"/>
        <w:gridCol w:w="2024"/>
        <w:gridCol w:w="4101"/>
        <w:gridCol w:w="4126"/>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690"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186"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一级指标</w:t>
            </w:r>
          </w:p>
        </w:tc>
        <w:tc>
          <w:tcPr>
            <w:tcW w:w="2024"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二级指标</w:t>
            </w:r>
          </w:p>
        </w:tc>
        <w:tc>
          <w:tcPr>
            <w:tcW w:w="4101"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4126" w:type="dxa"/>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2212"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bCs/>
                <w:szCs w:val="21"/>
                <w:highlight w:val="none"/>
              </w:rPr>
              <w:t>普通合法企业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90" w:type="dxa"/>
            <w:vMerge w:val="restart"/>
            <w:noWrap w:val="0"/>
            <w:vAlign w:val="center"/>
          </w:tcPr>
          <w:p>
            <w:pPr>
              <w:spacing w:line="312" w:lineRule="auto"/>
              <w:jc w:val="center"/>
              <w:rPr>
                <w:rFonts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186" w:type="dxa"/>
            <w:vMerge w:val="restart"/>
            <w:noWrap w:val="0"/>
            <w:vAlign w:val="center"/>
          </w:tcPr>
          <w:p>
            <w:pPr>
              <w:widowControl/>
              <w:jc w:val="center"/>
              <w:textAlignment w:val="center"/>
              <w:rPr>
                <w:rFonts w:ascii="仿宋_GB2312" w:hAnsi="仿宋_GB2312" w:eastAsia="仿宋_GB2312" w:cs="仿宋_GB2312"/>
                <w:color w:val="0C0C0C"/>
                <w:szCs w:val="21"/>
                <w:highlight w:val="none"/>
                <w:lang w:val="en"/>
              </w:rPr>
            </w:pPr>
            <w:r>
              <w:rPr>
                <w:rFonts w:hint="eastAsia" w:ascii="仿宋_GB2312" w:hAnsi="仿宋_GB2312" w:eastAsia="仿宋_GB2312" w:cs="仿宋_GB2312"/>
                <w:color w:val="0C0C0C"/>
                <w:szCs w:val="21"/>
                <w:highlight w:val="none"/>
              </w:rPr>
              <w:t>办公楼宇</w:t>
            </w:r>
          </w:p>
        </w:tc>
        <w:tc>
          <w:tcPr>
            <w:tcW w:w="2024"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w:t>
            </w:r>
          </w:p>
        </w:tc>
        <w:tc>
          <w:tcPr>
            <w:tcW w:w="4101"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采用太阳能光热系统、太阳能光伏系统、地源热泵系统、空气源热泵热水系统其中之一</w:t>
            </w:r>
          </w:p>
        </w:tc>
        <w:tc>
          <w:tcPr>
            <w:tcW w:w="4126"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采用太阳能热水供应系统、LED照明灯具其中之一</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8227"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通过自建专线</w:t>
            </w:r>
            <w:r>
              <w:rPr>
                <w:rFonts w:hint="eastAsia" w:ascii="仿宋_GB2312" w:hAnsi="仿宋_GB2312" w:eastAsia="仿宋_GB2312" w:cs="仿宋_GB2312"/>
                <w:b w:val="0"/>
                <w:bCs w:val="0"/>
                <w:color w:val="0C0C0C"/>
                <w:szCs w:val="21"/>
                <w:highlight w:val="none"/>
              </w:rPr>
              <w:t>或者</w:t>
            </w:r>
            <w:r>
              <w:rPr>
                <w:rFonts w:hint="eastAsia" w:ascii="仿宋_GB2312" w:hAnsi="仿宋_GB2312" w:eastAsia="仿宋_GB2312" w:cs="仿宋_GB2312"/>
                <w:color w:val="0C0C0C"/>
                <w:szCs w:val="21"/>
                <w:highlight w:val="none"/>
              </w:rPr>
              <w:t>双边交易，</w:t>
            </w:r>
            <w:r>
              <w:rPr>
                <w:rFonts w:hint="eastAsia" w:ascii="仿宋_GB2312" w:hAnsi="仿宋_GB2312" w:eastAsia="仿宋_GB2312" w:cs="仿宋_GB2312"/>
                <w:b w:val="0"/>
                <w:bCs w:val="0"/>
                <w:color w:val="0C0C0C"/>
                <w:szCs w:val="21"/>
                <w:highlight w:val="none"/>
              </w:rPr>
              <w:t>或者</w:t>
            </w:r>
            <w:r>
              <w:rPr>
                <w:rFonts w:hint="eastAsia" w:ascii="仿宋_GB2312" w:hAnsi="仿宋_GB2312" w:eastAsia="仿宋_GB2312" w:cs="仿宋_GB2312"/>
                <w:color w:val="0C0C0C"/>
                <w:szCs w:val="21"/>
                <w:highlight w:val="none"/>
              </w:rPr>
              <w:t>购买绿色电力证书等方式使用绿色电力</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0439"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北京市重点碳排放单位[年二氧化碳排放</w:t>
            </w:r>
            <w:r>
              <w:rPr>
                <w:rFonts w:hint="eastAsia" w:ascii="仿宋_GB2312" w:hAnsi="仿宋_GB2312" w:eastAsia="仿宋_GB2312" w:cs="仿宋_GB2312"/>
                <w:color w:val="0C0C0C"/>
                <w:szCs w:val="21"/>
                <w:highlight w:val="none"/>
                <w:lang w:eastAsia="zh-CN"/>
              </w:rPr>
              <w:t>量</w:t>
            </w:r>
            <w:r>
              <w:rPr>
                <w:rFonts w:hint="eastAsia" w:ascii="仿宋_GB2312" w:hAnsi="仿宋_GB2312" w:eastAsia="仿宋_GB2312" w:cs="仿宋_GB2312"/>
                <w:color w:val="0C0C0C"/>
                <w:szCs w:val="21"/>
                <w:highlight w:val="none"/>
              </w:rPr>
              <w:t>5000吨</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及以上]按时提交碳排放报告和第三方核查报告，并按要求履约，开展碳资产管理；</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北京市一般二氧化碳报告单位[年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w:t>
            </w:r>
            <w:r>
              <w:rPr>
                <w:rFonts w:hint="eastAsia" w:ascii="仿宋_GB2312" w:hAnsi="仿宋_GB2312" w:eastAsia="仿宋_GB2312" w:cs="仿宋_GB2312"/>
                <w:color w:val="0C0C0C"/>
                <w:szCs w:val="21"/>
                <w:highlight w:val="none"/>
              </w:rPr>
              <w:t>量2000吨标</w:t>
            </w:r>
            <w:r>
              <w:rPr>
                <w:rFonts w:hint="eastAsia" w:ascii="仿宋_GB2312" w:hAnsi="仿宋_GB2312" w:eastAsia="仿宋_GB2312" w:cs="仿宋_GB2312"/>
                <w:color w:val="0C0C0C"/>
                <w:szCs w:val="21"/>
                <w:highlight w:val="none"/>
                <w:lang w:eastAsia="zh-CN"/>
              </w:rPr>
              <w:t>准</w:t>
            </w:r>
            <w:r>
              <w:rPr>
                <w:rFonts w:hint="eastAsia" w:ascii="仿宋_GB2312" w:hAnsi="仿宋_GB2312" w:eastAsia="仿宋_GB2312" w:cs="仿宋_GB2312"/>
                <w:color w:val="0C0C0C"/>
                <w:szCs w:val="21"/>
                <w:highlight w:val="none"/>
              </w:rPr>
              <w:t>煤</w:t>
            </w:r>
            <w:r>
              <w:rPr>
                <w:rFonts w:hint="eastAsia" w:ascii="仿宋_GB2312" w:hAnsi="仿宋_GB2312" w:eastAsia="仿宋_GB2312" w:cs="仿宋_GB2312"/>
                <w:color w:val="0C0C0C"/>
                <w:szCs w:val="21"/>
                <w:highlight w:val="none"/>
                <w:lang w:eastAsia="zh-CN"/>
              </w:rPr>
              <w:t>（含）</w:t>
            </w:r>
            <w:r>
              <w:rPr>
                <w:rFonts w:hint="eastAsia" w:ascii="仿宋_GB2312" w:hAnsi="仿宋_GB2312" w:eastAsia="仿宋_GB2312" w:cs="仿宋_GB2312"/>
                <w:color w:val="0C0C0C"/>
                <w:szCs w:val="21"/>
                <w:highlight w:val="none"/>
              </w:rPr>
              <w:t>及以上]按时提交碳排放报告；</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年</w:t>
            </w:r>
            <w:r>
              <w:rPr>
                <w:rFonts w:hint="eastAsia" w:ascii="仿宋_GB2312" w:hAnsi="仿宋_GB2312" w:eastAsia="仿宋_GB2312" w:cs="仿宋_GB2312"/>
                <w:color w:val="0C0C0C"/>
                <w:szCs w:val="21"/>
                <w:highlight w:val="none"/>
                <w:lang w:eastAsia="zh-CN"/>
              </w:rPr>
              <w:t>综合</w:t>
            </w:r>
            <w:r>
              <w:rPr>
                <w:rFonts w:hint="eastAsia" w:ascii="仿宋_GB2312" w:hAnsi="仿宋_GB2312" w:eastAsia="仿宋_GB2312" w:cs="仿宋_GB2312"/>
                <w:color w:val="0C0C0C"/>
                <w:szCs w:val="21"/>
                <w:highlight w:val="none"/>
              </w:rPr>
              <w:t>能源消</w:t>
            </w:r>
            <w:r>
              <w:rPr>
                <w:rFonts w:hint="eastAsia" w:ascii="仿宋_GB2312" w:hAnsi="仿宋_GB2312" w:eastAsia="仿宋_GB2312" w:cs="仿宋_GB2312"/>
                <w:color w:val="0C0C0C"/>
                <w:szCs w:val="21"/>
                <w:highlight w:val="none"/>
                <w:lang w:eastAsia="zh-CN"/>
              </w:rPr>
              <w:t>费总量</w:t>
            </w:r>
            <w:r>
              <w:rPr>
                <w:rFonts w:hint="eastAsia" w:ascii="仿宋_GB2312" w:hAnsi="仿宋_GB2312" w:eastAsia="仿宋_GB2312" w:cs="仿宋_GB2312"/>
                <w:color w:val="0C0C0C"/>
                <w:szCs w:val="21"/>
                <w:highlight w:val="none"/>
              </w:rPr>
              <w:t>2000吨标准煤以下</w:t>
            </w:r>
            <w:r>
              <w:rPr>
                <w:rFonts w:hint="eastAsia" w:ascii="仿宋_GB2312" w:hAnsi="仿宋_GB2312" w:eastAsia="仿宋_GB2312" w:cs="仿宋_GB2312"/>
                <w:color w:val="0C0C0C"/>
                <w:szCs w:val="21"/>
                <w:highlight w:val="none"/>
                <w:lang w:eastAsia="zh-CN"/>
              </w:rPr>
              <w:t>的单位</w:t>
            </w:r>
            <w:r>
              <w:rPr>
                <w:rFonts w:hint="eastAsia" w:ascii="仿宋_GB2312" w:hAnsi="仿宋_GB2312" w:eastAsia="仿宋_GB2312" w:cs="仿宋_GB2312"/>
                <w:color w:val="0C0C0C"/>
                <w:szCs w:val="21"/>
                <w:highlight w:val="none"/>
              </w:rPr>
              <w:t>开展碳排放核算，编制碳排放报告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8227" w:type="dxa"/>
            <w:gridSpan w:val="2"/>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制定企业碳中和或低碳行动计划并向社会公布</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污染物排放</w:t>
            </w:r>
          </w:p>
        </w:tc>
        <w:tc>
          <w:tcPr>
            <w:tcW w:w="10439"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若使用锅炉，废气排放执行DB11/139；有职工食堂的，后厨安装油烟净化设施，定期清洗并保证设施正常运行，废气排放执行DB11/1488；</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生活污水排入市政管网或自建污水处理站达标排放,排放执行DB11/307；</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w:t>
            </w:r>
            <w:r>
              <w:rPr>
                <w:rFonts w:hint="eastAsia" w:ascii="仿宋_GB2312" w:hAnsi="仿宋_GB2312" w:eastAsia="仿宋_GB2312" w:cs="仿宋_GB2312"/>
                <w:color w:val="0C0C0C"/>
                <w:szCs w:val="21"/>
                <w:highlight w:val="none"/>
                <w:lang w:eastAsia="zh-CN"/>
              </w:rPr>
              <w:t>执行</w:t>
            </w:r>
            <w:r>
              <w:rPr>
                <w:rFonts w:hint="eastAsia" w:ascii="仿宋_GB2312" w:hAnsi="仿宋_GB2312" w:eastAsia="仿宋_GB2312" w:cs="仿宋_GB2312"/>
                <w:color w:val="0C0C0C"/>
                <w:szCs w:val="21"/>
                <w:highlight w:val="none"/>
              </w:rPr>
              <w:t>GB18599,废灯管、废镉镍电池等危险废物</w:t>
            </w:r>
            <w:r>
              <w:rPr>
                <w:rFonts w:hint="eastAsia" w:ascii="仿宋_GB2312" w:hAnsi="仿宋_GB2312" w:eastAsia="仿宋_GB2312" w:cs="仿宋_GB2312"/>
                <w:color w:val="0C0C0C"/>
                <w:szCs w:val="21"/>
                <w:highlight w:val="none"/>
                <w:lang w:eastAsia="zh-CN"/>
              </w:rPr>
              <w:t>执行</w:t>
            </w:r>
            <w:r>
              <w:rPr>
                <w:rFonts w:hint="eastAsia" w:ascii="仿宋_GB2312" w:hAnsi="仿宋_GB2312" w:eastAsia="仿宋_GB2312" w:cs="仿宋_GB2312"/>
                <w:color w:val="0C0C0C"/>
                <w:szCs w:val="21"/>
                <w:highlight w:val="none"/>
              </w:rPr>
              <w:t>GB18597；</w:t>
            </w:r>
          </w:p>
          <w:p>
            <w:pPr>
              <w:widowControl/>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szCs w:val="21"/>
                <w:highlight w:val="none"/>
              </w:rPr>
              <w:t>噪声排放执行GB22337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szCs w:val="21"/>
                <w:highlight w:val="none"/>
                <w:vertAlign w:val="superscript"/>
              </w:rPr>
              <w:t>1</w:t>
            </w:r>
          </w:p>
        </w:tc>
        <w:tc>
          <w:tcPr>
            <w:tcW w:w="410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412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410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4126"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212"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10439"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能效标识设备</w:t>
            </w:r>
          </w:p>
        </w:tc>
        <w:tc>
          <w:tcPr>
            <w:tcW w:w="410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412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410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412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90" w:type="dxa"/>
            <w:vMerge w:val="continue"/>
            <w:noWrap w:val="0"/>
            <w:vAlign w:val="center"/>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人均排水量</w:t>
            </w:r>
          </w:p>
        </w:tc>
        <w:tc>
          <w:tcPr>
            <w:tcW w:w="4101" w:type="dxa"/>
            <w:noWrap w:val="0"/>
            <w:vAlign w:val="center"/>
          </w:tcPr>
          <w:p>
            <w:pPr>
              <w:widowControl/>
              <w:jc w:val="left"/>
              <w:textAlignment w:val="center"/>
              <w:rPr>
                <w:rFonts w:ascii="仿宋_GB2312" w:hAnsi="仿宋_GB2312" w:eastAsia="仿宋_GB2312" w:cs="仿宋_GB2312"/>
                <w:color w:val="0C0C0C"/>
                <w:szCs w:val="21"/>
                <w:highlight w:val="none"/>
                <w:lang w:val="en"/>
              </w:rPr>
            </w:pPr>
            <w:r>
              <w:rPr>
                <w:rFonts w:hint="eastAsia" w:ascii="仿宋_GB2312" w:hAnsi="仿宋_GB2312" w:eastAsia="仿宋_GB2312" w:cs="仿宋_GB2312"/>
                <w:color w:val="0C0C0C"/>
                <w:szCs w:val="21"/>
                <w:highlight w:val="none"/>
              </w:rPr>
              <w:t>≤13m</w:t>
            </w:r>
            <w:r>
              <w:rPr>
                <w:rFonts w:hint="eastAsia"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lang w:val="en"/>
              </w:rPr>
              <w:t>/(</w:t>
            </w:r>
            <w:r>
              <w:rPr>
                <w:rFonts w:hint="eastAsia" w:ascii="仿宋_GB2312" w:hAnsi="仿宋_GB2312" w:eastAsia="仿宋_GB2312" w:cs="仿宋_GB2312"/>
                <w:color w:val="0C0C0C"/>
                <w:szCs w:val="21"/>
                <w:highlight w:val="none"/>
                <w:lang w:val="en"/>
              </w:rPr>
              <w:t>人</w:t>
            </w:r>
            <w:r>
              <w:rPr>
                <w:rFonts w:hint="eastAsia" w:ascii="仿宋_GB2312" w:hAnsi="仿宋_GB2312" w:eastAsia="仿宋_GB2312" w:cs="仿宋_GB2312"/>
                <w:color w:val="0C0C0C"/>
                <w:szCs w:val="21"/>
                <w:highlight w:val="none"/>
              </w:rPr>
              <w:t>·a）</w:t>
            </w:r>
          </w:p>
        </w:tc>
        <w:tc>
          <w:tcPr>
            <w:tcW w:w="412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≤16m</w:t>
            </w:r>
            <w:r>
              <w:rPr>
                <w:rFonts w:hint="eastAsia" w:ascii="仿宋_GB2312" w:hAnsi="仿宋_GB2312" w:eastAsia="仿宋_GB2312" w:cs="仿宋_GB2312"/>
                <w:color w:val="0C0C0C"/>
                <w:szCs w:val="21"/>
                <w:highlight w:val="none"/>
                <w:vertAlign w:val="superscript"/>
              </w:rPr>
              <w:t>3</w:t>
            </w:r>
            <w:r>
              <w:rPr>
                <w:rFonts w:ascii="仿宋_GB2312" w:hAnsi="仿宋_GB2312" w:eastAsia="仿宋_GB2312" w:cs="仿宋_GB2312"/>
                <w:color w:val="0C0C0C"/>
                <w:szCs w:val="21"/>
                <w:highlight w:val="none"/>
                <w:lang w:val="en"/>
              </w:rPr>
              <w:t>/(</w:t>
            </w:r>
            <w:r>
              <w:rPr>
                <w:rFonts w:hint="eastAsia" w:ascii="仿宋_GB2312" w:hAnsi="仿宋_GB2312" w:eastAsia="仿宋_GB2312" w:cs="仿宋_GB2312"/>
                <w:color w:val="0C0C0C"/>
                <w:szCs w:val="21"/>
                <w:highlight w:val="none"/>
                <w:lang w:val="en"/>
              </w:rPr>
              <w:t>人</w:t>
            </w:r>
            <w:r>
              <w:rPr>
                <w:rFonts w:hint="eastAsia" w:ascii="仿宋_GB2312" w:hAnsi="仿宋_GB2312" w:eastAsia="仿宋_GB2312" w:cs="仿宋_GB2312"/>
                <w:color w:val="0C0C0C"/>
                <w:szCs w:val="21"/>
                <w:highlight w:val="none"/>
              </w:rPr>
              <w:t>·a）</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90" w:type="dxa"/>
            <w:vMerge w:val="restart"/>
            <w:noWrap w:val="0"/>
            <w:vAlign w:val="center"/>
          </w:tcPr>
          <w:p>
            <w:pPr>
              <w:spacing w:line="312" w:lineRule="auto"/>
              <w:jc w:val="center"/>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Cs/>
                <w:color w:val="000000"/>
                <w:kern w:val="0"/>
                <w:szCs w:val="21"/>
                <w:highlight w:val="none"/>
              </w:rPr>
              <w:t>2</w:t>
            </w:r>
          </w:p>
        </w:tc>
        <w:tc>
          <w:tcPr>
            <w:tcW w:w="1186" w:type="dxa"/>
            <w:vMerge w:val="restart"/>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基础设施建设和运营</w:t>
            </w: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数据中心信息（IT）设备及配套设备要求</w:t>
            </w:r>
          </w:p>
        </w:tc>
        <w:tc>
          <w:tcPr>
            <w:tcW w:w="8227"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w:t>
            </w:r>
            <w:r>
              <w:rPr>
                <w:rFonts w:hint="eastAsia" w:ascii="仿宋_GB2312" w:hAnsi="仿宋_GB2312" w:eastAsia="仿宋_GB2312" w:cs="仿宋_GB2312"/>
                <w:color w:val="0C0C0C"/>
                <w:szCs w:val="21"/>
                <w:highlight w:val="none"/>
                <w:lang w:val="en-US" w:eastAsia="zh-CN"/>
              </w:rPr>
              <w:t>.</w:t>
            </w:r>
            <w:r>
              <w:rPr>
                <w:rFonts w:hint="eastAsia" w:ascii="仿宋_GB2312" w:hAnsi="仿宋_GB2312" w:eastAsia="仿宋_GB2312" w:cs="仿宋_GB2312"/>
                <w:color w:val="0C0C0C"/>
                <w:szCs w:val="21"/>
                <w:highlight w:val="none"/>
              </w:rPr>
              <w:t>使用《国家通信业节能技术产品推荐目录》《节能节水专家设备企业所得税优惠目录》中的节能技术产品</w:t>
            </w:r>
          </w:p>
          <w:p>
            <w:pPr>
              <w:widowControl/>
              <w:snapToGrid w:val="0"/>
              <w:spacing w:line="240" w:lineRule="exact"/>
              <w:jc w:val="left"/>
              <w:textAlignment w:val="center"/>
              <w:rPr>
                <w:rFonts w:eastAsia="华文中宋"/>
                <w:highlight w:val="none"/>
              </w:rPr>
            </w:pPr>
            <w:r>
              <w:rPr>
                <w:rFonts w:hint="eastAsia" w:ascii="仿宋_GB2312" w:hAnsi="仿宋_GB2312" w:eastAsia="仿宋_GB2312" w:cs="仿宋_GB2312"/>
                <w:color w:val="0C0C0C"/>
                <w:szCs w:val="21"/>
                <w:highlight w:val="none"/>
              </w:rPr>
              <w:t>2</w:t>
            </w:r>
            <w:r>
              <w:rPr>
                <w:rFonts w:hint="eastAsia" w:ascii="仿宋_GB2312" w:hAnsi="仿宋_GB2312" w:eastAsia="仿宋_GB2312" w:cs="仿宋_GB2312"/>
                <w:color w:val="0C0C0C"/>
                <w:szCs w:val="21"/>
                <w:highlight w:val="none"/>
                <w:lang w:val="en-US" w:eastAsia="zh-CN"/>
              </w:rPr>
              <w:t>.</w:t>
            </w:r>
            <w:r>
              <w:rPr>
                <w:rFonts w:hint="eastAsia" w:ascii="仿宋_GB2312" w:hAnsi="仿宋_GB2312" w:eastAsia="仿宋_GB2312" w:cs="仿宋_GB2312"/>
                <w:color w:val="0C0C0C"/>
                <w:szCs w:val="21"/>
                <w:highlight w:val="none"/>
              </w:rPr>
              <w:t>符合《绿色数据中心政府采购需求标准（试行）》第7节要求</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数据中心能源效率（PUE）</w:t>
            </w:r>
          </w:p>
        </w:tc>
        <w:tc>
          <w:tcPr>
            <w:tcW w:w="4101"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1.2</w:t>
            </w:r>
          </w:p>
        </w:tc>
        <w:tc>
          <w:tcPr>
            <w:tcW w:w="4126"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1.3</w:t>
            </w:r>
          </w:p>
        </w:tc>
        <w:tc>
          <w:tcPr>
            <w:tcW w:w="2212" w:type="dxa"/>
            <w:noWrap w:val="0"/>
            <w:vAlign w:val="center"/>
          </w:tcPr>
          <w:p>
            <w:pPr>
              <w:widowControl/>
              <w:jc w:val="left"/>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kern w:val="2"/>
                <w:szCs w:val="21"/>
                <w:highlight w:val="none"/>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数据中心水利用效率（WUE）</w:t>
            </w:r>
          </w:p>
        </w:tc>
        <w:tc>
          <w:tcPr>
            <w:tcW w:w="410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1.71L/kWh</w:t>
            </w:r>
          </w:p>
        </w:tc>
        <w:tc>
          <w:tcPr>
            <w:tcW w:w="4126"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2L/kWh</w:t>
            </w:r>
          </w:p>
        </w:tc>
        <w:tc>
          <w:tcPr>
            <w:tcW w:w="2212" w:type="dxa"/>
            <w:noWrap w:val="0"/>
            <w:vAlign w:val="center"/>
          </w:tcPr>
          <w:p>
            <w:pPr>
              <w:widowControl/>
              <w:jc w:val="left"/>
              <w:rPr>
                <w:rFonts w:hint="eastAsia" w:ascii="瀹嬩綋" w:hAnsi="瀹嬩綋" w:cs="瀹嬩綋"/>
                <w:color w:val="666666"/>
                <w:kern w:val="0"/>
                <w:szCs w:val="21"/>
                <w:highlight w:val="none"/>
                <w:lang w:bidi="ar"/>
              </w:rPr>
            </w:pPr>
            <w:r>
              <w:rPr>
                <w:rFonts w:hint="eastAsia" w:ascii="仿宋_GB2312" w:hAnsi="仿宋_GB2312" w:eastAsia="仿宋_GB2312" w:cs="仿宋_GB2312"/>
                <w:color w:val="0C0C0C"/>
                <w:szCs w:val="21"/>
                <w:highlight w:val="none"/>
              </w:rPr>
              <w:t>不高于2.5L/kWh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90"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186" w:type="dxa"/>
            <w:vMerge w:val="continue"/>
            <w:noWrap w:val="0"/>
            <w:vAlign w:val="center"/>
          </w:tcPr>
          <w:p>
            <w:pPr>
              <w:widowControl/>
              <w:jc w:val="center"/>
              <w:textAlignment w:val="center"/>
              <w:rPr>
                <w:rFonts w:hint="eastAsia" w:ascii="仿宋_GB2312" w:hAnsi="仿宋_GB2312" w:eastAsia="仿宋_GB2312" w:cs="仿宋_GB2312"/>
                <w:color w:val="0C0C0C"/>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管理平台</w:t>
            </w:r>
          </w:p>
        </w:tc>
        <w:tc>
          <w:tcPr>
            <w:tcW w:w="4101" w:type="dxa"/>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建设数字化运营平台管理用能设施的能耗和碳排放</w:t>
            </w:r>
          </w:p>
        </w:tc>
        <w:tc>
          <w:tcPr>
            <w:tcW w:w="6338"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0" w:type="dxa"/>
            <w:noWrap w:val="0"/>
            <w:vAlign w:val="center"/>
          </w:tcPr>
          <w:p>
            <w:pPr>
              <w:spacing w:line="312" w:lineRule="auto"/>
              <w:jc w:val="center"/>
              <w:rPr>
                <w:rFonts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3</w:t>
            </w:r>
          </w:p>
        </w:tc>
        <w:tc>
          <w:tcPr>
            <w:tcW w:w="1186" w:type="dxa"/>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color w:val="000000"/>
                <w:kern w:val="0"/>
                <w:szCs w:val="21"/>
                <w:highlight w:val="none"/>
              </w:rPr>
              <w:t>移动排放源结构及排放</w:t>
            </w: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车辆排放标准与新能源车推广指标</w:t>
            </w:r>
          </w:p>
        </w:tc>
        <w:tc>
          <w:tcPr>
            <w:tcW w:w="4101" w:type="dxa"/>
            <w:noWrap w:val="0"/>
            <w:vAlign w:val="center"/>
          </w:tcPr>
          <w:p>
            <w:pPr>
              <w:widowControl/>
              <w:snapToGrid w:val="0"/>
              <w:spacing w:line="240" w:lineRule="exact"/>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运输</w:t>
            </w:r>
            <w:r>
              <w:rPr>
                <w:rFonts w:hint="eastAsia" w:ascii="仿宋_GB2312" w:hAnsi="仿宋_GB2312" w:eastAsia="仿宋_GB2312" w:cs="仿宋_GB2312"/>
                <w:color w:val="0C0C0C"/>
                <w:szCs w:val="21"/>
                <w:highlight w:val="none"/>
              </w:rPr>
              <w:t>和通勤</w:t>
            </w:r>
            <w:r>
              <w:rPr>
                <w:rFonts w:ascii="仿宋_GB2312" w:hAnsi="仿宋_GB2312" w:eastAsia="仿宋_GB2312" w:cs="仿宋_GB2312"/>
                <w:color w:val="0C0C0C"/>
                <w:szCs w:val="21"/>
                <w:highlight w:val="none"/>
              </w:rPr>
              <w:t>车辆均</w:t>
            </w:r>
            <w:r>
              <w:rPr>
                <w:rFonts w:hint="eastAsia" w:ascii="仿宋_GB2312" w:hAnsi="仿宋_GB2312" w:eastAsia="仿宋_GB2312" w:cs="仿宋_GB2312"/>
                <w:color w:val="0C0C0C"/>
                <w:szCs w:val="21"/>
                <w:highlight w:val="none"/>
                <w:lang w:eastAsia="zh-CN"/>
              </w:rPr>
              <w:t>符合</w:t>
            </w:r>
            <w:r>
              <w:rPr>
                <w:rFonts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ascii="仿宋_GB2312" w:hAnsi="仿宋_GB2312" w:eastAsia="仿宋_GB2312" w:cs="仿宋_GB2312"/>
                <w:color w:val="0C0C0C"/>
                <w:szCs w:val="21"/>
                <w:highlight w:val="none"/>
              </w:rPr>
              <w:t>比例不低于30%</w:t>
            </w:r>
          </w:p>
        </w:tc>
        <w:tc>
          <w:tcPr>
            <w:tcW w:w="4126" w:type="dxa"/>
            <w:noWrap w:val="0"/>
            <w:vAlign w:val="center"/>
          </w:tcPr>
          <w:p>
            <w:pPr>
              <w:widowControl/>
              <w:spacing w:line="240" w:lineRule="exact"/>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运输</w:t>
            </w:r>
            <w:r>
              <w:rPr>
                <w:rFonts w:hint="eastAsia" w:ascii="仿宋_GB2312" w:hAnsi="仿宋_GB2312" w:eastAsia="仿宋_GB2312" w:cs="仿宋_GB2312"/>
                <w:color w:val="0C0C0C"/>
                <w:szCs w:val="21"/>
                <w:highlight w:val="none"/>
              </w:rPr>
              <w:t>和通勤</w:t>
            </w:r>
            <w:r>
              <w:rPr>
                <w:rFonts w:ascii="仿宋_GB2312" w:hAnsi="仿宋_GB2312" w:eastAsia="仿宋_GB2312" w:cs="仿宋_GB2312"/>
                <w:color w:val="0C0C0C"/>
                <w:szCs w:val="21"/>
                <w:highlight w:val="none"/>
              </w:rPr>
              <w:t>车辆均</w:t>
            </w:r>
            <w:r>
              <w:rPr>
                <w:rFonts w:hint="eastAsia" w:ascii="仿宋_GB2312" w:hAnsi="仿宋_GB2312" w:eastAsia="仿宋_GB2312" w:cs="仿宋_GB2312"/>
                <w:color w:val="0C0C0C"/>
                <w:szCs w:val="21"/>
                <w:highlight w:val="none"/>
                <w:lang w:eastAsia="zh-CN"/>
              </w:rPr>
              <w:t>符合</w:t>
            </w:r>
            <w:r>
              <w:rPr>
                <w:rFonts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ascii="仿宋_GB2312" w:hAnsi="仿宋_GB2312" w:eastAsia="仿宋_GB2312" w:cs="仿宋_GB2312"/>
                <w:color w:val="0C0C0C"/>
                <w:szCs w:val="21"/>
                <w:highlight w:val="none"/>
              </w:rPr>
              <w:t>比例不低于15%</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0" w:type="dxa"/>
            <w:vMerge w:val="restart"/>
            <w:noWrap w:val="0"/>
            <w:vAlign w:val="center"/>
          </w:tcPr>
          <w:p>
            <w:pPr>
              <w:widowControl/>
              <w:jc w:val="center"/>
              <w:textAlignment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color w:val="0C0C0C"/>
                <w:szCs w:val="21"/>
                <w:highlight w:val="none"/>
              </w:rPr>
              <w:t>4</w:t>
            </w:r>
          </w:p>
        </w:tc>
        <w:tc>
          <w:tcPr>
            <w:tcW w:w="1186" w:type="dxa"/>
            <w:vMerge w:val="restart"/>
            <w:noWrap w:val="0"/>
            <w:vAlign w:val="center"/>
          </w:tcPr>
          <w:p>
            <w:pPr>
              <w:widowControl/>
              <w:jc w:val="center"/>
              <w:textAlignment w:val="center"/>
              <w:rPr>
                <w:rFonts w:hint="eastAsia" w:ascii="仿宋_GB2312" w:hAnsi="仿宋_GB2312" w:eastAsia="仿宋_GB2312" w:cs="仿宋_GB2312"/>
                <w:bCs/>
                <w:color w:val="000000"/>
                <w:kern w:val="0"/>
                <w:szCs w:val="21"/>
                <w:highlight w:val="none"/>
              </w:rPr>
            </w:pPr>
            <w:r>
              <w:rPr>
                <w:rFonts w:hint="eastAsia" w:ascii="仿宋_GB2312" w:hAnsi="仿宋_GB2312" w:eastAsia="仿宋_GB2312" w:cs="仿宋_GB2312"/>
                <w:color w:val="0C0C0C"/>
                <w:szCs w:val="21"/>
                <w:highlight w:val="none"/>
              </w:rPr>
              <w:t>环境管理</w:t>
            </w: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清洁生产审核</w:t>
            </w:r>
          </w:p>
        </w:tc>
        <w:tc>
          <w:tcPr>
            <w:tcW w:w="8227"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按照《清洁生产审核办法》开展清洁生产审核，有完善的清洁生产管理机构，并持续开展清洁生产</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建立环境管理体系</w:t>
            </w:r>
          </w:p>
        </w:tc>
        <w:tc>
          <w:tcPr>
            <w:tcW w:w="410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按照GB/T24001建立环境管理体系，并取得认证</w:t>
            </w:r>
          </w:p>
        </w:tc>
        <w:tc>
          <w:tcPr>
            <w:tcW w:w="4126"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建立环境管理制度，环境管理手册、程序文件及作业文件齐全</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0"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1186" w:type="dxa"/>
            <w:vMerge w:val="continue"/>
            <w:noWrap w:val="0"/>
            <w:vAlign w:val="center"/>
          </w:tcPr>
          <w:p>
            <w:pPr>
              <w:spacing w:line="312" w:lineRule="auto"/>
              <w:jc w:val="center"/>
              <w:rPr>
                <w:rFonts w:hint="eastAsia" w:ascii="仿宋_GB2312" w:hAnsi="仿宋_GB2312" w:eastAsia="仿宋_GB2312" w:cs="仿宋_GB2312"/>
                <w:bCs/>
                <w:color w:val="000000"/>
                <w:kern w:val="0"/>
                <w:szCs w:val="21"/>
                <w:highlight w:val="none"/>
              </w:rPr>
            </w:pPr>
          </w:p>
        </w:tc>
        <w:tc>
          <w:tcPr>
            <w:tcW w:w="2024" w:type="dxa"/>
            <w:noWrap w:val="0"/>
            <w:vAlign w:val="center"/>
          </w:tcPr>
          <w:p>
            <w:pPr>
              <w:widowControl/>
              <w:jc w:val="center"/>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kern w:val="0"/>
                <w:szCs w:val="21"/>
                <w:highlight w:val="none"/>
                <w:lang w:eastAsia="zh-CN" w:bidi="ar"/>
              </w:rPr>
              <w:t>生态环境行政处罚</w:t>
            </w:r>
          </w:p>
        </w:tc>
        <w:tc>
          <w:tcPr>
            <w:tcW w:w="8227"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宋体" w:eastAsia="仿宋_GB2312"/>
                <w:color w:val="0C0C0C"/>
                <w:szCs w:val="21"/>
                <w:highlight w:val="none"/>
              </w:rPr>
              <w:t>近三年之内未受</w:t>
            </w:r>
            <w:r>
              <w:rPr>
                <w:rFonts w:hint="eastAsia" w:ascii="仿宋_GB2312" w:hAnsi="宋体" w:eastAsia="仿宋_GB2312"/>
                <w:color w:val="0C0C0C"/>
                <w:szCs w:val="21"/>
                <w:highlight w:val="none"/>
                <w:lang w:bidi="ar"/>
              </w:rPr>
              <w:t>到</w:t>
            </w:r>
            <w:r>
              <w:rPr>
                <w:rFonts w:hint="eastAsia" w:ascii="仿宋_GB2312" w:hAnsi="宋体" w:eastAsia="仿宋_GB2312"/>
                <w:color w:val="0C0C0C"/>
                <w:szCs w:val="21"/>
                <w:highlight w:val="none"/>
                <w:lang w:eastAsia="zh-CN"/>
              </w:rPr>
              <w:t>市区两级生态环境部门行政处罚</w:t>
            </w:r>
          </w:p>
        </w:tc>
        <w:tc>
          <w:tcPr>
            <w:tcW w:w="221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kern w:val="0"/>
          <w:szCs w:val="21"/>
          <w:highlight w:val="none"/>
          <w:lang w:bidi="ar"/>
        </w:rPr>
        <w:t>注：办公楼宇为租用的不评价该指标</w:t>
      </w:r>
    </w:p>
    <w:p>
      <w:pPr>
        <w:pStyle w:val="13"/>
        <w:ind w:left="0" w:leftChars="0" w:firstLine="0" w:firstLineChars="0"/>
        <w:rPr>
          <w:rFonts w:hint="eastAsia" w:ascii="黑体" w:hAnsi="黑体" w:eastAsia="黑体" w:cs="黑体"/>
          <w:sz w:val="32"/>
          <w:szCs w:val="32"/>
          <w:highlight w:val="none"/>
        </w:rPr>
      </w:pPr>
      <w:r>
        <w:rPr>
          <w:rFonts w:hint="eastAsia"/>
          <w:highlight w:val="none"/>
          <w:lang w:val="en"/>
        </w:rPr>
        <w:br w:type="page"/>
      </w:r>
      <w:r>
        <w:rPr>
          <w:rFonts w:hint="eastAsia" w:ascii="黑体" w:hAnsi="黑体" w:eastAsia="黑体" w:cs="黑体"/>
          <w:sz w:val="32"/>
          <w:szCs w:val="32"/>
          <w:highlight w:val="none"/>
        </w:rPr>
        <w:t>2.8房地产业（70）企业绿色绩效评价细则</w:t>
      </w:r>
    </w:p>
    <w:tbl>
      <w:tblPr>
        <w:tblStyle w:val="8"/>
        <w:tblW w:w="14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14"/>
        <w:gridCol w:w="1932"/>
        <w:gridCol w:w="3871"/>
        <w:gridCol w:w="3765"/>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trPr>
        <w:tc>
          <w:tcPr>
            <w:tcW w:w="765"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314"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一级指标</w:t>
            </w:r>
          </w:p>
        </w:tc>
        <w:tc>
          <w:tcPr>
            <w:tcW w:w="1932" w:type="dxa"/>
            <w:noWrap w:val="0"/>
            <w:vAlign w:val="center"/>
          </w:tcPr>
          <w:p>
            <w:pPr>
              <w:spacing w:beforeLines="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二级指标</w:t>
            </w:r>
          </w:p>
        </w:tc>
        <w:tc>
          <w:tcPr>
            <w:tcW w:w="3871"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lang w:bidi="ar"/>
              </w:rPr>
              <w:t>绿色标杆企业(深绿)</w:t>
            </w:r>
          </w:p>
        </w:tc>
        <w:tc>
          <w:tcPr>
            <w:tcW w:w="3765" w:type="dxa"/>
            <w:noWrap w:val="0"/>
            <w:vAlign w:val="center"/>
          </w:tcPr>
          <w:p>
            <w:pPr>
              <w:spacing w:beforeLines="0" w:afterLines="0" w:line="240" w:lineRule="exact"/>
              <w:jc w:val="center"/>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b/>
                <w:bCs/>
                <w:szCs w:val="21"/>
                <w:highlight w:val="none"/>
              </w:rPr>
              <w:t>绿色基准企业(浅绿)</w:t>
            </w:r>
          </w:p>
        </w:tc>
        <w:tc>
          <w:tcPr>
            <w:tcW w:w="2587" w:type="dxa"/>
            <w:noWrap w:val="0"/>
            <w:vAlign w:val="center"/>
          </w:tcPr>
          <w:p>
            <w:pPr>
              <w:snapToGrid w:val="0"/>
              <w:spacing w:before="0" w:beforeLines="0" w:after="0" w:afterLines="0" w:line="24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bCs/>
                <w:szCs w:val="21"/>
                <w:highlight w:val="none"/>
              </w:rPr>
              <w:t>普通合法企业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65" w:type="dxa"/>
            <w:vMerge w:val="restart"/>
            <w:noWrap w:val="0"/>
            <w:vAlign w:val="center"/>
          </w:tcPr>
          <w:p>
            <w:pPr>
              <w:spacing w:line="312" w:lineRule="auto"/>
              <w:jc w:val="center"/>
              <w:rPr>
                <w:rFonts w:ascii="仿宋_GB2312" w:hAnsi="仿宋_GB2312" w:eastAsia="仿宋_GB2312" w:cs="仿宋_GB2312"/>
                <w:bCs/>
                <w:color w:val="000000"/>
                <w:kern w:val="0"/>
                <w:szCs w:val="21"/>
                <w:highlight w:val="none"/>
              </w:rPr>
            </w:pPr>
            <w:r>
              <w:rPr>
                <w:rFonts w:hint="eastAsia" w:ascii="仿宋_GB2312" w:hAnsi="仿宋_GB2312" w:eastAsia="仿宋_GB2312" w:cs="仿宋_GB2312"/>
                <w:bCs/>
                <w:color w:val="000000"/>
                <w:kern w:val="0"/>
                <w:szCs w:val="21"/>
                <w:highlight w:val="none"/>
              </w:rPr>
              <w:t>1</w:t>
            </w:r>
          </w:p>
        </w:tc>
        <w:tc>
          <w:tcPr>
            <w:tcW w:w="1314" w:type="dxa"/>
            <w:vMerge w:val="restart"/>
            <w:noWrap w:val="0"/>
            <w:vAlign w:val="center"/>
          </w:tcPr>
          <w:p>
            <w:pPr>
              <w:widowControl/>
              <w:jc w:val="left"/>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办公楼宇</w:t>
            </w: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w:t>
            </w:r>
          </w:p>
        </w:tc>
        <w:tc>
          <w:tcPr>
            <w:tcW w:w="3871" w:type="dxa"/>
            <w:noWrap w:val="0"/>
            <w:vAlign w:val="center"/>
          </w:tcPr>
          <w:p>
            <w:pPr>
              <w:widowControl/>
              <w:jc w:val="left"/>
              <w:textAlignment w:val="center"/>
              <w:rPr>
                <w:rFonts w:ascii="仿宋_GB2312" w:hAnsi="仿宋_GB2312" w:eastAsia="仿宋_GB2312" w:cs="仿宋_GB2312"/>
                <w:color w:val="0C0C0C"/>
                <w:szCs w:val="21"/>
                <w:highlight w:val="none"/>
              </w:rPr>
            </w:pPr>
            <w:r>
              <w:rPr>
                <w:rFonts w:ascii="仿宋_GB2312" w:hAnsi="仿宋_GB2312" w:eastAsia="仿宋_GB2312" w:cs="仿宋_GB2312"/>
                <w:color w:val="0C0C0C"/>
                <w:szCs w:val="21"/>
                <w:highlight w:val="none"/>
              </w:rPr>
              <w:t>采用太阳能光热系统、太阳能光伏系统、地源热泵系统、空气源热泵热水系统其中之一</w:t>
            </w:r>
          </w:p>
        </w:tc>
        <w:tc>
          <w:tcPr>
            <w:tcW w:w="3765"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采用太阳能热水供应系统、LED照明灯具其中之一</w:t>
            </w:r>
          </w:p>
        </w:tc>
        <w:tc>
          <w:tcPr>
            <w:tcW w:w="2587"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76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污染物排放</w:t>
            </w:r>
          </w:p>
        </w:tc>
        <w:tc>
          <w:tcPr>
            <w:tcW w:w="10223"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若使用锅炉，废气排放执行DB11/139；有职工食堂的，后厨安装油烟净化设施，定期清洗并保证设施正常运行，废气排放执行DB11/1488；</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生活污水排入市政管网或自建污水处理站达标排放,排放执行DB11/307；</w:t>
            </w:r>
          </w:p>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一般固体废物</w:t>
            </w:r>
            <w:r>
              <w:rPr>
                <w:rFonts w:hint="eastAsia" w:ascii="仿宋_GB2312" w:hAnsi="仿宋_GB2312" w:eastAsia="仿宋_GB2312" w:cs="仿宋_GB2312"/>
                <w:color w:val="0C0C0C"/>
                <w:szCs w:val="21"/>
                <w:highlight w:val="none"/>
                <w:lang w:eastAsia="zh-CN"/>
              </w:rPr>
              <w:t>执行</w:t>
            </w:r>
            <w:r>
              <w:rPr>
                <w:rFonts w:hint="eastAsia" w:ascii="仿宋_GB2312" w:hAnsi="仿宋_GB2312" w:eastAsia="仿宋_GB2312" w:cs="仿宋_GB2312"/>
                <w:color w:val="0C0C0C"/>
                <w:szCs w:val="21"/>
                <w:highlight w:val="none"/>
              </w:rPr>
              <w:t>GB18599</w:t>
            </w:r>
            <w:r>
              <w:rPr>
                <w:rFonts w:hint="eastAsia" w:ascii="仿宋_GB2312" w:hAnsi="仿宋_GB2312" w:eastAsia="仿宋_GB2312" w:cs="仿宋_GB2312"/>
                <w:color w:val="0C0C0C"/>
                <w:szCs w:val="21"/>
                <w:highlight w:val="none"/>
                <w:lang w:val="en-US" w:eastAsia="zh-CN"/>
              </w:rPr>
              <w:t>，</w:t>
            </w:r>
            <w:r>
              <w:rPr>
                <w:rFonts w:hint="eastAsia" w:ascii="仿宋_GB2312" w:hAnsi="仿宋_GB2312" w:eastAsia="仿宋_GB2312" w:cs="仿宋_GB2312"/>
                <w:color w:val="0C0C0C"/>
                <w:szCs w:val="21"/>
                <w:highlight w:val="none"/>
              </w:rPr>
              <w:t>废灯管、废镉镍电池等危险废物</w:t>
            </w:r>
            <w:r>
              <w:rPr>
                <w:rFonts w:hint="eastAsia" w:ascii="仿宋_GB2312" w:hAnsi="仿宋_GB2312" w:eastAsia="仿宋_GB2312" w:cs="仿宋_GB2312"/>
                <w:color w:val="0C0C0C"/>
                <w:szCs w:val="21"/>
                <w:highlight w:val="none"/>
                <w:lang w:eastAsia="zh-CN"/>
              </w:rPr>
              <w:t>执行</w:t>
            </w:r>
            <w:r>
              <w:rPr>
                <w:rFonts w:hint="eastAsia" w:ascii="仿宋_GB2312" w:hAnsi="仿宋_GB2312" w:eastAsia="仿宋_GB2312" w:cs="仿宋_GB2312"/>
                <w:color w:val="0C0C0C"/>
                <w:szCs w:val="21"/>
                <w:highlight w:val="none"/>
              </w:rPr>
              <w:t>GB18597；</w:t>
            </w:r>
          </w:p>
          <w:p>
            <w:pPr>
              <w:widowControl/>
              <w:jc w:val="left"/>
              <w:textAlignment w:val="center"/>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噪声排放执行GB22337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6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vMerge w:val="restart"/>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r>
              <w:rPr>
                <w:rFonts w:hint="eastAsia" w:ascii="仿宋_GB2312" w:hAnsi="仿宋_GB2312" w:eastAsia="仿宋_GB2312" w:cs="仿宋_GB2312"/>
                <w:color w:val="0C0C0C"/>
                <w:szCs w:val="21"/>
                <w:highlight w:val="none"/>
                <w:vertAlign w:val="superscript"/>
              </w:rPr>
              <w:t>1</w:t>
            </w:r>
          </w:p>
        </w:tc>
        <w:tc>
          <w:tcPr>
            <w:tcW w:w="387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单位建筑面积综合能耗≤20kgce/m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3765"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单位建筑面积综合能耗≤24kgce/m</w:t>
            </w:r>
            <w:r>
              <w:rPr>
                <w:rFonts w:hint="eastAsia" w:ascii="仿宋_GB2312" w:hAnsi="仿宋_GB2312" w:eastAsia="仿宋_GB2312" w:cs="仿宋_GB2312"/>
                <w:color w:val="0C0C0C"/>
                <w:szCs w:val="21"/>
                <w:highlight w:val="none"/>
                <w:vertAlign w:val="superscript"/>
              </w:rPr>
              <w:t>2</w:t>
            </w:r>
            <w:r>
              <w:rPr>
                <w:rFonts w:hint="eastAsia" w:ascii="仿宋_GB2312" w:hAnsi="仿宋_GB2312" w:eastAsia="仿宋_GB2312" w:cs="仿宋_GB2312"/>
                <w:color w:val="0C0C0C"/>
                <w:szCs w:val="21"/>
                <w:highlight w:val="none"/>
              </w:rPr>
              <w:t>·a</w:t>
            </w:r>
          </w:p>
        </w:tc>
        <w:tc>
          <w:tcPr>
            <w:tcW w:w="2587"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65" w:type="dxa"/>
            <w:vMerge w:val="continue"/>
            <w:noWrap w:val="0"/>
            <w:vAlign w:val="top"/>
          </w:tcPr>
          <w:p>
            <w:pPr>
              <w:spacing w:line="312" w:lineRule="auto"/>
              <w:jc w:val="center"/>
              <w:rPr>
                <w:rFonts w:hint="eastAsia"/>
                <w:highlight w:val="none"/>
              </w:rPr>
            </w:pPr>
          </w:p>
          <w:p>
            <w:pPr>
              <w:pStyle w:val="13"/>
              <w:rPr>
                <w:rFonts w:hint="eastAsia"/>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387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建筑物单位面积耗热量≤0.19GJ/m</w:t>
            </w:r>
            <w:r>
              <w:rPr>
                <w:rFonts w:hint="eastAsia" w:ascii="仿宋_GB2312" w:hAnsi="仿宋_GB2312" w:eastAsia="仿宋_GB2312" w:cs="仿宋_GB2312"/>
                <w:color w:val="0C0C0C"/>
                <w:szCs w:val="21"/>
                <w:highlight w:val="none"/>
                <w:vertAlign w:val="superscript"/>
              </w:rPr>
              <w:t>2</w:t>
            </w:r>
          </w:p>
        </w:tc>
        <w:tc>
          <w:tcPr>
            <w:tcW w:w="3765"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建筑物单位面积耗热量≤0.</w:t>
            </w:r>
            <w:r>
              <w:rPr>
                <w:rFonts w:ascii="仿宋_GB2312" w:hAnsi="仿宋_GB2312" w:eastAsia="仿宋_GB2312" w:cs="仿宋_GB2312"/>
                <w:color w:val="0C0C0C"/>
                <w:szCs w:val="21"/>
                <w:highlight w:val="none"/>
                <w:lang w:val="en"/>
              </w:rPr>
              <w:t>23</w:t>
            </w:r>
            <w:r>
              <w:rPr>
                <w:rFonts w:hint="eastAsia" w:ascii="仿宋_GB2312" w:hAnsi="仿宋_GB2312" w:eastAsia="仿宋_GB2312" w:cs="仿宋_GB2312"/>
                <w:color w:val="0C0C0C"/>
                <w:szCs w:val="21"/>
                <w:highlight w:val="none"/>
              </w:rPr>
              <w:t>GJ/m</w:t>
            </w:r>
            <w:r>
              <w:rPr>
                <w:rFonts w:hint="eastAsia" w:ascii="仿宋_GB2312" w:hAnsi="仿宋_GB2312" w:eastAsia="仿宋_GB2312" w:cs="仿宋_GB2312"/>
                <w:color w:val="0C0C0C"/>
                <w:szCs w:val="21"/>
                <w:highlight w:val="none"/>
                <w:vertAlign w:val="superscript"/>
              </w:rPr>
              <w:t>2</w:t>
            </w:r>
          </w:p>
        </w:tc>
        <w:tc>
          <w:tcPr>
            <w:tcW w:w="258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6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0223" w:type="dxa"/>
            <w:gridSpan w:val="3"/>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依据《北京市民用建筑节能管理办法》，办公楼宇属于大型公共建筑的，按时向市住房城乡建设行政主管部门报送年度能源利用状况报告，近三年未被市住房城乡建设行政主管部门要求开展能源审计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6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设备节能</w:t>
            </w:r>
          </w:p>
        </w:tc>
        <w:tc>
          <w:tcPr>
            <w:tcW w:w="387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等级1、等级2设备使用率≥80%</w:t>
            </w:r>
          </w:p>
        </w:tc>
        <w:tc>
          <w:tcPr>
            <w:tcW w:w="3765"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等级1、等级2设备使用率≥60%</w:t>
            </w:r>
          </w:p>
        </w:tc>
        <w:tc>
          <w:tcPr>
            <w:tcW w:w="2587"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65" w:type="dxa"/>
            <w:vMerge w:val="continue"/>
            <w:noWrap w:val="0"/>
            <w:vAlign w:val="top"/>
          </w:tcPr>
          <w:p>
            <w:pPr>
              <w:spacing w:line="312" w:lineRule="auto"/>
              <w:jc w:val="center"/>
              <w:rPr>
                <w:rFonts w:hint="eastAsia" w:ascii="仿宋_GB2312" w:hAnsi="仿宋_GB2312" w:eastAsia="仿宋_GB2312" w:cs="仿宋_GB2312"/>
                <w:b/>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建筑节水</w:t>
            </w:r>
          </w:p>
        </w:tc>
        <w:tc>
          <w:tcPr>
            <w:tcW w:w="387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单位建筑面积取水量≤1.0m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3765"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单位建筑面积取水量≤1.5m</w:t>
            </w:r>
            <w:r>
              <w:rPr>
                <w:rFonts w:hint="eastAsia" w:ascii="仿宋_GB2312" w:hAnsi="仿宋_GB2312" w:eastAsia="仿宋_GB2312" w:cs="仿宋_GB2312"/>
                <w:color w:val="0C0C0C"/>
                <w:szCs w:val="21"/>
                <w:highlight w:val="none"/>
                <w:vertAlign w:val="superscript"/>
              </w:rPr>
              <w:t>3</w:t>
            </w:r>
            <w:r>
              <w:rPr>
                <w:rFonts w:hint="eastAsia" w:ascii="仿宋_GB2312" w:hAnsi="仿宋_GB2312" w:eastAsia="仿宋_GB2312" w:cs="仿宋_GB2312"/>
                <w:color w:val="0C0C0C"/>
                <w:szCs w:val="21"/>
                <w:highlight w:val="none"/>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·a</w:t>
            </w:r>
          </w:p>
        </w:tc>
        <w:tc>
          <w:tcPr>
            <w:tcW w:w="2587"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65" w:type="dxa"/>
            <w:vMerge w:val="restart"/>
            <w:noWrap w:val="0"/>
            <w:vAlign w:val="center"/>
          </w:tcPr>
          <w:p>
            <w:pPr>
              <w:spacing w:line="312" w:lineRule="auto"/>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w:t>
            </w:r>
          </w:p>
        </w:tc>
        <w:tc>
          <w:tcPr>
            <w:tcW w:w="1314" w:type="dxa"/>
            <w:vMerge w:val="restart"/>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房产情况</w:t>
            </w:r>
            <w:r>
              <w:rPr>
                <w:rFonts w:hint="eastAsia" w:ascii="仿宋_GB2312" w:hAnsi="仿宋_GB2312" w:eastAsia="仿宋_GB2312" w:cs="仿宋_GB2312"/>
                <w:color w:val="0C0C0C"/>
                <w:szCs w:val="21"/>
                <w:highlight w:val="none"/>
                <w:vertAlign w:val="superscript"/>
              </w:rPr>
              <w:t>2</w:t>
            </w: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绿色建材</w:t>
            </w:r>
          </w:p>
        </w:tc>
        <w:tc>
          <w:tcPr>
            <w:tcW w:w="3871"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近一年新建房产项目</w:t>
            </w:r>
            <w:r>
              <w:rPr>
                <w:rFonts w:hint="eastAsia" w:ascii="仿宋_GB2312" w:hAnsi="仿宋_GB2312" w:eastAsia="仿宋_GB2312" w:cs="仿宋_GB2312"/>
                <w:color w:val="0C0C0C"/>
                <w:szCs w:val="21"/>
                <w:highlight w:val="none"/>
              </w:rPr>
              <w:t>绿色建材使用比例不低于50%</w:t>
            </w:r>
          </w:p>
        </w:tc>
        <w:tc>
          <w:tcPr>
            <w:tcW w:w="3765"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lang w:eastAsia="zh-CN"/>
              </w:rPr>
              <w:t>近一年新建房产项目</w:t>
            </w:r>
            <w:r>
              <w:rPr>
                <w:rFonts w:hint="eastAsia" w:ascii="仿宋_GB2312" w:hAnsi="仿宋_GB2312" w:eastAsia="仿宋_GB2312" w:cs="仿宋_GB2312"/>
                <w:color w:val="0C0C0C"/>
                <w:szCs w:val="21"/>
                <w:highlight w:val="none"/>
              </w:rPr>
              <w:t>绿色建材使用比例不低于30%</w:t>
            </w:r>
          </w:p>
        </w:tc>
        <w:tc>
          <w:tcPr>
            <w:tcW w:w="2587"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76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绿色建筑</w:t>
            </w:r>
          </w:p>
        </w:tc>
        <w:tc>
          <w:tcPr>
            <w:tcW w:w="3871" w:type="dxa"/>
            <w:noWrap w:val="0"/>
            <w:vAlign w:val="center"/>
          </w:tcPr>
          <w:p>
            <w:pP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近三年完成的房屋建筑成果取得国家或</w:t>
            </w:r>
            <w:r>
              <w:rPr>
                <w:rFonts w:hint="eastAsia" w:ascii="仿宋_GB2312" w:hAnsi="仿宋_GB2312" w:eastAsia="仿宋_GB2312" w:cs="仿宋_GB2312"/>
                <w:color w:val="000000"/>
                <w:kern w:val="0"/>
                <w:szCs w:val="21"/>
                <w:highlight w:val="none"/>
                <w:lang w:eastAsia="zh-CN"/>
              </w:rPr>
              <w:t>本</w:t>
            </w:r>
            <w:r>
              <w:rPr>
                <w:rFonts w:hint="eastAsia" w:ascii="仿宋_GB2312" w:hAnsi="仿宋_GB2312" w:eastAsia="仿宋_GB2312" w:cs="仿宋_GB2312"/>
                <w:color w:val="000000"/>
                <w:kern w:val="0"/>
                <w:szCs w:val="21"/>
                <w:highlight w:val="none"/>
              </w:rPr>
              <w:t>市颁发的绿色建筑三星级标识，或预评价达到DB11/T825三星级或预评价达到《绿色产业指导目录》项目绿色低碳水平</w:t>
            </w:r>
          </w:p>
        </w:tc>
        <w:tc>
          <w:tcPr>
            <w:tcW w:w="3765" w:type="dxa"/>
            <w:noWrap w:val="0"/>
            <w:vAlign w:val="center"/>
          </w:tcPr>
          <w:p>
            <w:pP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近三年</w:t>
            </w:r>
            <w:r>
              <w:rPr>
                <w:rFonts w:hint="eastAsia" w:ascii="仿宋_GB2312" w:hAnsi="仿宋_GB2312" w:eastAsia="仿宋_GB2312" w:cs="仿宋_GB2312"/>
                <w:color w:val="000000"/>
                <w:kern w:val="0"/>
                <w:szCs w:val="21"/>
                <w:highlight w:val="none"/>
                <w:lang w:eastAsia="zh-CN"/>
              </w:rPr>
              <w:t>完成</w:t>
            </w:r>
            <w:r>
              <w:rPr>
                <w:rFonts w:hint="eastAsia" w:ascii="仿宋_GB2312" w:hAnsi="仿宋_GB2312" w:eastAsia="仿宋_GB2312" w:cs="仿宋_GB2312"/>
                <w:color w:val="000000"/>
                <w:kern w:val="0"/>
                <w:szCs w:val="21"/>
                <w:highlight w:val="none"/>
              </w:rPr>
              <w:t>的</w:t>
            </w:r>
            <w:r>
              <w:rPr>
                <w:rFonts w:hint="eastAsia" w:ascii="仿宋_GB2312" w:hAnsi="仿宋_GB2312" w:eastAsia="仿宋_GB2312" w:cs="仿宋_GB2312"/>
                <w:color w:val="000000"/>
                <w:kern w:val="0"/>
                <w:szCs w:val="21"/>
                <w:highlight w:val="none"/>
                <w:lang w:eastAsia="zh-CN"/>
              </w:rPr>
              <w:t>房屋</w:t>
            </w:r>
            <w:r>
              <w:rPr>
                <w:rFonts w:hint="eastAsia" w:ascii="仿宋_GB2312" w:hAnsi="仿宋_GB2312" w:eastAsia="仿宋_GB2312" w:cs="仿宋_GB2312"/>
                <w:color w:val="000000"/>
                <w:kern w:val="0"/>
                <w:szCs w:val="21"/>
                <w:highlight w:val="none"/>
              </w:rPr>
              <w:t>建筑成果取得国家或</w:t>
            </w:r>
            <w:r>
              <w:rPr>
                <w:rFonts w:hint="eastAsia" w:ascii="仿宋_GB2312" w:hAnsi="仿宋_GB2312" w:eastAsia="仿宋_GB2312" w:cs="仿宋_GB2312"/>
                <w:color w:val="000000"/>
                <w:kern w:val="0"/>
                <w:szCs w:val="21"/>
                <w:highlight w:val="none"/>
                <w:lang w:eastAsia="zh-CN"/>
              </w:rPr>
              <w:t>本</w:t>
            </w:r>
            <w:r>
              <w:rPr>
                <w:rFonts w:hint="eastAsia" w:ascii="仿宋_GB2312" w:hAnsi="仿宋_GB2312" w:eastAsia="仿宋_GB2312" w:cs="仿宋_GB2312"/>
                <w:color w:val="000000"/>
                <w:kern w:val="0"/>
                <w:szCs w:val="21"/>
                <w:highlight w:val="none"/>
              </w:rPr>
              <w:t>市颁发的绿色建筑二星级标识，或预评价达到DB11/T825二星级或预评价达到《绿色产业指导目录》项目绿色低碳水平</w:t>
            </w:r>
          </w:p>
        </w:tc>
        <w:tc>
          <w:tcPr>
            <w:tcW w:w="2587" w:type="dxa"/>
            <w:noWrap w:val="0"/>
            <w:vAlign w:val="center"/>
          </w:tcPr>
          <w:p>
            <w:pPr>
              <w:spacing w:line="312" w:lineRule="auto"/>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65" w:type="dxa"/>
            <w:vMerge w:val="restart"/>
            <w:noWrap w:val="0"/>
            <w:vAlign w:val="center"/>
          </w:tcPr>
          <w:p>
            <w:pPr>
              <w:spacing w:line="312" w:lineRule="auto"/>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w:t>
            </w:r>
          </w:p>
        </w:tc>
        <w:tc>
          <w:tcPr>
            <w:tcW w:w="1314" w:type="dxa"/>
            <w:vMerge w:val="restart"/>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物业管理</w:t>
            </w:r>
            <w:r>
              <w:rPr>
                <w:rFonts w:hint="eastAsia" w:ascii="仿宋_GB2312" w:hAnsi="仿宋_GB2312" w:eastAsia="仿宋_GB2312" w:cs="仿宋_GB2312"/>
                <w:color w:val="0C0C0C"/>
                <w:szCs w:val="21"/>
                <w:highlight w:val="none"/>
                <w:vertAlign w:val="superscript"/>
              </w:rPr>
              <w:t>3</w:t>
            </w: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照明系统</w:t>
            </w:r>
          </w:p>
        </w:tc>
        <w:tc>
          <w:tcPr>
            <w:tcW w:w="7636"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公共区域节能灯使用率为100%</w:t>
            </w:r>
          </w:p>
        </w:tc>
        <w:tc>
          <w:tcPr>
            <w:tcW w:w="2587" w:type="dxa"/>
            <w:noWrap w:val="0"/>
            <w:vAlign w:val="center"/>
          </w:tcPr>
          <w:p>
            <w:pPr>
              <w:spacing w:line="312" w:lineRule="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6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绿化灌溉</w:t>
            </w:r>
          </w:p>
        </w:tc>
        <w:tc>
          <w:tcPr>
            <w:tcW w:w="7636"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全部使用喷淋系统灌溉绿地</w:t>
            </w:r>
          </w:p>
        </w:tc>
        <w:tc>
          <w:tcPr>
            <w:tcW w:w="2587" w:type="dxa"/>
            <w:noWrap w:val="0"/>
            <w:vAlign w:val="center"/>
          </w:tcPr>
          <w:p>
            <w:pPr>
              <w:spacing w:line="312" w:lineRule="auto"/>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6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供热系统</w:t>
            </w:r>
          </w:p>
        </w:tc>
        <w:tc>
          <w:tcPr>
            <w:tcW w:w="7636" w:type="dxa"/>
            <w:gridSpan w:val="2"/>
            <w:noWrap w:val="0"/>
            <w:vAlign w:val="center"/>
          </w:tcPr>
          <w:p>
            <w:pPr>
              <w:pStyle w:val="3"/>
              <w:rPr>
                <w:rFonts w:hint="eastAsia" w:ascii="仿宋_GB2312" w:hAnsi="仿宋_GB2312" w:eastAsia="仿宋_GB2312" w:cs="仿宋_GB2312"/>
                <w:color w:val="0C0C0C"/>
                <w:kern w:val="2"/>
                <w:sz w:val="21"/>
                <w:szCs w:val="21"/>
                <w:highlight w:val="none"/>
              </w:rPr>
            </w:pPr>
            <w:r>
              <w:rPr>
                <w:rFonts w:hint="eastAsia" w:ascii="仿宋_GB2312" w:hAnsi="仿宋_GB2312" w:eastAsia="仿宋_GB2312" w:cs="仿宋_GB2312"/>
                <w:color w:val="0C0C0C"/>
                <w:kern w:val="2"/>
                <w:sz w:val="21"/>
                <w:szCs w:val="21"/>
                <w:highlight w:val="none"/>
              </w:rPr>
              <w:t>自供热使用低氮燃烧锅炉</w:t>
            </w:r>
            <w:r>
              <w:rPr>
                <w:rFonts w:hint="eastAsia" w:ascii="仿宋_GB2312" w:hAnsi="仿宋_GB2312" w:eastAsia="仿宋_GB2312" w:cs="仿宋_GB2312"/>
                <w:color w:val="0C0C0C"/>
                <w:kern w:val="2"/>
                <w:sz w:val="21"/>
                <w:szCs w:val="21"/>
                <w:highlight w:val="none"/>
                <w:lang w:eastAsia="zh-CN"/>
              </w:rPr>
              <w:t>或者</w:t>
            </w:r>
            <w:r>
              <w:rPr>
                <w:rFonts w:hint="eastAsia" w:ascii="仿宋_GB2312" w:hAnsi="仿宋_GB2312" w:eastAsia="仿宋_GB2312" w:cs="仿宋_GB2312"/>
                <w:color w:val="0C0C0C"/>
                <w:kern w:val="2"/>
                <w:sz w:val="21"/>
                <w:szCs w:val="21"/>
                <w:highlight w:val="none"/>
              </w:rPr>
              <w:t>采用地源热泵、空气源热泵、中深层地热等可再生能源供热</w:t>
            </w:r>
          </w:p>
        </w:tc>
        <w:tc>
          <w:tcPr>
            <w:tcW w:w="2587" w:type="dxa"/>
            <w:noWrap w:val="0"/>
            <w:vAlign w:val="center"/>
          </w:tcPr>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65" w:type="dxa"/>
            <w:noWrap w:val="0"/>
            <w:vAlign w:val="center"/>
          </w:tcPr>
          <w:p>
            <w:pPr>
              <w:spacing w:line="312" w:lineRule="auto"/>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4</w:t>
            </w:r>
          </w:p>
        </w:tc>
        <w:tc>
          <w:tcPr>
            <w:tcW w:w="1314"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00000"/>
                <w:kern w:val="0"/>
                <w:szCs w:val="21"/>
                <w:highlight w:val="none"/>
              </w:rPr>
              <w:t>移动排放源结构及排放</w:t>
            </w: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车辆排放标准与新能源车推广指标</w:t>
            </w:r>
          </w:p>
        </w:tc>
        <w:tc>
          <w:tcPr>
            <w:tcW w:w="3871" w:type="dxa"/>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运输和通勤车辆均</w:t>
            </w:r>
            <w:r>
              <w:rPr>
                <w:rFonts w:hint="eastAsia" w:ascii="仿宋_GB2312" w:hAnsi="仿宋_GB2312" w:eastAsia="仿宋_GB2312" w:cs="仿宋_GB2312"/>
                <w:color w:val="0C0C0C"/>
                <w:szCs w:val="21"/>
                <w:highlight w:val="none"/>
                <w:lang w:eastAsia="zh-CN"/>
              </w:rPr>
              <w:t>符合</w:t>
            </w:r>
            <w:r>
              <w:rPr>
                <w:rFonts w:hint="eastAsia"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比例不低于30%</w:t>
            </w:r>
          </w:p>
        </w:tc>
        <w:tc>
          <w:tcPr>
            <w:tcW w:w="3765" w:type="dxa"/>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运输和通勤车辆均</w:t>
            </w:r>
            <w:r>
              <w:rPr>
                <w:rFonts w:hint="eastAsia" w:ascii="仿宋_GB2312" w:hAnsi="仿宋_GB2312" w:eastAsia="仿宋_GB2312" w:cs="仿宋_GB2312"/>
                <w:color w:val="0C0C0C"/>
                <w:szCs w:val="21"/>
                <w:highlight w:val="none"/>
                <w:lang w:eastAsia="zh-CN"/>
              </w:rPr>
              <w:t>符合</w:t>
            </w:r>
            <w:r>
              <w:rPr>
                <w:rFonts w:hint="eastAsia" w:ascii="仿宋_GB2312" w:hAnsi="仿宋_GB2312" w:eastAsia="仿宋_GB2312" w:cs="仿宋_GB2312"/>
                <w:color w:val="0C0C0C"/>
                <w:szCs w:val="21"/>
                <w:highlight w:val="none"/>
              </w:rPr>
              <w:t>国五及以上标准，新能源</w:t>
            </w:r>
            <w:r>
              <w:rPr>
                <w:rFonts w:hint="eastAsia" w:ascii="仿宋_GB2312" w:hAnsi="仿宋_GB2312" w:eastAsia="仿宋_GB2312" w:cs="仿宋_GB2312"/>
                <w:color w:val="0C0C0C"/>
                <w:szCs w:val="21"/>
                <w:highlight w:val="none"/>
                <w:lang w:eastAsia="zh-CN"/>
              </w:rPr>
              <w:t>车</w:t>
            </w:r>
            <w:r>
              <w:rPr>
                <w:rFonts w:hint="eastAsia" w:ascii="仿宋_GB2312" w:hAnsi="仿宋_GB2312" w:eastAsia="仿宋_GB2312" w:cs="仿宋_GB2312"/>
                <w:color w:val="0C0C0C"/>
                <w:szCs w:val="21"/>
                <w:highlight w:val="none"/>
              </w:rPr>
              <w:t>比例不低于15%</w:t>
            </w:r>
          </w:p>
        </w:tc>
        <w:tc>
          <w:tcPr>
            <w:tcW w:w="2587" w:type="dxa"/>
            <w:noWrap w:val="0"/>
            <w:vAlign w:val="center"/>
          </w:tcPr>
          <w:p>
            <w:pPr>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尾气达标排放。汽油车、柴油车污染排放应分别满足GB18285和GB3847要求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65" w:type="dxa"/>
            <w:vMerge w:val="restart"/>
            <w:noWrap w:val="0"/>
            <w:vAlign w:val="center"/>
          </w:tcPr>
          <w:p>
            <w:pPr>
              <w:spacing w:line="312" w:lineRule="auto"/>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5</w:t>
            </w:r>
          </w:p>
        </w:tc>
        <w:tc>
          <w:tcPr>
            <w:tcW w:w="1314" w:type="dxa"/>
            <w:vMerge w:val="restart"/>
            <w:noWrap w:val="0"/>
            <w:vAlign w:val="center"/>
          </w:tcPr>
          <w:p>
            <w:pPr>
              <w:widowControl/>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环境管理</w:t>
            </w:r>
          </w:p>
        </w:tc>
        <w:tc>
          <w:tcPr>
            <w:tcW w:w="1932" w:type="dxa"/>
            <w:noWrap w:val="0"/>
            <w:vAlign w:val="center"/>
          </w:tcPr>
          <w:p>
            <w:pPr>
              <w:widowControl/>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清洁生产审核</w:t>
            </w:r>
          </w:p>
        </w:tc>
        <w:tc>
          <w:tcPr>
            <w:tcW w:w="7636"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00000"/>
                <w:kern w:val="0"/>
                <w:szCs w:val="21"/>
                <w:highlight w:val="none"/>
              </w:rPr>
            </w:pPr>
            <w:r>
              <w:rPr>
                <w:rFonts w:ascii="仿宋_GB2312" w:hAnsi="仿宋_GB2312" w:eastAsia="仿宋_GB2312" w:cs="仿宋_GB2312"/>
                <w:color w:val="0C0C0C"/>
                <w:szCs w:val="21"/>
                <w:highlight w:val="none"/>
              </w:rPr>
              <w:t>按照《清洁生产审核办法》开展清洁生产审核，有完善的清洁生产管理机构，并持续开展清洁生产</w:t>
            </w:r>
          </w:p>
        </w:tc>
        <w:tc>
          <w:tcPr>
            <w:tcW w:w="2587" w:type="dxa"/>
            <w:noWrap w:val="0"/>
            <w:vAlign w:val="center"/>
          </w:tcPr>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建立环境管理体系</w:t>
            </w:r>
          </w:p>
        </w:tc>
        <w:tc>
          <w:tcPr>
            <w:tcW w:w="3871"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按照GB/T24001建立环境管理体系，并取得认证</w:t>
            </w:r>
          </w:p>
        </w:tc>
        <w:tc>
          <w:tcPr>
            <w:tcW w:w="3765"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C0C0C"/>
                <w:szCs w:val="21"/>
                <w:highlight w:val="none"/>
              </w:rPr>
              <w:t>建立环境管理制度，环境管理手册、程序文件及作业文件齐全</w:t>
            </w:r>
          </w:p>
        </w:tc>
        <w:tc>
          <w:tcPr>
            <w:tcW w:w="2587" w:type="dxa"/>
            <w:noWrap w:val="0"/>
            <w:vAlign w:val="center"/>
          </w:tcPr>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vMerge w:val="continue"/>
            <w:noWrap w:val="0"/>
            <w:vAlign w:val="center"/>
          </w:tcPr>
          <w:p>
            <w:pPr>
              <w:spacing w:line="312" w:lineRule="auto"/>
              <w:jc w:val="center"/>
              <w:rPr>
                <w:rFonts w:hint="eastAsia" w:ascii="仿宋_GB2312" w:hAnsi="仿宋_GB2312" w:eastAsia="仿宋_GB2312" w:cs="仿宋_GB2312"/>
                <w:color w:val="000000"/>
                <w:kern w:val="0"/>
                <w:szCs w:val="21"/>
                <w:highlight w:val="none"/>
              </w:rPr>
            </w:pPr>
          </w:p>
        </w:tc>
        <w:tc>
          <w:tcPr>
            <w:tcW w:w="1314" w:type="dxa"/>
            <w:vMerge w:val="continue"/>
            <w:noWrap w:val="0"/>
            <w:vAlign w:val="center"/>
          </w:tcPr>
          <w:p>
            <w:pPr>
              <w:widowControl/>
              <w:jc w:val="left"/>
              <w:textAlignment w:val="center"/>
              <w:rPr>
                <w:rFonts w:hint="eastAsia" w:ascii="仿宋_GB2312" w:hAnsi="仿宋_GB2312" w:eastAsia="仿宋_GB2312" w:cs="仿宋_GB2312"/>
                <w:color w:val="0C0C0C"/>
                <w:szCs w:val="21"/>
                <w:highlight w:val="none"/>
              </w:rPr>
            </w:pPr>
          </w:p>
        </w:tc>
        <w:tc>
          <w:tcPr>
            <w:tcW w:w="1932" w:type="dxa"/>
            <w:noWrap w:val="0"/>
            <w:vAlign w:val="center"/>
          </w:tcPr>
          <w:p>
            <w:pPr>
              <w:widowControl/>
              <w:jc w:val="left"/>
              <w:textAlignment w:val="center"/>
              <w:rPr>
                <w:rFonts w:hint="eastAsia" w:ascii="仿宋_GB2312" w:hAnsi="仿宋_GB2312" w:eastAsia="仿宋_GB2312" w:cs="仿宋_GB2312"/>
                <w:color w:val="0C0C0C"/>
                <w:szCs w:val="21"/>
                <w:highlight w:val="none"/>
                <w:lang w:eastAsia="zh-CN"/>
              </w:rPr>
            </w:pPr>
            <w:r>
              <w:rPr>
                <w:rFonts w:hint="eastAsia" w:ascii="仿宋_GB2312" w:hAnsi="仿宋_GB2312" w:eastAsia="仿宋_GB2312" w:cs="仿宋_GB2312"/>
                <w:color w:val="0C0C0C"/>
                <w:kern w:val="0"/>
                <w:szCs w:val="21"/>
                <w:highlight w:val="none"/>
                <w:lang w:eastAsia="zh-CN" w:bidi="ar"/>
              </w:rPr>
              <w:t>生态环境行政处罚</w:t>
            </w:r>
          </w:p>
        </w:tc>
        <w:tc>
          <w:tcPr>
            <w:tcW w:w="7636" w:type="dxa"/>
            <w:gridSpan w:val="2"/>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宋体" w:eastAsia="仿宋_GB2312"/>
                <w:color w:val="0C0C0C"/>
                <w:szCs w:val="21"/>
                <w:highlight w:val="none"/>
              </w:rPr>
              <w:t>近三年之内未受</w:t>
            </w:r>
            <w:r>
              <w:rPr>
                <w:rFonts w:hint="eastAsia" w:ascii="仿宋_GB2312" w:hAnsi="宋体" w:eastAsia="仿宋_GB2312"/>
                <w:color w:val="0C0C0C"/>
                <w:szCs w:val="21"/>
                <w:highlight w:val="none"/>
                <w:lang w:bidi="ar"/>
              </w:rPr>
              <w:t>到</w:t>
            </w:r>
            <w:r>
              <w:rPr>
                <w:rFonts w:hint="eastAsia" w:ascii="仿宋_GB2312" w:hAnsi="宋体" w:eastAsia="仿宋_GB2312"/>
                <w:color w:val="0C0C0C"/>
                <w:szCs w:val="21"/>
                <w:highlight w:val="none"/>
                <w:lang w:eastAsia="zh-CN"/>
              </w:rPr>
              <w:t>市区两级生态环境部门行政处罚</w:t>
            </w:r>
          </w:p>
        </w:tc>
        <w:tc>
          <w:tcPr>
            <w:tcW w:w="2587" w:type="dxa"/>
            <w:noWrap w:val="0"/>
            <w:vAlign w:val="center"/>
          </w:tcPr>
          <w:p>
            <w:pPr>
              <w:spacing w:line="312" w:lineRule="auto"/>
              <w:jc w:val="left"/>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无强制要求</w:t>
            </w:r>
          </w:p>
        </w:tc>
      </w:tr>
    </w:tbl>
    <w:p>
      <w:pPr>
        <w:pStyle w:val="2"/>
        <w:ind w:left="420"/>
        <w:rPr>
          <w:rFonts w:hint="eastAsia" w:ascii="仿宋_GB2312" w:hAnsi="仿宋_GB2312" w:cs="仿宋_GB2312"/>
          <w:color w:val="0C0C0C"/>
          <w:kern w:val="0"/>
          <w:szCs w:val="21"/>
          <w:highlight w:val="none"/>
          <w:lang w:bidi="ar"/>
        </w:rPr>
      </w:pPr>
      <w:r>
        <w:rPr>
          <w:rFonts w:hint="eastAsia" w:ascii="仿宋_GB2312" w:hAnsi="仿宋_GB2312" w:cs="仿宋_GB2312"/>
          <w:color w:val="0C0C0C"/>
          <w:szCs w:val="21"/>
          <w:highlight w:val="none"/>
        </w:rPr>
        <w:t>注：</w:t>
      </w:r>
      <w:r>
        <w:rPr>
          <w:rFonts w:hint="eastAsia" w:ascii="仿宋_GB2312" w:hAnsi="仿宋_GB2312" w:cs="仿宋_GB2312"/>
          <w:color w:val="0C0C0C"/>
          <w:kern w:val="0"/>
          <w:szCs w:val="21"/>
          <w:highlight w:val="none"/>
          <w:lang w:bidi="ar"/>
        </w:rPr>
        <w:t>1.办公楼宇为租用的不评价该指标。</w:t>
      </w:r>
    </w:p>
    <w:p>
      <w:pPr>
        <w:ind w:firstLine="840" w:firstLineChars="400"/>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2.房地产开发企业依据指标2进行评价。</w:t>
      </w:r>
    </w:p>
    <w:p>
      <w:pPr>
        <w:pStyle w:val="13"/>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3.物业管理企业依据指标3进行评价</w:t>
      </w:r>
    </w:p>
    <w:p>
      <w:pPr>
        <w:pStyle w:val="13"/>
        <w:ind w:left="0" w:leftChars="0" w:firstLine="0" w:firstLineChars="0"/>
        <w:rPr>
          <w:rFonts w:ascii="黑体" w:hAnsi="黑体" w:eastAsia="黑体" w:cs="黑体"/>
          <w:sz w:val="32"/>
          <w:szCs w:val="32"/>
          <w:highlight w:val="none"/>
        </w:rPr>
      </w:pPr>
      <w:r>
        <w:rPr>
          <w:rFonts w:hint="eastAsia" w:ascii="仿宋_GB2312" w:hAnsi="仿宋_GB2312" w:eastAsia="仿宋_GB2312" w:cs="仿宋_GB2312"/>
          <w:color w:val="0C0C0C"/>
          <w:szCs w:val="21"/>
          <w:highlight w:val="none"/>
        </w:rPr>
        <w:br w:type="page"/>
      </w:r>
      <w:r>
        <w:rPr>
          <w:rFonts w:hint="eastAsia" w:ascii="黑体" w:hAnsi="黑体" w:eastAsia="黑体" w:cs="黑体"/>
          <w:sz w:val="32"/>
          <w:szCs w:val="32"/>
          <w:highlight w:val="none"/>
        </w:rPr>
        <w:t>3.绿色项目综合评定总则</w:t>
      </w:r>
    </w:p>
    <w:p>
      <w:pPr>
        <w:widowControl/>
        <w:snapToGrid w:val="0"/>
        <w:jc w:val="left"/>
        <w:textAlignment w:val="center"/>
        <w:rPr>
          <w:rFonts w:ascii="仿宋_GB2312" w:hAnsi="仿宋_GB2312" w:eastAsia="仿宋_GB2312" w:cs="仿宋_GB2312"/>
          <w:color w:val="0C0C0C"/>
          <w:szCs w:val="21"/>
          <w:highlight w:val="none"/>
        </w:rPr>
      </w:pPr>
    </w:p>
    <w:tbl>
      <w:tblPr>
        <w:tblStyle w:val="8"/>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100"/>
        <w:gridCol w:w="1965"/>
        <w:gridCol w:w="9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43" w:type="dxa"/>
            <w:noWrap w:val="0"/>
            <w:vAlign w:val="center"/>
          </w:tcPr>
          <w:p>
            <w:pPr>
              <w:snapToGrid w:val="0"/>
              <w:spacing w:before="63" w:beforeLines="20" w:after="63" w:afterLines="20" w:line="240" w:lineRule="exact"/>
              <w:jc w:val="center"/>
              <w:rPr>
                <w:rFonts w:hint="eastAsia"/>
                <w:b/>
                <w:bCs/>
                <w:szCs w:val="21"/>
                <w:highlight w:val="none"/>
              </w:rPr>
            </w:pPr>
            <w:r>
              <w:rPr>
                <w:rFonts w:hint="eastAsia"/>
                <w:b/>
                <w:bCs/>
                <w:szCs w:val="21"/>
                <w:highlight w:val="none"/>
              </w:rPr>
              <w:t>序号</w:t>
            </w:r>
          </w:p>
        </w:tc>
        <w:tc>
          <w:tcPr>
            <w:tcW w:w="2100" w:type="dxa"/>
            <w:noWrap w:val="0"/>
            <w:vAlign w:val="center"/>
          </w:tcPr>
          <w:p>
            <w:pPr>
              <w:snapToGrid w:val="0"/>
              <w:spacing w:before="63" w:beforeLines="20" w:after="63" w:afterLines="20" w:line="240" w:lineRule="exact"/>
              <w:jc w:val="center"/>
              <w:rPr>
                <w:b/>
                <w:bCs/>
                <w:szCs w:val="21"/>
                <w:highlight w:val="none"/>
              </w:rPr>
            </w:pPr>
            <w:r>
              <w:rPr>
                <w:rFonts w:hint="eastAsia"/>
                <w:b/>
                <w:bCs/>
                <w:szCs w:val="21"/>
                <w:highlight w:val="none"/>
              </w:rPr>
              <w:t>一级指标</w:t>
            </w:r>
          </w:p>
        </w:tc>
        <w:tc>
          <w:tcPr>
            <w:tcW w:w="1965" w:type="dxa"/>
            <w:noWrap w:val="0"/>
            <w:vAlign w:val="center"/>
          </w:tcPr>
          <w:p>
            <w:pPr>
              <w:snapToGrid w:val="0"/>
              <w:spacing w:before="63" w:beforeLines="20" w:after="63" w:afterLines="20" w:line="240" w:lineRule="exact"/>
              <w:jc w:val="center"/>
              <w:rPr>
                <w:b/>
                <w:szCs w:val="21"/>
                <w:highlight w:val="none"/>
              </w:rPr>
            </w:pPr>
            <w:r>
              <w:rPr>
                <w:rFonts w:hint="eastAsia"/>
                <w:b/>
                <w:bCs/>
                <w:szCs w:val="21"/>
                <w:highlight w:val="none"/>
              </w:rPr>
              <w:t>二级指标</w:t>
            </w:r>
          </w:p>
        </w:tc>
        <w:tc>
          <w:tcPr>
            <w:tcW w:w="9607" w:type="dxa"/>
            <w:noWrap w:val="0"/>
            <w:vAlign w:val="center"/>
          </w:tcPr>
          <w:p>
            <w:pPr>
              <w:snapToGrid w:val="0"/>
              <w:spacing w:before="63" w:beforeLines="20" w:after="63" w:afterLines="20" w:line="240" w:lineRule="exact"/>
              <w:jc w:val="center"/>
              <w:rPr>
                <w:b/>
                <w:szCs w:val="21"/>
                <w:highlight w:val="none"/>
              </w:rPr>
            </w:pPr>
            <w:r>
              <w:rPr>
                <w:rFonts w:hint="eastAsia"/>
                <w:b/>
                <w:bCs/>
                <w:szCs w:val="21"/>
                <w:highlight w:val="none"/>
              </w:rPr>
              <w:t>绿色项目要求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743" w:type="dxa"/>
            <w:noWrap w:val="0"/>
            <w:vAlign w:val="center"/>
          </w:tcPr>
          <w:p>
            <w:pPr>
              <w:widowControl/>
              <w:snapToGrid w:val="0"/>
              <w:spacing w:line="240" w:lineRule="exact"/>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w:t>
            </w:r>
          </w:p>
        </w:tc>
        <w:tc>
          <w:tcPr>
            <w:tcW w:w="2100"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产业政策*</w:t>
            </w: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产业政策符合性</w:t>
            </w:r>
          </w:p>
        </w:tc>
        <w:tc>
          <w:tcPr>
            <w:tcW w:w="9607" w:type="dxa"/>
            <w:noWrap w:val="0"/>
            <w:vAlign w:val="center"/>
          </w:tcPr>
          <w:p>
            <w:pPr>
              <w:widowControl/>
              <w:snapToGrid w:val="0"/>
              <w:spacing w:line="26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参评项目属于《绿色信贷统计制度》《绿色债券支持项目目录》《绿色债券发行指引》、中国人民银行设立碳减排支持专项、《北京市“十四五”时期高精尖产业发展规划》以及《产业结构调整指导目录》中鼓励类中的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3" w:type="dxa"/>
            <w:noWrap w:val="0"/>
            <w:vAlign w:val="center"/>
          </w:tcPr>
          <w:p>
            <w:pPr>
              <w:widowControl/>
              <w:snapToGrid w:val="0"/>
              <w:spacing w:line="240" w:lineRule="exact"/>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w:t>
            </w:r>
          </w:p>
        </w:tc>
        <w:tc>
          <w:tcPr>
            <w:tcW w:w="2100"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项目立项审批*</w:t>
            </w: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立项审批文件</w:t>
            </w:r>
          </w:p>
        </w:tc>
        <w:tc>
          <w:tcPr>
            <w:tcW w:w="9607" w:type="dxa"/>
            <w:noWrap w:val="0"/>
            <w:vAlign w:val="center"/>
          </w:tcPr>
          <w:p>
            <w:pPr>
              <w:widowControl/>
              <w:snapToGrid w:val="0"/>
              <w:spacing w:line="26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项目立项审批文件（审批、核准、备案）规范、完整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43" w:type="dxa"/>
            <w:vMerge w:val="restart"/>
            <w:noWrap w:val="0"/>
            <w:vAlign w:val="center"/>
          </w:tcPr>
          <w:p>
            <w:pPr>
              <w:widowControl/>
              <w:snapToGrid w:val="0"/>
              <w:spacing w:line="240" w:lineRule="exact"/>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3</w:t>
            </w:r>
          </w:p>
        </w:tc>
        <w:tc>
          <w:tcPr>
            <w:tcW w:w="2100" w:type="dxa"/>
            <w:vMerge w:val="restart"/>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资源、能源节约</w:t>
            </w:r>
          </w:p>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和利用</w:t>
            </w:r>
          </w:p>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（根据项目特点满足其中一项）</w:t>
            </w: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能源节约或</w:t>
            </w:r>
          </w:p>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综合利用</w:t>
            </w:r>
          </w:p>
        </w:tc>
        <w:tc>
          <w:tcPr>
            <w:tcW w:w="9607" w:type="dxa"/>
            <w:noWrap w:val="0"/>
            <w:vAlign w:val="center"/>
          </w:tcPr>
          <w:p>
            <w:pPr>
              <w:widowControl/>
              <w:snapToGrid w:val="0"/>
              <w:spacing w:line="26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采取节能措施，开发</w:t>
            </w:r>
            <w:r>
              <w:rPr>
                <w:rFonts w:hint="eastAsia" w:ascii="仿宋_GB2312" w:hAnsi="仿宋_GB2312" w:eastAsia="仿宋_GB2312" w:cs="仿宋_GB2312"/>
                <w:color w:val="0C0C0C"/>
                <w:szCs w:val="21"/>
                <w:highlight w:val="none"/>
                <w:lang w:eastAsia="zh-CN"/>
              </w:rPr>
              <w:t>或</w:t>
            </w:r>
            <w:r>
              <w:rPr>
                <w:rFonts w:hint="eastAsia" w:ascii="仿宋_GB2312" w:hAnsi="仿宋_GB2312" w:eastAsia="仿宋_GB2312" w:cs="仿宋_GB2312"/>
                <w:color w:val="0C0C0C"/>
                <w:szCs w:val="21"/>
                <w:highlight w:val="none"/>
              </w:rPr>
              <w:t>使用新能</w:t>
            </w:r>
            <w:r>
              <w:rPr>
                <w:rFonts w:hint="eastAsia" w:ascii="仿宋_GB2312" w:hAnsi="仿宋_GB2312" w:eastAsia="仿宋_GB2312" w:cs="仿宋_GB2312"/>
                <w:color w:val="0C0C0C"/>
                <w:szCs w:val="21"/>
                <w:highlight w:val="none"/>
                <w:lang w:eastAsia="zh-CN"/>
              </w:rPr>
              <w:t>源或者</w:t>
            </w:r>
            <w:r>
              <w:rPr>
                <w:rFonts w:hint="eastAsia" w:ascii="仿宋_GB2312" w:hAnsi="仿宋_GB2312" w:eastAsia="仿宋_GB2312" w:cs="仿宋_GB2312"/>
                <w:color w:val="0C0C0C"/>
                <w:szCs w:val="21"/>
                <w:highlight w:val="none"/>
              </w:rPr>
              <w:t>可再生能源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建筑节能</w:t>
            </w:r>
          </w:p>
        </w:tc>
        <w:tc>
          <w:tcPr>
            <w:tcW w:w="9607" w:type="dxa"/>
            <w:noWrap w:val="0"/>
            <w:vAlign w:val="center"/>
          </w:tcPr>
          <w:p>
            <w:pPr>
              <w:widowControl/>
              <w:snapToGrid w:val="0"/>
              <w:spacing w:line="26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满足以下一项：</w:t>
            </w:r>
          </w:p>
          <w:p>
            <w:pPr>
              <w:widowControl/>
              <w:snapToGrid w:val="0"/>
              <w:spacing w:line="260" w:lineRule="exact"/>
              <w:jc w:val="left"/>
              <w:textAlignment w:val="center"/>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1.绿色建筑一星级</w:t>
            </w:r>
            <w:r>
              <w:rPr>
                <w:rFonts w:hint="eastAsia" w:ascii="仿宋_GB2312" w:hAnsi="仿宋_GB2312" w:eastAsia="仿宋_GB2312" w:cs="仿宋_GB2312"/>
                <w:color w:val="0C0C0C"/>
                <w:szCs w:val="21"/>
                <w:highlight w:val="none"/>
                <w:lang w:eastAsia="zh-CN"/>
              </w:rPr>
              <w:t>及以上</w:t>
            </w:r>
            <w:r>
              <w:rPr>
                <w:rFonts w:hint="eastAsia" w:ascii="仿宋_GB2312" w:hAnsi="仿宋_GB2312" w:eastAsia="仿宋_GB2312" w:cs="仿宋_GB2312"/>
                <w:color w:val="0C0C0C"/>
                <w:szCs w:val="21"/>
                <w:highlight w:val="none"/>
              </w:rPr>
              <w:t>项目（提供绿色建筑预评价报告并承诺取得绿色建筑标识或投保绿色建筑性能保险）</w:t>
            </w:r>
            <w:r>
              <w:rPr>
                <w:rFonts w:hint="eastAsia" w:ascii="仿宋_GB2312" w:hAnsi="仿宋_GB2312" w:eastAsia="仿宋_GB2312" w:cs="仿宋_GB2312"/>
                <w:color w:val="0C0C0C"/>
                <w:szCs w:val="21"/>
                <w:highlight w:val="none"/>
                <w:lang w:val="en-US" w:eastAsia="zh-CN"/>
              </w:rPr>
              <w:t>;</w:t>
            </w:r>
          </w:p>
          <w:p>
            <w:pPr>
              <w:widowControl/>
              <w:snapToGrid w:val="0"/>
              <w:spacing w:line="260" w:lineRule="exact"/>
              <w:jc w:val="left"/>
              <w:textAlignment w:val="center"/>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2.新立项政府投资的新建建筑、新建地上建筑面积2万</w:t>
            </w:r>
            <w:r>
              <w:rPr>
                <w:rFonts w:hint="eastAsia" w:ascii="仿宋_GB2312" w:hAnsi="仿宋_GB2312" w:eastAsia="仿宋_GB2312" w:cs="仿宋_GB2312"/>
                <w:color w:val="0C0C0C"/>
                <w:szCs w:val="21"/>
                <w:highlight w:val="none"/>
                <w:lang w:val="en-US" w:eastAsia="zh-CN"/>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（含）以上公共建筑项目、新建工业用地上的厂房和仓库应采用装配式建筑，满足《装配式建筑评价标准》（DB11/T831），且装配率达到50%；新建地上建筑面积2万</w:t>
            </w:r>
            <w:r>
              <w:rPr>
                <w:rFonts w:hint="eastAsia" w:ascii="仿宋_GB2312" w:hAnsi="仿宋_GB2312" w:eastAsia="仿宋_GB2312" w:cs="仿宋_GB2312"/>
                <w:color w:val="0C0C0C"/>
                <w:szCs w:val="21"/>
                <w:highlight w:val="none"/>
                <w:lang w:val="en-US" w:eastAsia="zh-CN"/>
              </w:rPr>
              <w:t>m</w:t>
            </w:r>
            <w:r>
              <w:rPr>
                <w:rFonts w:hint="eastAsia" w:ascii="仿宋_GB2312" w:hAnsi="仿宋_GB2312" w:eastAsia="仿宋_GB2312" w:cs="仿宋_GB2312"/>
                <w:color w:val="0C0C0C"/>
                <w:szCs w:val="21"/>
                <w:highlight w:val="none"/>
                <w:vertAlign w:val="superscript"/>
                <w:lang w:val="en-US" w:eastAsia="zh-CN"/>
              </w:rPr>
              <w:t>2</w:t>
            </w:r>
            <w:r>
              <w:rPr>
                <w:rFonts w:hint="eastAsia" w:ascii="仿宋_GB2312" w:hAnsi="仿宋_GB2312" w:eastAsia="仿宋_GB2312" w:cs="仿宋_GB2312"/>
                <w:color w:val="0C0C0C"/>
                <w:szCs w:val="21"/>
                <w:highlight w:val="none"/>
              </w:rPr>
              <w:t>（含）以上的保障性住房项目、以招拍挂方式取得国有土地使用权的商品房开发项目应采用装配式建筑，满足《装配式建筑评价标准》（DB11/T</w:t>
            </w:r>
            <w:r>
              <w:rPr>
                <w:rFonts w:ascii="仿宋_GB2312" w:hAnsi="仿宋_GB2312" w:eastAsia="仿宋_GB2312" w:cs="仿宋_GB2312"/>
                <w:color w:val="0C0C0C"/>
                <w:szCs w:val="21"/>
                <w:highlight w:val="none"/>
                <w:lang w:val="en"/>
              </w:rPr>
              <w:t>1</w:t>
            </w:r>
            <w:r>
              <w:rPr>
                <w:rFonts w:hint="eastAsia" w:ascii="仿宋_GB2312" w:hAnsi="仿宋_GB2312" w:eastAsia="仿宋_GB2312" w:cs="仿宋_GB2312"/>
                <w:color w:val="0C0C0C"/>
                <w:szCs w:val="21"/>
                <w:highlight w:val="none"/>
              </w:rPr>
              <w:t>831），且装配率达到60%</w:t>
            </w:r>
            <w:r>
              <w:rPr>
                <w:rFonts w:hint="eastAsia" w:ascii="仿宋_GB2312" w:hAnsi="仿宋_GB2312" w:eastAsia="仿宋_GB2312" w:cs="仿宋_GB2312"/>
                <w:color w:val="0C0C0C"/>
                <w:szCs w:val="21"/>
                <w:highlight w:val="none"/>
                <w:lang w:val="en-US" w:eastAsia="zh-CN"/>
              </w:rPr>
              <w:t>;</w:t>
            </w:r>
          </w:p>
          <w:p>
            <w:pPr>
              <w:widowControl/>
              <w:snapToGrid w:val="0"/>
              <w:spacing w:line="260" w:lineRule="exact"/>
              <w:jc w:val="left"/>
              <w:textAlignment w:val="center"/>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3.纳入公共建筑能耗限额管理并考核合格</w:t>
            </w:r>
            <w:r>
              <w:rPr>
                <w:rFonts w:hint="eastAsia" w:ascii="仿宋_GB2312" w:hAnsi="仿宋_GB2312" w:eastAsia="仿宋_GB2312" w:cs="仿宋_GB2312"/>
                <w:color w:val="0C0C0C"/>
                <w:szCs w:val="21"/>
                <w:highlight w:val="none"/>
                <w:lang w:val="en-US" w:eastAsia="zh-CN"/>
              </w:rPr>
              <w:t>;</w:t>
            </w:r>
          </w:p>
          <w:p>
            <w:pPr>
              <w:widowControl/>
              <w:snapToGrid w:val="0"/>
              <w:spacing w:line="260" w:lineRule="exact"/>
              <w:jc w:val="left"/>
              <w:textAlignment w:val="center"/>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4.组织开展公共建筑节能绿色化改造</w:t>
            </w:r>
            <w:r>
              <w:rPr>
                <w:rFonts w:hint="eastAsia" w:ascii="仿宋_GB2312" w:hAnsi="仿宋_GB2312" w:eastAsia="仿宋_GB2312" w:cs="仿宋_GB2312"/>
                <w:color w:val="0C0C0C"/>
                <w:szCs w:val="21"/>
                <w:highlight w:val="none"/>
                <w:lang w:val="en-US" w:eastAsia="zh-CN"/>
              </w:rPr>
              <w:t>;</w:t>
            </w:r>
          </w:p>
          <w:p>
            <w:pPr>
              <w:widowControl/>
              <w:snapToGrid w:val="0"/>
              <w:spacing w:line="260" w:lineRule="exact"/>
              <w:jc w:val="left"/>
              <w:textAlignment w:val="center"/>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5.组织开展超低能耗建筑建设</w:t>
            </w:r>
            <w:r>
              <w:rPr>
                <w:rFonts w:hint="eastAsia" w:ascii="仿宋_GB2312" w:hAnsi="仿宋_GB2312" w:eastAsia="仿宋_GB2312" w:cs="仿宋_GB2312"/>
                <w:color w:val="0C0C0C"/>
                <w:szCs w:val="21"/>
                <w:highlight w:val="none"/>
                <w:lang w:val="en-US" w:eastAsia="zh-CN"/>
              </w:rPr>
              <w:t>;</w:t>
            </w:r>
          </w:p>
          <w:p>
            <w:pPr>
              <w:widowControl/>
              <w:snapToGrid w:val="0"/>
              <w:spacing w:line="26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6.使用的建筑材料应满足国家及本市标准要求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节约水资源</w:t>
            </w:r>
          </w:p>
        </w:tc>
        <w:tc>
          <w:tcPr>
            <w:tcW w:w="960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采取节水措施或再生水利用、雨水利用，海绵城市项目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43" w:type="dxa"/>
            <w:vMerge w:val="restart"/>
            <w:noWrap w:val="0"/>
            <w:vAlign w:val="center"/>
          </w:tcPr>
          <w:p>
            <w:pPr>
              <w:widowControl/>
              <w:snapToGrid w:val="0"/>
              <w:spacing w:line="240" w:lineRule="exact"/>
              <w:jc w:val="center"/>
              <w:textAlignment w:val="center"/>
              <w:rPr>
                <w:rFonts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4</w:t>
            </w:r>
          </w:p>
        </w:tc>
        <w:tc>
          <w:tcPr>
            <w:tcW w:w="2100" w:type="dxa"/>
            <w:vMerge w:val="restart"/>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环境产出效益</w:t>
            </w:r>
          </w:p>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（根据项目特点满足相应评价指标并出具相应证明）</w:t>
            </w: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碳排放管理</w:t>
            </w:r>
          </w:p>
        </w:tc>
        <w:tc>
          <w:tcPr>
            <w:tcW w:w="9607" w:type="dxa"/>
            <w:noWrap w:val="0"/>
            <w:vAlign w:val="center"/>
          </w:tcPr>
          <w:p>
            <w:pPr>
              <w:widowControl/>
              <w:snapToGrid/>
              <w:spacing w:line="240" w:lineRule="auto"/>
              <w:jc w:val="left"/>
              <w:textAlignment w:val="auto"/>
              <w:rPr>
                <w:rFonts w:hint="eastAsia" w:ascii="仿宋_GB2312" w:hAnsi="仿宋_GB2312" w:eastAsia="仿宋_GB2312" w:cs="仿宋_GB2312"/>
                <w:color w:val="0C0C0C"/>
                <w:szCs w:val="21"/>
                <w:highlight w:val="none"/>
                <w:lang w:val="en-US" w:eastAsia="zh-CN"/>
              </w:rPr>
            </w:pPr>
            <w:r>
              <w:rPr>
                <w:rFonts w:hint="eastAsia" w:ascii="仿宋_GB2312" w:hAnsi="仿宋_GB2312" w:eastAsia="仿宋_GB2312" w:cs="仿宋_GB2312"/>
                <w:color w:val="0C0C0C"/>
                <w:szCs w:val="21"/>
                <w:highlight w:val="none"/>
              </w:rPr>
              <w:t>根据项目类型，对其实施后的碳排放强度</w:t>
            </w:r>
            <w:r>
              <w:rPr>
                <w:rFonts w:hint="eastAsia" w:ascii="仿宋_GB2312" w:hAnsi="仿宋_GB2312" w:eastAsia="仿宋_GB2312" w:cs="仿宋_GB2312"/>
                <w:highlight w:val="none"/>
              </w:rPr>
              <w:t>[</w:t>
            </w:r>
            <w:r>
              <w:rPr>
                <w:rFonts w:hint="eastAsia" w:ascii="仿宋_GB2312" w:hAnsi="仿宋_GB2312" w:eastAsia="仿宋_GB2312" w:cs="仿宋_GB2312"/>
                <w:color w:val="0C0C0C"/>
                <w:szCs w:val="21"/>
                <w:highlight w:val="none"/>
              </w:rPr>
              <w:t>单位产值碳排放、单位产品碳排放或者单位能耗碳排放、单位工业增加值碳排放（选项）</w:t>
            </w:r>
            <w:r>
              <w:rPr>
                <w:rFonts w:hint="eastAsia" w:ascii="仿宋_GB2312" w:hAnsi="仿宋_GB2312" w:eastAsia="仿宋_GB2312" w:cs="仿宋_GB2312"/>
                <w:highlight w:val="none"/>
              </w:rPr>
              <w:t>]</w:t>
            </w:r>
            <w:r>
              <w:rPr>
                <w:rFonts w:hint="eastAsia" w:ascii="仿宋_GB2312" w:hAnsi="仿宋_GB2312" w:eastAsia="仿宋_GB2312" w:cs="仿宋_GB2312"/>
                <w:color w:val="0C0C0C"/>
                <w:szCs w:val="21"/>
                <w:highlight w:val="none"/>
              </w:rPr>
              <w:t>横向或纵向比较（二选一）</w:t>
            </w:r>
            <w:r>
              <w:rPr>
                <w:rFonts w:hint="eastAsia" w:ascii="仿宋_GB2312" w:hAnsi="仿宋_GB2312" w:eastAsia="仿宋_GB2312" w:cs="仿宋_GB2312"/>
                <w:color w:val="0C0C0C"/>
                <w:szCs w:val="21"/>
                <w:highlight w:val="none"/>
                <w:lang w:val="en-US" w:eastAsia="zh-CN"/>
              </w:rPr>
              <w:t>:</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1.新建项目实施后的碳排放强度，达到或优于本市行业先进值；</w:t>
            </w:r>
          </w:p>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2.改扩建项目实施后的碳排放强度，低于现有项目且达到或优于本市行业先进值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大气污染物减排</w:t>
            </w:r>
          </w:p>
        </w:tc>
        <w:tc>
          <w:tcPr>
            <w:tcW w:w="960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主要污染物排放水平稳定优于国家或本市污染物排放标准限值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水污染物减排</w:t>
            </w:r>
          </w:p>
        </w:tc>
        <w:tc>
          <w:tcPr>
            <w:tcW w:w="960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主要污染物排放水平稳定优于国家或本市污染物排放标准限值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固体废物综合利用</w:t>
            </w:r>
          </w:p>
        </w:tc>
        <w:tc>
          <w:tcPr>
            <w:tcW w:w="960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一般工业固体废物利用率不低于90%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先进治污技术应用</w:t>
            </w:r>
          </w:p>
        </w:tc>
        <w:tc>
          <w:tcPr>
            <w:tcW w:w="960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污染治理类项目采用《国家先进污染防治技术目录》或者</w:t>
            </w:r>
            <w:r>
              <w:rPr>
                <w:rFonts w:hint="eastAsia" w:ascii="仿宋_GB2312" w:hAnsi="仿宋_GB2312" w:eastAsia="仿宋_GB2312" w:cs="仿宋_GB2312"/>
                <w:color w:val="0C0C0C"/>
                <w:szCs w:val="21"/>
                <w:highlight w:val="none"/>
                <w:lang w:eastAsia="zh-CN"/>
              </w:rPr>
              <w:t>“</w:t>
            </w:r>
            <w:r>
              <w:rPr>
                <w:rFonts w:hint="eastAsia" w:ascii="仿宋_GB2312" w:hAnsi="仿宋_GB2312" w:eastAsia="仿宋_GB2312" w:cs="仿宋_GB2312"/>
                <w:color w:val="0C0C0C"/>
                <w:szCs w:val="21"/>
                <w:highlight w:val="none"/>
              </w:rPr>
              <w:t>重点行业污染防治可行技术指南</w:t>
            </w:r>
            <w:r>
              <w:rPr>
                <w:rFonts w:hint="eastAsia" w:ascii="仿宋_GB2312" w:hAnsi="仿宋_GB2312" w:eastAsia="仿宋_GB2312" w:cs="仿宋_GB2312"/>
                <w:color w:val="0C0C0C"/>
                <w:szCs w:val="21"/>
                <w:highlight w:val="none"/>
                <w:lang w:eastAsia="zh-CN"/>
              </w:rPr>
              <w:t>”</w:t>
            </w:r>
            <w:r>
              <w:rPr>
                <w:rFonts w:hint="eastAsia" w:ascii="仿宋_GB2312" w:hAnsi="仿宋_GB2312" w:eastAsia="仿宋_GB2312" w:cs="仿宋_GB2312"/>
                <w:color w:val="0C0C0C"/>
                <w:szCs w:val="21"/>
                <w:highlight w:val="none"/>
              </w:rPr>
              <w:t>推荐的污染预防和治理技术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43"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2100" w:type="dxa"/>
            <w:vMerge w:val="continue"/>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p>
        </w:tc>
        <w:tc>
          <w:tcPr>
            <w:tcW w:w="1965" w:type="dxa"/>
            <w:noWrap w:val="0"/>
            <w:vAlign w:val="center"/>
          </w:tcPr>
          <w:p>
            <w:pPr>
              <w:widowControl/>
              <w:snapToGrid w:val="0"/>
              <w:spacing w:line="240" w:lineRule="exact"/>
              <w:jc w:val="center"/>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土壤修复</w:t>
            </w:r>
          </w:p>
        </w:tc>
        <w:tc>
          <w:tcPr>
            <w:tcW w:w="9607" w:type="dxa"/>
            <w:noWrap w:val="0"/>
            <w:vAlign w:val="center"/>
          </w:tcPr>
          <w:p>
            <w:pPr>
              <w:widowControl/>
              <w:snapToGrid w:val="0"/>
              <w:spacing w:line="240" w:lineRule="exact"/>
              <w:jc w:val="left"/>
              <w:textAlignment w:val="center"/>
              <w:rPr>
                <w:rFonts w:hint="eastAsia" w:ascii="仿宋_GB2312" w:hAnsi="仿宋_GB2312" w:eastAsia="仿宋_GB2312" w:cs="仿宋_GB2312"/>
                <w:color w:val="0C0C0C"/>
                <w:szCs w:val="21"/>
                <w:highlight w:val="none"/>
              </w:rPr>
            </w:pPr>
            <w:r>
              <w:rPr>
                <w:rFonts w:hint="eastAsia" w:ascii="仿宋_GB2312" w:hAnsi="仿宋_GB2312" w:eastAsia="仿宋_GB2312" w:cs="仿宋_GB2312"/>
                <w:color w:val="0C0C0C"/>
                <w:szCs w:val="21"/>
                <w:highlight w:val="none"/>
              </w:rPr>
              <w:t>采用物理、化学</w:t>
            </w:r>
            <w:r>
              <w:rPr>
                <w:rFonts w:hint="eastAsia" w:ascii="仿宋_GB2312" w:hAnsi="仿宋_GB2312" w:eastAsia="仿宋_GB2312" w:cs="仿宋_GB2312"/>
                <w:color w:val="0C0C0C"/>
                <w:szCs w:val="21"/>
                <w:highlight w:val="none"/>
                <w:lang w:eastAsia="zh-CN"/>
              </w:rPr>
              <w:t>或者</w:t>
            </w:r>
            <w:r>
              <w:rPr>
                <w:rFonts w:hint="eastAsia" w:ascii="仿宋_GB2312" w:hAnsi="仿宋_GB2312" w:eastAsia="仿宋_GB2312" w:cs="仿宋_GB2312"/>
                <w:color w:val="0C0C0C"/>
                <w:szCs w:val="21"/>
                <w:highlight w:val="none"/>
              </w:rPr>
              <w:t>生物的方法固定、转移、吸收、降解或转化地块土壤中的污染物，使其含量降低到可接受水平，或将有毒有害的污染物转化为无害物质的土壤环境治理工程项目</w:t>
            </w:r>
          </w:p>
        </w:tc>
      </w:tr>
    </w:tbl>
    <w:p>
      <w:pPr>
        <w:rPr>
          <w:rFonts w:hint="eastAsia" w:ascii="仿宋_GB2312" w:hAnsi="仿宋_GB2312" w:eastAsia="仿宋_GB2312" w:cs="仿宋_GB2312"/>
          <w:color w:val="0C0C0C"/>
          <w:szCs w:val="21"/>
          <w:highlight w:val="none"/>
        </w:rPr>
        <w:sectPr>
          <w:footerReference r:id="rId7" w:type="default"/>
          <w:footerReference r:id="rId8" w:type="even"/>
          <w:pgSz w:w="16838" w:h="11906" w:orient="landscape"/>
          <w:pgMar w:top="1587" w:right="1417" w:bottom="1474" w:left="1417" w:header="851" w:footer="1134" w:gutter="0"/>
          <w:pgBorders>
            <w:top w:val="none" w:sz="0" w:space="0"/>
            <w:left w:val="none" w:sz="0" w:space="0"/>
            <w:bottom w:val="none" w:sz="0" w:space="0"/>
            <w:right w:val="none" w:sz="0" w:space="0"/>
          </w:pgBorders>
          <w:pgNumType w:fmt="decimal"/>
          <w:cols w:space="720" w:num="1"/>
          <w:rtlGutter w:val="0"/>
          <w:docGrid w:type="lines" w:linePitch="319" w:charSpace="0"/>
        </w:sectPr>
      </w:pPr>
      <w:r>
        <w:rPr>
          <w:rFonts w:hint="eastAsia"/>
          <w:highlight w:val="none"/>
        </w:rPr>
        <w:t>注</w:t>
      </w:r>
      <w:r>
        <w:rPr>
          <w:rFonts w:hint="eastAsia" w:ascii="仿宋_GB2312" w:hAnsi="仿宋_GB2312" w:eastAsia="仿宋_GB2312" w:cs="仿宋_GB2312"/>
          <w:color w:val="0C0C0C"/>
          <w:szCs w:val="21"/>
          <w:highlight w:val="none"/>
        </w:rPr>
        <w:t>：标“*”指标为限定性指标，其他指标根据项目特点选择评价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sans-serif">
    <w:altName w:val="宋体"/>
    <w:panose1 w:val="00000000000000000000"/>
    <w:charset w:val="00"/>
    <w:family w:val="auto"/>
    <w:pitch w:val="default"/>
    <w:sig w:usb0="00000000" w:usb1="00000000" w:usb2="00000000"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瀹嬩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Cs w:val="28"/>
      </w:rPr>
    </w:pPr>
    <w:r>
      <w:rPr>
        <w:sz w:val="18"/>
      </w:rPr>
      <mc:AlternateContent>
        <mc:Choice Requires="wps">
          <w:drawing>
            <wp:anchor distT="0" distB="0" distL="114300" distR="114300" simplePos="0" relativeHeight="251659264" behindDoc="0" locked="0" layoutInCell="1" allowOverlap="1">
              <wp:simplePos x="0" y="0"/>
              <wp:positionH relativeFrom="margin">
                <wp:posOffset>4756150</wp:posOffset>
              </wp:positionH>
              <wp:positionV relativeFrom="paragraph">
                <wp:posOffset>0</wp:posOffset>
              </wp:positionV>
              <wp:extent cx="8604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60425" cy="1828800"/>
                      </a:xfrm>
                      <a:prstGeom prst="rect">
                        <a:avLst/>
                      </a:prstGeom>
                      <a:noFill/>
                      <a:ln>
                        <a:noFill/>
                      </a:ln>
                    </wps:spPr>
                    <wps:txbx>
                      <w:txbxContent>
                        <w:p>
                          <w:pPr>
                            <w:pStyle w:val="4"/>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374.5pt;margin-top:0pt;height:144pt;width:67.75pt;mso-position-horizontal-relative:margin;z-index:251659264;mso-width-relative:page;mso-height-relative:page;" filled="f" stroked="f" coordsize="21600,21600" o:gfxdata="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BLLPdcAAAAIAQAADwAAAAAAAAABACAAAAAiAAAAZHJzL2Rvd25y&#10;ZXYueG1sUEsBAhQAFAAAAAgAh07iQDpQ9DbGAQAAjAMAAA4AAAAAAAAAAQAgAAAAJgEAAGRycy9l&#10;Mm9Eb2MueG1sUEsFBgAAAAAGAAYAWQEAAF4FAAAAAA==&#10;">
              <v:path/>
              <v:fill on="f" focussize="0,0"/>
              <v:stroke on="f"/>
              <v:imagedata o:title=""/>
              <o:lock v:ext="edit" aspectratio="f"/>
              <v:textbox inset="0mm,0mm,0mm,0mm" style="mso-fit-shape-to-text:t;">
                <w:txbxContent>
                  <w:p>
                    <w:pPr>
                      <w:pStyle w:val="4"/>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86042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60425" cy="1828800"/>
                      </a:xfrm>
                      <a:prstGeom prst="rect">
                        <a:avLst/>
                      </a:prstGeom>
                      <a:noFill/>
                      <a:ln>
                        <a:noFill/>
                      </a:ln>
                    </wps:spPr>
                    <wps:txbx>
                      <w:txbxContent>
                        <w:p>
                          <w:pPr>
                            <w:pStyle w:val="4"/>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7.75pt;mso-position-horizontal:center;mso-position-horizontal-relative:margin;z-index:251661312;mso-width-relative:page;mso-height-relative:page;" filled="f" stroked="f" coordsize="21600,21600" o:gfxdata="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2iogPUAAAABQEAAA8AAAAAAAAAAQAgAAAAIgAAAGRycy9kb3ducmV2&#10;LnhtbFBLAQIUABQAAAAIAIdO4kCYK2thxwEAAIwDAAAOAAAAAAAAAAEAIAAAACMBAABkcnMvZTJv&#10;RG9jLnhtbFBLBQYAAAAABgAGAFkBAABcBQAAAAA=&#10;">
              <v:path/>
              <v:fill on="f" focussize="0,0"/>
              <v:stroke on="f"/>
              <v:imagedata o:title=""/>
              <o:lock v:ext="edit" aspectratio="f"/>
              <v:textbox inset="0mm,0mm,0mm,0mm" style="mso-fit-shape-to-text:t;">
                <w:txbxContent>
                  <w:p>
                    <w:pPr>
                      <w:pStyle w:val="4"/>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4"/>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F76E"/>
    <w:multiLevelType w:val="singleLevel"/>
    <w:tmpl w:val="FF7EF76E"/>
    <w:lvl w:ilvl="0" w:tentative="0">
      <w:start w:val="1"/>
      <w:numFmt w:val="decimal"/>
      <w:suff w:val="space"/>
      <w:lvlText w:val="%1."/>
      <w:lvlJc w:val="left"/>
    </w:lvl>
  </w:abstractNum>
  <w:abstractNum w:abstractNumId="1">
    <w:nsid w:val="7FDF3C9F"/>
    <w:multiLevelType w:val="singleLevel"/>
    <w:tmpl w:val="7FDF3C9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zNDZkZGZiY2Q1NTlhZGU1YmU1Zjg5YmEyNTBlOGMifQ=="/>
  </w:docVars>
  <w:rsids>
    <w:rsidRoot w:val="7B70756D"/>
    <w:rsid w:val="7B70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adjustRightInd w:val="0"/>
      <w:ind w:left="200" w:leftChars="200"/>
    </w:pPr>
    <w:rPr>
      <w:rFonts w:ascii="宋体" w:hAnsi="宋体" w:eastAsia="仿宋_GB2312"/>
      <w:szCs w:val="31"/>
    </w:rPr>
  </w:style>
  <w:style w:type="paragraph" w:styleId="3">
    <w:name w:val="annotation text"/>
    <w:basedOn w:val="1"/>
    <w:qFormat/>
    <w:uiPriority w:val="0"/>
    <w:pPr>
      <w:jc w:val="left"/>
    </w:pPr>
    <w:rPr>
      <w:kern w:val="0"/>
      <w:sz w:val="20"/>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next w:val="6"/>
    <w:uiPriority w:val="0"/>
    <w:pPr>
      <w:pBdr>
        <w:bottom w:val="single" w:color="auto" w:sz="6" w:space="1"/>
      </w:pBdr>
      <w:tabs>
        <w:tab w:val="center" w:pos="4153"/>
        <w:tab w:val="right" w:pos="8306"/>
      </w:tabs>
      <w:snapToGrid w:val="0"/>
      <w:jc w:val="center"/>
    </w:pPr>
    <w:rPr>
      <w:sz w:val="18"/>
    </w:rPr>
  </w:style>
  <w:style w:type="paragraph" w:customStyle="1" w:styleId="6">
    <w:name w:val="样式5"/>
    <w:basedOn w:val="7"/>
    <w:qFormat/>
    <w:uiPriority w:val="0"/>
    <w:pPr>
      <w:spacing w:line="480" w:lineRule="atLeast"/>
      <w:ind w:firstLine="454"/>
    </w:pPr>
    <w:rPr>
      <w:rFonts w:ascii="Calibri" w:hAnsi="Times New Roman"/>
      <w:sz w:val="24"/>
      <w:szCs w:val="20"/>
    </w:rPr>
  </w:style>
  <w:style w:type="paragraph" w:customStyle="1" w:styleId="7">
    <w:name w:val="正文1"/>
    <w:basedOn w:val="1"/>
    <w:qFormat/>
    <w:uiPriority w:val="0"/>
    <w:pPr>
      <w:spacing w:line="500" w:lineRule="atLeast"/>
      <w:ind w:firstLine="567"/>
    </w:pPr>
    <w:rPr>
      <w:rFonts w:ascii="Times New Roman" w:hAnsi="Calibri" w:eastAsia="宋体" w:cs="Times New Roman"/>
      <w:sz w:val="28"/>
    </w:rPr>
  </w:style>
  <w:style w:type="character" w:styleId="10">
    <w:name w:val="page number"/>
    <w:basedOn w:val="9"/>
    <w:uiPriority w:val="0"/>
  </w:style>
  <w:style w:type="paragraph" w:customStyle="1" w:styleId="11">
    <w:name w:val="List Paragraph"/>
    <w:basedOn w:val="1"/>
    <w:qFormat/>
    <w:uiPriority w:val="0"/>
    <w:pPr>
      <w:ind w:firstLine="420" w:firstLineChars="200"/>
    </w:pPr>
  </w:style>
  <w:style w:type="character" w:customStyle="1" w:styleId="12">
    <w:name w:val="font61"/>
    <w:qFormat/>
    <w:uiPriority w:val="0"/>
    <w:rPr>
      <w:rFonts w:hint="eastAsia" w:ascii="宋体" w:hAnsi="宋体" w:eastAsia="宋体" w:cs="宋体"/>
      <w:color w:val="000000"/>
      <w:sz w:val="21"/>
      <w:szCs w:val="21"/>
      <w:u w:val="none"/>
    </w:rPr>
  </w:style>
  <w:style w:type="paragraph" w:customStyle="1" w:styleId="13">
    <w:name w:val="BodyText1I2"/>
    <w:basedOn w:val="14"/>
    <w:qFormat/>
    <w:uiPriority w:val="0"/>
    <w:pPr>
      <w:spacing w:after="120"/>
      <w:ind w:left="420" w:leftChars="200" w:firstLine="420" w:firstLineChars="200"/>
      <w:jc w:val="both"/>
      <w:textAlignment w:val="baseline"/>
    </w:pPr>
    <w:rPr>
      <w:rFonts w:ascii="Calibri" w:hAnsi="Calibri" w:eastAsia="宋体" w:cs="Times New Roman"/>
    </w:rPr>
  </w:style>
  <w:style w:type="paragraph" w:customStyle="1" w:styleId="14">
    <w:name w:val="BodyTextIndent"/>
    <w:basedOn w:val="1"/>
    <w:next w:val="15"/>
    <w:qFormat/>
    <w:uiPriority w:val="0"/>
    <w:pPr>
      <w:spacing w:after="120"/>
      <w:ind w:left="420" w:leftChars="200"/>
      <w:jc w:val="both"/>
      <w:textAlignment w:val="baseline"/>
    </w:pPr>
    <w:rPr>
      <w:rFonts w:ascii="Calibri" w:hAnsi="Calibri" w:eastAsia="宋体" w:cs="Times New Roman"/>
    </w:rPr>
  </w:style>
  <w:style w:type="paragraph" w:customStyle="1" w:styleId="15">
    <w:name w:val="NormalIndent"/>
    <w:basedOn w:val="1"/>
    <w:qFormat/>
    <w:uiPriority w:val="0"/>
    <w:pPr>
      <w:ind w:firstLine="420" w:firstLineChars="200"/>
      <w:jc w:val="both"/>
      <w:textAlignment w:val="baseline"/>
    </w:pPr>
    <w:rPr>
      <w:rFonts w:ascii="Calibri" w:hAnsi="Calibri"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32155</Words>
  <Characters>37103</Characters>
  <Lines>0</Lines>
  <Paragraphs>0</Paragraphs>
  <TotalTime>0</TotalTime>
  <ScaleCrop>false</ScaleCrop>
  <LinksUpToDate>false</LinksUpToDate>
  <CharactersWithSpaces>37122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2023-08-01T02:29:00Z</dcterms:created>
  <dc:creator>赵旭</dc:creator>
  <cp:lastModifiedBy>赵旭</cp:lastModifiedBy>
  <dcterms:modified xsi:type="dcterms:W3CDTF">2023-08-01T02:30:34Z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3731655B83CE41AC8877CF78471971DC_11</vt:lpwstr>
  </property>
</Properties>
</file>