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8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北京市生态环境局</w:t>
      </w:r>
    </w:p>
    <w:p>
      <w:pPr>
        <w:autoSpaceDE w:val="0"/>
        <w:autoSpaceDN w:val="0"/>
        <w:adjustRightInd w:val="0"/>
        <w:spacing w:line="68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center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</w:p>
    <w:p>
      <w:pPr>
        <w:widowControl/>
        <w:adjustRightInd w:val="0"/>
        <w:snapToGrid w:val="0"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依据《中华人民共和国政府信息公开条例》(以下简称《条例》)第五十条规定，编制本报告。</w:t>
      </w:r>
    </w:p>
    <w:p>
      <w:pPr>
        <w:widowControl/>
        <w:adjustRightInd w:val="0"/>
        <w:snapToGrid w:val="0"/>
        <w:spacing w:line="560" w:lineRule="exact"/>
        <w:ind w:firstLine="672" w:firstLineChars="200"/>
        <w:jc w:val="left"/>
        <w:rPr>
          <w:rFonts w:hint="eastAsia"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年，市生态环境局坚持以习近平新时代中国特色社会主义思想为指导，认真落实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国家和本市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关于全面推进信息公开的系列部署和工作要求，紧密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围绕改善生态环境质量和深入打好污染防治攻坚战工作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，着力提升政府信息公开质量，以更高的标准做好</w:t>
      </w:r>
      <w:r>
        <w:rPr>
          <w:rFonts w:hint="eastAsia" w:ascii="仿宋_GB2312" w:eastAsia="仿宋_GB2312"/>
          <w:color w:val="000000"/>
          <w:sz w:val="32"/>
          <w:szCs w:val="32"/>
        </w:rPr>
        <w:t>“十四五”时期生态环境保护工作。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 w:cs="宋体"/>
          <w:kern w:val="0"/>
          <w:sz w:val="32"/>
          <w:szCs w:val="32"/>
          <w:lang w:val="zh-CN"/>
        </w:rPr>
      </w:pPr>
      <w:r>
        <w:rPr>
          <w:rFonts w:hint="eastAsia" w:ascii="楷体_GB2312" w:eastAsia="楷体_GB2312" w:cs="宋体"/>
          <w:kern w:val="0"/>
          <w:sz w:val="32"/>
          <w:szCs w:val="32"/>
          <w:lang w:val="zh-CN"/>
        </w:rPr>
        <w:t>（一）组织领导情况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我局主要领导及主管领导高度重视政府信息公开工作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，多次对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生态环境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信息公开、网站平台建设等作出部署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。我局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认真贯彻落实《条例》要求，持续强化制度机制建设，修订并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发布我局政府信息公开指南。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 w:cs="宋体"/>
          <w:kern w:val="0"/>
          <w:sz w:val="32"/>
          <w:szCs w:val="32"/>
          <w:lang w:val="zh-CN"/>
        </w:rPr>
      </w:pPr>
      <w:r>
        <w:rPr>
          <w:rFonts w:hint="eastAsia" w:ascii="楷体_GB2312" w:eastAsia="楷体_GB2312" w:cs="宋体"/>
          <w:kern w:val="0"/>
          <w:sz w:val="32"/>
          <w:szCs w:val="32"/>
          <w:lang w:val="zh-CN"/>
        </w:rPr>
        <w:t>（二）主动公开情况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</w:rPr>
        <w:t>及时、规范发布各类环境质量状况信息。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发布本市各类环境质量状况信息，按月发布本市各区PM</w:t>
      </w:r>
      <w:r>
        <w:rPr>
          <w:rFonts w:hint="eastAsia" w:ascii="仿宋_GB2312" w:hAnsi="仿宋" w:eastAsia="仿宋_GB2312"/>
          <w:color w:val="000000"/>
          <w:sz w:val="32"/>
          <w:szCs w:val="32"/>
          <w:vertAlign w:val="subscript"/>
        </w:rPr>
        <w:t>2.5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浓度排名，发布</w:t>
      </w:r>
      <w:r>
        <w:rPr>
          <w:rFonts w:hint="eastAsia" w:ascii="仿宋_GB2312" w:hAnsi="仿宋" w:eastAsia="仿宋_GB2312"/>
          <w:sz w:val="32"/>
          <w:szCs w:val="32"/>
        </w:rPr>
        <w:t>本市生态环境状况公报和固体废物污染环境防治公告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按月发布全市大中型水库、重点湖泊、主要河流月度水质状况，按季度公开本市市级集中式饮用水水质状况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及时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公布污染防治攻坚战</w:t>
      </w:r>
      <w:r>
        <w:rPr>
          <w:rFonts w:hint="eastAsia" w:ascii="仿宋_GB2312" w:eastAsia="仿宋_GB2312"/>
          <w:sz w:val="32"/>
          <w:szCs w:val="32"/>
        </w:rPr>
        <w:t>工作进展情况，</w:t>
      </w:r>
      <w:r>
        <w:rPr>
          <w:rFonts w:hint="eastAsia" w:ascii="仿宋_GB2312" w:hAnsi="仿宋" w:eastAsia="仿宋_GB2312"/>
          <w:sz w:val="32"/>
          <w:szCs w:val="32"/>
        </w:rPr>
        <w:t>持续做好生态环境保护督察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准确发布机关职能、机构设置、办公地址、办公时间、联系方式等信息。</w:t>
      </w:r>
      <w:r>
        <w:rPr>
          <w:rFonts w:hint="eastAsia" w:ascii="仿宋_GB2312" w:hAnsi="Calibri" w:eastAsia="仿宋_GB2312"/>
          <w:b/>
          <w:sz w:val="32"/>
          <w:szCs w:val="32"/>
        </w:rPr>
        <w:t>三是</w:t>
      </w:r>
      <w:r>
        <w:rPr>
          <w:rFonts w:hint="eastAsia" w:ascii="仿宋_GB2312" w:hAnsi="Calibri" w:eastAsia="仿宋_GB2312"/>
          <w:sz w:val="32"/>
          <w:szCs w:val="32"/>
        </w:rPr>
        <w:t>全面发布民生保障信息。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全面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</w:rPr>
        <w:t>公开重点工作进展，</w:t>
      </w:r>
      <w:r>
        <w:rPr>
          <w:rFonts w:hint="eastAsia" w:ascii="仿宋_GB2312" w:hAnsi="仿宋" w:eastAsia="仿宋_GB2312"/>
          <w:sz w:val="32"/>
          <w:szCs w:val="32"/>
        </w:rPr>
        <w:t>按时公开</w:t>
      </w:r>
      <w:r>
        <w:rPr>
          <w:rFonts w:hint="eastAsia" w:ascii="仿宋_GB2312" w:eastAsia="仿宋_GB2312"/>
          <w:color w:val="000000"/>
          <w:sz w:val="32"/>
          <w:szCs w:val="32"/>
        </w:rPr>
        <w:t>预决算和政府集中采购项目的目录、标准及实施情况</w:t>
      </w:r>
      <w:r>
        <w:rPr>
          <w:rFonts w:hint="eastAsia" w:ascii="仿宋_GB2312" w:hAnsi="仿宋" w:eastAsia="仿宋_GB2312"/>
          <w:sz w:val="32"/>
          <w:szCs w:val="32"/>
        </w:rPr>
        <w:t>、人员考录等信息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Courier New" w:eastAsia="楷体_GB2312" w:cs="宋体"/>
          <w:kern w:val="0"/>
          <w:sz w:val="32"/>
          <w:szCs w:val="32"/>
          <w:lang w:val="zh-CN"/>
        </w:rPr>
      </w:pPr>
      <w:r>
        <w:rPr>
          <w:rFonts w:hint="eastAsia" w:ascii="楷体_GB2312" w:hAnsi="Courier New" w:eastAsia="楷体_GB2312" w:cs="宋体"/>
          <w:kern w:val="0"/>
          <w:sz w:val="32"/>
          <w:szCs w:val="32"/>
          <w:lang w:val="zh-CN"/>
        </w:rPr>
        <w:t>（三）依申请公开情况</w:t>
      </w:r>
    </w:p>
    <w:p>
      <w:pPr>
        <w:adjustRightInd w:val="0"/>
        <w:snapToGrid w:val="0"/>
        <w:spacing w:line="560" w:lineRule="exact"/>
        <w:ind w:firstLine="648"/>
        <w:rPr>
          <w:rFonts w:hint="eastAsia" w:ascii="仿宋_GB2312" w:hAnsi="仿宋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畅通依申请咨询渠道，公开并确保现场、信函、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网络和电话渠道的有效性和畅通性。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依法依规办理依申请公开答复工作，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在法定期限内做出答复，答复模板规范引用法律依据</w:t>
      </w:r>
      <w:r>
        <w:rPr>
          <w:rFonts w:hint="eastAsia" w:ascii="仿宋_GB2312" w:hAnsi="仿宋" w:eastAsia="仿宋_GB2312" w:cs="仿宋_GB2312"/>
          <w:sz w:val="32"/>
          <w:szCs w:val="32"/>
        </w:rPr>
        <w:t>并明示救济渠道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确保答复时限、形式、内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容的合法性和规范性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及时更新政府信息公开专栏、指南和目录。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Courier New" w:eastAsia="楷体_GB2312" w:cs="宋体"/>
          <w:kern w:val="0"/>
          <w:sz w:val="32"/>
          <w:szCs w:val="32"/>
          <w:lang w:val="zh-CN"/>
        </w:rPr>
      </w:pPr>
      <w:r>
        <w:rPr>
          <w:rFonts w:hint="eastAsia" w:ascii="楷体_GB2312" w:hAnsi="Courier New" w:eastAsia="楷体_GB2312" w:cs="宋体"/>
          <w:kern w:val="0"/>
          <w:sz w:val="32"/>
          <w:szCs w:val="32"/>
          <w:lang w:val="zh-CN"/>
        </w:rPr>
        <w:t>（四）政府信息管理情况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按照“应公开必公开，能公开尽公开”要求，</w:t>
      </w:r>
      <w:r>
        <w:rPr>
          <w:rFonts w:hint="eastAsia" w:ascii="仿宋_GB2312" w:eastAsia="仿宋_GB2312"/>
          <w:sz w:val="32"/>
          <w:szCs w:val="32"/>
        </w:rPr>
        <w:t>主动公开生态环境相关信息，及时发布政策解读信息。做好信息报送和内容审核工作。</w:t>
      </w:r>
      <w:r>
        <w:rPr>
          <w:rFonts w:hint="eastAsia" w:ascii="仿宋_GB2312" w:hAnsi="Calibri" w:eastAsia="仿宋_GB2312"/>
          <w:sz w:val="32"/>
          <w:szCs w:val="32"/>
        </w:rPr>
        <w:t>加强信息源头管理，根据立、改、废等情况，及时调整已公开的行政规范性文件信息。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微软雅黑" w:eastAsia="仿宋_GB2312" w:cs="仿宋_GB2312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  <w:lang w:val="zh-CN"/>
        </w:rPr>
        <w:t>（五）平台建设情况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优化网站平台建设，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提升我局政府网站搜索功能的可用性和易用性。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结合生态环境业务工作，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做好网站页面和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专题专栏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的更新维护，</w:t>
      </w:r>
      <w:r>
        <w:rPr>
          <w:rFonts w:hint="eastAsia" w:ascii="仿宋_GB2312" w:eastAsia="仿宋_GB2312"/>
          <w:sz w:val="32"/>
          <w:szCs w:val="32"/>
        </w:rPr>
        <w:t>定期通过技术手段开展网站内容纠错，</w:t>
      </w:r>
      <w:r>
        <w:rPr>
          <w:rFonts w:hint="eastAsia" w:ascii="仿宋_GB2312" w:eastAsia="仿宋_GB2312"/>
          <w:color w:val="000000"/>
          <w:sz w:val="32"/>
          <w:szCs w:val="32"/>
        </w:rPr>
        <w:t>确保信</w:t>
      </w:r>
      <w:r>
        <w:rPr>
          <w:rFonts w:hint="eastAsia" w:ascii="仿宋_GB2312" w:eastAsia="仿宋_GB2312"/>
          <w:sz w:val="32"/>
          <w:szCs w:val="32"/>
        </w:rPr>
        <w:t>息发布及时准确，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便于公众查询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Courier New" w:eastAsia="楷体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hAnsi="Courier New" w:eastAsia="楷体_GB2312" w:cs="宋体"/>
          <w:kern w:val="0"/>
          <w:sz w:val="32"/>
          <w:szCs w:val="32"/>
          <w:lang w:val="zh-CN"/>
        </w:rPr>
        <w:t>（六）</w:t>
      </w:r>
      <w:r>
        <w:rPr>
          <w:rFonts w:hint="eastAsia" w:ascii="楷体_GB2312" w:hAnsi="Courier New" w:eastAsia="楷体_GB2312" w:cs="宋体"/>
          <w:color w:val="000000"/>
          <w:kern w:val="0"/>
          <w:sz w:val="32"/>
          <w:szCs w:val="32"/>
          <w:lang w:val="zh-CN"/>
        </w:rPr>
        <w:t>政府信息公开监督保障及教育培训情况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ourier New" w:eastAsia="仿宋_GB2312"/>
          <w:kern w:val="0"/>
          <w:sz w:val="32"/>
          <w:szCs w:val="32"/>
        </w:rPr>
        <w:t>网站公布驻局纪检监察组和投诉举报电话，接受企业群众监督检查。</w:t>
      </w:r>
      <w:r>
        <w:rPr>
          <w:rFonts w:hint="eastAsia" w:ascii="仿宋_GB2312" w:hAnsi="仿宋" w:eastAsia="仿宋_GB2312" w:cs="仿宋_GB2312"/>
          <w:sz w:val="32"/>
          <w:szCs w:val="32"/>
        </w:rPr>
        <w:t>在市</w:t>
      </w:r>
      <w:r>
        <w:rPr>
          <w:rFonts w:ascii="仿宋_GB2312" w:hAnsi="仿宋" w:eastAsia="仿宋_GB2312" w:cs="仿宋_GB2312"/>
          <w:sz w:val="32"/>
          <w:szCs w:val="32"/>
        </w:rPr>
        <w:t>、区</w:t>
      </w:r>
      <w:r>
        <w:rPr>
          <w:rFonts w:hint="eastAsia" w:ascii="仿宋_GB2312" w:hAnsi="Courier New" w:eastAsia="仿宋_GB2312"/>
          <w:sz w:val="32"/>
          <w:szCs w:val="32"/>
        </w:rPr>
        <w:t>系统内开展信息公开工作线上培训，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强化工作认识和责任意识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</w:pPr>
            <w:r>
              <w:rPr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3"/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3"/>
        <w:gridCol w:w="694"/>
        <w:gridCol w:w="688"/>
        <w:gridCol w:w="687"/>
        <w:gridCol w:w="687"/>
        <w:gridCol w:w="687"/>
        <w:gridCol w:w="687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24" w:type="dxa"/>
            <w:gridSpan w:val="7"/>
            <w:tcBorders>
              <w:top w:val="single" w:color="auto" w:sz="8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69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36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69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7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164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37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56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48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wav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4156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5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wav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widowControl w:val="0"/>
              <w:spacing w:before="0" w:beforeAutospacing="0" w:after="0" w:afterAutospacing="0" w:line="480" w:lineRule="auto"/>
              <w:ind w:firstLine="210" w:firstLineChars="100"/>
              <w:jc w:val="both"/>
              <w:rPr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Courier New"/>
                <w:kern w:val="2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3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92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13</w:t>
            </w:r>
          </w:p>
        </w:tc>
        <w:tc>
          <w:tcPr>
            <w:tcW w:w="687" w:type="dxa"/>
            <w:tcBorders>
              <w:top w:val="single" w:color="auto" w:sz="0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4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1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19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3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4156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173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37</w:t>
            </w:r>
          </w:p>
        </w:tc>
        <w:tc>
          <w:tcPr>
            <w:tcW w:w="687" w:type="dxa"/>
            <w:tcBorders>
              <w:top w:val="single" w:color="auto" w:sz="0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single" w:color="auto" w:sz="0" w:space="0"/>
              <w:bottom w:val="single" w:color="auto" w:sz="8" w:space="0"/>
              <w:right w:val="wav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94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lang w:bidi="ar"/>
              </w:rPr>
              <w:t>3</w:t>
            </w:r>
          </w:p>
        </w:tc>
        <w:tc>
          <w:tcPr>
            <w:tcW w:w="688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0</w:t>
            </w:r>
          </w:p>
        </w:tc>
        <w:tc>
          <w:tcPr>
            <w:tcW w:w="694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lang w:bidi="ar"/>
              </w:rPr>
              <w:t>3</w:t>
            </w:r>
          </w:p>
        </w:tc>
      </w:tr>
    </w:tbl>
    <w:p>
      <w:pPr>
        <w:pStyle w:val="3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我局政务公开工作开展较为顺利，但仍存在一些不足。一是需进一步强化政策解读，做好相关公开工作；二是需进一步加强政务公开建设，提高网站服务创新水平。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做好政府信息公开信息处理收费实施工作，发出收费通知的0件，总金额以及实际收取的总金额均为0元。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北京市生态环境局门户网站网址为http://sthjj.beijing.gov.cn/，如需了解更多政府信息，请登录查询。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385cb382-9bed-4e0c-ae9c-782bdc2af616"/>
  </w:docVars>
  <w:rsids>
    <w:rsidRoot w:val="408D1FEC"/>
    <w:rsid w:val="030B749B"/>
    <w:rsid w:val="1990039C"/>
    <w:rsid w:val="22231C4E"/>
    <w:rsid w:val="364E3BFD"/>
    <w:rsid w:val="37AC7057"/>
    <w:rsid w:val="3C212332"/>
    <w:rsid w:val="3C58581B"/>
    <w:rsid w:val="408D1FEC"/>
    <w:rsid w:val="4D6B1EDB"/>
    <w:rsid w:val="534B236C"/>
    <w:rsid w:val="55537177"/>
    <w:rsid w:val="713527C0"/>
    <w:rsid w:val="77A91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Plain Text"/>
    <w:basedOn w:val="1"/>
    <w:unhideWhenUsed/>
    <w:qFormat/>
    <w:uiPriority w:val="0"/>
    <w:rPr>
      <w:rFonts w:ascii="宋体" w:hAnsi="Courier New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2039</Words>
  <Characters>2123</Characters>
  <Lines>0</Lines>
  <Paragraphs>0</Paragraphs>
  <TotalTime>2</TotalTime>
  <ScaleCrop>false</ScaleCrop>
  <LinksUpToDate>false</LinksUpToDate>
  <CharactersWithSpaces>2124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2023-01-10T09:06:00Z</dcterms:created>
  <dc:creator>邱圣娟</dc:creator>
  <cp:lastModifiedBy>赵旭</cp:lastModifiedBy>
  <dcterms:modified xsi:type="dcterms:W3CDTF">2023-01-31T12:31:48Z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46D23F4D79F64650ADBB95FA550BE459</vt:lpwstr>
  </property>
</Properties>
</file>