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黑体" w:hAnsi="黑体" w:eastAsia="黑体" w:cs="STSongStd-Light"/>
          <w:color w:val="auto"/>
          <w:sz w:val="32"/>
          <w:szCs w:val="32"/>
        </w:rPr>
        <w:t xml:space="preserve">附件 </w:t>
      </w:r>
      <w:r>
        <w:rPr>
          <w:rFonts w:hint="eastAsia" w:ascii="黑体" w:hAnsi="黑体" w:eastAsia="黑体" w:cs="STSongStd-Light"/>
          <w:color w:val="auto"/>
          <w:sz w:val="32"/>
          <w:szCs w:val="32"/>
        </w:rPr>
        <w:t>7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2020年度第八批达北京市第四阶段排放标准的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非道路移动机械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41494177"/>
      <w:r>
        <w:rPr>
          <w:rFonts w:ascii="Times New Roman" w:hAnsi="Times New Roman" w:cs="Times New Roman"/>
          <w:b/>
          <w:bCs/>
        </w:rPr>
        <w:t>1、斗山工程机械（中国）有限公司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DX55-9C ACE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履带式液压挖掘机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发动机：4TNV94L-BVDBCC (YANMAR ENGINE (SHANDONG) CO., LTD.)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喷油泵型号：YPD-MP4 (YANMAR)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喷油器型号：YDLLA (YANMAR)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DX55-9CN ACE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履带式液压挖掘机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发动机：4TNV94L-BVDBCC (YANMAR ENGINE (SHANDONG) CO., LTD.)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喷油泵型号：YPD-MP4 (YANMAR)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喷油器型号：YDLLA (YANMAR)</w:t>
      </w:r>
    </w:p>
    <w:p>
      <w:r>
        <w:rPr>
          <w:rFonts w:ascii="STSongStd-Light" w:hAnsi="STSongStd-Light" w:cs="STSongStd-Light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240DB"/>
    <w:rsid w:val="049240DB"/>
    <w:rsid w:val="10C87336"/>
    <w:rsid w:val="14182C46"/>
    <w:rsid w:val="14C17C42"/>
    <w:rsid w:val="47C06597"/>
    <w:rsid w:val="5542566E"/>
    <w:rsid w:val="56F9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2020-05-28T09:13:00Z</dcterms:created>
  <dc:creator>北京市生态环境局</dc:creator>
  <cp:lastModifiedBy>北京市生态环境局</cp:lastModifiedBy>
  <dcterms:modified xsi:type="dcterms:W3CDTF">2020-05-28T09:14:57Z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