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35"/>
      <w:r>
        <w:rPr>
          <w:rFonts w:ascii="Times New Roman" w:hAnsi="Times New Roman" w:cs="Times New Roman"/>
          <w:b/>
          <w:bCs/>
        </w:rPr>
        <w:t>1、福建龙马环卫装备股份有限公司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发动机：YCS04140N-60(主发动机)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发动机：YCS04120N-60(主发动机)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发动机：YC4FA90N-50(副发动机)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机外净化器：SL-GOC(DOC)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发动机：YC4FA90N-50(副发动机)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机外净化器：SL-GOC(DOC)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发动机：YCS04160N-60(主发动机)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混合装置：YC-M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340A3DAD"/>
    <w:rsid w:val="43C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