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黑体" w:hAnsi="黑体" w:eastAsia="黑体" w:cs="Times New Roman"/>
          <w:bCs/>
          <w:color w:val="auto"/>
          <w:sz w:val="32"/>
          <w:szCs w:val="32"/>
        </w:rPr>
        <w:t>附件</w:t>
      </w:r>
      <w:r>
        <w:rPr>
          <w:rFonts w:ascii="黑体" w:hAnsi="黑体" w:eastAsia="黑体" w:cs="Times New Roman"/>
          <w:bCs/>
          <w:color w:val="auto"/>
          <w:sz w:val="32"/>
          <w:szCs w:val="32"/>
        </w:rPr>
        <w:t xml:space="preserve"> 4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2020年度第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十三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批达国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四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排放标准的重型汽油车</w:t>
      </w:r>
    </w:p>
    <w:p>
      <w:pPr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48117939"/>
      <w:r>
        <w:rPr>
          <w:rFonts w:ascii="Times New Roman" w:hAnsi="Times New Roman"/>
        </w:rPr>
        <w:t>1、吉利四川商用车有限公司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DNC5042CCYSHEVGL1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发动机：GS92MG4 (吉利四川商用车有限公司)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机外净化器：BDL050108 (浙江邦得利环保科技股份有限公司)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燃油蒸发控制系统：YX-V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OBD型号：MED17810.1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DNC5049XLCSHEVGL1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发动机：GS92MG4 (吉利四川商用车有限公司)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机外净化器：BDL050108 (浙江邦得利环保科技股份有限公司)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燃油蒸发控制系统：YX-V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OBD型号：MED17810.1 (联合汽车电子有限公司)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52956"/>
    <w:rsid w:val="0C152956"/>
    <w:rsid w:val="17F02C99"/>
    <w:rsid w:val="3BD26ADD"/>
    <w:rsid w:val="49AC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2020-08-13T08:16:00Z</dcterms:created>
  <dc:creator>北京市生态环境局</dc:creator>
  <cp:lastModifiedBy>北京市生态环境局</cp:lastModifiedBy>
  <dcterms:modified xsi:type="dcterms:W3CDTF">2020-08-13T08:17:42Z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