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tLeast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ascii="黑体" w:hAnsi="黑体" w:eastAsia="黑体" w:cs="Times New Roman"/>
          <w:color w:val="auto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7</w:t>
      </w:r>
    </w:p>
    <w:p>
      <w:pPr>
        <w:spacing w:line="600" w:lineRule="atLeast"/>
        <w:jc w:val="center"/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2020年度第十五批达北京市第四阶段排放标准的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非道路移动机械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1254798"/>
      <w:r>
        <w:rPr>
          <w:rFonts w:ascii="Times New Roman" w:hAnsi="Times New Roman" w:cs="Times New Roman"/>
          <w:b/>
          <w:bCs/>
        </w:rPr>
        <w:t>1、三一重机有限公司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SY55C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发动机：4TNV94L-BVSYC (YANMAR ENGINE(SHANDONG) CO.,LTD)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 CO.,LTD)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SY60C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液压挖掘机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发动机：4TNV94L-BVSYC (YANMAR ENGINE(SHANDONG) CO.,LTD)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喷油泵型号：YPD-MP4 (YANMAR CO.,LTD)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喷油器型号：YDLLA (YANMAR CO.,LTD)</w:t>
      </w:r>
    </w:p>
    <w:p>
      <w:pPr>
        <w:rPr>
          <w:rFonts w:hint="eastAsia"/>
          <w:lang w:val="en-US" w:eastAsia="zh-CN"/>
        </w:rPr>
      </w:pPr>
      <w:r>
        <w:rPr>
          <w:rFonts w:ascii="STSongStd-Light" w:hAnsi="STSongStd-Light" w:cs="STSongStd-Light"/>
        </w:rPr>
        <w:br w:type="page"/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50EE5"/>
    <w:rsid w:val="007566A0"/>
    <w:rsid w:val="043F1FF0"/>
    <w:rsid w:val="2D6644EA"/>
    <w:rsid w:val="542162FC"/>
    <w:rsid w:val="62612F86"/>
    <w:rsid w:val="66750EE5"/>
    <w:rsid w:val="77F6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2020-09-18T02:54:00Z</dcterms:created>
  <dc:creator>北京市生态环境局</dc:creator>
  <cp:lastModifiedBy>北京市生态环境局</cp:lastModifiedBy>
  <dcterms:modified xsi:type="dcterms:W3CDTF">2020-09-18T02:57:58Z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