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4196771"/>
      <w:r>
        <w:rPr>
          <w:rFonts w:ascii="Times New Roman" w:hAnsi="Times New Roman" w:cs="Times New Roman"/>
          <w:b/>
          <w:bCs/>
        </w:rPr>
        <w:t>1、潍柴(扬州)亚星新能源商用车有限公司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YBL6591QB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发动机：3TZ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WLDQJQA4040A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WLDQJB4040A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燃油蒸发控制系统：TY-111A/GL-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(宁波永信汽车部件制造有限公司,天津市格林利福新技术有限公司)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OBD型号：MT22.1 (北京德尔福万源发动机管理系统有限公司)</w:t>
      </w:r>
    </w:p>
    <w:p>
      <w:r>
        <w:rPr>
          <w:rFonts w:ascii="STSongStd-Light" w:hAnsi="STSongStd-Light" w:eastAsia="宋体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194"/>
    <w:rsid w:val="1D9D70EE"/>
    <w:rsid w:val="2DD23622"/>
    <w:rsid w:val="39AB7194"/>
    <w:rsid w:val="480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2020-10-23T03:51:00Z</dcterms:created>
  <dc:creator>北京市生态环境局</dc:creator>
  <cp:lastModifiedBy>北京市生态环境局</cp:lastModifiedBy>
  <dcterms:modified xsi:type="dcterms:W3CDTF">2020-10-23T03:52:27Z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