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52"/>
      <w:r>
        <w:rPr>
          <w:rFonts w:ascii="Times New Roman" w:hAnsi="Times New Roman" w:cs="Times New Roman"/>
          <w:b/>
          <w:bCs/>
        </w:rPr>
        <w:t>1、东风商用车有限公司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DDi11E410-60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DDi13E580-60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DDi13E480-60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DDi13E520-60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DDi13E560-60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喷油泵型号：F2PP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DOC排气处理器型号：DFDOC613V0 (湖北迪耐斯通达排放处理系统有限公司)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SCR排气处理器型号：DFSCR613V0 (湖北迪耐斯通达排放处理系统有限公司)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DPF排气处理器型号：DFDPF613V0 (湖北迪耐斯通达排放处理系统有限公司)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OBD型号：V6.3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催化转化器(ASC)：DFASC613V0 (湖北迪耐斯通达排放处理系统有限公司)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5890953"/>
      <w:r>
        <w:rPr>
          <w:rFonts w:ascii="Times New Roman" w:hAnsi="Times New Roman" w:cs="Times New Roman"/>
          <w:b/>
          <w:bCs/>
        </w:rPr>
        <w:t>2、上海柴油机股份有限公司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SC28R130Q6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(前:博世汽车系统（无锡）有限公司；后:博世汽车系统（无锡）有限公司)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(皮尔博格汽车零部件（昆山）有限公司)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催化转化器(ASC)：DPC01 (上海柴油机股份有限公司)</w:t>
      </w:r>
    </w:p>
    <w:p>
      <w:pPr>
        <w:rPr>
          <w:rFonts w:ascii="STSongStd-Light" w:hAnsi="STSongStd-Light" w:cs="STSongStd-Light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B9E1F70"/>
    <w:rsid w:val="52D36918"/>
    <w:rsid w:val="61F57D72"/>
    <w:rsid w:val="634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