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 5</w:t>
      </w:r>
    </w:p>
    <w:p>
      <w:pPr>
        <w:jc w:val="center"/>
        <w:rPr>
          <w:rFonts w:ascii="STSongStd-Light" w:hAnsi="STSongStd-Light" w:cs="STSongStd-Light" w:eastAsiaTheme="minorEastAsia"/>
          <w:color w:val="auto"/>
          <w:sz w:val="36"/>
          <w:szCs w:val="36"/>
        </w:rPr>
      </w:pP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2022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年度第十一批达国六排放标准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6b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阶段的重型柴油发动机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(</w:t>
      </w:r>
      <w:r>
        <w:rPr>
          <w:rFonts w:hint="eastAsia" w:ascii="STSongStd-Light" w:hAnsi="STSongStd-Light" w:cs="STSongStd-Light" w:eastAsiaTheme="minorEastAsia"/>
          <w:color w:val="auto"/>
        </w:rPr>
        <w:t>下文出现的</w:t>
      </w:r>
      <w:r>
        <w:rPr>
          <w:rFonts w:ascii="STSongStd-Light" w:hAnsi="STSongStd-Light" w:cs="STSongStd-Light" w:eastAsiaTheme="minorEastAsia"/>
          <w:color w:val="auto"/>
        </w:rPr>
        <w:t>“*”</w:t>
      </w:r>
      <w:r>
        <w:rPr>
          <w:rFonts w:hint="eastAsia" w:ascii="STSongStd-Light" w:hAnsi="STSongStd-Light" w:cs="STSongStd-Light" w:eastAsiaTheme="minorEastAsia"/>
          <w:color w:val="auto"/>
        </w:rPr>
        <w:t>代表随机变动实号，</w:t>
      </w:r>
      <w:r>
        <w:rPr>
          <w:rFonts w:ascii="STSongStd-Light" w:hAnsi="STSongStd-Light" w:cs="STSongStd-Light" w:eastAsiaTheme="minorEastAsia"/>
          <w:color w:val="auto"/>
        </w:rPr>
        <w:t>“</w:t>
      </w:r>
      <w:r>
        <w:rPr>
          <w:rFonts w:hint="eastAsia" w:ascii="STSongStd-Light" w:hAnsi="STSongStd-Light" w:cs="STSongStd-Light" w:eastAsiaTheme="minorEastAsia"/>
          <w:color w:val="auto"/>
        </w:rPr>
        <w:t>（</w:t>
      </w:r>
      <w:r>
        <w:rPr>
          <w:rFonts w:ascii="STSongStd-Light" w:hAnsi="STSongStd-Light" w:cs="STSongStd-Light" w:eastAsiaTheme="minorEastAsia"/>
          <w:color w:val="auto"/>
        </w:rPr>
        <w:t>*</w:t>
      </w:r>
      <w:r>
        <w:rPr>
          <w:rFonts w:hint="eastAsia" w:ascii="STSongStd-Light" w:hAnsi="STSongStd-Light" w:cs="STSongStd-Light" w:eastAsiaTheme="minorEastAsia"/>
          <w:color w:val="auto"/>
        </w:rPr>
        <w:t>）</w:t>
      </w:r>
      <w:r>
        <w:rPr>
          <w:rFonts w:ascii="STSongStd-Light" w:hAnsi="STSongStd-Light" w:cs="STSongStd-Light" w:eastAsiaTheme="minorEastAsia"/>
          <w:color w:val="auto"/>
        </w:rPr>
        <w:t>”</w:t>
      </w:r>
      <w:r>
        <w:rPr>
          <w:rFonts w:hint="eastAsia" w:ascii="STSongStd-Light" w:hAnsi="STSongStd-Light" w:cs="STSongStd-Light" w:eastAsiaTheme="minorEastAsia"/>
          <w:color w:val="auto"/>
        </w:rPr>
        <w:t>代表随机变动实号或虚号</w:t>
      </w:r>
      <w:r>
        <w:rPr>
          <w:rFonts w:ascii="STSongStd-Light" w:hAnsi="STSongStd-Light" w:cs="STSongStd-Light" w:eastAsiaTheme="minorEastAsia"/>
          <w:color w:val="auto"/>
        </w:rPr>
        <w:t>)</w:t>
      </w:r>
    </w:p>
    <w:p>
      <w:pPr>
        <w:jc w:val="center"/>
        <w:rPr>
          <w:rFonts w:cs="Times New Roman"/>
        </w:rPr>
      </w:pPr>
    </w:p>
    <w:p>
      <w:pPr>
        <w:outlineLvl w:val="0"/>
        <w:rPr>
          <w:rFonts w:ascii="Times New Roman" w:hAnsi="Times New Roman" w:cs="Times New Roman"/>
          <w:b/>
          <w:bCs/>
        </w:rPr>
      </w:pPr>
      <w:bookmarkStart w:id="0" w:name="_Toc108081512"/>
      <w:r>
        <w:rPr>
          <w:rFonts w:ascii="Times New Roman" w:hAnsi="Times New Roman" w:cs="Times New Roman"/>
          <w:b/>
          <w:bCs/>
        </w:rPr>
        <w:t>1、潍柴动力股份有限公司</w:t>
      </w:r>
      <w:bookmarkEnd w:id="0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WP7H320E62</w:t>
      </w:r>
      <w:r>
        <w:rPr>
          <w:rFonts w:ascii="STSongStd-Light" w:hAnsi="STSongStd-Light" w:eastAsia="STSongStd-Light" w:cs="Times New Roman"/>
        </w:rPr>
        <w:tab/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WP7H270E68</w:t>
      </w:r>
      <w:r>
        <w:rPr>
          <w:rFonts w:ascii="STSongStd-Light" w:hAnsi="STSongStd-Light" w:eastAsia="STSongStd-Light" w:cs="Times New Roman"/>
        </w:rPr>
        <w:tab/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WP7H245E68</w:t>
      </w:r>
      <w:r>
        <w:rPr>
          <w:rFonts w:ascii="STSongStd-Light" w:hAnsi="STSongStd-Light" w:eastAsia="STSongStd-Light" w:cs="Times New Roman"/>
        </w:rPr>
        <w:tab/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WP7H270E62</w:t>
      </w:r>
      <w:r>
        <w:rPr>
          <w:rFonts w:ascii="STSongStd-Light" w:hAnsi="STSongStd-Light" w:eastAsia="STSongStd-Light" w:cs="Times New Roman"/>
        </w:rPr>
        <w:tab/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WP7H245E62</w:t>
      </w:r>
      <w:r>
        <w:rPr>
          <w:rFonts w:ascii="STSongStd-Light" w:hAnsi="STSongStd-Light" w:eastAsia="STSongStd-Light" w:cs="Times New Roman"/>
        </w:rPr>
        <w:tab/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WP7H320E68</w:t>
      </w:r>
      <w:r>
        <w:rPr>
          <w:rFonts w:ascii="STSongStd-Light" w:hAnsi="STSongStd-Light" w:eastAsia="STSongStd-Light" w:cs="Times New Roman"/>
        </w:rPr>
        <w:tab/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WP7H300E68</w:t>
      </w:r>
      <w:r>
        <w:rPr>
          <w:rFonts w:ascii="STSongStd-Light" w:hAnsi="STSongStd-Light" w:eastAsia="STSongStd-Light" w:cs="Times New Roman"/>
        </w:rPr>
        <w:tab/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WP7H300E62</w:t>
      </w:r>
      <w:r>
        <w:rPr>
          <w:rFonts w:ascii="STSongStd-Light" w:hAnsi="STSongStd-Light" w:eastAsia="STSongStd-Light" w:cs="Times New Roman"/>
        </w:rPr>
        <w:tab/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发动机：WP7H320E62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喷油泵型号：WPCP05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喷油器型号：WPCRI01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增压器型号：B2G (博格华纳汽车零部件(宁波)有限公司)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NOX传感器型号：前: WPNOx Sensor (潍柴动力空气净化科技有限公司)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　　　　后: WPNOx Sensor (潍柴动力空气净化科技有限公司)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DOC排气处理器型号：WPDOC01 (潍柴动力空气净化科技有限公司)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SCR排气处理器型号：WPSCR01 (潍柴动力空气净化科技有限公司)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DPF排气处理器型号：WPDPF01 (潍柴动力空气净化科技有限公司)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SCR系统尿素计量泵型号：WPSM-001 (潍柴动力空气净化科技有限公司)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OBD型号：CN-OBD-6 (潍柴动力股份有限公司)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催化转化器(ASC)：WPASC01 (潍柴动力空气净化科技有限公司)</w:t>
      </w:r>
    </w:p>
    <w:p>
      <w:pPr>
        <w:jc w:val="center"/>
        <w:rPr>
          <w:rFonts w:cs="Times New Roman"/>
        </w:rPr>
      </w:pPr>
    </w:p>
    <w:p>
      <w:pPr>
        <w:outlineLvl w:val="0"/>
        <w:rPr>
          <w:rFonts w:ascii="Times New Roman" w:hAnsi="Times New Roman" w:cs="Times New Roman"/>
          <w:b/>
          <w:bCs/>
        </w:rPr>
      </w:pPr>
      <w:bookmarkStart w:id="1" w:name="_Toc108081513"/>
      <w:r>
        <w:rPr>
          <w:rFonts w:ascii="Times New Roman" w:hAnsi="Times New Roman" w:cs="Times New Roman"/>
          <w:b/>
          <w:bCs/>
        </w:rPr>
        <w:t>2、湖南道依茨动力有限公司</w:t>
      </w:r>
      <w:bookmarkEnd w:id="1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D13C6-585E1</w:t>
      </w:r>
      <w:r>
        <w:rPr>
          <w:rFonts w:ascii="STSongStd-Light" w:hAnsi="STSongStd-Light" w:eastAsia="STSongStd-Light" w:cs="Times New Roman"/>
        </w:rPr>
        <w:tab/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D13C6-400E1</w:t>
      </w:r>
      <w:r>
        <w:rPr>
          <w:rFonts w:ascii="STSongStd-Light" w:hAnsi="STSongStd-Light" w:eastAsia="STSongStd-Light" w:cs="Times New Roman"/>
        </w:rPr>
        <w:tab/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D13C6-530E1</w:t>
      </w:r>
      <w:r>
        <w:rPr>
          <w:rFonts w:ascii="STSongStd-Light" w:hAnsi="STSongStd-Light" w:eastAsia="STSongStd-Light" w:cs="Times New Roman"/>
        </w:rPr>
        <w:tab/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D13C6-560E1</w:t>
      </w:r>
      <w:r>
        <w:rPr>
          <w:rFonts w:ascii="STSongStd-Light" w:hAnsi="STSongStd-Light" w:eastAsia="STSongStd-Light" w:cs="Times New Roman"/>
        </w:rPr>
        <w:tab/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D13C6-520E1</w:t>
      </w:r>
      <w:r>
        <w:rPr>
          <w:rFonts w:ascii="STSongStd-Light" w:hAnsi="STSongStd-Light" w:eastAsia="STSongStd-Light" w:cs="Times New Roman"/>
        </w:rPr>
        <w:tab/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D13C6-500E1</w:t>
      </w:r>
      <w:r>
        <w:rPr>
          <w:rFonts w:ascii="STSongStd-Light" w:hAnsi="STSongStd-Light" w:eastAsia="STSongStd-Light" w:cs="Times New Roman"/>
        </w:rPr>
        <w:tab/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D13C6-480E1</w:t>
      </w:r>
      <w:r>
        <w:rPr>
          <w:rFonts w:ascii="STSongStd-Light" w:hAnsi="STSongStd-Light" w:eastAsia="STSongStd-Light" w:cs="Times New Roman"/>
        </w:rPr>
        <w:tab/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D13C6-460E1</w:t>
      </w:r>
      <w:r>
        <w:rPr>
          <w:rFonts w:ascii="STSongStd-Light" w:hAnsi="STSongStd-Light" w:eastAsia="STSongStd-Light" w:cs="Times New Roman"/>
        </w:rPr>
        <w:tab/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D13C6-430E1</w:t>
      </w:r>
      <w:r>
        <w:rPr>
          <w:rFonts w:ascii="STSongStd-Light" w:hAnsi="STSongStd-Light" w:eastAsia="STSongStd-Light" w:cs="Times New Roman"/>
        </w:rPr>
        <w:tab/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发动机：D13C6-585E1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喷油泵型号：CPN2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喷油器型号：CRIN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增压器型号：B3G (博格华纳汽车零部件(宁波)有限公司)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NOX传感器型号：前: 5WK9 (纬湃汽车电子（长春）有限公司)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　　　　后: 5WK9 (纬湃汽车电子（长春）有限公司)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DOC排气处理器型号：DOC-KLSY-602 (凯龙高科技股份有限公司)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SCR排气处理器型号：SCR-KLSY-602 (凯龙高科技股份有限公司)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DPF排气处理器型号：DPF-KLSY-602 (凯龙高科技股份有限公司)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SCR系统尿素计量泵型号：KL-WJP-20 (凯龙高科技股份有限公司)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OBD型号：OBD2.0 (卓品智能科技无锡有限公司)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催化转化器(ASC)：ASC-KLSY-602 (凯龙高科技股份有限公司)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或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发动机：D13C6-585E1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喷油泵型号：CPN2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喷油器型号：CRIND13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增压器型号：B3G (博格华纳汽车零部件(宁波)有限公司)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NOX传感器型号：前: 5WK9 (纬湃汽车电子（长春）有限公司)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　　　　后: 5WK9 (纬湃汽车电子（长春）有限公司)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DOC排气处理器型号：DOC-KLSY-604 (凯龙高科技股份有限公司)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SCR排气处理器型号：SCR-KLSY-604 (凯龙高科技股份有限公司)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DPF排气处理器型号：DPF-KLSY-604 (凯龙高科技股份有限公司)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SCR系统尿素计量泵型号：KL-WJP-20 (凯龙高科技股份有限公司)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OBD型号：OBD2.0 (卓品智能科技无锡有限公司)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催化转化器(ASC)：ASC-KLSY-604 (凯龙高科技股份有限公司)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或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发动机：D13C6-585E1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喷油泵型号：CPN2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喷油器型号：CRIN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增压器型号：HE500WG (无锡康明斯涡轮增压技术有限公司)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NOX传感器型号：前: 5WK9 (纬湃汽车电子（长春）有限公司)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　　　　后: 5WK9 (纬湃汽车电子（长春）有限公司)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DOC排气处理器型号：DOC-KLSY-602 (凯龙高科技股份有限公司)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SCR排气处理器型号：SCR-KLSY-602 (凯龙高科技股份有限公司)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DPF排气处理器型号：DPF-KLSY-602 (凯龙高科技股份有限公司)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SCR系统尿素计量泵型号：KL-WJP-20 (凯龙高科技股份有限公司)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OBD型号：OBD2.0 (卓品智能科技无锡有限公司)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催化转化器(ASC)：ASC-KLSY-602 (凯龙高科技股份有限公司)</w:t>
      </w:r>
    </w:p>
    <w:p>
      <w:pPr>
        <w:jc w:val="center"/>
        <w:rPr>
          <w:rFonts w:cs="Times New Roman"/>
        </w:rPr>
      </w:pPr>
    </w:p>
    <w:p>
      <w:pPr>
        <w:outlineLvl w:val="0"/>
        <w:rPr>
          <w:rFonts w:ascii="Times New Roman" w:hAnsi="Times New Roman" w:cs="Times New Roman"/>
          <w:b/>
          <w:bCs/>
        </w:rPr>
      </w:pPr>
      <w:bookmarkStart w:id="2" w:name="_Toc108081514"/>
      <w:r>
        <w:rPr>
          <w:rFonts w:ascii="Times New Roman" w:hAnsi="Times New Roman" w:cs="Times New Roman"/>
          <w:b/>
          <w:bCs/>
        </w:rPr>
        <w:t>3、江西五十铃发动机有限公司</w:t>
      </w:r>
      <w:bookmarkEnd w:id="2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JE493ZLQ6A</w:t>
      </w:r>
      <w:r>
        <w:rPr>
          <w:rFonts w:ascii="STSongStd-Light" w:hAnsi="STSongStd-Light" w:eastAsia="STSongStd-Light" w:cs="Times New Roman"/>
        </w:rPr>
        <w:tab/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发动机：JE493ZLQ6A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喷油泵型号：CB18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喷油器型号：CRI1-18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增压器型号：JP52 (宁波威孚天力增压技术股份有限公司)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NOX传感器型号：前: EGS-NX (博世汽车系统（无锡）有限公司)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　　　　后: EGS-NX (博世汽车系统（无锡）有限公司)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DOC排气处理器型号：JEDAT-010 (博世汽车系统（无锡）有限公司)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SCR排气处理器型号：JEDAT-012 (博世汽车系统（无锡）有限公司)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DPF排气处理器型号：JEDAT-011 (博世汽车系统（无锡）有限公司)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SCR系统尿素计量泵型号：SM6-5 (博世汽车系统（无锡）有限公司)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OBD型号：MD1CS089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EGR型号：LS28EB (无锡隆盛科技股份有限公司)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催化转化器(ASC)：JEDAT-013 (博世汽车系统（无锡）有限公司)</w:t>
      </w:r>
    </w:p>
    <w:p>
      <w:pPr>
        <w:rPr>
          <w:rFonts w:cs="Times New Roman"/>
        </w:rPr>
      </w:pP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JE493ZLQ6K</w:t>
      </w:r>
      <w:r>
        <w:rPr>
          <w:rFonts w:ascii="STSongStd-Light" w:hAnsi="STSongStd-Light" w:eastAsia="STSongStd-Light" w:cs="Times New Roman"/>
        </w:rPr>
        <w:tab/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发动机：JE493ZLQ6K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喷油泵型号：CB18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喷油器型号：CRI1-18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增压器型号：WT02DP (宁波威孚天力增压技术股份有限公司)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NOX传感器型号：前: EGS-NX (博世汽车系统（无锡）有限公司)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　　　　后: EGS-NX (博世汽车系统（无锡）有限公司)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DOC排气处理器型号：JEDAT-010 (博世汽车系统（无锡）有限公司)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SCR排气处理器型号：JEDAT-012 (博世汽车系统（无锡）有限公司)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DPF排气处理器型号：JEDAT-011 (博世汽车系统（无锡）有限公司)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SCR系统尿素计量泵型号：SM6-5 (博世汽车系统（无锡）有限公司)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OBD型号：MD1CS089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EGR型号：LS28EB (无锡隆盛科技股份有限公司)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催化转化器(ASC)：JEDAT-013 (博世汽车系统（无锡）有限公司)</w:t>
      </w:r>
    </w:p>
    <w:p>
      <w:bookmarkStart w:id="3" w:name="_GoBack"/>
      <w:bookmarkEnd w:id="3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STSongStd-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132E8B"/>
    <w:rsid w:val="04066BC6"/>
    <w:rsid w:val="22A140D2"/>
    <w:rsid w:val="57132E8B"/>
    <w:rsid w:val="636B73F2"/>
    <w:rsid w:val="7B32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2022-07-07T06:35:00Z</dcterms:created>
  <dc:creator>赵旭</dc:creator>
  <cp:lastModifiedBy>赵旭</cp:lastModifiedBy>
  <dcterms:modified xsi:type="dcterms:W3CDTF">2022-07-07T06:37:50Z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