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 5</w:t>
      </w:r>
    </w:p>
    <w:p>
      <w:pPr>
        <w:spacing w:line="6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2022年度第二十一批达国六排放标准6b阶段的</w:t>
      </w:r>
    </w:p>
    <w:p>
      <w:pPr>
        <w:spacing w:line="600" w:lineRule="atLeast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重型柴油发动机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07"/>
      <w:r>
        <w:rPr>
          <w:rFonts w:hint="eastAsia" w:asciiTheme="minorEastAsia" w:hAnsiTheme="minorEastAsia" w:eastAsiaTheme="minorEastAsia" w:cstheme="minorEastAsia"/>
          <w:b/>
          <w:bCs/>
        </w:rPr>
        <w:t>1、五十铃（中国）发动机有限公司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4KH1N6HD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4KK1N6SD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发动机：4KH1N6HD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喷油泵型号：DFP4.41 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喷油器型号：DFI2.20V 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增压器型号：HE150eWG 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NOX传感器型号：前:5WK9;后:5WK9 (前:CONTINENTAL(纬湃汽车电子（长春）有限公司);后:CONTINENTAL(纬湃汽车电子（长春）有限公司))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DOC排气处理器型号：QL4KCN6D-DOC 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SCR排气处理器型号：QL4KCN6D-SCR 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DPF排气处理器型号：QL4KCN6D-DPF 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SCR系统尿素计量泵型号：PSM2.05 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OBD型号：DCM7.1 AP (德尔福科技(苏州)有限公司)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 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催化转化器(ASC)：QL4KCN6D-ASC (凯龙高科技股份有限公司)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340606C1"/>
    <w:rsid w:val="52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