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附件8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2022年度第二十一批达国家第四阶段排放标准的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非道路移动机械用柴油发动机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14"/>
      <w:r>
        <w:rPr>
          <w:rFonts w:hint="eastAsia" w:asciiTheme="minorEastAsia" w:hAnsiTheme="minorEastAsia" w:eastAsiaTheme="minorEastAsia" w:cstheme="minorEastAsia"/>
          <w:b/>
          <w:bCs/>
        </w:rPr>
        <w:t>1、潍柴动力股份有限公司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WP10HG240E473B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发动机：WP10HG240E473B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增压器型号：J85K 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NOX传感器：WPNOx Sensor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催化转化器（ASC）型号：WPASC01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NCD型号：NRCN-4 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PCD型号：NRCN-4 (潍柴动力空气净化科技有限公司)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282E01E6"/>
    <w:rsid w:val="340606C1"/>
    <w:rsid w:val="37954FD9"/>
    <w:rsid w:val="529908FF"/>
    <w:rsid w:val="63D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