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附件8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2023年度第十四批达国家第四阶段排放标准的</w:t>
      </w:r>
    </w:p>
    <w:p>
      <w:pPr>
        <w:spacing w:line="600" w:lineRule="atLeast"/>
        <w:jc w:val="center"/>
        <w:rPr>
          <w:rFonts w:hint="eastAsia" w:asciiTheme="minorEastAsia" w:hAnsiTheme="minorEastAsia" w:eastAsiaTheme="minorEastAsia" w:cstheme="minorEastAsia"/>
          <w:sz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非道路移动机械用柴油发动机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</w:rPr>
        <w:t>(下文出现的“*”代表随机变动实号，“（*）”代表随机变动实号或虚号)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143698538"/>
      <w:r>
        <w:rPr>
          <w:rFonts w:hint="eastAsia" w:asciiTheme="minorEastAsia" w:hAnsiTheme="minorEastAsia" w:eastAsiaTheme="minorEastAsia" w:cstheme="minorEastAsia"/>
          <w:b/>
          <w:bCs/>
        </w:rPr>
        <w:t>1、上海新动力汽车科技股份有限公司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SC9DF270.8G4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(电装（中国）投资有限公司上海分公司)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(电装（中国）投资有限公司上海分公司)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增压器型号：JP85K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NOX传感器：EGS-NX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SCR排气处理器型号：SCSCR-DPC61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DOC排气处理器型号：SCDOC-DPC61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DPF排气处理器型号：SCDPF-DPC61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SCR系统尿素计量泵型号：SCSM01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NCD型号：SCECD401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PCD型号：SCECD401 (上海新动力汽车科技股份有限公司)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06E80"/>
    <w:rsid w:val="1D9401A5"/>
    <w:rsid w:val="244C2D91"/>
    <w:rsid w:val="5D3634A6"/>
    <w:rsid w:val="5E413DC2"/>
    <w:rsid w:val="617C37E3"/>
    <w:rsid w:val="67C06E80"/>
    <w:rsid w:val="6BAE3D3D"/>
    <w:rsid w:val="78B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2023-08-24T02:14:00Z</dcterms:created>
  <dc:creator>赵旭</dc:creator>
  <cp:lastModifiedBy>赵旭</cp:lastModifiedBy>
  <dcterms:modified xsi:type="dcterms:W3CDTF">2023-08-24T02:16:03Z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