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6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批达国六排放标准6b阶段的重型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燃气</w:t>
      </w:r>
      <w:r>
        <w:rPr>
          <w:rFonts w:ascii="Times New Roman" w:hAnsi="Times New Roman" w:cs="Times New Roman"/>
          <w:b/>
          <w:bCs/>
          <w:sz w:val="36"/>
          <w:szCs w:val="36"/>
        </w:rPr>
        <w:t>车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48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、北京福田戴姆勒汽车有限公司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BJ4259L6DLL-08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半挂牵引车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A15NNS6B530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压力调节器或蒸发器：</w:t>
      </w:r>
      <w:r>
        <w:rPr>
          <w:rFonts w:ascii="Times New Roman" w:hAnsi="Times New Roman" w:eastAsia="Times New Roman" w:cs="Times New Roman"/>
        </w:rPr>
        <w:t>LNG1 (Metatron Società per Azion)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喷射器：</w:t>
      </w:r>
      <w:r>
        <w:rPr>
          <w:rFonts w:ascii="Times New Roman" w:hAnsi="Times New Roman" w:eastAsia="Times New Roman" w:cs="Times New Roman"/>
        </w:rPr>
        <w:t>HFI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TWCP0161</w:t>
      </w:r>
      <w:r>
        <w:rPr>
          <w:rFonts w:ascii="Times New Roman" w:hAnsi="Times New Roman" w:cs="Times New Roman"/>
        </w:rPr>
        <w:t>（三元）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TWCP0162</w:t>
      </w:r>
      <w:r>
        <w:rPr>
          <w:rFonts w:ascii="Times New Roman" w:hAnsi="Times New Roman" w:cs="Times New Roman"/>
        </w:rPr>
        <w:t>（三元）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SU24WW5 (NGK SPARK PLUG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混合装置：</w:t>
      </w:r>
      <w:r>
        <w:rPr>
          <w:rFonts w:ascii="Times New Roman" w:hAnsi="Times New Roman" w:eastAsia="Times New Roman" w:cs="Times New Roman"/>
        </w:rPr>
        <w:t>NGM14A (</w:t>
      </w:r>
      <w:r>
        <w:rPr>
          <w:rFonts w:ascii="Times New Roman" w:hAnsi="Times New Roman" w:cs="Times New Roman"/>
        </w:rPr>
        <w:t>大连天祥汽车零部件制造有限公司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r>
        <w:rPr>
          <w:rFonts w:ascii="Times New Roman" w:hAnsi="Times New Roman" w:eastAsia="Times New Roman" w:cs="Times New Roman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D8713FB"/>
    <w:rsid w:val="557774B3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