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600" w:lineRule="atLeas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2023年度第十七批达国六排放标准6b阶段的重型燃气车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0" w:name="_Toc148101908"/>
      <w:r>
        <w:rPr>
          <w:rFonts w:hint="eastAsia" w:ascii="仿宋" w:hAnsi="仿宋" w:eastAsia="仿宋" w:cs="仿宋"/>
          <w:b/>
          <w:bCs/>
        </w:rPr>
        <w:t>1、陕西汽车集团股份有限公司</w:t>
      </w:r>
      <w:bookmarkEnd w:id="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SX4189XD1TLQ2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机外净化器：WPTWC-B01（三元催化）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LSU4.9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机外净化器：WPTWC-B01（三元催化）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LSU4.9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机外净化器：WPTWC-B01（三元催化）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LSU4.9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机外净化器：WPTWC-B01（三元催化）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LSU4.9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机外净化器：WPTWC-B01（三元催化）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LSU4.9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发动机：WP13NG460E61 (潍柴西港新能源动力有限公司)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喷射器：WPINJ02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机外净化器：WPTWC-B01（三元催化）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LSU4.9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" w:name="_Toc148101909"/>
      <w:r>
        <w:rPr>
          <w:rFonts w:hint="eastAsia" w:ascii="仿宋" w:hAnsi="仿宋" w:eastAsia="仿宋" w:cs="仿宋"/>
          <w:b/>
          <w:bCs/>
        </w:rPr>
        <w:t>2、北京福田戴姆勒汽车有限公司</w:t>
      </w:r>
      <w:bookmarkEnd w:id="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BJ4259L6DLL-07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危险品牵引汽车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发动机：X12NNS6B460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压力调节器或蒸发器：PCMB (派克汉尼汾动力传动产品（无锡）有限公司)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喷射器：HFI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TWCP0161（三元）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TWCP0162（三元）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LSU4.9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混合装置：F0429 (北京福田康明斯发动机有限公司)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11036"/>
    <w:rsid w:val="03D34864"/>
    <w:rsid w:val="19E52622"/>
    <w:rsid w:val="6B5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2023-10-16T04:39:00Z</dcterms:created>
  <dc:creator>赵旭</dc:creator>
  <cp:lastModifiedBy>赵旭</cp:lastModifiedBy>
  <dcterms:modified xsi:type="dcterms:W3CDTF">2023-10-16T04:40:39Z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