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6"/>
        </w:rPr>
      </w:pPr>
      <w:r>
        <w:rPr>
          <w:rStyle w:val="6"/>
        </w:rPr>
        <w:t xml:space="preserve">附件 </w:t>
      </w:r>
      <w:r>
        <w:rPr>
          <w:rStyle w:val="6"/>
          <w:rFonts w:hint="eastAsia"/>
        </w:rPr>
        <w:t>3</w:t>
      </w:r>
    </w:p>
    <w:p>
      <w:pPr>
        <w:spacing w:line="600" w:lineRule="atLeast"/>
        <w:jc w:val="center"/>
        <w:rPr>
          <w:rStyle w:val="7"/>
        </w:rPr>
      </w:pPr>
      <w:r>
        <w:rPr>
          <w:rStyle w:val="7"/>
        </w:rPr>
        <w:t>2023年度第十</w:t>
      </w:r>
      <w:r>
        <w:rPr>
          <w:rStyle w:val="7"/>
          <w:rFonts w:hint="eastAsia"/>
        </w:rPr>
        <w:t>八</w:t>
      </w:r>
      <w:r>
        <w:rPr>
          <w:rStyle w:val="7"/>
        </w:rPr>
        <w:t>批达国六排放标准6b阶段的重型</w:t>
      </w:r>
      <w:r>
        <w:rPr>
          <w:rStyle w:val="7"/>
          <w:rFonts w:hint="eastAsia"/>
        </w:rPr>
        <w:t>燃气</w:t>
      </w:r>
      <w:r>
        <w:rPr>
          <w:rStyle w:val="7"/>
        </w:rPr>
        <w:t>车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/>
          <w:b w:val="0"/>
          <w:bCs w:val="0"/>
        </w:rPr>
      </w:pPr>
      <w:bookmarkStart w:id="0" w:name="_Toc149744634"/>
      <w:r>
        <w:rPr>
          <w:rFonts w:ascii="Times New Roman" w:hAnsi="Times New Roman"/>
        </w:rPr>
        <w:t>1、北京福田戴姆勒汽车有限公司</w:t>
      </w:r>
      <w:bookmarkEnd w:id="0"/>
      <w:r>
        <w:rPr>
          <w:rFonts w:ascii="Times New Roman" w:hAnsi="Times New Roman"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BJ4189L6DDL-01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半挂牵引车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发动机：A15NNS6B530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压力调节器或蒸发器：LNG1 (Metatron Società per Azion)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喷射器：HFI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TWCP0161（三元）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TWCP0162（三元）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SU24WW5 (NGK SPARK PLUG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混合装置：NGM14A (大连天祥汽车零部件制造有限公司)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发动机：A15NNS6B530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压力调节器或蒸发器：PCMB (派克汉尼汾动力传动产品（无锡）有限公司)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喷射器：HFI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TWCP0161（三元）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TWCP0162（三元）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SU24WW5 (NGK SPARK PLUG CO., LTD.)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混合装置：NGM14A (大连天祥汽车零部件制造有限公司)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BJ4259L6DLL-18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半挂牵引车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发动机：X12NNS6B460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压力调节器或蒸发器：PCMB (派克汉尼汾动力传动产品（无锡）有限公司)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喷射器：HFI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机外净化器：前: TWCP0161（三元）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　后: TWCP0162（三元）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氧传感器：前: LSU4.9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　　　　　后: LSF4 (联合汽车电子有限公司)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混合装置：F0429 (北京福田康明斯发动机有限公司)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在线监控车载终端：ZLB04 (北汽福田汽车股份有限公司)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02797"/>
    <w:rsid w:val="280B7A0F"/>
    <w:rsid w:val="2D402797"/>
    <w:rsid w:val="54D4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  <w:style w:type="character" w:customStyle="1" w:styleId="6">
    <w:name w:val="附件"/>
    <w:qFormat/>
    <w:locked/>
    <w:uiPriority w:val="0"/>
    <w:rPr>
      <w:rFonts w:ascii="Arial" w:hAnsi="Arial" w:eastAsia="黑体" w:cs="Arial"/>
      <w:bCs/>
      <w:color w:val="000000"/>
      <w:sz w:val="36"/>
      <w:szCs w:val="24"/>
      <w:lang w:val="en-US" w:eastAsia="zh-CN" w:bidi="ar-SA"/>
    </w:rPr>
  </w:style>
  <w:style w:type="character" w:customStyle="1" w:styleId="7">
    <w:name w:val="标题1"/>
    <w:qFormat/>
    <w:uiPriority w:val="0"/>
    <w:rPr>
      <w:rFonts w:eastAsia="宋体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2023-11-02T03:57:00Z</dcterms:created>
  <dc:creator>赵旭</dc:creator>
  <cp:lastModifiedBy>赵旭</cp:lastModifiedBy>
  <dcterms:modified xsi:type="dcterms:W3CDTF">2023-11-02T03:57:59Z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