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7</w:t>
      </w:r>
    </w:p>
    <w:p>
      <w:pPr>
        <w:spacing w:line="500" w:lineRule="exac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二十一</w:t>
      </w:r>
      <w:r>
        <w:rPr>
          <w:rStyle w:val="6"/>
          <w:rFonts w:hint="eastAsia" w:asciiTheme="minorEastAsia" w:hAnsiTheme="minorEastAsia" w:eastAsiaTheme="minorEastAsia" w:cstheme="minorEastAsia"/>
        </w:rPr>
        <w:t>批达国家第四阶段排放标准的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非道路移动机械用柴油发动机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509877592"/>
      <w:r>
        <w:rPr>
          <w:rFonts w:hint="eastAsia" w:asciiTheme="minorEastAsia" w:hAnsiTheme="minorEastAsia" w:eastAsiaTheme="minorEastAsia" w:cstheme="minorEastAsia"/>
          <w:b/>
          <w:bCs/>
        </w:rPr>
        <w:t>1、广西玉柴机器股份有限公司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YCK09260-T400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YCK09245-T400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YCK09230-T400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YCK09230-T401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YCK09220-T400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YCK09220-T401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YCK09270-T400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YCK09230-T402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YCK09245-T401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PCD型号：W40158A80N (广西玉柴机器股份有限公司)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097B49BE"/>
    <w:rsid w:val="1B5F0178"/>
    <w:rsid w:val="200429E8"/>
    <w:rsid w:val="407D6DA7"/>
    <w:rsid w:val="468370CD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