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华文中宋" w:eastAsia="黑体"/>
          <w:color w:val="000000"/>
          <w:kern w:val="0"/>
          <w:sz w:val="32"/>
        </w:rPr>
      </w:pPr>
      <w:r>
        <w:rPr>
          <w:rFonts w:hint="eastAsia" w:ascii="黑体" w:hAnsi="华文中宋" w:eastAsia="黑体"/>
          <w:color w:val="000000"/>
          <w:kern w:val="0"/>
          <w:sz w:val="32"/>
        </w:rPr>
        <w:t>附表2</w:t>
      </w:r>
    </w:p>
    <w:p>
      <w:pPr>
        <w:adjustRightInd w:val="0"/>
        <w:snapToGrid w:val="0"/>
        <w:spacing w:line="480" w:lineRule="auto"/>
        <w:jc w:val="left"/>
        <w:rPr>
          <w:rFonts w:ascii="黑体" w:hAnsi="宋体" w:eastAsia="黑体"/>
          <w:color w:val="000000"/>
          <w:sz w:val="32"/>
        </w:rPr>
      </w:pPr>
    </w:p>
    <w:p>
      <w:pPr>
        <w:autoSpaceDE w:val="0"/>
        <w:autoSpaceDN w:val="0"/>
        <w:adjustRightInd w:val="0"/>
        <w:snapToGrid w:val="0"/>
        <w:jc w:val="center"/>
        <w:rPr>
          <w:rFonts w:hint="eastAsia" w:ascii="方正小标宋简体" w:hAnsi="黑体" w:eastAsia="方正小标宋简体"/>
          <w:color w:val="000000"/>
          <w:spacing w:val="-10"/>
          <w:kern w:val="0"/>
          <w:sz w:val="38"/>
          <w:szCs w:val="38"/>
        </w:rPr>
      </w:pPr>
      <w:r>
        <w:rPr>
          <w:rFonts w:hint="eastAsia" w:ascii="方正小标宋简体" w:hAnsi="黑体" w:eastAsia="方正小标宋简体"/>
          <w:color w:val="000000"/>
          <w:spacing w:val="-10"/>
          <w:kern w:val="0"/>
          <w:sz w:val="38"/>
          <w:szCs w:val="38"/>
        </w:rPr>
        <w:t>突发环境事件风险防控设施运行与维护情况排查表</w:t>
      </w:r>
    </w:p>
    <w:p>
      <w:pPr>
        <w:adjustRightInd w:val="0"/>
        <w:snapToGrid w:val="0"/>
        <w:rPr>
          <w:rFonts w:hint="eastAsia"/>
          <w:color w:val="000000"/>
          <w:sz w:val="32"/>
        </w:rPr>
      </w:pPr>
    </w:p>
    <w:p>
      <w:pPr>
        <w:adjustRightInd w:val="0"/>
        <w:snapToGrid w:val="0"/>
        <w:spacing w:line="360" w:lineRule="auto"/>
        <w:ind w:firstLine="600" w:firstLineChars="200"/>
        <w:rPr>
          <w:rFonts w:ascii="宋体"/>
          <w:color w:val="000000"/>
          <w:kern w:val="0"/>
          <w:sz w:val="30"/>
          <w:szCs w:val="30"/>
        </w:rPr>
      </w:pPr>
      <w:r>
        <w:rPr>
          <w:rFonts w:hint="eastAsia" w:ascii="仿宋_GB2312" w:hAnsi="宋体" w:eastAsia="仿宋_GB2312"/>
          <w:color w:val="000000"/>
          <w:kern w:val="0"/>
          <w:sz w:val="30"/>
          <w:szCs w:val="30"/>
        </w:rPr>
        <w:t>企业可参考本表制定符合本企业实际情况的自查用表。一般企业有多个风险单元，应针对每个单元制定相应的隐患排查表。</w:t>
      </w:r>
    </w:p>
    <w:p>
      <w:pPr>
        <w:adjustRightInd w:val="0"/>
        <w:snapToGrid w:val="0"/>
        <w:spacing w:after="156" w:afterLines="50"/>
        <w:jc w:val="left"/>
        <w:rPr>
          <w:rFonts w:hint="eastAsia" w:ascii="仿宋_GB2312" w:hAnsi="宋体" w:eastAsia="仿宋_GB2312"/>
          <w:b/>
          <w:color w:val="000000"/>
          <w:sz w:val="24"/>
        </w:rPr>
      </w:pPr>
      <w:r>
        <w:rPr>
          <w:rFonts w:hint="eastAsia" w:ascii="仿宋_GB2312" w:hAnsi="宋体" w:eastAsia="仿宋_GB2312"/>
          <w:b/>
          <w:color w:val="000000"/>
          <w:sz w:val="24"/>
        </w:rPr>
        <w:t>排查时间：    年    月    日                                                现场排查负责人（签字）：</w:t>
      </w:r>
    </w:p>
    <w:tbl>
      <w:tblPr>
        <w:tblStyle w:val="5"/>
        <w:tblW w:w="1417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
      <w:tblGrid>
        <w:gridCol w:w="2062"/>
        <w:gridCol w:w="5134"/>
        <w:gridCol w:w="1236"/>
        <w:gridCol w:w="1726"/>
        <w:gridCol w:w="1134"/>
        <w:gridCol w:w="28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blHeader/>
          <w:jc w:val="center"/>
        </w:trPr>
        <w:tc>
          <w:tcPr>
            <w:tcW w:w="7196" w:type="dxa"/>
            <w:gridSpan w:val="2"/>
            <w:tcBorders>
              <w:top w:val="single" w:color="auto" w:sz="8" w:space="0"/>
              <w:left w:val="single" w:color="auto" w:sz="8" w:space="0"/>
              <w:bottom w:val="single" w:color="auto" w:sz="4" w:space="0"/>
              <w:right w:val="single" w:color="auto" w:sz="4" w:space="0"/>
            </w:tcBorders>
            <w:vAlign w:val="center"/>
          </w:tcPr>
          <w:p>
            <w:pPr>
              <w:adjustRightInd w:val="0"/>
              <w:snapToGrid w:val="0"/>
              <w:jc w:val="center"/>
              <w:rPr>
                <w:rFonts w:ascii="黑体" w:hAnsi="宋体" w:eastAsia="黑体"/>
                <w:color w:val="000000"/>
                <w:szCs w:val="21"/>
              </w:rPr>
            </w:pPr>
            <w:r>
              <w:rPr>
                <w:rFonts w:hint="eastAsia" w:ascii="黑体" w:hAnsi="宋体" w:eastAsia="黑体"/>
                <w:color w:val="000000"/>
                <w:spacing w:val="60"/>
                <w:szCs w:val="21"/>
              </w:rPr>
              <w:t>排查项</w:t>
            </w:r>
            <w:r>
              <w:rPr>
                <w:rFonts w:hint="eastAsia" w:ascii="黑体" w:hAnsi="宋体" w:eastAsia="黑体"/>
                <w:color w:val="000000"/>
                <w:szCs w:val="21"/>
              </w:rPr>
              <w:t>目</w:t>
            </w:r>
          </w:p>
        </w:tc>
        <w:tc>
          <w:tcPr>
            <w:tcW w:w="1236"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Cs w:val="21"/>
              </w:rPr>
            </w:pPr>
            <w:r>
              <w:rPr>
                <w:rFonts w:hint="eastAsia" w:ascii="黑体" w:hAnsi="宋体" w:eastAsia="黑体"/>
                <w:color w:val="000000"/>
                <w:szCs w:val="21"/>
              </w:rPr>
              <w:t>企业现状</w:t>
            </w:r>
          </w:p>
        </w:tc>
        <w:tc>
          <w:tcPr>
            <w:tcW w:w="1726"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pacing w:val="-10"/>
                <w:szCs w:val="21"/>
              </w:rPr>
            </w:pPr>
            <w:r>
              <w:rPr>
                <w:rFonts w:hint="eastAsia" w:ascii="黑体" w:hAnsi="宋体" w:eastAsia="黑体"/>
                <w:color w:val="000000"/>
                <w:spacing w:val="-10"/>
                <w:szCs w:val="21"/>
              </w:rPr>
              <w:t>可能导致的危害</w:t>
            </w:r>
          </w:p>
          <w:p>
            <w:pPr>
              <w:adjustRightInd w:val="0"/>
              <w:snapToGrid w:val="0"/>
              <w:jc w:val="center"/>
              <w:rPr>
                <w:rFonts w:ascii="黑体" w:hAnsi="宋体" w:eastAsia="黑体"/>
                <w:color w:val="000000"/>
                <w:spacing w:val="-10"/>
                <w:szCs w:val="21"/>
              </w:rPr>
            </w:pPr>
            <w:r>
              <w:rPr>
                <w:rFonts w:hint="eastAsia" w:ascii="黑体" w:hAnsi="宋体" w:eastAsia="黑体"/>
                <w:color w:val="000000"/>
                <w:spacing w:val="-10"/>
                <w:szCs w:val="21"/>
              </w:rPr>
              <w:t>(是隐患的填写)</w:t>
            </w:r>
          </w:p>
        </w:tc>
        <w:tc>
          <w:tcPr>
            <w:tcW w:w="1134" w:type="dxa"/>
            <w:tcBorders>
              <w:top w:val="single" w:color="auto" w:sz="8" w:space="0"/>
              <w:left w:val="single" w:color="auto" w:sz="4" w:space="0"/>
              <w:bottom w:val="single" w:color="auto" w:sz="4" w:space="0"/>
              <w:right w:val="single" w:color="auto" w:sz="4" w:space="0"/>
            </w:tcBorders>
            <w:vAlign w:val="center"/>
          </w:tcPr>
          <w:p>
            <w:pPr>
              <w:adjustRightInd w:val="0"/>
              <w:snapToGrid w:val="0"/>
              <w:jc w:val="center"/>
              <w:rPr>
                <w:rFonts w:ascii="黑体" w:hAnsi="宋体" w:eastAsia="黑体"/>
                <w:color w:val="000000"/>
                <w:szCs w:val="21"/>
              </w:rPr>
            </w:pPr>
            <w:r>
              <w:rPr>
                <w:rFonts w:hint="eastAsia" w:ascii="黑体" w:hAnsi="宋体" w:eastAsia="黑体"/>
                <w:color w:val="000000"/>
                <w:szCs w:val="21"/>
              </w:rPr>
              <w:t>整改期限</w:t>
            </w:r>
          </w:p>
        </w:tc>
        <w:tc>
          <w:tcPr>
            <w:tcW w:w="2883" w:type="dxa"/>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ascii="黑体" w:hAnsi="宋体" w:eastAsia="黑体"/>
                <w:color w:val="000000"/>
                <w:szCs w:val="21"/>
                <w:highlight w:val="yellow"/>
              </w:rPr>
            </w:pPr>
            <w:r>
              <w:rPr>
                <w:rFonts w:hint="eastAsia" w:ascii="宋体" w:hAnsi="宋体"/>
                <w:color w:val="000000"/>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restart"/>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snapToGrid w:val="0"/>
              <w:jc w:val="center"/>
              <w:rPr>
                <w:rFonts w:ascii="宋体" w:hAnsi="宋体"/>
                <w:color w:val="000000"/>
                <w:kern w:val="0"/>
                <w:szCs w:val="21"/>
              </w:rPr>
            </w:pPr>
            <w:r>
              <w:rPr>
                <w:rFonts w:hint="eastAsia" w:ascii="宋体" w:hAnsi="宋体"/>
                <w:color w:val="000000"/>
                <w:kern w:val="0"/>
                <w:szCs w:val="21"/>
              </w:rPr>
              <w:t>应急物资储备与检查</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（1）是否配备足以应对预设事件情景的环境应急装备和物资。</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813"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（2）是否对现有物资进行定期检查，对已消耗或耗损的物资装备进行及时补充。</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1374" w:hRule="atLeast"/>
          <w:jc w:val="center"/>
        </w:trPr>
        <w:tc>
          <w:tcPr>
            <w:tcW w:w="2062" w:type="dxa"/>
            <w:vMerge w:val="restart"/>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snapToGrid w:val="0"/>
              <w:jc w:val="center"/>
              <w:rPr>
                <w:rFonts w:ascii="宋体" w:hAnsi="宋体"/>
                <w:color w:val="000000"/>
                <w:kern w:val="0"/>
                <w:szCs w:val="21"/>
              </w:rPr>
            </w:pPr>
            <w:r>
              <w:rPr>
                <w:rFonts w:hint="eastAsia" w:ascii="宋体" w:hAnsi="宋体"/>
                <w:color w:val="000000"/>
                <w:kern w:val="0"/>
                <w:szCs w:val="21"/>
              </w:rPr>
              <w:t>应急检测器材类</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（3）是否在氨储罐区、氨压缩机房和设备间、液氨钢瓶储存区、液氨钢瓶使用区、使用液氨的厂房、氨快速冻结装置出口处的上方及设置氨制冷辅助设备的房间等场所设置氨气体检测报警仪。</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（4）是否配备检查氨泄漏的专用仪器。</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（5）可能突然放散大量氨气的厂房，是否设置事故排风装置，排风机是否选用防爆型。</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restart"/>
            <w:tcBorders>
              <w:top w:val="single" w:color="auto" w:sz="4" w:space="0"/>
              <w:left w:val="single" w:color="auto" w:sz="8"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color w:val="000000"/>
                <w:kern w:val="0"/>
                <w:szCs w:val="21"/>
              </w:rPr>
            </w:pPr>
          </w:p>
          <w:p>
            <w:pPr>
              <w:autoSpaceDE w:val="0"/>
              <w:autoSpaceDN w:val="0"/>
              <w:adjustRightInd w:val="0"/>
              <w:snapToGrid w:val="0"/>
              <w:jc w:val="center"/>
              <w:rPr>
                <w:rFonts w:hint="eastAsia" w:ascii="宋体" w:hAnsi="宋体"/>
                <w:color w:val="000000"/>
                <w:kern w:val="0"/>
                <w:szCs w:val="21"/>
              </w:rPr>
            </w:pPr>
          </w:p>
          <w:p>
            <w:pPr>
              <w:autoSpaceDE w:val="0"/>
              <w:autoSpaceDN w:val="0"/>
              <w:adjustRightInd w:val="0"/>
              <w:snapToGrid w:val="0"/>
              <w:jc w:val="center"/>
              <w:rPr>
                <w:rFonts w:hint="eastAsia" w:ascii="宋体" w:hAnsi="宋体"/>
                <w:color w:val="000000"/>
                <w:kern w:val="0"/>
                <w:szCs w:val="21"/>
              </w:rPr>
            </w:pPr>
          </w:p>
          <w:p>
            <w:pPr>
              <w:autoSpaceDE w:val="0"/>
              <w:autoSpaceDN w:val="0"/>
              <w:adjustRightInd w:val="0"/>
              <w:snapToGrid w:val="0"/>
              <w:jc w:val="center"/>
              <w:rPr>
                <w:rFonts w:hint="eastAsia" w:ascii="宋体" w:hAnsi="宋体"/>
                <w:color w:val="000000"/>
                <w:kern w:val="0"/>
                <w:szCs w:val="21"/>
              </w:rPr>
            </w:pPr>
          </w:p>
          <w:p>
            <w:pPr>
              <w:autoSpaceDE w:val="0"/>
              <w:autoSpaceDN w:val="0"/>
              <w:adjustRightInd w:val="0"/>
              <w:snapToGrid w:val="0"/>
              <w:jc w:val="center"/>
              <w:rPr>
                <w:rFonts w:hint="eastAsia" w:ascii="宋体" w:hAnsi="宋体"/>
                <w:color w:val="000000"/>
                <w:kern w:val="0"/>
                <w:szCs w:val="21"/>
              </w:rPr>
            </w:pPr>
          </w:p>
          <w:p>
            <w:pPr>
              <w:autoSpaceDE w:val="0"/>
              <w:autoSpaceDN w:val="0"/>
              <w:adjustRightInd w:val="0"/>
              <w:snapToGrid w:val="0"/>
              <w:jc w:val="center"/>
              <w:rPr>
                <w:rFonts w:hint="eastAsia" w:ascii="宋体" w:hAnsi="宋体"/>
                <w:color w:val="000000"/>
                <w:kern w:val="0"/>
                <w:szCs w:val="21"/>
              </w:rPr>
            </w:pPr>
          </w:p>
          <w:p>
            <w:pPr>
              <w:autoSpaceDE w:val="0"/>
              <w:autoSpaceDN w:val="0"/>
              <w:adjustRightInd w:val="0"/>
              <w:snapToGrid w:val="0"/>
              <w:jc w:val="center"/>
              <w:rPr>
                <w:rFonts w:hint="eastAsia" w:ascii="宋体" w:hAnsi="宋体"/>
                <w:color w:val="000000"/>
                <w:kern w:val="0"/>
                <w:szCs w:val="21"/>
              </w:rPr>
            </w:pPr>
          </w:p>
          <w:p>
            <w:pPr>
              <w:autoSpaceDE w:val="0"/>
              <w:autoSpaceDN w:val="0"/>
              <w:adjustRightInd w:val="0"/>
              <w:snapToGrid w:val="0"/>
              <w:jc w:val="center"/>
              <w:rPr>
                <w:rFonts w:ascii="宋体" w:hAnsi="宋体"/>
                <w:color w:val="000000"/>
                <w:kern w:val="0"/>
                <w:szCs w:val="21"/>
              </w:rPr>
            </w:pPr>
            <w:r>
              <w:rPr>
                <w:rFonts w:hint="eastAsia" w:ascii="宋体" w:hAnsi="宋体"/>
                <w:color w:val="000000"/>
                <w:kern w:val="0"/>
                <w:szCs w:val="21"/>
              </w:rPr>
              <w:t>应急设施类</w:t>
            </w: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（7）是否设置事故状态下的喷淋退水收集、储存设施，并满足应急要求。</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highlight w:val="yellow"/>
              </w:rPr>
            </w:pPr>
            <w:r>
              <w:rPr>
                <w:rFonts w:hint="eastAsia" w:ascii="宋体" w:hAnsi="宋体"/>
                <w:color w:val="000000"/>
                <w:kern w:val="0"/>
                <w:szCs w:val="21"/>
              </w:rPr>
              <w:t>（8）液氨储罐区域是否设置防护围堰，并满足应急要求。</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（9）是否有防止消防退水直排的措施。</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（10）液氨储罐区域是否采用移动式水枪和固定式设备进行冷却喷淋。</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（11）移动式水枪进行冷却喷淋水量是否大于15L/s。</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（12）固定式设备进行冷却喷淋水量是否大于0.10L/s·m</w:t>
            </w:r>
            <w:r>
              <w:rPr>
                <w:rFonts w:hint="eastAsia" w:ascii="宋体" w:hAnsi="宋体"/>
                <w:color w:val="000000"/>
                <w:kern w:val="0"/>
                <w:szCs w:val="21"/>
                <w:vertAlign w:val="superscript"/>
              </w:rPr>
              <w:t>2</w:t>
            </w:r>
            <w:r>
              <w:rPr>
                <w:rFonts w:hint="eastAsia" w:ascii="宋体" w:hAnsi="宋体"/>
                <w:color w:val="000000"/>
                <w:kern w:val="0"/>
                <w:szCs w:val="21"/>
              </w:rPr>
              <w:t>。</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（13）移动式水枪的水压力是否能满足水喷淋范围覆盖所有可能漏氨的部位。</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（14）水喷淋延续时间是否大于4h。</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（15）厂区雨水排口是否设置监视装置和关闭闸（阀），或可采取封堵措施。</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restart"/>
            <w:tcBorders>
              <w:top w:val="single" w:color="auto" w:sz="4" w:space="0"/>
              <w:left w:val="single" w:color="auto" w:sz="8" w:space="0"/>
              <w:bottom w:val="single" w:color="auto" w:sz="8" w:space="0"/>
              <w:right w:val="single" w:color="auto" w:sz="4" w:space="0"/>
            </w:tcBorders>
            <w:vAlign w:val="center"/>
          </w:tcPr>
          <w:p>
            <w:pPr>
              <w:autoSpaceDE w:val="0"/>
              <w:autoSpaceDN w:val="0"/>
              <w:adjustRightInd w:val="0"/>
              <w:snapToGrid w:val="0"/>
              <w:jc w:val="center"/>
              <w:rPr>
                <w:rFonts w:ascii="宋体" w:hAnsi="宋体"/>
                <w:color w:val="000000"/>
                <w:kern w:val="0"/>
                <w:szCs w:val="21"/>
              </w:rPr>
            </w:pPr>
            <w:r>
              <w:rPr>
                <w:rFonts w:hint="eastAsia" w:ascii="宋体" w:hAnsi="宋体"/>
                <w:color w:val="000000"/>
                <w:kern w:val="0"/>
                <w:szCs w:val="21"/>
              </w:rPr>
              <w:t>应急设施维护情况</w:t>
            </w:r>
          </w:p>
        </w:tc>
        <w:tc>
          <w:tcPr>
            <w:tcW w:w="5134" w:type="dxa"/>
            <w:tcBorders>
              <w:top w:val="single" w:color="auto" w:sz="4" w:space="0"/>
              <w:left w:val="single" w:color="auto" w:sz="4" w:space="0"/>
              <w:bottom w:val="single" w:color="auto" w:sz="4" w:space="0"/>
              <w:right w:val="single" w:color="auto" w:sz="4" w:space="0"/>
            </w:tcBorders>
            <w:vAlign w:val="center"/>
          </w:tcPr>
          <w:p>
            <w:pPr>
              <w:pStyle w:val="6"/>
              <w:snapToGrid w:val="0"/>
              <w:jc w:val="both"/>
              <w:rPr>
                <w:rFonts w:ascii="宋体" w:hAnsi="宋体" w:eastAsia="宋体"/>
                <w:sz w:val="21"/>
                <w:szCs w:val="21"/>
              </w:rPr>
            </w:pPr>
            <w:r>
              <w:rPr>
                <w:rFonts w:hint="eastAsia" w:ascii="宋体" w:hAnsi="宋体" w:eastAsia="宋体"/>
                <w:sz w:val="21"/>
                <w:szCs w:val="21"/>
              </w:rPr>
              <w:t>（16）是否安排专职或兼职人员定期检查、清理应急池内雨水及杂物。</w:t>
            </w:r>
          </w:p>
        </w:tc>
        <w:tc>
          <w:tcPr>
            <w:tcW w:w="123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color w:val="000000"/>
                <w:kern w:val="0"/>
                <w:szCs w:val="21"/>
                <w:highlight w:val="yellow"/>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2062" w:type="dxa"/>
            <w:vMerge w:val="continue"/>
            <w:tcBorders>
              <w:top w:val="single" w:color="auto" w:sz="4" w:space="0"/>
              <w:left w:val="single" w:color="auto" w:sz="8" w:space="0"/>
              <w:bottom w:val="single" w:color="auto" w:sz="8" w:space="0"/>
              <w:right w:val="single" w:color="auto" w:sz="4" w:space="0"/>
            </w:tcBorders>
            <w:vAlign w:val="center"/>
          </w:tcPr>
          <w:p>
            <w:pPr>
              <w:widowControl/>
              <w:jc w:val="left"/>
              <w:rPr>
                <w:rFonts w:ascii="宋体" w:hAnsi="宋体"/>
                <w:color w:val="000000"/>
                <w:kern w:val="0"/>
                <w:szCs w:val="21"/>
              </w:rPr>
            </w:pPr>
          </w:p>
        </w:tc>
        <w:tc>
          <w:tcPr>
            <w:tcW w:w="5134"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（17）防止事故状态下雨水和消防退水排出厂外措施是否有专人管理。</w:t>
            </w:r>
          </w:p>
        </w:tc>
        <w:tc>
          <w:tcPr>
            <w:tcW w:w="1236"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napToGrid w:val="0"/>
              <w:jc w:val="center"/>
              <w:rPr>
                <w:rFonts w:ascii="宋体" w:hAnsi="宋体"/>
                <w:color w:val="000000"/>
                <w:kern w:val="0"/>
                <w:szCs w:val="21"/>
              </w:rPr>
            </w:pPr>
          </w:p>
        </w:tc>
        <w:tc>
          <w:tcPr>
            <w:tcW w:w="1726"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napToGrid w:val="0"/>
              <w:jc w:val="center"/>
              <w:rPr>
                <w:rFonts w:ascii="宋体" w:hAnsi="宋体"/>
                <w:color w:val="000000"/>
                <w:kern w:val="0"/>
                <w:szCs w:val="21"/>
              </w:rPr>
            </w:pPr>
          </w:p>
        </w:tc>
        <w:tc>
          <w:tcPr>
            <w:tcW w:w="1134"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snapToGrid w:val="0"/>
              <w:jc w:val="center"/>
              <w:rPr>
                <w:rFonts w:ascii="宋体" w:hAnsi="宋体"/>
                <w:color w:val="000000"/>
                <w:kern w:val="0"/>
                <w:szCs w:val="21"/>
              </w:rPr>
            </w:pPr>
          </w:p>
        </w:tc>
        <w:tc>
          <w:tcPr>
            <w:tcW w:w="2883" w:type="dxa"/>
            <w:tcBorders>
              <w:top w:val="single" w:color="auto" w:sz="4" w:space="0"/>
              <w:left w:val="single" w:color="auto" w:sz="4" w:space="0"/>
              <w:bottom w:val="single" w:color="auto" w:sz="8" w:space="0"/>
              <w:right w:val="single" w:color="auto" w:sz="8" w:space="0"/>
            </w:tcBorders>
            <w:vAlign w:val="center"/>
          </w:tcPr>
          <w:p>
            <w:pPr>
              <w:autoSpaceDE w:val="0"/>
              <w:autoSpaceDN w:val="0"/>
              <w:adjustRightInd w:val="0"/>
              <w:snapToGrid w:val="0"/>
              <w:jc w:val="center"/>
              <w:rPr>
                <w:rFonts w:ascii="宋体" w:hAnsi="宋体"/>
                <w:color w:val="000000"/>
                <w:kern w:val="0"/>
                <w:szCs w:val="21"/>
                <w:highlight w:val="yellow"/>
              </w:rPr>
            </w:pPr>
          </w:p>
        </w:tc>
      </w:tr>
    </w:tbl>
    <w:p>
      <w:pPr>
        <w:adjustRightInd w:val="0"/>
        <w:snapToGrid w:val="0"/>
        <w:jc w:val="left"/>
        <w:rPr>
          <w:rFonts w:hint="eastAsia"/>
          <w:kern w:val="0"/>
          <w:sz w:val="28"/>
          <w:szCs w:val="28"/>
        </w:rPr>
      </w:pPr>
    </w:p>
    <w:p>
      <w:bookmarkStart w:id="0" w:name="_GoBack"/>
      <w:bookmarkEnd w:id="0"/>
    </w:p>
    <w:sectPr>
      <w:footerReference r:id="rId3" w:type="default"/>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15</w:t>
    </w:r>
    <w:r>
      <w:rPr>
        <w:rStyle w:val="4"/>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E3A6A"/>
    <w:rsid w:val="4F1560F6"/>
    <w:rsid w:val="777E3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 w:type="paragraph" w:customStyle="1" w:styleId="6">
    <w:name w:val="Default"/>
    <w:qFormat/>
    <w:uiPriority w:val="0"/>
    <w:pPr>
      <w:widowControl w:val="0"/>
      <w:autoSpaceDE w:val="0"/>
      <w:autoSpaceDN w:val="0"/>
      <w:adjustRightInd w:val="0"/>
    </w:pPr>
    <w:rPr>
      <w:rFonts w:ascii="仿宋" w:eastAsia="仿宋"/>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2017-12-27T02:45:00Z</dcterms:created>
  <dc:creator>白钰</dc:creator>
  <cp:lastModifiedBy>白钰</cp:lastModifiedBy>
  <dcterms:modified xsi:type="dcterms:W3CDTF">2017-12-27T02:46:18Z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