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水污染物自动监测设备安装联网及运行管理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依据的主要技术标准及规范等相关文件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1.《固定污染源自动监控（监测）系统现场端建设技术规范》（T/CAEPI 11-2017）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2.《水污染源在线监测系统安装技术规范》（HJ/T 353-2007）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3.《水污染源在线监测系统验收技术规范》（HJ/T 354-2007）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《水污染源在线监测系统运行与考核技术规范》（HJ/T 355-2007）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.《水污染源在线监测数据有效性判别技术规范》（HJ/T 356-2007）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.《污染治理设施运行记录仪技术要求及检测方法》（HJ/T 378-2007）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.《环境保护产品技术要求-化学需氧量（CODcr）水质在线自动监测仪》（HJ 377-2007）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.《环境保护产品技术要求-超声波明渠污水流量计》（HJ/T 15-2007）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.《环境保护产品技术要求-电磁管道流量计》（HJ/T 367-2007）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.《环境保护产品技术要求-超声波管道流量计》（HJ/T 366-2007）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.《水质自动采样器技术要求及检测方法》（HJ/T 372-2007）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.《氨氮水质自动分析仪技术要求》（HJ/T 101-2003）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.《pH水质自动分析仪技术要求》（HJ/T 96-2003）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.《总磷水质自动分析仪技术要求》（HJ/T 103-2003）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.《总氮水质自动分析仪技术要求》（HJ/T 102-2003）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</w:rPr>
        <w:t>.《污染物在线监控（监测）系统数据传输标准》（HJ 212-2017）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.《污染源在线自动监控（监测）系统数据采集传输仪技术要求》（HJ 477-2009）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生态环境部《关于加强固定污染源氮磷污染防治的通知》（环水体〔2018〕16号）附件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以上标准规范内容可在生态环境部网站(kjs.mee.gov.cn/hjbhbz/)或生态环境部污染源监控中心网站（www.envsc.cn）查询。标准规范已进行修订的，其最新的有效版本适用于本文。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33C1"/>
    <w:rsid w:val="1F6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2019-09-03T09:34:00Z</dcterms:created>
  <dc:creator>86159</dc:creator>
  <cp:lastModifiedBy>86159</cp:lastModifiedBy>
  <dcterms:modified xsi:type="dcterms:W3CDTF">2019-09-03T09:34:53Z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