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9" w:firstLineChars="81"/>
        <w:rPr>
          <w:b/>
          <w:sz w:val="44"/>
          <w:szCs w:val="44"/>
        </w:rPr>
      </w:pPr>
      <w:bookmarkStart w:id="0" w:name="OLE_LINK8"/>
      <w:bookmarkStart w:id="1" w:name="OLE_LINK5"/>
      <w:bookmarkStart w:id="2" w:name="OLE_LINK7"/>
      <w:bookmarkStart w:id="3" w:name="OLE_LINK6"/>
      <w:bookmarkStart w:id="4" w:name="OLE_LINK3"/>
      <w:bookmarkStart w:id="5" w:name="OLE_LINK2"/>
      <w:bookmarkStart w:id="6" w:name="OLE_LINK4"/>
      <w:bookmarkStart w:id="7" w:name="OLE_LINK1"/>
      <w:r>
        <w:rPr>
          <w:rFonts w:hint="eastAsia" w:ascii="黑体" w:eastAsia="黑体"/>
          <w:sz w:val="32"/>
          <w:szCs w:val="32"/>
        </w:rPr>
        <w:t>京环</w:t>
      </w:r>
      <w:r>
        <w:rPr>
          <w:rFonts w:hint="eastAsia" w:ascii="黑体" w:eastAsia="黑体"/>
          <w:sz w:val="32"/>
          <w:szCs w:val="32"/>
          <w:lang w:eastAsia="zh-CN"/>
        </w:rPr>
        <w:t>发</w:t>
      </w:r>
      <w:r>
        <w:rPr>
          <w:rFonts w:hint="eastAsia" w:ascii="黑体" w:eastAsia="黑体"/>
          <w:sz w:val="32"/>
          <w:szCs w:val="32"/>
        </w:rPr>
        <w:t>〔202</w:t>
      </w:r>
      <w:r>
        <w:rPr>
          <w:rFonts w:hint="eastAsia" w:ascii="黑体" w:eastAsia="黑体"/>
          <w:sz w:val="32"/>
          <w:szCs w:val="32"/>
          <w:lang w:val="en-US" w:eastAsia="zh-CN"/>
        </w:rPr>
        <w:t>2</w:t>
      </w:r>
      <w:r>
        <w:rPr>
          <w:rFonts w:hint="eastAsia" w:ascii="黑体" w:eastAsia="黑体"/>
          <w:sz w:val="32"/>
          <w:szCs w:val="32"/>
        </w:rPr>
        <w:t>〕</w:t>
      </w:r>
      <w:r>
        <w:rPr>
          <w:rFonts w:hint="eastAsia" w:ascii="黑体" w:eastAsia="黑体"/>
          <w:sz w:val="32"/>
          <w:szCs w:val="32"/>
          <w:lang w:val="en-US" w:eastAsia="zh-CN"/>
        </w:rPr>
        <w:t>7</w:t>
      </w:r>
      <w:r>
        <w:rPr>
          <w:rFonts w:hint="eastAsia" w:ascii="黑体" w:eastAsia="黑体"/>
          <w:sz w:val="32"/>
          <w:szCs w:val="32"/>
        </w:rPr>
        <w:t>号附</w:t>
      </w:r>
      <w:bookmarkEnd w:id="0"/>
      <w:bookmarkEnd w:id="1"/>
      <w:bookmarkEnd w:id="2"/>
      <w:bookmarkEnd w:id="3"/>
      <w:bookmarkEnd w:id="4"/>
      <w:bookmarkEnd w:id="5"/>
      <w:bookmarkEnd w:id="6"/>
      <w:bookmarkEnd w:id="7"/>
      <w:r>
        <w:rPr>
          <w:rFonts w:hint="eastAsia" w:ascii="黑体" w:hAnsi="黑体" w:eastAsia="黑体"/>
          <w:sz w:val="32"/>
          <w:szCs w:val="32"/>
        </w:rPr>
        <w:t>件</w:t>
      </w:r>
      <w:r>
        <w:rPr>
          <w:rFonts w:ascii="黑体" w:hAnsi="黑体" w:eastAsia="黑体"/>
          <w:sz w:val="32"/>
          <w:szCs w:val="32"/>
        </w:rPr>
        <w:t>1</w:t>
      </w:r>
      <w:r>
        <w:rPr>
          <w:b/>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b/>
          <w:sz w:val="44"/>
          <w:szCs w:val="44"/>
        </w:rPr>
        <w:instrText xml:space="preserve">ADDIN CNKISM.UserStyle</w:instrText>
      </w:r>
      <w:r>
        <w:rPr>
          <w:b/>
          <w:sz w:val="44"/>
          <w:szCs w:val="44"/>
        </w:rPr>
        <w:fldChar w:fldCharType="end"/>
      </w:r>
    </w:p>
    <w:p>
      <w:pPr>
        <w:ind w:firstLine="658"/>
        <w:jc w:val="center"/>
        <w:rPr>
          <w:b/>
          <w:sz w:val="44"/>
          <w:szCs w:val="44"/>
        </w:rPr>
      </w:pPr>
    </w:p>
    <w:p>
      <w:pPr>
        <w:ind w:firstLine="658"/>
        <w:jc w:val="center"/>
        <w:rPr>
          <w:b/>
          <w:sz w:val="44"/>
          <w:szCs w:val="44"/>
        </w:rPr>
      </w:pPr>
    </w:p>
    <w:p>
      <w:pPr>
        <w:ind w:firstLine="658"/>
        <w:jc w:val="center"/>
        <w:rPr>
          <w:b/>
          <w:sz w:val="44"/>
          <w:szCs w:val="44"/>
        </w:rPr>
      </w:pPr>
      <w:bookmarkStart w:id="24" w:name="_GoBack"/>
      <w:bookmarkEnd w:id="24"/>
    </w:p>
    <w:p>
      <w:pPr>
        <w:ind w:firstLine="658"/>
        <w:jc w:val="center"/>
        <w:rPr>
          <w:b/>
          <w:sz w:val="44"/>
          <w:szCs w:val="44"/>
        </w:rPr>
      </w:pPr>
    </w:p>
    <w:p>
      <w:pPr>
        <w:ind w:firstLine="658"/>
        <w:jc w:val="center"/>
        <w:rPr>
          <w:b/>
          <w:sz w:val="44"/>
          <w:szCs w:val="44"/>
        </w:rPr>
      </w:pPr>
    </w:p>
    <w:p>
      <w:pPr>
        <w:ind w:firstLine="0" w:firstLineChars="0"/>
        <w:jc w:val="center"/>
        <w:rPr>
          <w:b/>
          <w:sz w:val="44"/>
          <w:szCs w:val="44"/>
        </w:rPr>
      </w:pPr>
      <w:r>
        <w:rPr>
          <w:rFonts w:hint="eastAsia"/>
          <w:b/>
          <w:sz w:val="44"/>
          <w:szCs w:val="44"/>
        </w:rPr>
        <w:t>北京市碳排放单位二氧化碳排放</w:t>
      </w:r>
    </w:p>
    <w:p>
      <w:pPr>
        <w:ind w:firstLine="0" w:firstLineChars="0"/>
        <w:jc w:val="center"/>
        <w:rPr>
          <w:b/>
          <w:sz w:val="44"/>
          <w:szCs w:val="44"/>
        </w:rPr>
      </w:pPr>
      <w:r>
        <w:rPr>
          <w:rFonts w:hint="eastAsia"/>
          <w:b/>
          <w:sz w:val="44"/>
          <w:szCs w:val="44"/>
        </w:rPr>
        <w:t>核算和报告要求</w:t>
      </w:r>
    </w:p>
    <w:p>
      <w:pPr>
        <w:widowControl/>
        <w:spacing w:line="240" w:lineRule="auto"/>
        <w:ind w:firstLine="0" w:firstLineChars="0"/>
        <w:jc w:val="left"/>
        <w:rPr>
          <w:b/>
          <w:sz w:val="44"/>
          <w:szCs w:val="44"/>
        </w:rPr>
      </w:pPr>
      <w:r>
        <w:rPr>
          <w:b/>
          <w:sz w:val="44"/>
          <w:szCs w:val="44"/>
        </w:rPr>
        <w:br w:type="page"/>
      </w:r>
    </w:p>
    <w:p>
      <w:pPr>
        <w:ind w:firstLine="658"/>
        <w:jc w:val="center"/>
        <w:rPr>
          <w:b/>
          <w:sz w:val="44"/>
          <w:szCs w:val="44"/>
        </w:rPr>
      </w:pPr>
    </w:p>
    <w:p>
      <w:pPr>
        <w:ind w:firstLine="0" w:firstLineChars="0"/>
        <w:jc w:val="center"/>
        <w:rPr>
          <w:b/>
          <w:sz w:val="44"/>
          <w:szCs w:val="44"/>
        </w:rPr>
      </w:pPr>
      <w:r>
        <w:rPr>
          <w:rFonts w:hint="eastAsia"/>
          <w:b/>
          <w:sz w:val="44"/>
          <w:szCs w:val="44"/>
        </w:rPr>
        <w:t>前  言</w:t>
      </w:r>
    </w:p>
    <w:p>
      <w:pPr>
        <w:ind w:firstLine="0" w:firstLineChars="0"/>
        <w:jc w:val="center"/>
        <w:rPr>
          <w:b/>
          <w:sz w:val="44"/>
          <w:szCs w:val="44"/>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中国二氧化碳排放力争于2030年前达峰，努力争取于2060年前实现碳中和”,是习近平总书记对国际社会的庄严承诺，是党中央、国务院统筹国际国内两个大局作出的重大战略部署，彰显了中国积极应对气候变化、努力构建人类命运共同体、走绿色低碳发展道路的坚定决心。碳市场是推进“双碳”工作的重要市场化机制，碳排放数据是开展交易的基础，数据质量是碳市场的生命线。为切实提升本市碳排放权交易相关数据的科学性和规范性，结合实际工作，对</w:t>
      </w:r>
      <w:r>
        <w:rPr>
          <w:rFonts w:ascii="仿宋_GB2312" w:eastAsia="仿宋_GB2312"/>
          <w:sz w:val="32"/>
          <w:szCs w:val="32"/>
        </w:rPr>
        <w:t>核算</w:t>
      </w:r>
      <w:r>
        <w:rPr>
          <w:rFonts w:hint="eastAsia" w:ascii="仿宋_GB2312" w:eastAsia="仿宋_GB2312"/>
          <w:sz w:val="32"/>
          <w:szCs w:val="32"/>
        </w:rPr>
        <w:t>要求</w:t>
      </w:r>
      <w:r>
        <w:rPr>
          <w:rFonts w:ascii="仿宋_GB2312" w:eastAsia="仿宋_GB2312"/>
          <w:sz w:val="32"/>
          <w:szCs w:val="32"/>
        </w:rPr>
        <w:t>做如下调整：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1.本市碳排放权交易市场管理的电力生产、水泥制造、石油化工生产、热力生产和供应、交通运输、服务业及其他行业排放单位年度碳排放核算和报告原则上按照本市发布的《二氧化碳排放核算和报告要求</w:t>
      </w:r>
      <w:r>
        <w:rPr>
          <w:rFonts w:ascii="仿宋_GB2312" w:eastAsia="仿宋_GB2312"/>
          <w:sz w:val="32"/>
          <w:szCs w:val="32"/>
        </w:rPr>
        <w:t xml:space="preserve"> 电力生产业》（DB11/T 1781-2020）</w:t>
      </w:r>
      <w:r>
        <w:rPr>
          <w:rFonts w:hint="eastAsia" w:ascii="仿宋_GB2312" w:eastAsia="仿宋_GB2312"/>
          <w:sz w:val="32"/>
          <w:szCs w:val="32"/>
        </w:rPr>
        <w:t>等7个地方标准执行。但移动设施(交通运输行业除外)和外购热力的碳排放仅列入核算和报告范围,不计入履约边界。</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民用航空运输企业按照《民用</w:t>
      </w:r>
      <w:r>
        <w:rPr>
          <w:rFonts w:ascii="仿宋_GB2312" w:eastAsia="仿宋_GB2312"/>
          <w:sz w:val="32"/>
          <w:szCs w:val="32"/>
        </w:rPr>
        <w:t>航空</w:t>
      </w:r>
      <w:r>
        <w:rPr>
          <w:rFonts w:hint="eastAsia" w:ascii="仿宋_GB2312" w:eastAsia="仿宋_GB2312"/>
          <w:sz w:val="32"/>
          <w:szCs w:val="32"/>
        </w:rPr>
        <w:t>运输的核算</w:t>
      </w:r>
      <w:r>
        <w:rPr>
          <w:rFonts w:ascii="仿宋_GB2312" w:eastAsia="仿宋_GB2312"/>
          <w:sz w:val="32"/>
          <w:szCs w:val="32"/>
        </w:rPr>
        <w:t>和报告</w:t>
      </w:r>
      <w:r>
        <w:rPr>
          <w:rFonts w:hint="eastAsia" w:ascii="仿宋_GB2312" w:eastAsia="仿宋_GB2312"/>
          <w:sz w:val="32"/>
          <w:szCs w:val="32"/>
        </w:rPr>
        <w:t>要求》开展核算和报告工作。</w:t>
      </w:r>
    </w:p>
    <w:p>
      <w:pPr>
        <w:widowControl/>
        <w:spacing w:line="240" w:lineRule="auto"/>
        <w:ind w:firstLine="0" w:firstLineChars="0"/>
        <w:jc w:val="left"/>
        <w:rPr>
          <w:rFonts w:ascii="仿宋_GB2312" w:eastAsia="仿宋_GB2312"/>
          <w:sz w:val="32"/>
          <w:szCs w:val="32"/>
        </w:rPr>
      </w:pPr>
      <w:r>
        <w:rPr>
          <w:rFonts w:ascii="仿宋_GB2312" w:eastAsia="仿宋_GB2312"/>
          <w:sz w:val="32"/>
          <w:szCs w:val="32"/>
        </w:rPr>
        <w:br w:type="page"/>
      </w:r>
    </w:p>
    <w:p>
      <w:pPr>
        <w:pStyle w:val="3"/>
        <w:ind w:firstLine="640"/>
        <w:rPr>
          <w:rFonts w:ascii="黑体" w:hAnsi="黑体" w:eastAsia="黑体"/>
          <w:b w:val="0"/>
          <w:szCs w:val="32"/>
        </w:rPr>
      </w:pPr>
      <w:bookmarkStart w:id="8" w:name="_Toc34322699"/>
      <w:bookmarkStart w:id="9" w:name="_Toc36127029"/>
      <w:r>
        <w:rPr>
          <w:rFonts w:hint="eastAsia" w:ascii="黑体" w:hAnsi="黑体" w:eastAsia="黑体"/>
          <w:b w:val="0"/>
          <w:szCs w:val="32"/>
        </w:rPr>
        <w:t>一、术语定义</w:t>
      </w:r>
      <w:bookmarkEnd w:id="8"/>
      <w:bookmarkEnd w:id="9"/>
    </w:p>
    <w:p>
      <w:pPr>
        <w:adjustRightInd w:val="0"/>
        <w:snapToGrid w:val="0"/>
        <w:spacing w:line="420" w:lineRule="exact"/>
        <w:ind w:firstLine="482" w:firstLineChars="200"/>
        <w:rPr>
          <w:rFonts w:ascii="Times New Roman" w:hAnsi="Times New Roman"/>
        </w:rPr>
      </w:pPr>
      <w:r>
        <w:rPr>
          <w:rFonts w:ascii="Times New Roman" w:hAnsi="Times New Roman"/>
          <w:b/>
        </w:rPr>
        <w:t>二氧化碳排放单位</w:t>
      </w:r>
      <w:r>
        <w:rPr>
          <w:rFonts w:ascii="Times New Roman" w:hAnsi="Times New Roman"/>
        </w:rPr>
        <w:t>是指北京市行政辖区内有二氧化碳排放活动的</w:t>
      </w:r>
      <w:r>
        <w:rPr>
          <w:rFonts w:hint="eastAsia" w:ascii="Times New Roman" w:hAnsi="Times New Roman"/>
        </w:rPr>
        <w:t>单位</w:t>
      </w:r>
      <w:r>
        <w:rPr>
          <w:rFonts w:ascii="Times New Roman" w:hAnsi="Times New Roman"/>
        </w:rPr>
        <w:t>。二氧化碳排放单位简称排放单位。</w:t>
      </w:r>
    </w:p>
    <w:p>
      <w:pPr>
        <w:adjustRightInd w:val="0"/>
        <w:snapToGrid w:val="0"/>
        <w:spacing w:line="420" w:lineRule="exact"/>
        <w:ind w:firstLine="482" w:firstLineChars="200"/>
        <w:rPr>
          <w:rFonts w:ascii="Times New Roman" w:hAnsi="Times New Roman"/>
        </w:rPr>
      </w:pPr>
      <w:r>
        <w:rPr>
          <w:rFonts w:ascii="Times New Roman" w:hAnsi="Times New Roman"/>
          <w:b/>
        </w:rPr>
        <w:t>二氧化碳排放报告单位</w:t>
      </w:r>
      <w:r>
        <w:rPr>
          <w:rFonts w:ascii="Times New Roman" w:hAnsi="Times New Roman"/>
        </w:rPr>
        <w:t>是指北京市行政辖区内年能源消耗2000吨标准煤（含）以上，需要向市政府</w:t>
      </w:r>
      <w:r>
        <w:rPr>
          <w:rFonts w:hint="eastAsia" w:ascii="Times New Roman" w:hAnsi="Times New Roman"/>
        </w:rPr>
        <w:t>主管部门</w:t>
      </w:r>
      <w:r>
        <w:rPr>
          <w:rFonts w:ascii="Times New Roman" w:hAnsi="Times New Roman"/>
        </w:rPr>
        <w:t>报告其二氧化碳排放状况的单位。二氧化碳排放报告单位简称二氧化碳报告单位，或简称报告单位。</w:t>
      </w:r>
    </w:p>
    <w:p>
      <w:pPr>
        <w:adjustRightInd w:val="0"/>
        <w:snapToGrid w:val="0"/>
        <w:spacing w:line="420" w:lineRule="exact"/>
        <w:ind w:firstLine="482" w:firstLineChars="200"/>
        <w:rPr>
          <w:rFonts w:ascii="Times New Roman" w:hAnsi="Times New Roman"/>
        </w:rPr>
      </w:pPr>
      <w:r>
        <w:rPr>
          <w:rFonts w:ascii="Times New Roman" w:hAnsi="Times New Roman"/>
          <w:b/>
        </w:rPr>
        <w:t>二氧化碳重点排放单位</w:t>
      </w:r>
      <w:r>
        <w:rPr>
          <w:rFonts w:ascii="Times New Roman" w:hAnsi="Times New Roman"/>
        </w:rPr>
        <w:t>是</w:t>
      </w:r>
      <w:r>
        <w:rPr>
          <w:rFonts w:hint="eastAsia"/>
        </w:rPr>
        <w:t>北京市行政区域内</w:t>
      </w:r>
      <w:r>
        <w:rPr>
          <w:rFonts w:ascii="Times New Roman" w:hAnsi="Times New Roman"/>
        </w:rPr>
        <w:t>年二氧化碳排放量大于</w:t>
      </w:r>
      <w:r>
        <w:rPr>
          <w:rFonts w:hint="eastAsia" w:ascii="Times New Roman" w:hAnsi="Times New Roman"/>
        </w:rPr>
        <w:t>5000</w:t>
      </w:r>
      <w:r>
        <w:rPr>
          <w:rFonts w:ascii="Times New Roman" w:hAnsi="Times New Roman"/>
        </w:rPr>
        <w:t>吨</w:t>
      </w:r>
      <w:r>
        <w:rPr>
          <w:rFonts w:hint="eastAsia" w:ascii="Times New Roman" w:hAnsi="Times New Roman"/>
        </w:rPr>
        <w:t>（</w:t>
      </w:r>
      <w:r>
        <w:rPr>
          <w:rFonts w:ascii="Times New Roman" w:hAnsi="Times New Roman"/>
        </w:rPr>
        <w:t>含</w:t>
      </w:r>
      <w:r>
        <w:rPr>
          <w:rFonts w:hint="eastAsia" w:ascii="Times New Roman" w:hAnsi="Times New Roman"/>
        </w:rPr>
        <w:t>）</w:t>
      </w:r>
      <w:r>
        <w:rPr>
          <w:rFonts w:ascii="Times New Roman" w:hAnsi="Times New Roman"/>
        </w:rPr>
        <w:t>的单位</w:t>
      </w:r>
      <w:r>
        <w:rPr>
          <w:rFonts w:hint="eastAsia" w:ascii="Times New Roman" w:hAnsi="Times New Roman"/>
        </w:rPr>
        <w:t>。城市电汽车客运、城市轨道交通、道路货物运输、民用</w:t>
      </w:r>
      <w:r>
        <w:rPr>
          <w:rFonts w:ascii="Times New Roman" w:hAnsi="Times New Roman"/>
        </w:rPr>
        <w:t>航空</w:t>
      </w:r>
      <w:r>
        <w:rPr>
          <w:rFonts w:hint="eastAsia" w:ascii="Times New Roman" w:hAnsi="Times New Roman"/>
        </w:rPr>
        <w:t>运输行业企业的核算边界是固定设施和移动设施二氧化碳直接排放量与间接排放量，其他单位的核算边界是固定设施的二氧化碳直接排放量与间接排放量</w:t>
      </w:r>
      <w:r>
        <w:rPr>
          <w:rFonts w:ascii="Times New Roman" w:hAnsi="Times New Roman"/>
        </w:rPr>
        <w:t>。二氧化碳重点碳排放单位简称重点碳排放单位</w:t>
      </w:r>
      <w:r>
        <w:rPr>
          <w:rFonts w:hint="eastAsia" w:ascii="Times New Roman" w:hAnsi="Times New Roman"/>
        </w:rPr>
        <w:t>。报告</w:t>
      </w:r>
      <w:r>
        <w:rPr>
          <w:rFonts w:ascii="Times New Roman" w:hAnsi="Times New Roman"/>
        </w:rPr>
        <w:t>单位中自愿参加碳排放权交易的非重点碳排放单位</w:t>
      </w:r>
      <w:r>
        <w:rPr>
          <w:rFonts w:hint="eastAsia" w:ascii="Times New Roman" w:hAnsi="Times New Roman"/>
        </w:rPr>
        <w:t>，</w:t>
      </w:r>
      <w:r>
        <w:rPr>
          <w:rFonts w:ascii="Times New Roman" w:hAnsi="Times New Roman"/>
        </w:rPr>
        <w:t>参照重点碳排放单位进行管理</w:t>
      </w:r>
      <w:r>
        <w:rPr>
          <w:rFonts w:hint="eastAsia" w:ascii="Times New Roman" w:hAnsi="Times New Roman"/>
        </w:rPr>
        <w:t>。</w:t>
      </w:r>
    </w:p>
    <w:p>
      <w:pPr>
        <w:adjustRightInd w:val="0"/>
        <w:snapToGrid w:val="0"/>
        <w:spacing w:line="420" w:lineRule="exact"/>
        <w:ind w:firstLine="482" w:firstLineChars="200"/>
        <w:rPr>
          <w:rFonts w:ascii="Times New Roman" w:hAnsi="Times New Roman"/>
        </w:rPr>
      </w:pPr>
      <w:r>
        <w:rPr>
          <w:rFonts w:ascii="Times New Roman" w:hAnsi="Times New Roman"/>
          <w:b/>
        </w:rPr>
        <w:t>一般二氧化碳报告单位</w:t>
      </w:r>
      <w:r>
        <w:rPr>
          <w:rFonts w:ascii="Times New Roman" w:hAnsi="Times New Roman"/>
        </w:rPr>
        <w:t>是指二氧化碳重点碳排放单位之外的其他二氧化碳排放报告单位。一般二氧化碳报告单位简称一般报告单位。</w:t>
      </w:r>
    </w:p>
    <w:p>
      <w:pPr>
        <w:adjustRightInd w:val="0"/>
        <w:snapToGrid w:val="0"/>
        <w:spacing w:line="420" w:lineRule="exact"/>
        <w:ind w:firstLine="482" w:firstLineChars="200"/>
        <w:rPr>
          <w:rFonts w:ascii="Times New Roman" w:hAnsi="Times New Roman"/>
        </w:rPr>
      </w:pPr>
      <w:r>
        <w:rPr>
          <w:rFonts w:ascii="Times New Roman" w:hAnsi="Times New Roman"/>
          <w:b/>
        </w:rPr>
        <w:t>二氧化碳排放核算</w:t>
      </w:r>
      <w:r>
        <w:rPr>
          <w:rFonts w:ascii="Times New Roman" w:hAnsi="Times New Roman"/>
        </w:rPr>
        <w:t>是</w:t>
      </w:r>
      <w:r>
        <w:rPr>
          <w:rFonts w:hint="eastAsia" w:ascii="Times New Roman" w:hAnsi="Times New Roman"/>
        </w:rPr>
        <w:t>排放单位</w:t>
      </w:r>
      <w:r>
        <w:rPr>
          <w:rFonts w:ascii="Times New Roman" w:hAnsi="Times New Roman"/>
        </w:rPr>
        <w:t>按照二氧化碳排放核算和报告指南计算二氧化碳排放量的活动。</w:t>
      </w:r>
    </w:p>
    <w:p>
      <w:pPr>
        <w:adjustRightInd w:val="0"/>
        <w:snapToGrid w:val="0"/>
        <w:spacing w:line="420" w:lineRule="exact"/>
        <w:ind w:firstLine="482" w:firstLineChars="200"/>
        <w:rPr>
          <w:rFonts w:ascii="Times New Roman" w:hAnsi="Times New Roman"/>
        </w:rPr>
      </w:pPr>
      <w:r>
        <w:rPr>
          <w:rFonts w:ascii="Times New Roman" w:hAnsi="Times New Roman"/>
          <w:b/>
        </w:rPr>
        <w:t>排放设施</w:t>
      </w:r>
      <w:r>
        <w:rPr>
          <w:rFonts w:ascii="Times New Roman" w:hAnsi="Times New Roman"/>
        </w:rPr>
        <w:t>是指</w:t>
      </w:r>
      <w:r>
        <w:rPr>
          <w:rFonts w:hint="eastAsia" w:ascii="Times New Roman" w:hAnsi="Times New Roman"/>
        </w:rPr>
        <w:t>北京市行政辖区内</w:t>
      </w:r>
      <w:r>
        <w:rPr>
          <w:rFonts w:ascii="Times New Roman" w:hAnsi="Times New Roman"/>
        </w:rPr>
        <w:t>排放二氧化碳的固定设施和</w:t>
      </w:r>
      <w:r>
        <w:rPr>
          <w:rFonts w:hint="eastAsia" w:ascii="Times New Roman" w:hAnsi="Times New Roman"/>
        </w:rPr>
        <w:t>注册地为北京市的</w:t>
      </w:r>
      <w:r>
        <w:rPr>
          <w:rFonts w:ascii="Times New Roman" w:hAnsi="Times New Roman"/>
        </w:rPr>
        <w:t>移动设施。</w:t>
      </w:r>
    </w:p>
    <w:p>
      <w:pPr>
        <w:adjustRightInd w:val="0"/>
        <w:snapToGrid w:val="0"/>
        <w:spacing w:line="420" w:lineRule="exact"/>
        <w:ind w:firstLine="482" w:firstLineChars="200"/>
        <w:rPr>
          <w:rFonts w:ascii="Times New Roman" w:hAnsi="Times New Roman"/>
        </w:rPr>
      </w:pPr>
      <w:r>
        <w:rPr>
          <w:rFonts w:hint="eastAsia" w:ascii="Times New Roman" w:hAnsi="Times New Roman"/>
          <w:b/>
        </w:rPr>
        <w:t>既有设施</w:t>
      </w:r>
      <w:r>
        <w:rPr>
          <w:rFonts w:hint="eastAsia" w:ascii="Times New Roman" w:hAnsi="Times New Roman"/>
          <w:bCs/>
        </w:rPr>
        <w:t>，</w:t>
      </w:r>
      <w:r>
        <w:rPr>
          <w:rFonts w:hint="eastAsia" w:ascii="Times New Roman" w:hAnsi="Times New Roman"/>
        </w:rPr>
        <w:t>对于固定设施是指</w:t>
      </w:r>
      <w:r>
        <w:rPr>
          <w:rFonts w:ascii="Times New Roman" w:hAnsi="Times New Roman"/>
        </w:rPr>
        <w:t>2019年1月1日之前投入运行的设施。</w:t>
      </w:r>
    </w:p>
    <w:p>
      <w:pPr>
        <w:adjustRightInd w:val="0"/>
        <w:snapToGrid w:val="0"/>
        <w:spacing w:line="420" w:lineRule="exact"/>
        <w:ind w:firstLine="482" w:firstLineChars="200"/>
        <w:rPr>
          <w:rFonts w:ascii="Times New Roman" w:hAnsi="Times New Roman"/>
        </w:rPr>
      </w:pPr>
      <w:r>
        <w:rPr>
          <w:rFonts w:hint="eastAsia" w:ascii="Times New Roman" w:hAnsi="Times New Roman"/>
          <w:b/>
        </w:rPr>
        <w:t>新增设施，</w:t>
      </w:r>
      <w:r>
        <w:rPr>
          <w:rFonts w:hint="eastAsia" w:ascii="Times New Roman" w:hAnsi="Times New Roman"/>
        </w:rPr>
        <w:t>对于固定设施是指</w:t>
      </w:r>
      <w:r>
        <w:rPr>
          <w:rFonts w:ascii="Times New Roman" w:hAnsi="Times New Roman"/>
        </w:rPr>
        <w:t>2019年1月1日之</w:t>
      </w:r>
      <w:r>
        <w:rPr>
          <w:rFonts w:hint="eastAsia" w:ascii="Times New Roman" w:hAnsi="Times New Roman"/>
        </w:rPr>
        <w:t>后</w:t>
      </w:r>
      <w:r>
        <w:rPr>
          <w:rFonts w:ascii="Times New Roman" w:hAnsi="Times New Roman"/>
        </w:rPr>
        <w:t>投入运行的设施，对于移动设施</w:t>
      </w:r>
      <w:r>
        <w:rPr>
          <w:rFonts w:hint="eastAsia" w:ascii="Times New Roman" w:hAnsi="Times New Roman"/>
        </w:rPr>
        <w:t>不区分既有</w:t>
      </w:r>
      <w:r>
        <w:rPr>
          <w:rFonts w:ascii="Times New Roman" w:hAnsi="Times New Roman"/>
        </w:rPr>
        <w:t>设施或新增设施。</w:t>
      </w:r>
    </w:p>
    <w:p>
      <w:pPr>
        <w:adjustRightInd w:val="0"/>
        <w:snapToGrid w:val="0"/>
        <w:spacing w:line="420" w:lineRule="exact"/>
        <w:ind w:firstLine="482" w:firstLineChars="200"/>
        <w:rPr>
          <w:rFonts w:ascii="Times New Roman" w:hAnsi="Times New Roman"/>
        </w:rPr>
      </w:pPr>
      <w:r>
        <w:rPr>
          <w:rFonts w:hint="eastAsia" w:ascii="Times New Roman" w:hAnsi="Times New Roman"/>
          <w:b/>
        </w:rPr>
        <w:t>重点排放设施</w:t>
      </w:r>
      <w:r>
        <w:rPr>
          <w:rFonts w:hint="eastAsia" w:ascii="Times New Roman" w:hAnsi="Times New Roman"/>
        </w:rPr>
        <w:t>是指年度二氧化碳排放量大于</w:t>
      </w:r>
      <w:r>
        <w:rPr>
          <w:rFonts w:ascii="Times New Roman" w:hAnsi="Times New Roman"/>
        </w:rPr>
        <w:t>5000吨(含)或占</w:t>
      </w:r>
      <w:r>
        <w:rPr>
          <w:rFonts w:hint="eastAsia" w:ascii="Times New Roman" w:hAnsi="Times New Roman"/>
        </w:rPr>
        <w:t>排放单位</w:t>
      </w:r>
      <w:r>
        <w:rPr>
          <w:rFonts w:ascii="Times New Roman" w:hAnsi="Times New Roman"/>
        </w:rPr>
        <w:t>年度排放量大于20%(含)的排放设施</w:t>
      </w:r>
      <w:r>
        <w:rPr>
          <w:rFonts w:hint="eastAsia" w:ascii="Times New Roman" w:hAnsi="Times New Roman"/>
        </w:rPr>
        <w:t>。</w:t>
      </w:r>
    </w:p>
    <w:p>
      <w:pPr>
        <w:adjustRightInd w:val="0"/>
        <w:snapToGrid w:val="0"/>
        <w:spacing w:line="420" w:lineRule="exact"/>
        <w:ind w:firstLine="482" w:firstLineChars="200"/>
        <w:rPr>
          <w:rFonts w:ascii="Times New Roman" w:hAnsi="Times New Roman"/>
        </w:rPr>
      </w:pPr>
      <w:r>
        <w:rPr>
          <w:rFonts w:ascii="Times New Roman" w:hAnsi="Times New Roman"/>
          <w:b/>
        </w:rPr>
        <w:t>耗电设施</w:t>
      </w:r>
      <w:r>
        <w:rPr>
          <w:rFonts w:ascii="Times New Roman" w:hAnsi="Times New Roman"/>
        </w:rPr>
        <w:t>是指北京市行政辖区内消耗电力的设施。北京市辖区内电力消耗包括终端用电设施的电力消耗（含发电企业自身厂用电消耗，输、配、售电企业用电消耗）和电网线损消耗。耗电设施包括用电设施和输配电网络。</w:t>
      </w:r>
    </w:p>
    <w:p>
      <w:pPr>
        <w:adjustRightInd w:val="0"/>
        <w:snapToGrid w:val="0"/>
        <w:spacing w:line="420" w:lineRule="exact"/>
        <w:ind w:firstLine="482" w:firstLineChars="200"/>
        <w:rPr>
          <w:rFonts w:ascii="Times New Roman" w:hAnsi="Times New Roman"/>
        </w:rPr>
      </w:pPr>
      <w:r>
        <w:rPr>
          <w:rFonts w:ascii="Times New Roman" w:hAnsi="Times New Roman"/>
          <w:b/>
        </w:rPr>
        <w:t>二氧化碳直接排放</w:t>
      </w:r>
      <w:r>
        <w:rPr>
          <w:rFonts w:ascii="Times New Roman" w:hAnsi="Times New Roman"/>
        </w:rPr>
        <w:t>是指</w:t>
      </w:r>
      <w:r>
        <w:rPr>
          <w:rFonts w:hint="eastAsia" w:ascii="Times New Roman" w:hAnsi="Times New Roman"/>
        </w:rPr>
        <w:t>北京市行政辖区内</w:t>
      </w:r>
      <w:r>
        <w:rPr>
          <w:rFonts w:ascii="Times New Roman" w:hAnsi="Times New Roman"/>
        </w:rPr>
        <w:t>固定设施和</w:t>
      </w:r>
      <w:r>
        <w:rPr>
          <w:rFonts w:hint="eastAsia" w:ascii="Times New Roman" w:hAnsi="Times New Roman"/>
        </w:rPr>
        <w:t>注册地为北京市的公共电汽车客运、城市轨道交通、民用</w:t>
      </w:r>
      <w:r>
        <w:rPr>
          <w:rFonts w:ascii="Times New Roman" w:hAnsi="Times New Roman"/>
        </w:rPr>
        <w:t>航空</w:t>
      </w:r>
      <w:r>
        <w:rPr>
          <w:rFonts w:hint="eastAsia" w:ascii="Times New Roman" w:hAnsi="Times New Roman"/>
        </w:rPr>
        <w:t>运输行业企业移动设施</w:t>
      </w:r>
      <w:r>
        <w:rPr>
          <w:rFonts w:ascii="Times New Roman" w:hAnsi="Times New Roman"/>
        </w:rPr>
        <w:t>化石燃料燃烧导致的二氧化碳排放和/或北京市行政辖区内工业生产过程（包括熟料生产过程碳酸钙和碳酸镁分解排放</w:t>
      </w:r>
      <w:r>
        <w:rPr>
          <w:rFonts w:hint="eastAsia" w:ascii="Times New Roman" w:hAnsi="Times New Roman"/>
        </w:rPr>
        <w:t>、</w:t>
      </w:r>
      <w:r>
        <w:rPr>
          <w:rFonts w:ascii="Times New Roman" w:hAnsi="Times New Roman"/>
        </w:rPr>
        <w:t>石化产品工业生产过程</w:t>
      </w:r>
      <w:r>
        <w:rPr>
          <w:rFonts w:hint="eastAsia" w:ascii="Times New Roman" w:hAnsi="Times New Roman"/>
        </w:rPr>
        <w:t>产生</w:t>
      </w:r>
      <w:r>
        <w:rPr>
          <w:rFonts w:ascii="Times New Roman" w:hAnsi="Times New Roman"/>
        </w:rPr>
        <w:t>的排放和</w:t>
      </w:r>
      <w:r>
        <w:rPr>
          <w:rFonts w:hint="eastAsia" w:ascii="Times New Roman" w:hAnsi="Times New Roman"/>
        </w:rPr>
        <w:t>交通运输企业运输车辆使用尿素等尾气净化剂过程排放</w:t>
      </w:r>
      <w:r>
        <w:rPr>
          <w:rFonts w:ascii="Times New Roman" w:hAnsi="Times New Roman"/>
        </w:rPr>
        <w:t>）的二氧化碳排放和/或废弃物处理</w:t>
      </w:r>
      <w:r>
        <w:rPr>
          <w:rFonts w:hint="eastAsia" w:ascii="Times New Roman" w:hAnsi="Times New Roman"/>
        </w:rPr>
        <w:t>产生</w:t>
      </w:r>
      <w:r>
        <w:rPr>
          <w:rFonts w:ascii="Times New Roman" w:hAnsi="Times New Roman"/>
        </w:rPr>
        <w:t>的二氧化碳排放。</w:t>
      </w:r>
    </w:p>
    <w:p>
      <w:pPr>
        <w:adjustRightInd w:val="0"/>
        <w:snapToGrid w:val="0"/>
        <w:spacing w:line="420" w:lineRule="exact"/>
        <w:ind w:firstLine="482" w:firstLineChars="200"/>
        <w:rPr>
          <w:rFonts w:ascii="Times New Roman" w:hAnsi="Times New Roman"/>
        </w:rPr>
      </w:pPr>
      <w:r>
        <w:rPr>
          <w:rFonts w:ascii="Times New Roman" w:hAnsi="Times New Roman"/>
          <w:b/>
        </w:rPr>
        <w:t>二氧化碳间接排放</w:t>
      </w:r>
      <w:r>
        <w:rPr>
          <w:rFonts w:ascii="Times New Roman" w:hAnsi="Times New Roman"/>
        </w:rPr>
        <w:t>是指北京市行政辖区内耗电设施电力消耗所隐含的电力生产时化石燃料燃烧的二氧化碳排放。</w:t>
      </w:r>
    </w:p>
    <w:p>
      <w:pPr>
        <w:pStyle w:val="3"/>
        <w:ind w:firstLine="640"/>
        <w:rPr>
          <w:rFonts w:ascii="黑体" w:hAnsi="黑体" w:eastAsia="黑体"/>
          <w:b w:val="0"/>
        </w:rPr>
      </w:pPr>
      <w:bookmarkStart w:id="10" w:name="_Toc34322700"/>
      <w:bookmarkStart w:id="11" w:name="_Toc334015614"/>
      <w:bookmarkStart w:id="12" w:name="_Toc36127030"/>
      <w:r>
        <w:rPr>
          <w:rFonts w:hint="eastAsia" w:ascii="黑体" w:hAnsi="黑体" w:eastAsia="黑体"/>
          <w:b w:val="0"/>
        </w:rPr>
        <w:t>二、基本原则</w:t>
      </w:r>
      <w:bookmarkEnd w:id="10"/>
      <w:bookmarkEnd w:id="11"/>
      <w:bookmarkEnd w:id="12"/>
    </w:p>
    <w:p>
      <w:pPr>
        <w:adjustRightInd w:val="0"/>
        <w:snapToGrid w:val="0"/>
        <w:spacing w:line="420" w:lineRule="exact"/>
        <w:ind w:firstLine="480" w:firstLineChars="200"/>
        <w:rPr>
          <w:rFonts w:ascii="Times New Roman" w:hAnsi="Times New Roman"/>
        </w:rPr>
      </w:pPr>
      <w:r>
        <w:rPr>
          <w:rFonts w:ascii="Times New Roman" w:hAnsi="Times New Roman"/>
        </w:rPr>
        <w:t>北京市二氧化碳排放报告制度遵循</w:t>
      </w:r>
      <w:r>
        <w:rPr>
          <w:rFonts w:hint="eastAsia" w:ascii="Times New Roman" w:hAnsi="Times New Roman"/>
        </w:rPr>
        <w:t>“</w:t>
      </w:r>
      <w:r>
        <w:rPr>
          <w:rFonts w:ascii="Times New Roman" w:hAnsi="Times New Roman"/>
          <w:b/>
        </w:rPr>
        <w:t>谁排放谁报告</w:t>
      </w:r>
      <w:r>
        <w:rPr>
          <w:rFonts w:hint="eastAsia" w:ascii="Times New Roman" w:hAnsi="Times New Roman"/>
        </w:rPr>
        <w:t>”</w:t>
      </w:r>
      <w:r>
        <w:rPr>
          <w:rFonts w:ascii="Times New Roman" w:hAnsi="Times New Roman"/>
        </w:rPr>
        <w:t>原则。</w:t>
      </w:r>
      <w:r>
        <w:rPr>
          <w:rFonts w:hint="eastAsia" w:ascii="Times New Roman" w:hAnsi="Times New Roman"/>
        </w:rPr>
        <w:t>北京市行政辖区</w:t>
      </w:r>
      <w:r>
        <w:rPr>
          <w:rFonts w:ascii="Times New Roman" w:hAnsi="Times New Roman"/>
        </w:rPr>
        <w:t>内单位固定设施</w:t>
      </w:r>
      <w:r>
        <w:rPr>
          <w:rFonts w:hint="eastAsia" w:ascii="Times New Roman" w:hAnsi="Times New Roman"/>
        </w:rPr>
        <w:t>以及注册地为北京市的公共电汽车客运、城市轨道交通、民用</w:t>
      </w:r>
      <w:r>
        <w:rPr>
          <w:rFonts w:ascii="Times New Roman" w:hAnsi="Times New Roman"/>
        </w:rPr>
        <w:t>航空</w:t>
      </w:r>
      <w:r>
        <w:rPr>
          <w:rFonts w:hint="eastAsia" w:ascii="Times New Roman" w:hAnsi="Times New Roman"/>
        </w:rPr>
        <w:t>运输企业移动设施</w:t>
      </w:r>
      <w:r>
        <w:rPr>
          <w:rFonts w:ascii="Times New Roman" w:hAnsi="Times New Roman"/>
        </w:rPr>
        <w:t>导致二氧化碳直接排放或二氧化碳间接排放</w:t>
      </w:r>
      <w:r>
        <w:rPr>
          <w:rFonts w:hint="eastAsia" w:ascii="Times New Roman" w:hAnsi="Times New Roman"/>
        </w:rPr>
        <w:t>且需要报告</w:t>
      </w:r>
      <w:r>
        <w:rPr>
          <w:rFonts w:ascii="Times New Roman" w:hAnsi="Times New Roman"/>
        </w:rPr>
        <w:t>的，该单位必须按照规定报告其二氧化碳排放活动。</w:t>
      </w:r>
      <w:r>
        <w:rPr>
          <w:rFonts w:hint="eastAsia" w:ascii="Times New Roman" w:hAnsi="Times New Roman"/>
        </w:rPr>
        <w:t>一般情况下，设施所有者是</w:t>
      </w:r>
      <w:r>
        <w:rPr>
          <w:rFonts w:ascii="Times New Roman" w:hAnsi="Times New Roman"/>
        </w:rPr>
        <w:t>二氧化碳排放报告</w:t>
      </w:r>
      <w:r>
        <w:rPr>
          <w:rFonts w:hint="eastAsia" w:ascii="Times New Roman" w:hAnsi="Times New Roman"/>
        </w:rPr>
        <w:t>责任方。</w:t>
      </w:r>
    </w:p>
    <w:p>
      <w:pPr>
        <w:adjustRightInd w:val="0"/>
        <w:snapToGrid w:val="0"/>
        <w:spacing w:line="420" w:lineRule="exact"/>
        <w:ind w:firstLine="480" w:firstLineChars="200"/>
        <w:rPr>
          <w:rFonts w:ascii="Times New Roman" w:hAnsi="Times New Roman"/>
        </w:rPr>
      </w:pPr>
      <w:r>
        <w:rPr>
          <w:rFonts w:ascii="Times New Roman" w:hAnsi="Times New Roman"/>
        </w:rPr>
        <w:t>二氧化碳排放核算和报告还</w:t>
      </w:r>
      <w:r>
        <w:rPr>
          <w:rFonts w:hint="eastAsia" w:ascii="Times New Roman" w:hAnsi="Times New Roman"/>
        </w:rPr>
        <w:t>应</w:t>
      </w:r>
      <w:r>
        <w:rPr>
          <w:rFonts w:ascii="Times New Roman" w:hAnsi="Times New Roman"/>
        </w:rPr>
        <w:t>遵循完整性、一致性、可比性、透明性、客观性等原则。</w:t>
      </w:r>
    </w:p>
    <w:p>
      <w:pPr>
        <w:adjustRightInd w:val="0"/>
        <w:snapToGrid w:val="0"/>
        <w:spacing w:line="420" w:lineRule="exact"/>
        <w:ind w:firstLine="482" w:firstLineChars="200"/>
        <w:rPr>
          <w:rFonts w:ascii="Times New Roman" w:hAnsi="Times New Roman"/>
        </w:rPr>
      </w:pPr>
      <w:r>
        <w:rPr>
          <w:rFonts w:ascii="Times New Roman" w:hAnsi="Times New Roman"/>
          <w:b/>
        </w:rPr>
        <w:t>完整性</w:t>
      </w:r>
      <w:r>
        <w:rPr>
          <w:rFonts w:ascii="Times New Roman" w:hAnsi="Times New Roman"/>
        </w:rPr>
        <w:t>是指所核算的二氧化碳排放量包括了单位所有的本指南所界定的化石燃料燃烧的二氧化碳排放、工业生产过程的二氧化碳排放和废弃物处理的二氧化碳</w:t>
      </w:r>
      <w:r>
        <w:rPr>
          <w:rFonts w:hint="eastAsia" w:ascii="Times New Roman" w:hAnsi="Times New Roman"/>
        </w:rPr>
        <w:t>直接</w:t>
      </w:r>
      <w:r>
        <w:rPr>
          <w:rFonts w:ascii="Times New Roman" w:hAnsi="Times New Roman"/>
        </w:rPr>
        <w:t>和间接排放。</w:t>
      </w:r>
    </w:p>
    <w:p>
      <w:pPr>
        <w:adjustRightInd w:val="0"/>
        <w:snapToGrid w:val="0"/>
        <w:spacing w:line="420" w:lineRule="exact"/>
        <w:ind w:firstLine="482" w:firstLineChars="200"/>
        <w:rPr>
          <w:rFonts w:ascii="Times New Roman" w:hAnsi="Times New Roman"/>
        </w:rPr>
      </w:pPr>
      <w:r>
        <w:rPr>
          <w:rFonts w:ascii="Times New Roman" w:hAnsi="Times New Roman"/>
          <w:b/>
        </w:rPr>
        <w:t>一致性</w:t>
      </w:r>
      <w:r>
        <w:rPr>
          <w:rFonts w:ascii="Times New Roman" w:hAnsi="Times New Roman"/>
        </w:rPr>
        <w:t>是指单位应使用本指南规定的核算方法学，并且对于同一企业的同一种生产活动，其二氧化碳排放的核算方法应保持不变。</w:t>
      </w:r>
    </w:p>
    <w:p>
      <w:pPr>
        <w:adjustRightInd w:val="0"/>
        <w:snapToGrid w:val="0"/>
        <w:spacing w:line="420" w:lineRule="exact"/>
        <w:ind w:firstLine="482" w:firstLineChars="200"/>
        <w:rPr>
          <w:rFonts w:ascii="Times New Roman" w:hAnsi="Times New Roman"/>
        </w:rPr>
      </w:pPr>
      <w:r>
        <w:rPr>
          <w:rFonts w:ascii="Times New Roman" w:hAnsi="Times New Roman"/>
          <w:b/>
        </w:rPr>
        <w:t>透明性</w:t>
      </w:r>
      <w:r>
        <w:rPr>
          <w:rFonts w:ascii="Times New Roman" w:hAnsi="Times New Roman"/>
        </w:rPr>
        <w:t>是指单位应该以透明的方式获得、记录、分析</w:t>
      </w:r>
      <w:r>
        <w:rPr>
          <w:rFonts w:hint="eastAsia" w:ascii="Times New Roman" w:hAnsi="Times New Roman"/>
        </w:rPr>
        <w:t>二氧化碳</w:t>
      </w:r>
      <w:r>
        <w:rPr>
          <w:rFonts w:ascii="Times New Roman" w:hAnsi="Times New Roman"/>
        </w:rPr>
        <w:t>排放相关数据，包括活动水平数据、排放因子数据等，从而确保核查人员和主管机构能够复原</w:t>
      </w:r>
      <w:r>
        <w:rPr>
          <w:rFonts w:hint="eastAsia" w:ascii="Times New Roman" w:hAnsi="Times New Roman"/>
        </w:rPr>
        <w:t>二氧化碳</w:t>
      </w:r>
      <w:r>
        <w:rPr>
          <w:rFonts w:ascii="Times New Roman" w:hAnsi="Times New Roman"/>
        </w:rPr>
        <w:t>排放的计算。</w:t>
      </w:r>
    </w:p>
    <w:p>
      <w:pPr>
        <w:adjustRightInd w:val="0"/>
        <w:snapToGrid w:val="0"/>
        <w:spacing w:line="420" w:lineRule="exact"/>
        <w:ind w:firstLine="482" w:firstLineChars="200"/>
        <w:rPr>
          <w:rFonts w:ascii="Times New Roman" w:hAnsi="Times New Roman"/>
        </w:rPr>
      </w:pPr>
      <w:r>
        <w:rPr>
          <w:rFonts w:ascii="Times New Roman" w:hAnsi="Times New Roman"/>
          <w:b/>
        </w:rPr>
        <w:t>客观性</w:t>
      </w:r>
      <w:r>
        <w:rPr>
          <w:rFonts w:ascii="Times New Roman" w:hAnsi="Times New Roman"/>
        </w:rPr>
        <w:t>是指单位应保证排放量的</w:t>
      </w:r>
      <w:r>
        <w:rPr>
          <w:rFonts w:hint="eastAsia" w:ascii="Times New Roman" w:hAnsi="Times New Roman"/>
        </w:rPr>
        <w:t>核</w:t>
      </w:r>
      <w:r>
        <w:rPr>
          <w:rFonts w:ascii="Times New Roman" w:hAnsi="Times New Roman"/>
        </w:rPr>
        <w:t>算和相关数据的确定没有系统性的错误或者人为的故意错误，排放量</w:t>
      </w:r>
      <w:r>
        <w:rPr>
          <w:rFonts w:hint="eastAsia" w:ascii="Times New Roman" w:hAnsi="Times New Roman"/>
        </w:rPr>
        <w:t>核</w:t>
      </w:r>
      <w:r>
        <w:rPr>
          <w:rFonts w:ascii="Times New Roman" w:hAnsi="Times New Roman"/>
        </w:rPr>
        <w:t>算结果能够真实地反映报告单位的实际情况。</w:t>
      </w:r>
    </w:p>
    <w:p>
      <w:pPr>
        <w:pStyle w:val="3"/>
        <w:ind w:firstLine="640"/>
        <w:rPr>
          <w:rFonts w:ascii="黑体" w:hAnsi="黑体" w:eastAsia="黑体"/>
          <w:b w:val="0"/>
        </w:rPr>
      </w:pPr>
      <w:bookmarkStart w:id="13" w:name="_Toc334015615"/>
      <w:bookmarkStart w:id="14" w:name="_Toc34322701"/>
      <w:bookmarkStart w:id="15" w:name="_Toc36127031"/>
      <w:r>
        <w:rPr>
          <w:rFonts w:hint="eastAsia" w:ascii="黑体" w:hAnsi="黑体" w:eastAsia="黑体"/>
          <w:b w:val="0"/>
        </w:rPr>
        <w:t>三、二氧化碳排放核算和报告要求</w:t>
      </w:r>
      <w:bookmarkEnd w:id="13"/>
      <w:bookmarkEnd w:id="14"/>
      <w:bookmarkEnd w:id="15"/>
    </w:p>
    <w:p>
      <w:pPr>
        <w:ind w:firstLine="480" w:firstLineChars="200"/>
        <w:rPr>
          <w:rFonts w:ascii="楷体_GB2312" w:hAnsi="Times New Roman" w:eastAsia="楷体_GB2312"/>
        </w:rPr>
      </w:pPr>
      <w:r>
        <w:rPr>
          <w:rFonts w:hint="eastAsia" w:ascii="楷体_GB2312" w:hAnsi="Times New Roman" w:eastAsia="楷体_GB2312"/>
        </w:rPr>
        <w:t>（一）</w:t>
      </w:r>
      <w:r>
        <w:rPr>
          <w:rFonts w:hint="eastAsia" w:ascii="楷体_GB2312" w:eastAsia="楷体_GB2312"/>
        </w:rPr>
        <w:t>电力生产业、水泥制造业、石油化工生产业、热力生产和供应业、服务业、道路运输业、其他行业碳排放核算和报告要求</w:t>
      </w:r>
    </w:p>
    <w:p>
      <w:pPr>
        <w:ind w:firstLine="480" w:firstLineChars="200"/>
        <w:rPr>
          <w:rFonts w:ascii="Times New Roman" w:hAnsi="Times New Roman"/>
        </w:rPr>
      </w:pPr>
      <w:r>
        <w:rPr>
          <w:rFonts w:hint="eastAsia" w:ascii="Times New Roman" w:hAnsi="Times New Roman"/>
        </w:rPr>
        <w:t>上述七个行业纳入北京市年度碳排放单位名单的各重点碳排放单位和一般排放单位，需按照《二氧化碳排放核算和报告要求</w:t>
      </w:r>
      <w:r>
        <w:rPr>
          <w:rFonts w:ascii="Times New Roman" w:hAnsi="Times New Roman"/>
        </w:rPr>
        <w:t>电力生产业》（DB11/T 1781-2020）、《二氧化碳排放核算和报告要求水泥制造业》（DB11/T 1782-2020）、《二氧化碳排放核算和报告要求石油化工生产业》（DB11/T 1783-2020）、《二氧化碳排放核算和报告要求热力生产和供应业》（DB11/T 1784-2020）、《二氧化碳排放核算和报告要求服务业》（DB11/T 1785-2020）、《二氧化碳排放核算和报告要求道路运输业》（DB11/T 1786-2020）、《二氧化碳排放核算和报告要</w:t>
      </w:r>
      <w:r>
        <w:rPr>
          <w:rFonts w:hint="eastAsia" w:ascii="Times New Roman" w:hAnsi="Times New Roman"/>
        </w:rPr>
        <w:t>求</w:t>
      </w:r>
      <w:r>
        <w:rPr>
          <w:rFonts w:ascii="Times New Roman" w:hAnsi="Times New Roman"/>
        </w:rPr>
        <w:t>其他行业》（DB11/T 1787-2020）</w:t>
      </w:r>
      <w:r>
        <w:rPr>
          <w:rFonts w:hint="eastAsia" w:ascii="Times New Roman" w:hAnsi="Times New Roman"/>
        </w:rPr>
        <w:t>开展本单位二氧化碳核算和报告工作，其他具体补充要求如下：</w:t>
      </w:r>
    </w:p>
    <w:p>
      <w:pPr>
        <w:adjustRightInd w:val="0"/>
        <w:snapToGrid w:val="0"/>
        <w:spacing w:line="420" w:lineRule="exact"/>
        <w:ind w:firstLine="480" w:firstLineChars="0"/>
        <w:rPr>
          <w:rFonts w:ascii="Times New Roman" w:hAnsi="Times New Roman"/>
        </w:rPr>
      </w:pPr>
      <w:r>
        <w:rPr>
          <w:rFonts w:hint="eastAsia" w:ascii="Times New Roman" w:hAnsi="Times New Roman"/>
        </w:rPr>
        <w:t>（1）</w:t>
      </w:r>
      <w:r>
        <w:rPr>
          <w:rFonts w:hint="eastAsia"/>
        </w:rPr>
        <w:t>发电行业符合条件的发电设施按全国碳市场管理，二氧化碳排放量超过5</w:t>
      </w:r>
      <w:r>
        <w:t>000</w:t>
      </w:r>
      <w:r>
        <w:rPr>
          <w:rFonts w:hint="eastAsia"/>
        </w:rPr>
        <w:t>吨的纯供热设施（热水炉），继续在北京市碳市场开展数据报送、核查和履约等工作。纯供热设施应独立核算和报告，边界为热水炉及其附属设施，核算方法按照</w:t>
      </w:r>
      <w:r>
        <w:rPr>
          <w:rFonts w:ascii="Times New Roman" w:hAnsi="Times New Roman"/>
        </w:rPr>
        <w:t>《二氧化碳排放核算和报告要求热力生产和供应业》（DB11/T 1784-2020</w:t>
      </w:r>
      <w:r>
        <w:rPr>
          <w:rFonts w:hint="eastAsia" w:ascii="Times New Roman" w:hAnsi="Times New Roman"/>
        </w:rPr>
        <w:t>）执行。</w:t>
      </w:r>
    </w:p>
    <w:p>
      <w:pPr>
        <w:ind w:firstLine="480" w:firstLineChars="0"/>
      </w:pPr>
      <w:r>
        <w:rPr>
          <w:rFonts w:hint="eastAsia"/>
        </w:rPr>
        <w:t>（2）</w:t>
      </w:r>
      <w:r>
        <w:t>对于包含数据中心</w:t>
      </w:r>
      <w:r>
        <w:rPr>
          <w:rFonts w:hint="eastAsia"/>
        </w:rPr>
        <w:t>和其他主营业务</w:t>
      </w:r>
      <w:r>
        <w:t>的排放单位，</w:t>
      </w:r>
      <w:r>
        <w:rPr>
          <w:rFonts w:hint="eastAsia"/>
        </w:rPr>
        <w:t>其数据中心部分的核算和报告边界为数据中心和其附属设施。</w:t>
      </w:r>
      <w:r>
        <w:t>各单位</w:t>
      </w:r>
      <w:r>
        <w:rPr>
          <w:rFonts w:hint="eastAsia"/>
        </w:rPr>
        <w:t>应</w:t>
      </w:r>
      <w:r>
        <w:t>对数据中心及其附属设施能源消耗单独计量</w:t>
      </w:r>
      <w:r>
        <w:rPr>
          <w:rFonts w:hint="eastAsia"/>
        </w:rPr>
        <w:t>，碳排放量单独核算。如确无法区分数据中心和其他主营业务边界的，按照从严原则，将纳入数据中心核算。数据中心部分的核算</w:t>
      </w:r>
      <w:r>
        <w:t>应</w:t>
      </w:r>
      <w:r>
        <w:rPr>
          <w:rFonts w:hint="eastAsia"/>
        </w:rPr>
        <w:t>按照</w:t>
      </w:r>
      <w:r>
        <w:t>《二氧化碳排放核算和报告要求 服务业》（DB11/T 1785-2020）</w:t>
      </w:r>
      <w:r>
        <w:rPr>
          <w:rFonts w:hint="eastAsia"/>
        </w:rPr>
        <w:t>执行，其中</w:t>
      </w:r>
      <w:r>
        <w:t>补充</w:t>
      </w:r>
      <w:r>
        <w:rPr>
          <w:rFonts w:hint="eastAsia"/>
        </w:rPr>
        <w:t>数据</w:t>
      </w:r>
      <w:r>
        <w:t>表要求单独报告数据中心相关信息，包括但不限于明确数据中心类型、数据中心总功率、机架数量、IT设备耗电量、PUE值、冷却方式、余热回收利用和机房出租情况</w:t>
      </w:r>
      <w:r>
        <w:rPr>
          <w:rFonts w:hint="eastAsia"/>
        </w:rPr>
        <w:t>、</w:t>
      </w:r>
      <w:r>
        <w:t>备用电源使用情况等。</w:t>
      </w:r>
    </w:p>
    <w:p>
      <w:pPr>
        <w:ind w:firstLine="480" w:firstLineChars="0"/>
        <w:rPr>
          <w:rFonts w:ascii="Times New Roman" w:hAnsi="Times New Roman"/>
        </w:rPr>
      </w:pPr>
      <w:r>
        <w:rPr>
          <w:rFonts w:hint="eastAsia"/>
        </w:rPr>
        <w:t>（3）交通运输行业企业核算按照</w:t>
      </w:r>
      <w:r>
        <w:rPr>
          <w:rFonts w:ascii="Times New Roman" w:hAnsi="Times New Roman"/>
        </w:rPr>
        <w:t>《二氧化碳排放核算和报告要求道路运输业》（DB11/T 1786-2020）</w:t>
      </w:r>
      <w:r>
        <w:rPr>
          <w:rFonts w:hint="eastAsia" w:ascii="Times New Roman" w:hAnsi="Times New Roman"/>
        </w:rPr>
        <w:t>执行。为完善交通运输行业细分行业数据填报及核算，今年增加出租、货运及旅游补充数据表（详见附件1），请各单位按要求填报。</w:t>
      </w:r>
    </w:p>
    <w:p>
      <w:pPr>
        <w:ind w:firstLine="480" w:firstLineChars="0"/>
      </w:pPr>
      <w:r>
        <w:rPr>
          <w:rFonts w:hint="eastAsia"/>
        </w:rPr>
        <w:t>（</w:t>
      </w:r>
      <w:r>
        <w:t>4）</w:t>
      </w:r>
      <w:r>
        <w:rPr>
          <w:rFonts w:hint="eastAsia"/>
        </w:rPr>
        <w:t>对于</w:t>
      </w:r>
      <w:r>
        <w:rPr>
          <w:rFonts w:hint="eastAsia" w:ascii="Times New Roman" w:hAnsi="Times New Roman"/>
        </w:rPr>
        <w:t>本市行政辖区内移动</w:t>
      </w:r>
      <w:r>
        <w:rPr>
          <w:rFonts w:ascii="Times New Roman" w:hAnsi="Times New Roman"/>
        </w:rPr>
        <w:t>设施</w:t>
      </w:r>
      <w:r>
        <w:rPr>
          <w:rFonts w:hint="eastAsia" w:ascii="Times New Roman" w:hAnsi="Times New Roman"/>
        </w:rPr>
        <w:t>二氧化碳排放，交通</w:t>
      </w:r>
      <w:r>
        <w:rPr>
          <w:rFonts w:ascii="Times New Roman" w:hAnsi="Times New Roman"/>
        </w:rPr>
        <w:t>运输行业</w:t>
      </w:r>
      <w:r>
        <w:rPr>
          <w:rFonts w:hint="eastAsia" w:ascii="Times New Roman" w:hAnsi="Times New Roman"/>
        </w:rPr>
        <w:t>纳入核算及</w:t>
      </w:r>
      <w:r>
        <w:rPr>
          <w:rFonts w:ascii="Times New Roman" w:hAnsi="Times New Roman"/>
        </w:rPr>
        <w:t>履约边界</w:t>
      </w:r>
      <w:r>
        <w:rPr>
          <w:rFonts w:hint="eastAsia" w:ascii="Times New Roman" w:hAnsi="Times New Roman"/>
        </w:rPr>
        <w:t>；</w:t>
      </w:r>
      <w:r>
        <w:rPr>
          <w:rFonts w:ascii="Times New Roman" w:hAnsi="Times New Roman"/>
        </w:rPr>
        <w:t>其他各行业仅</w:t>
      </w:r>
      <w:r>
        <w:rPr>
          <w:rFonts w:hint="eastAsia" w:ascii="Times New Roman" w:hAnsi="Times New Roman"/>
        </w:rPr>
        <w:t>核算并</w:t>
      </w:r>
      <w:r>
        <w:rPr>
          <w:rFonts w:ascii="Times New Roman" w:hAnsi="Times New Roman"/>
        </w:rPr>
        <w:t>报告移动设施排放，不纳入履约</w:t>
      </w:r>
      <w:r>
        <w:rPr>
          <w:rFonts w:hint="eastAsia" w:ascii="Times New Roman" w:hAnsi="Times New Roman"/>
        </w:rPr>
        <w:t>边界</w:t>
      </w:r>
      <w:r>
        <w:rPr>
          <w:rFonts w:ascii="Times New Roman" w:hAnsi="Times New Roman"/>
        </w:rPr>
        <w:t>。</w:t>
      </w:r>
    </w:p>
    <w:p>
      <w:pPr>
        <w:ind w:firstLine="480" w:firstLineChars="0"/>
        <w:rPr>
          <w:rFonts w:hint="eastAsia"/>
        </w:rPr>
      </w:pPr>
      <w:r>
        <w:rPr>
          <w:rFonts w:hint="eastAsia"/>
        </w:rPr>
        <w:t>（5）重点碳排放单位外购热力产生的二氧化碳排放，需要报告有关数据，但不计入年度二氧化碳排放履约边界</w:t>
      </w:r>
    </w:p>
    <w:p>
      <w:pPr>
        <w:numPr>
          <w:ilvl w:val="0"/>
          <w:numId w:val="0"/>
        </w:numPr>
        <w:ind w:firstLine="480" w:firstLineChars="200"/>
        <w:rPr>
          <w:rFonts w:hint="eastAsia" w:eastAsia="宋体"/>
          <w:lang w:eastAsia="zh-CN"/>
        </w:rPr>
      </w:pPr>
      <w:r>
        <w:rPr>
          <w:rFonts w:hint="eastAsia"/>
          <w:lang w:eastAsia="zh-CN"/>
        </w:rPr>
        <w:t>（</w:t>
      </w:r>
      <w:r>
        <w:rPr>
          <w:rFonts w:hint="eastAsia"/>
          <w:lang w:val="en-US" w:eastAsia="zh-CN"/>
        </w:rPr>
        <w:t>6</w:t>
      </w:r>
      <w:r>
        <w:rPr>
          <w:rFonts w:hint="eastAsia"/>
          <w:lang w:eastAsia="zh-CN"/>
        </w:rPr>
        <w:t>）</w:t>
      </w:r>
      <w:r>
        <w:rPr>
          <w:rFonts w:hint="eastAsia"/>
          <w:lang w:val="en-US" w:eastAsia="zh-CN"/>
        </w:rPr>
        <w:t>重点碳排放单位在补充信息表中填写本单位绿电购买情况（如有），并提供交易、使用绿电凭证等相关材料。</w:t>
      </w:r>
    </w:p>
    <w:p>
      <w:pPr>
        <w:ind w:firstLine="480" w:firstLineChars="0"/>
        <w:rPr>
          <w:rFonts w:ascii="楷体" w:hAnsi="楷体" w:eastAsia="楷体" w:cs="楷体"/>
        </w:rPr>
      </w:pPr>
      <w:r>
        <w:rPr>
          <w:rFonts w:hint="eastAsia" w:ascii="楷体" w:hAnsi="楷体" w:eastAsia="楷体" w:cs="楷体"/>
        </w:rPr>
        <w:t>（二）民用航空运输企业碳排放核算和报告要求</w:t>
      </w:r>
    </w:p>
    <w:p>
      <w:pPr>
        <w:ind w:firstLine="477" w:firstLineChars="199"/>
        <w:rPr>
          <w:rFonts w:ascii="Times New Roman" w:hAnsi="Times New Roman"/>
        </w:rPr>
      </w:pPr>
      <w:r>
        <w:rPr>
          <w:rFonts w:hint="eastAsia" w:ascii="Times New Roman" w:hAnsi="Times New Roman"/>
        </w:rPr>
        <w:t>民用航空运输企业按照本文件中附件2《民用航空运输企业排放核算和报告要求》开展本单位二氧化碳核算和报告工作。</w:t>
      </w:r>
      <w:bookmarkStart w:id="16" w:name="_Toc36127049"/>
      <w:bookmarkStart w:id="17" w:name="_Toc34322719"/>
      <w:bookmarkStart w:id="18" w:name="_Toc334015704"/>
      <w:bookmarkStart w:id="19" w:name="_Toc349659694"/>
    </w:p>
    <w:p>
      <w:pPr>
        <w:ind w:firstLine="477" w:firstLineChars="199"/>
        <w:rPr>
          <w:rFonts w:ascii="Times New Roman" w:hAnsi="Times New Roman"/>
        </w:rPr>
      </w:pPr>
    </w:p>
    <w:p>
      <w:pPr>
        <w:ind w:firstLine="477" w:firstLineChars="199"/>
        <w:rPr>
          <w:rFonts w:hint="eastAsia" w:ascii="Times New Roman" w:hAnsi="Times New Roman"/>
        </w:rPr>
      </w:pPr>
      <w:r>
        <w:rPr>
          <w:rFonts w:hint="eastAsia" w:ascii="Times New Roman" w:hAnsi="Times New Roman"/>
        </w:rPr>
        <w:t>附件</w:t>
      </w:r>
      <w:r>
        <w:rPr>
          <w:rFonts w:ascii="Times New Roman" w:hAnsi="Times New Roman"/>
        </w:rPr>
        <w:t xml:space="preserve"> 1. </w:t>
      </w:r>
      <w:r>
        <w:rPr>
          <w:rFonts w:hint="eastAsia" w:ascii="Times New Roman" w:hAnsi="Times New Roman"/>
        </w:rPr>
        <w:t>出租车客运、公路旅客运输、道路货物运输企业补充数据表</w:t>
      </w:r>
    </w:p>
    <w:p>
      <w:pPr>
        <w:ind w:firstLine="477" w:firstLineChars="199"/>
        <w:rPr>
          <w:rFonts w:ascii="Times New Roman" w:hAnsi="Times New Roman"/>
          <w:highlight w:val="yellow"/>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8" w:header="851" w:footer="1587" w:gutter="0"/>
          <w:paperSrc/>
          <w:pgNumType w:fmt="decimal"/>
          <w:cols w:space="0" w:num="1"/>
          <w:titlePg/>
          <w:rtlGutter w:val="0"/>
          <w:docGrid w:linePitch="326" w:charSpace="0"/>
        </w:sectPr>
      </w:pPr>
      <w:r>
        <w:rPr>
          <w:rFonts w:ascii="Times New Roman" w:hAnsi="Times New Roman"/>
        </w:rPr>
        <w:t xml:space="preserve">     2. </w:t>
      </w:r>
      <w:r>
        <w:rPr>
          <w:rFonts w:hint="eastAsia" w:ascii="Times New Roman" w:hAnsi="Times New Roman"/>
        </w:rPr>
        <w:t>民用航空运输企业排放核算和报告要求</w:t>
      </w:r>
    </w:p>
    <w:p>
      <w:pPr>
        <w:ind w:left="0" w:leftChars="0" w:firstLine="0" w:firstLineChars="0"/>
        <w:rPr>
          <w:rFonts w:ascii="黑体" w:hAnsi="黑体" w:eastAsia="黑体"/>
          <w:bCs/>
          <w:sz w:val="32"/>
          <w:szCs w:val="28"/>
        </w:rPr>
      </w:pPr>
      <w:r>
        <w:rPr>
          <w:rFonts w:hint="eastAsia" w:ascii="黑体" w:hAnsi="黑体" w:eastAsia="黑体"/>
          <w:bCs/>
          <w:sz w:val="32"/>
          <w:szCs w:val="28"/>
        </w:rPr>
        <w:t>附件</w:t>
      </w:r>
      <w:r>
        <w:rPr>
          <w:rFonts w:ascii="黑体" w:hAnsi="黑体" w:eastAsia="黑体"/>
          <w:bCs/>
          <w:sz w:val="32"/>
          <w:szCs w:val="28"/>
        </w:rPr>
        <w:t>1</w:t>
      </w:r>
    </w:p>
    <w:p>
      <w:pPr>
        <w:ind w:firstLine="480" w:firstLineChars="150"/>
        <w:jc w:val="center"/>
        <w:rPr>
          <w:rFonts w:ascii="黑体" w:hAnsi="黑体" w:eastAsia="黑体"/>
          <w:bCs/>
          <w:sz w:val="32"/>
          <w:szCs w:val="28"/>
        </w:rPr>
      </w:pPr>
      <w:r>
        <w:rPr>
          <w:rFonts w:hint="eastAsia" w:ascii="黑体" w:hAnsi="黑体" w:eastAsia="黑体"/>
          <w:bCs/>
          <w:sz w:val="32"/>
          <w:szCs w:val="28"/>
        </w:rPr>
        <w:t>出租车客运企业补充数据表</w:t>
      </w:r>
    </w:p>
    <w:tbl>
      <w:tblPr>
        <w:tblStyle w:val="27"/>
        <w:tblW w:w="5026" w:type="pct"/>
        <w:tblInd w:w="-75" w:type="dxa"/>
        <w:tblLayout w:type="fixed"/>
        <w:tblCellMar>
          <w:top w:w="0" w:type="dxa"/>
          <w:left w:w="108" w:type="dxa"/>
          <w:bottom w:w="0" w:type="dxa"/>
          <w:right w:w="108" w:type="dxa"/>
        </w:tblCellMar>
      </w:tblPr>
      <w:tblGrid>
        <w:gridCol w:w="645"/>
        <w:gridCol w:w="1361"/>
        <w:gridCol w:w="1534"/>
        <w:gridCol w:w="885"/>
        <w:gridCol w:w="780"/>
        <w:gridCol w:w="570"/>
        <w:gridCol w:w="525"/>
        <w:gridCol w:w="765"/>
        <w:gridCol w:w="645"/>
        <w:gridCol w:w="797"/>
        <w:gridCol w:w="471"/>
        <w:gridCol w:w="650"/>
        <w:gridCol w:w="789"/>
        <w:gridCol w:w="718"/>
        <w:gridCol w:w="792"/>
        <w:gridCol w:w="778"/>
        <w:gridCol w:w="644"/>
        <w:gridCol w:w="900"/>
      </w:tblGrid>
      <w:tr>
        <w:tblPrEx>
          <w:tblCellMar>
            <w:top w:w="0" w:type="dxa"/>
            <w:left w:w="108" w:type="dxa"/>
            <w:bottom w:w="0" w:type="dxa"/>
            <w:right w:w="108" w:type="dxa"/>
          </w:tblCellMar>
        </w:tblPrEx>
        <w:trPr>
          <w:trHeight w:val="632" w:hRule="atLeast"/>
        </w:trPr>
        <w:tc>
          <w:tcPr>
            <w:tcW w:w="2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eastAsia="宋体" w:cs="等线"/>
                <w:color w:val="000000"/>
                <w:sz w:val="21"/>
                <w:szCs w:val="21"/>
                <w:highlight w:val="none"/>
              </w:rPr>
            </w:pPr>
            <w:r>
              <w:rPr>
                <w:rFonts w:hint="eastAsia" w:ascii="宋体" w:hAnsi="宋体" w:eastAsia="宋体" w:cs="等线"/>
                <w:color w:val="000000"/>
                <w:kern w:val="0"/>
                <w:sz w:val="21"/>
                <w:szCs w:val="21"/>
                <w:highlight w:val="none"/>
                <w:lang w:bidi="ar"/>
              </w:rPr>
              <w:t>序号</w:t>
            </w:r>
          </w:p>
        </w:tc>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eastAsia="宋体" w:cs="等线"/>
                <w:color w:val="000000"/>
                <w:sz w:val="21"/>
                <w:szCs w:val="21"/>
                <w:highlight w:val="none"/>
              </w:rPr>
            </w:pPr>
            <w:r>
              <w:rPr>
                <w:rFonts w:hint="eastAsia" w:ascii="宋体" w:hAnsi="宋体" w:eastAsia="宋体" w:cs="等线"/>
                <w:color w:val="000000"/>
                <w:kern w:val="0"/>
                <w:sz w:val="21"/>
                <w:szCs w:val="21"/>
                <w:highlight w:val="none"/>
                <w:lang w:bidi="ar"/>
              </w:rPr>
              <w:t>车辆型号</w:t>
            </w:r>
          </w:p>
        </w:tc>
        <w:tc>
          <w:tcPr>
            <w:tcW w:w="53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eastAsia="宋体" w:cs="等线"/>
                <w:color w:val="000000"/>
                <w:sz w:val="21"/>
                <w:szCs w:val="21"/>
                <w:highlight w:val="none"/>
              </w:rPr>
            </w:pPr>
            <w:r>
              <w:rPr>
                <w:rFonts w:hint="eastAsia" w:ascii="宋体" w:hAnsi="宋体" w:eastAsia="宋体" w:cs="等线"/>
                <w:color w:val="000000"/>
                <w:kern w:val="0"/>
                <w:sz w:val="21"/>
                <w:szCs w:val="21"/>
                <w:highlight w:val="none"/>
                <w:lang w:bidi="ar"/>
              </w:rPr>
              <w:t>车辆排放标准</w:t>
            </w:r>
          </w:p>
        </w:tc>
        <w:tc>
          <w:tcPr>
            <w:tcW w:w="31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eastAsia="宋体" w:cs="等线"/>
                <w:color w:val="000000"/>
                <w:sz w:val="21"/>
                <w:szCs w:val="21"/>
                <w:highlight w:val="none"/>
              </w:rPr>
            </w:pPr>
            <w:r>
              <w:rPr>
                <w:rFonts w:hint="eastAsia" w:ascii="宋体" w:hAnsi="宋体" w:eastAsia="宋体" w:cs="等线"/>
                <w:color w:val="000000"/>
                <w:kern w:val="0"/>
                <w:sz w:val="21"/>
                <w:szCs w:val="21"/>
                <w:highlight w:val="none"/>
                <w:lang w:bidi="ar"/>
              </w:rPr>
              <w:t>车辆数</w:t>
            </w:r>
          </w:p>
        </w:tc>
        <w:tc>
          <w:tcPr>
            <w:tcW w:w="27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eastAsia="宋体" w:cs="等线"/>
                <w:color w:val="000000"/>
                <w:sz w:val="21"/>
                <w:szCs w:val="21"/>
                <w:highlight w:val="none"/>
              </w:rPr>
            </w:pPr>
            <w:r>
              <w:rPr>
                <w:rFonts w:hint="eastAsia" w:ascii="宋体" w:hAnsi="宋体" w:eastAsia="宋体" w:cs="等线"/>
                <w:color w:val="000000"/>
                <w:kern w:val="0"/>
                <w:sz w:val="21"/>
                <w:szCs w:val="21"/>
                <w:highlight w:val="none"/>
                <w:lang w:bidi="ar"/>
              </w:rPr>
              <w:t>能源类型</w:t>
            </w:r>
          </w:p>
        </w:tc>
        <w:tc>
          <w:tcPr>
            <w:tcW w:w="115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eastAsia="宋体" w:cs="等线"/>
                <w:color w:val="000000"/>
                <w:sz w:val="21"/>
                <w:szCs w:val="21"/>
                <w:highlight w:val="none"/>
              </w:rPr>
            </w:pPr>
            <w:r>
              <w:rPr>
                <w:rFonts w:hint="eastAsia" w:ascii="宋体" w:hAnsi="宋体" w:eastAsia="宋体" w:cs="等线"/>
                <w:color w:val="000000"/>
                <w:kern w:val="0"/>
                <w:sz w:val="21"/>
                <w:szCs w:val="21"/>
                <w:highlight w:val="none"/>
                <w:lang w:bidi="ar"/>
              </w:rPr>
              <w:t>年度累计行驶里程</w:t>
            </w:r>
          </w:p>
        </w:tc>
        <w:tc>
          <w:tcPr>
            <w:tcW w:w="3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eastAsia="宋体" w:cs="等线"/>
                <w:color w:val="000000"/>
                <w:sz w:val="21"/>
                <w:szCs w:val="21"/>
                <w:highlight w:val="none"/>
              </w:rPr>
            </w:pPr>
            <w:r>
              <w:rPr>
                <w:rFonts w:hint="eastAsia" w:ascii="宋体" w:hAnsi="宋体" w:eastAsia="宋体" w:cs="等线"/>
                <w:color w:val="000000"/>
                <w:kern w:val="0"/>
                <w:sz w:val="21"/>
                <w:szCs w:val="21"/>
                <w:highlight w:val="none"/>
                <w:lang w:bidi="ar"/>
              </w:rPr>
              <w:t>百公里单耗缺省值</w:t>
            </w:r>
          </w:p>
        </w:tc>
        <w:tc>
          <w:tcPr>
            <w:tcW w:w="1305"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eastAsia="宋体" w:cs="等线"/>
                <w:color w:val="000000"/>
                <w:sz w:val="21"/>
                <w:szCs w:val="21"/>
                <w:highlight w:val="none"/>
              </w:rPr>
            </w:pPr>
            <w:r>
              <w:rPr>
                <w:rFonts w:hint="eastAsia" w:ascii="宋体" w:hAnsi="宋体" w:eastAsia="宋体" w:cs="等线"/>
                <w:color w:val="000000"/>
                <w:kern w:val="0"/>
                <w:sz w:val="21"/>
                <w:szCs w:val="21"/>
                <w:highlight w:val="none"/>
                <w:lang w:bidi="ar"/>
              </w:rPr>
              <w:t>能源消耗量</w:t>
            </w:r>
          </w:p>
        </w:tc>
        <w:tc>
          <w:tcPr>
            <w:tcW w:w="3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cs="宋体"/>
                <w:color w:val="000000"/>
                <w:sz w:val="21"/>
                <w:szCs w:val="21"/>
                <w:highlight w:val="none"/>
              </w:rPr>
            </w:pPr>
            <w:r>
              <w:rPr>
                <w:rFonts w:hint="eastAsia" w:cs="宋体"/>
                <w:color w:val="000000"/>
                <w:kern w:val="0"/>
                <w:sz w:val="21"/>
                <w:szCs w:val="21"/>
                <w:highlight w:val="none"/>
                <w:lang w:bidi="ar"/>
              </w:rPr>
              <w:t>累计碳排放量（吨）</w:t>
            </w:r>
          </w:p>
        </w:tc>
      </w:tr>
      <w:tr>
        <w:tblPrEx>
          <w:tblCellMar>
            <w:top w:w="0" w:type="dxa"/>
            <w:left w:w="108" w:type="dxa"/>
            <w:bottom w:w="0" w:type="dxa"/>
            <w:right w:w="108" w:type="dxa"/>
          </w:tblCellMar>
        </w:tblPrEx>
        <w:trPr>
          <w:trHeight w:val="1129" w:hRule="atLeast"/>
        </w:trPr>
        <w:tc>
          <w:tcPr>
            <w:tcW w:w="2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31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eastAsia="宋体" w:cs="等线"/>
                <w:color w:val="000000"/>
                <w:sz w:val="21"/>
                <w:szCs w:val="21"/>
                <w:highlight w:val="none"/>
              </w:rPr>
            </w:pPr>
            <w:r>
              <w:rPr>
                <w:rFonts w:hint="eastAsia" w:ascii="宋体" w:hAnsi="宋体" w:eastAsia="宋体" w:cs="等线"/>
                <w:color w:val="000000"/>
                <w:kern w:val="0"/>
                <w:sz w:val="21"/>
                <w:szCs w:val="21"/>
                <w:highlight w:val="none"/>
                <w:lang w:bidi="ar"/>
              </w:rPr>
              <w:t>累计里程</w:t>
            </w: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eastAsia="宋体" w:cs="等线"/>
                <w:color w:val="000000"/>
                <w:sz w:val="21"/>
                <w:szCs w:val="21"/>
                <w:highlight w:val="none"/>
              </w:rPr>
            </w:pPr>
            <w:r>
              <w:rPr>
                <w:rFonts w:hint="eastAsia" w:ascii="宋体" w:hAnsi="宋体" w:eastAsia="宋体" w:cs="等线"/>
                <w:color w:val="000000"/>
                <w:kern w:val="0"/>
                <w:sz w:val="21"/>
                <w:szCs w:val="21"/>
                <w:highlight w:val="none"/>
                <w:lang w:bidi="ar"/>
              </w:rPr>
              <w:t>京内里程</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eastAsia="宋体" w:cs="等线"/>
                <w:color w:val="000000"/>
                <w:sz w:val="21"/>
                <w:szCs w:val="21"/>
                <w:highlight w:val="none"/>
              </w:rPr>
            </w:pPr>
            <w:r>
              <w:rPr>
                <w:rFonts w:hint="eastAsia" w:ascii="宋体" w:hAnsi="宋体" w:eastAsia="宋体" w:cs="等线"/>
                <w:color w:val="000000"/>
                <w:kern w:val="0"/>
                <w:sz w:val="21"/>
                <w:szCs w:val="21"/>
                <w:highlight w:val="none"/>
                <w:lang w:bidi="ar"/>
              </w:rPr>
              <w:t>天津、河北里程</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eastAsia="宋体" w:cs="等线"/>
                <w:color w:val="000000"/>
                <w:sz w:val="21"/>
                <w:szCs w:val="21"/>
                <w:highlight w:val="none"/>
              </w:rPr>
            </w:pPr>
            <w:r>
              <w:rPr>
                <w:rFonts w:hint="eastAsia" w:ascii="宋体" w:hAnsi="宋体" w:eastAsia="宋体" w:cs="等线"/>
                <w:color w:val="000000"/>
                <w:kern w:val="0"/>
                <w:sz w:val="21"/>
                <w:szCs w:val="21"/>
                <w:highlight w:val="none"/>
                <w:lang w:bidi="ar"/>
              </w:rPr>
              <w:t>京津冀外里程</w:t>
            </w:r>
          </w:p>
        </w:tc>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eastAsia="宋体" w:cs="等线"/>
                <w:color w:val="000000"/>
                <w:sz w:val="21"/>
                <w:szCs w:val="21"/>
                <w:highlight w:val="none"/>
              </w:rPr>
            </w:pPr>
            <w:r>
              <w:rPr>
                <w:rFonts w:hint="eastAsia" w:ascii="宋体" w:hAnsi="宋体" w:eastAsia="宋体" w:cs="等线"/>
                <w:color w:val="000000"/>
                <w:kern w:val="0"/>
                <w:sz w:val="21"/>
                <w:szCs w:val="21"/>
                <w:highlight w:val="none"/>
                <w:lang w:bidi="ar"/>
              </w:rPr>
              <w:t>数据获取方式</w:t>
            </w:r>
          </w:p>
        </w:tc>
        <w:tc>
          <w:tcPr>
            <w:tcW w:w="1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eastAsia="宋体" w:cs="等线"/>
                <w:color w:val="000000"/>
                <w:sz w:val="21"/>
                <w:szCs w:val="21"/>
                <w:highlight w:val="none"/>
              </w:rPr>
            </w:pPr>
            <w:r>
              <w:rPr>
                <w:rFonts w:hint="eastAsia" w:ascii="宋体" w:hAnsi="宋体" w:eastAsia="宋体" w:cs="等线"/>
                <w:color w:val="000000"/>
                <w:kern w:val="0"/>
                <w:sz w:val="21"/>
                <w:szCs w:val="21"/>
                <w:highlight w:val="none"/>
                <w:lang w:bidi="ar"/>
              </w:rPr>
              <w:t>数据结果</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eastAsia="宋体" w:cs="等线"/>
                <w:color w:val="000000"/>
                <w:sz w:val="21"/>
                <w:szCs w:val="21"/>
                <w:highlight w:val="none"/>
              </w:rPr>
            </w:pPr>
            <w:r>
              <w:rPr>
                <w:rFonts w:hint="eastAsia" w:ascii="宋体" w:hAnsi="宋体" w:eastAsia="宋体" w:cs="等线"/>
                <w:color w:val="000000"/>
                <w:kern w:val="0"/>
                <w:sz w:val="21"/>
                <w:szCs w:val="21"/>
                <w:highlight w:val="none"/>
                <w:lang w:bidi="ar"/>
              </w:rPr>
              <w:t>数据获取方式</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eastAsia="宋体" w:cs="等线"/>
                <w:color w:val="000000"/>
                <w:sz w:val="21"/>
                <w:szCs w:val="21"/>
                <w:highlight w:val="none"/>
              </w:rPr>
            </w:pPr>
            <w:r>
              <w:rPr>
                <w:rFonts w:hint="eastAsia" w:ascii="宋体" w:hAnsi="宋体" w:eastAsia="宋体" w:cs="等线"/>
                <w:color w:val="000000"/>
                <w:kern w:val="0"/>
                <w:sz w:val="21"/>
                <w:szCs w:val="21"/>
                <w:highlight w:val="none"/>
                <w:lang w:bidi="ar"/>
              </w:rPr>
              <w:t>汽油（升）</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eastAsia="宋体" w:cs="等线"/>
                <w:color w:val="000000"/>
                <w:sz w:val="21"/>
                <w:szCs w:val="21"/>
                <w:highlight w:val="none"/>
              </w:rPr>
            </w:pPr>
            <w:r>
              <w:rPr>
                <w:rFonts w:hint="eastAsia" w:ascii="宋体" w:hAnsi="宋体" w:eastAsia="宋体" w:cs="等线"/>
                <w:color w:val="000000"/>
                <w:kern w:val="0"/>
                <w:sz w:val="21"/>
                <w:szCs w:val="21"/>
                <w:highlight w:val="none"/>
                <w:lang w:bidi="ar"/>
              </w:rPr>
              <w:t>电（千瓦时）</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eastAsia="宋体" w:cs="等线"/>
                <w:color w:val="000000"/>
                <w:sz w:val="21"/>
                <w:szCs w:val="21"/>
                <w:highlight w:val="none"/>
              </w:rPr>
            </w:pPr>
            <w:r>
              <w:rPr>
                <w:rFonts w:hint="eastAsia" w:ascii="宋体" w:hAnsi="宋体" w:eastAsia="宋体" w:cs="等线"/>
                <w:color w:val="000000"/>
                <w:kern w:val="0"/>
                <w:sz w:val="21"/>
                <w:szCs w:val="21"/>
                <w:highlight w:val="none"/>
                <w:lang w:bidi="ar"/>
              </w:rPr>
              <w:t>天然气（立方米）</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eastAsia="宋体" w:cs="等线"/>
                <w:color w:val="000000"/>
                <w:sz w:val="21"/>
                <w:szCs w:val="21"/>
                <w:highlight w:val="none"/>
              </w:rPr>
            </w:pPr>
            <w:r>
              <w:rPr>
                <w:rFonts w:hint="eastAsia" w:ascii="宋体" w:hAnsi="宋体" w:eastAsia="宋体" w:cs="等线"/>
                <w:color w:val="000000"/>
                <w:kern w:val="0"/>
                <w:sz w:val="21"/>
                <w:szCs w:val="21"/>
                <w:highlight w:val="none"/>
                <w:lang w:bidi="ar"/>
              </w:rPr>
              <w:t>柴油（升）</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cs="宋体"/>
                <w:color w:val="000000"/>
                <w:sz w:val="21"/>
                <w:szCs w:val="21"/>
                <w:highlight w:val="none"/>
              </w:rPr>
            </w:pPr>
            <w:r>
              <w:rPr>
                <w:rFonts w:hint="eastAsia" w:cs="宋体"/>
                <w:color w:val="000000"/>
                <w:kern w:val="0"/>
                <w:sz w:val="21"/>
                <w:szCs w:val="21"/>
                <w:highlight w:val="none"/>
                <w:lang w:bidi="ar"/>
              </w:rPr>
              <w:t>数据获取方式</w:t>
            </w: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cs="宋体"/>
                <w:color w:val="000000"/>
                <w:sz w:val="21"/>
                <w:szCs w:val="21"/>
                <w:highlight w:val="none"/>
              </w:rPr>
            </w:pPr>
          </w:p>
        </w:tc>
      </w:tr>
      <w:tr>
        <w:tblPrEx>
          <w:tblCellMar>
            <w:top w:w="0" w:type="dxa"/>
            <w:left w:w="108" w:type="dxa"/>
            <w:bottom w:w="0" w:type="dxa"/>
            <w:right w:w="108" w:type="dxa"/>
          </w:tblCellMar>
        </w:tblPrEx>
        <w:trPr>
          <w:trHeight w:val="663" w:hRule="atLeast"/>
        </w:trPr>
        <w:tc>
          <w:tcPr>
            <w:tcW w:w="2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eastAsia="宋体" w:cs="等线"/>
                <w:color w:val="000000"/>
                <w:sz w:val="21"/>
                <w:szCs w:val="21"/>
                <w:highlight w:val="none"/>
              </w:rPr>
            </w:pPr>
            <w:r>
              <w:rPr>
                <w:rFonts w:hint="eastAsia" w:ascii="宋体" w:hAnsi="宋体" w:eastAsia="宋体" w:cs="等线"/>
                <w:color w:val="000000"/>
                <w:kern w:val="0"/>
                <w:sz w:val="21"/>
                <w:szCs w:val="21"/>
                <w:highlight w:val="none"/>
                <w:lang w:bidi="ar"/>
              </w:rPr>
              <w:t>1</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cs="宋体"/>
                <w:color w:val="000000"/>
                <w:sz w:val="21"/>
                <w:szCs w:val="21"/>
                <w:highlight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cs="宋体"/>
                <w:color w:val="000000"/>
                <w:sz w:val="21"/>
                <w:szCs w:val="21"/>
                <w:highlight w:val="none"/>
              </w:rPr>
            </w:pPr>
          </w:p>
        </w:tc>
      </w:tr>
      <w:tr>
        <w:tblPrEx>
          <w:tblCellMar>
            <w:top w:w="0" w:type="dxa"/>
            <w:left w:w="108" w:type="dxa"/>
            <w:bottom w:w="0" w:type="dxa"/>
            <w:right w:w="108" w:type="dxa"/>
          </w:tblCellMar>
        </w:tblPrEx>
        <w:trPr>
          <w:trHeight w:val="663" w:hRule="atLeast"/>
        </w:trPr>
        <w:tc>
          <w:tcPr>
            <w:tcW w:w="2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eastAsia="宋体" w:cs="等线"/>
                <w:color w:val="000000"/>
                <w:sz w:val="21"/>
                <w:szCs w:val="21"/>
                <w:highlight w:val="none"/>
              </w:rPr>
            </w:pPr>
            <w:r>
              <w:rPr>
                <w:rFonts w:hint="eastAsia" w:ascii="宋体" w:hAnsi="宋体" w:eastAsia="宋体" w:cs="等线"/>
                <w:color w:val="000000"/>
                <w:kern w:val="0"/>
                <w:sz w:val="21"/>
                <w:szCs w:val="21"/>
                <w:highlight w:val="none"/>
                <w:lang w:bidi="ar"/>
              </w:rPr>
              <w:t>2</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highlight w:val="none"/>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cs="宋体"/>
                <w:color w:val="000000"/>
                <w:sz w:val="21"/>
                <w:szCs w:val="21"/>
                <w:highlight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cs="宋体"/>
                <w:color w:val="000000"/>
                <w:sz w:val="21"/>
                <w:szCs w:val="21"/>
                <w:highlight w:val="none"/>
              </w:rPr>
            </w:pPr>
          </w:p>
        </w:tc>
      </w:tr>
      <w:tr>
        <w:tblPrEx>
          <w:tblCellMar>
            <w:top w:w="0" w:type="dxa"/>
            <w:left w:w="108" w:type="dxa"/>
            <w:bottom w:w="0" w:type="dxa"/>
            <w:right w:w="108" w:type="dxa"/>
          </w:tblCellMar>
        </w:tblPrEx>
        <w:trPr>
          <w:trHeight w:val="663" w:hRule="atLeast"/>
        </w:trPr>
        <w:tc>
          <w:tcPr>
            <w:tcW w:w="2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eastAsia="宋体" w:cs="等线"/>
                <w:color w:val="000000"/>
                <w:sz w:val="21"/>
                <w:szCs w:val="21"/>
              </w:rPr>
            </w:pPr>
            <w:r>
              <w:rPr>
                <w:rFonts w:hint="eastAsia" w:ascii="宋体" w:hAnsi="宋体" w:eastAsia="宋体" w:cs="等线"/>
                <w:color w:val="000000"/>
                <w:kern w:val="0"/>
                <w:sz w:val="21"/>
                <w:szCs w:val="21"/>
                <w:lang w:bidi="ar"/>
              </w:rPr>
              <w:t>3</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cs="宋体"/>
                <w:color w:val="000000"/>
                <w:sz w:val="21"/>
                <w:szCs w:val="21"/>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cs="宋体"/>
                <w:color w:val="000000"/>
                <w:sz w:val="21"/>
                <w:szCs w:val="21"/>
              </w:rPr>
            </w:pPr>
          </w:p>
        </w:tc>
      </w:tr>
      <w:tr>
        <w:tblPrEx>
          <w:tblCellMar>
            <w:top w:w="0" w:type="dxa"/>
            <w:left w:w="108" w:type="dxa"/>
            <w:bottom w:w="0" w:type="dxa"/>
            <w:right w:w="108" w:type="dxa"/>
          </w:tblCellMar>
        </w:tblPrEx>
        <w:trPr>
          <w:trHeight w:val="663" w:hRule="atLeast"/>
        </w:trPr>
        <w:tc>
          <w:tcPr>
            <w:tcW w:w="2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宋体" w:hAnsi="宋体" w:eastAsia="宋体" w:cs="等线"/>
                <w:color w:val="000000"/>
                <w:sz w:val="21"/>
                <w:szCs w:val="21"/>
              </w:rPr>
            </w:pPr>
            <w:r>
              <w:rPr>
                <w:rFonts w:hint="eastAsia" w:ascii="宋体" w:hAnsi="宋体" w:eastAsia="宋体" w:cs="等线"/>
                <w:color w:val="000000"/>
                <w:kern w:val="0"/>
                <w:sz w:val="21"/>
                <w:szCs w:val="21"/>
                <w:lang w:bidi="ar"/>
              </w:rPr>
              <w:t>合计</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1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宋体" w:hAnsi="宋体" w:eastAsia="宋体" w:cs="等线"/>
                <w:color w:val="000000"/>
                <w:sz w:val="21"/>
                <w:szCs w:val="21"/>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cs="宋体"/>
                <w:color w:val="000000"/>
                <w:sz w:val="21"/>
                <w:szCs w:val="21"/>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cs="宋体"/>
                <w:color w:val="000000"/>
                <w:sz w:val="21"/>
                <w:szCs w:val="21"/>
              </w:rPr>
            </w:pPr>
          </w:p>
        </w:tc>
      </w:tr>
    </w:tbl>
    <w:p>
      <w:pPr>
        <w:ind w:firstLine="0" w:firstLineChars="0"/>
        <w:rPr>
          <w:rFonts w:asciiTheme="minorEastAsia" w:hAnsiTheme="minorEastAsia" w:eastAsiaTheme="minorEastAsia"/>
          <w:bCs/>
          <w:sz w:val="21"/>
          <w:szCs w:val="21"/>
        </w:rPr>
      </w:pPr>
      <w:r>
        <w:rPr>
          <w:rFonts w:hint="eastAsia" w:asciiTheme="minorEastAsia" w:hAnsiTheme="minorEastAsia" w:eastAsiaTheme="minorEastAsia"/>
          <w:bCs/>
          <w:sz w:val="21"/>
          <w:szCs w:val="21"/>
        </w:rPr>
        <w:t>填报说明：</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asciiTheme="minorEastAsia" w:hAnsiTheme="minorEastAsia" w:eastAsiaTheme="minorEastAsia"/>
          <w:b w:val="0"/>
          <w:bCs/>
          <w:sz w:val="21"/>
          <w:szCs w:val="21"/>
        </w:rPr>
        <w:t xml:space="preserve">1.车辆型号：按照车辆的实际品牌及车辆型号填写，如北汽新能源EU500; </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asciiTheme="minorEastAsia" w:hAnsiTheme="minorEastAsia" w:eastAsiaTheme="minorEastAsia"/>
          <w:b w:val="0"/>
          <w:bCs/>
          <w:sz w:val="21"/>
          <w:szCs w:val="21"/>
        </w:rPr>
        <w:t>2.车辆排放标准：按照车辆实际的排放标准进行填写，，例如国Ⅵ、国Ⅴ；</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asciiTheme="minorEastAsia" w:hAnsiTheme="minorEastAsia" w:eastAsiaTheme="minorEastAsia"/>
          <w:b w:val="0"/>
          <w:bCs/>
          <w:sz w:val="21"/>
          <w:szCs w:val="21"/>
        </w:rPr>
        <w:t>3.车辆数量：填写登记注册在企业名下每种车型及排放标准的车辆保有量;</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asciiTheme="minorEastAsia" w:hAnsiTheme="minorEastAsia" w:eastAsiaTheme="minorEastAsia"/>
          <w:b w:val="0"/>
          <w:bCs/>
          <w:sz w:val="21"/>
          <w:szCs w:val="21"/>
        </w:rPr>
        <w:t>4.安装SCR车辆数：填写登记注册在企业名下车辆中安装了SCR设备的车辆保有量</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asciiTheme="minorEastAsia" w:hAnsiTheme="minorEastAsia" w:eastAsiaTheme="minorEastAsia"/>
          <w:b w:val="0"/>
          <w:bCs/>
          <w:sz w:val="21"/>
          <w:szCs w:val="21"/>
        </w:rPr>
        <w:t>5.能源类型：填写每种车型及排放标准的车辆对应燃料种类，如柴油、汽油、天然气、电力;</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asciiTheme="minorEastAsia" w:hAnsiTheme="minorEastAsia" w:eastAsiaTheme="minorEastAsia"/>
          <w:b w:val="0"/>
          <w:bCs/>
          <w:sz w:val="21"/>
          <w:szCs w:val="21"/>
        </w:rPr>
        <w:t>6.年度累计行驶里程（公里）：</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hint="eastAsia" w:asciiTheme="minorEastAsia" w:hAnsiTheme="minorEastAsia" w:eastAsiaTheme="minorEastAsia"/>
          <w:b w:val="0"/>
          <w:bCs/>
          <w:sz w:val="21"/>
          <w:szCs w:val="21"/>
        </w:rPr>
        <w:t>（</w:t>
      </w:r>
      <w:r>
        <w:rPr>
          <w:rFonts w:asciiTheme="minorEastAsia" w:hAnsiTheme="minorEastAsia" w:eastAsiaTheme="minorEastAsia"/>
          <w:b w:val="0"/>
          <w:bCs/>
          <w:sz w:val="21"/>
          <w:szCs w:val="21"/>
        </w:rPr>
        <w:t>1）累计里程：企业旗下车辆单车在全国范围内运行的全部里程合计；</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hint="eastAsia" w:asciiTheme="minorEastAsia" w:hAnsiTheme="minorEastAsia" w:eastAsiaTheme="minorEastAsia"/>
          <w:b w:val="0"/>
          <w:bCs/>
          <w:sz w:val="21"/>
          <w:szCs w:val="21"/>
        </w:rPr>
        <w:t>（</w:t>
      </w:r>
      <w:r>
        <w:rPr>
          <w:rFonts w:asciiTheme="minorEastAsia" w:hAnsiTheme="minorEastAsia" w:eastAsiaTheme="minorEastAsia"/>
          <w:b w:val="0"/>
          <w:bCs/>
          <w:sz w:val="21"/>
          <w:szCs w:val="21"/>
        </w:rPr>
        <w:t>2）京内里程：企业旗下车辆单车在北京市域范围内运行的全部里程合计；</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hint="eastAsia" w:asciiTheme="minorEastAsia" w:hAnsiTheme="minorEastAsia" w:eastAsiaTheme="minorEastAsia"/>
          <w:b w:val="0"/>
          <w:bCs/>
          <w:sz w:val="21"/>
          <w:szCs w:val="21"/>
        </w:rPr>
        <w:t>（</w:t>
      </w:r>
      <w:r>
        <w:rPr>
          <w:rFonts w:asciiTheme="minorEastAsia" w:hAnsiTheme="minorEastAsia" w:eastAsiaTheme="minorEastAsia"/>
          <w:b w:val="0"/>
          <w:bCs/>
          <w:sz w:val="21"/>
          <w:szCs w:val="21"/>
        </w:rPr>
        <w:t>3）天津、河北里程：企业旗下车辆单车在天津市及河北省域范围内运行的全部里程合计；</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hint="eastAsia" w:asciiTheme="minorEastAsia" w:hAnsiTheme="minorEastAsia" w:eastAsiaTheme="minorEastAsia"/>
          <w:b w:val="0"/>
          <w:bCs/>
          <w:sz w:val="21"/>
          <w:szCs w:val="21"/>
        </w:rPr>
        <w:t>（</w:t>
      </w:r>
      <w:r>
        <w:rPr>
          <w:rFonts w:asciiTheme="minorEastAsia" w:hAnsiTheme="minorEastAsia" w:eastAsiaTheme="minorEastAsia"/>
          <w:b w:val="0"/>
          <w:bCs/>
          <w:sz w:val="21"/>
          <w:szCs w:val="21"/>
        </w:rPr>
        <w:t>4）京津冀外里程：企业旗下车辆单车在全国除北京市、天津市、河北省域范围外运行的全部里程合计；</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hint="eastAsia" w:asciiTheme="minorEastAsia" w:hAnsiTheme="minorEastAsia" w:eastAsiaTheme="minorEastAsia"/>
          <w:b w:val="0"/>
          <w:bCs/>
          <w:sz w:val="21"/>
          <w:szCs w:val="21"/>
        </w:rPr>
        <w:t>（</w:t>
      </w:r>
      <w:r>
        <w:rPr>
          <w:rFonts w:asciiTheme="minorEastAsia" w:hAnsiTheme="minorEastAsia" w:eastAsiaTheme="minorEastAsia"/>
          <w:b w:val="0"/>
          <w:bCs/>
          <w:sz w:val="21"/>
          <w:szCs w:val="21"/>
        </w:rPr>
        <w:t>5）数据获取方式：</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hint="eastAsia" w:asciiTheme="minorEastAsia" w:hAnsiTheme="minorEastAsia" w:eastAsiaTheme="minorEastAsia"/>
          <w:b w:val="0"/>
          <w:bCs/>
          <w:sz w:val="21"/>
          <w:szCs w:val="21"/>
        </w:rPr>
        <w:t>①企业通过自有单车级大数据监控平台获取得到的单车级车辆行驶里程；</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hint="eastAsia" w:asciiTheme="minorEastAsia" w:hAnsiTheme="minorEastAsia" w:eastAsiaTheme="minorEastAsia"/>
          <w:b w:val="0"/>
          <w:bCs/>
          <w:sz w:val="21"/>
          <w:szCs w:val="21"/>
        </w:rPr>
        <w:t>②企业通过对旗下车辆仪表盘进行抄表统计获得的单车级车辆行驶里程；</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asciiTheme="minorEastAsia" w:hAnsiTheme="minorEastAsia" w:eastAsiaTheme="minorEastAsia"/>
          <w:b w:val="0"/>
          <w:bCs/>
          <w:sz w:val="21"/>
          <w:szCs w:val="21"/>
        </w:rPr>
        <w:t>7.客运量：填报公路运输企业旗下所有车辆在每年度内实际运送的旅客人数（人次）;</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asciiTheme="minorEastAsia" w:hAnsiTheme="minorEastAsia" w:eastAsiaTheme="minorEastAsia"/>
          <w:b w:val="0"/>
          <w:bCs/>
          <w:sz w:val="21"/>
          <w:szCs w:val="21"/>
        </w:rPr>
        <w:t>8.客运周转量：填报公路运输企业旗下所有车辆在每年度内实际运送的旅客运输总量指标（人公里），基于客运量及平均运距乘积得到；</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asciiTheme="minorEastAsia" w:hAnsiTheme="minorEastAsia" w:eastAsiaTheme="minorEastAsia"/>
          <w:b w:val="0"/>
          <w:bCs/>
          <w:sz w:val="21"/>
          <w:szCs w:val="21"/>
        </w:rPr>
        <w:t>9.百公里单耗：</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hint="eastAsia" w:asciiTheme="minorEastAsia" w:hAnsiTheme="minorEastAsia" w:eastAsiaTheme="minorEastAsia"/>
          <w:b w:val="0"/>
          <w:bCs/>
          <w:sz w:val="21"/>
          <w:szCs w:val="21"/>
        </w:rPr>
        <w:t>（</w:t>
      </w:r>
      <w:r>
        <w:rPr>
          <w:rFonts w:asciiTheme="minorEastAsia" w:hAnsiTheme="minorEastAsia" w:eastAsiaTheme="minorEastAsia"/>
          <w:b w:val="0"/>
          <w:bCs/>
          <w:sz w:val="21"/>
          <w:szCs w:val="21"/>
        </w:rPr>
        <w:t>1）百公里单耗数据结果：填报企业企业车辆（单车级）在运行单位距离（通常标定为100公里）时产生的能源消耗量，单位主要是：kg/百公里、立方米/百公里、千瓦时/百公里（企业如统计汽油、柴油车辆百公里单耗时统计单位为升时，可按照汽油0.73kg/L,柴油0.86kg/L进行单位换算）</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hint="eastAsia" w:asciiTheme="minorEastAsia" w:hAnsiTheme="minorEastAsia" w:eastAsiaTheme="minorEastAsia"/>
          <w:b w:val="0"/>
          <w:bCs/>
          <w:sz w:val="21"/>
          <w:szCs w:val="21"/>
        </w:rPr>
        <w:t>（</w:t>
      </w:r>
      <w:r>
        <w:rPr>
          <w:rFonts w:asciiTheme="minorEastAsia" w:hAnsiTheme="minorEastAsia" w:eastAsiaTheme="minorEastAsia"/>
          <w:b w:val="0"/>
          <w:bCs/>
          <w:sz w:val="21"/>
          <w:szCs w:val="21"/>
        </w:rPr>
        <w:t>2）数据获取方式：</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hint="eastAsia" w:asciiTheme="minorEastAsia" w:hAnsiTheme="minorEastAsia" w:eastAsiaTheme="minorEastAsia"/>
          <w:b w:val="0"/>
          <w:bCs/>
          <w:sz w:val="21"/>
          <w:szCs w:val="21"/>
        </w:rPr>
        <w:t>①企业通过自有单车级大数据监控平台获取得到的单车级车辆百公里能耗；</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hint="eastAsia" w:asciiTheme="minorEastAsia" w:hAnsiTheme="minorEastAsia" w:eastAsiaTheme="minorEastAsia"/>
          <w:b w:val="0"/>
          <w:bCs/>
          <w:sz w:val="21"/>
          <w:szCs w:val="21"/>
        </w:rPr>
        <w:t>②企业通过参考</w:t>
      </w:r>
      <w:r>
        <w:rPr>
          <w:rFonts w:hint="eastAsia" w:asciiTheme="minorEastAsia" w:hAnsiTheme="minorEastAsia" w:eastAsiaTheme="minorEastAsia"/>
          <w:bCs/>
          <w:sz w:val="21"/>
          <w:szCs w:val="21"/>
        </w:rPr>
        <w:t>主管部门</w:t>
      </w:r>
      <w:r>
        <w:rPr>
          <w:rFonts w:hint="eastAsia" w:asciiTheme="minorEastAsia" w:hAnsiTheme="minorEastAsia" w:eastAsiaTheme="minorEastAsia"/>
          <w:b w:val="0"/>
          <w:bCs/>
          <w:sz w:val="21"/>
          <w:szCs w:val="21"/>
        </w:rPr>
        <w:t>提供的单车级车辆百公里能耗推荐值；</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asciiTheme="minorEastAsia" w:hAnsiTheme="minorEastAsia" w:eastAsiaTheme="minorEastAsia"/>
          <w:b w:val="0"/>
          <w:bCs/>
          <w:sz w:val="21"/>
          <w:szCs w:val="21"/>
        </w:rPr>
        <w:t>10.能源消耗量：</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hint="eastAsia" w:asciiTheme="minorEastAsia" w:hAnsiTheme="minorEastAsia" w:eastAsiaTheme="minorEastAsia"/>
          <w:b w:val="0"/>
          <w:bCs/>
          <w:sz w:val="21"/>
          <w:szCs w:val="21"/>
        </w:rPr>
        <w:t>（</w:t>
      </w:r>
      <w:r>
        <w:rPr>
          <w:rFonts w:asciiTheme="minorEastAsia" w:hAnsiTheme="minorEastAsia" w:eastAsiaTheme="minorEastAsia"/>
          <w:b w:val="0"/>
          <w:bCs/>
          <w:sz w:val="21"/>
          <w:szCs w:val="21"/>
        </w:rPr>
        <w:t>1）能源消耗量：填报企业旗下车辆因运行而产生的能源消耗总量，按照车辆对应的能源类型，将实际的能源消耗量填写到对应的格内，单位主要是：吨、立方米、千瓦时（企业如统计汽油、柴油时统计单位为升时，可按照汽油0.73kg/L,柴油0.86kg/L进行单位换算）；</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hint="eastAsia" w:asciiTheme="minorEastAsia" w:hAnsiTheme="minorEastAsia" w:eastAsiaTheme="minorEastAsia"/>
          <w:b w:val="0"/>
          <w:bCs/>
          <w:sz w:val="21"/>
          <w:szCs w:val="21"/>
        </w:rPr>
        <w:t>（</w:t>
      </w:r>
      <w:r>
        <w:rPr>
          <w:rFonts w:asciiTheme="minorEastAsia" w:hAnsiTheme="minorEastAsia" w:eastAsiaTheme="minorEastAsia"/>
          <w:b w:val="0"/>
          <w:bCs/>
          <w:sz w:val="21"/>
          <w:szCs w:val="21"/>
        </w:rPr>
        <w:t>2）数据获取方式：</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hint="eastAsia" w:asciiTheme="minorEastAsia" w:hAnsiTheme="minorEastAsia" w:eastAsiaTheme="minorEastAsia"/>
          <w:b w:val="0"/>
          <w:bCs/>
          <w:sz w:val="21"/>
          <w:szCs w:val="21"/>
        </w:rPr>
        <w:t>①基于单车级的能源消耗量统计手段进行能源消耗统计，一车一卡或一车一个充电账号等手段获取；</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sz w:val="21"/>
          <w:szCs w:val="21"/>
        </w:rPr>
      </w:pPr>
      <w:r>
        <w:rPr>
          <w:rFonts w:hint="eastAsia" w:asciiTheme="minorEastAsia" w:hAnsiTheme="minorEastAsia" w:eastAsiaTheme="minorEastAsia"/>
          <w:b w:val="0"/>
          <w:bCs/>
          <w:sz w:val="21"/>
          <w:szCs w:val="21"/>
        </w:rPr>
        <w:t>②基于单车级的车辆行驶里程与百公里单耗数据结果计算得到；</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Cs/>
          <w:sz w:val="21"/>
          <w:szCs w:val="21"/>
        </w:rPr>
        <w:sectPr>
          <w:footerReference r:id="rId11" w:type="default"/>
          <w:pgSz w:w="16838" w:h="11906" w:orient="landscape"/>
          <w:pgMar w:top="1587" w:right="1440" w:bottom="1474" w:left="1440" w:header="851" w:footer="1134" w:gutter="0"/>
          <w:paperSrc/>
          <w:pgNumType w:fmt="decimal"/>
          <w:cols w:space="0" w:num="1"/>
          <w:rtlGutter w:val="0"/>
          <w:docGrid w:linePitch="326" w:charSpace="0"/>
        </w:sectPr>
      </w:pPr>
      <w:r>
        <w:rPr>
          <w:rFonts w:asciiTheme="minorEastAsia" w:hAnsiTheme="minorEastAsia" w:eastAsiaTheme="minorEastAsia"/>
          <w:b w:val="0"/>
          <w:bCs/>
          <w:sz w:val="21"/>
          <w:szCs w:val="21"/>
        </w:rPr>
        <w:t>11.累计碳排放量：由统计得到的车辆运行能耗及每种能源类型对应的碳排放因子转换系数计算得到</w:t>
      </w:r>
      <w:r>
        <w:rPr>
          <w:rFonts w:hint="eastAsia" w:asciiTheme="minorEastAsia" w:hAnsiTheme="minorEastAsia" w:eastAsiaTheme="minorEastAsia"/>
          <w:b w:val="0"/>
          <w:bCs/>
          <w:sz w:val="21"/>
          <w:szCs w:val="21"/>
        </w:rPr>
        <w:t>。</w:t>
      </w:r>
    </w:p>
    <w:p>
      <w:pPr>
        <w:ind w:firstLine="480" w:firstLineChars="150"/>
        <w:jc w:val="center"/>
        <w:rPr>
          <w:rFonts w:ascii="黑体" w:hAnsi="黑体" w:eastAsia="黑体"/>
          <w:bCs/>
          <w:sz w:val="32"/>
          <w:szCs w:val="28"/>
        </w:rPr>
      </w:pPr>
      <w:r>
        <w:rPr>
          <w:rFonts w:hint="eastAsia" w:ascii="黑体" w:hAnsi="黑体" w:eastAsia="黑体"/>
          <w:b w:val="0"/>
          <w:bCs/>
          <w:sz w:val="32"/>
          <w:szCs w:val="28"/>
        </w:rPr>
        <w:t>公路旅客运输企业补充数据表</w:t>
      </w:r>
    </w:p>
    <w:tbl>
      <w:tblPr>
        <w:tblStyle w:val="27"/>
        <w:tblW w:w="0" w:type="auto"/>
        <w:tblInd w:w="98" w:type="dxa"/>
        <w:tblLayout w:type="fixed"/>
        <w:tblCellMar>
          <w:top w:w="0" w:type="dxa"/>
          <w:left w:w="108" w:type="dxa"/>
          <w:bottom w:w="0" w:type="dxa"/>
          <w:right w:w="108" w:type="dxa"/>
        </w:tblCellMar>
      </w:tblPr>
      <w:tblGrid>
        <w:gridCol w:w="439"/>
        <w:gridCol w:w="661"/>
        <w:gridCol w:w="550"/>
        <w:gridCol w:w="709"/>
        <w:gridCol w:w="725"/>
        <w:gridCol w:w="586"/>
        <w:gridCol w:w="661"/>
        <w:gridCol w:w="447"/>
        <w:gridCol w:w="447"/>
        <w:gridCol w:w="638"/>
        <w:gridCol w:w="527"/>
        <w:gridCol w:w="538"/>
        <w:gridCol w:w="605"/>
        <w:gridCol w:w="605"/>
        <w:gridCol w:w="447"/>
        <w:gridCol w:w="722"/>
        <w:gridCol w:w="604"/>
        <w:gridCol w:w="605"/>
        <w:gridCol w:w="678"/>
        <w:gridCol w:w="799"/>
        <w:gridCol w:w="799"/>
        <w:gridCol w:w="513"/>
        <w:gridCol w:w="771"/>
      </w:tblGrid>
      <w:tr>
        <w:tblPrEx>
          <w:tblCellMar>
            <w:top w:w="0" w:type="dxa"/>
            <w:left w:w="108" w:type="dxa"/>
            <w:bottom w:w="0" w:type="dxa"/>
            <w:right w:w="108" w:type="dxa"/>
          </w:tblCellMar>
        </w:tblPrEx>
        <w:trPr>
          <w:trHeight w:val="1532" w:hRule="atLeast"/>
        </w:trPr>
        <w:tc>
          <w:tcPr>
            <w:tcW w:w="4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序号</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车辆型号</w:t>
            </w:r>
          </w:p>
        </w:tc>
        <w:tc>
          <w:tcPr>
            <w:tcW w:w="5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座位数</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车辆排放标准</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车辆数</w:t>
            </w:r>
          </w:p>
        </w:tc>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安装SCR车辆</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能源类型</w:t>
            </w:r>
          </w:p>
        </w:tc>
        <w:tc>
          <w:tcPr>
            <w:tcW w:w="25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年度累计行驶里程（万公里）</w:t>
            </w: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客运量（万人）</w:t>
            </w: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客运周转量（万人公里）</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百公里单耗（吨、立方米、千瓦时/百公里）</w:t>
            </w:r>
          </w:p>
        </w:tc>
        <w:tc>
          <w:tcPr>
            <w:tcW w:w="399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能源消耗量</w:t>
            </w:r>
          </w:p>
        </w:tc>
        <w:tc>
          <w:tcPr>
            <w:tcW w:w="771" w:type="dxa"/>
            <w:vMerge w:val="restart"/>
            <w:tcBorders>
              <w:top w:val="single" w:color="000000" w:sz="4" w:space="0"/>
              <w:left w:val="single" w:color="000000" w:sz="4" w:space="0"/>
              <w:right w:val="single" w:color="000000" w:sz="4" w:space="0"/>
            </w:tcBorders>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cs="宋体" w:asciiTheme="minorEastAsia" w:hAnsiTheme="minorEastAsia" w:eastAsiaTheme="minorEastAsia"/>
                <w:b/>
                <w:bCs/>
                <w:color w:val="000000"/>
                <w:kern w:val="0"/>
                <w:sz w:val="21"/>
                <w:szCs w:val="21"/>
                <w:highlight w:val="none"/>
                <w:lang w:bidi="ar"/>
              </w:rPr>
              <w:t>累计碳排放量（吨）</w:t>
            </w:r>
          </w:p>
        </w:tc>
      </w:tr>
      <w:tr>
        <w:tblPrEx>
          <w:tblCellMar>
            <w:top w:w="0" w:type="dxa"/>
            <w:left w:w="108" w:type="dxa"/>
            <w:bottom w:w="0" w:type="dxa"/>
            <w:right w:w="108" w:type="dxa"/>
          </w:tblCellMar>
        </w:tblPrEx>
        <w:trPr>
          <w:trHeight w:val="1709" w:hRule="atLeast"/>
        </w:trPr>
        <w:tc>
          <w:tcPr>
            <w:tcW w:w="4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highlight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highlight w:val="none"/>
              </w:rPr>
            </w:pPr>
          </w:p>
        </w:tc>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highlight w:val="none"/>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highlight w:val="none"/>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highlight w:val="none"/>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highlight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highlight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累计里程</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京内里程</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天津、河北里程</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京津冀外里程</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数据获取方式</w:t>
            </w: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highlight w:val="none"/>
              </w:rPr>
            </w:pP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highlight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数据结果</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数据获取方式</w:t>
            </w:r>
          </w:p>
        </w:tc>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汽油（吨）</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电（兆瓦时）</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天然气（万立方米）</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柴油（吨）</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车用尿素溶液（吨）</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asciiTheme="minorEastAsia" w:hAnsiTheme="minorEastAsia" w:eastAsiaTheme="minorEastAsia" w:cstheme="minorBidi"/>
                <w:b/>
                <w:bCs/>
                <w:smallCaps/>
                <w:color w:val="000000" w:themeColor="text1"/>
                <w:spacing w:val="5"/>
                <w:sz w:val="21"/>
                <w:szCs w:val="21"/>
                <w:highlight w:val="none"/>
              </w:rPr>
            </w:pPr>
            <w:r>
              <w:rPr>
                <w:rFonts w:hint="eastAsia" w:asciiTheme="minorEastAsia" w:hAnsiTheme="minorEastAsia" w:eastAsiaTheme="minorEastAsia" w:cstheme="minorBidi"/>
                <w:b/>
                <w:bCs/>
                <w:smallCaps/>
                <w:color w:val="000000" w:themeColor="text1"/>
                <w:spacing w:val="5"/>
                <w:sz w:val="21"/>
                <w:szCs w:val="21"/>
                <w:highlight w:val="none"/>
              </w:rPr>
              <w:t>数据获取方式</w:t>
            </w:r>
          </w:p>
        </w:tc>
        <w:tc>
          <w:tcPr>
            <w:tcW w:w="771" w:type="dxa"/>
            <w:vMerge w:val="continue"/>
            <w:tcBorders>
              <w:left w:val="single" w:color="000000" w:sz="4" w:space="0"/>
              <w:bottom w:val="single" w:color="000000" w:sz="4" w:space="0"/>
              <w:right w:val="single" w:color="000000" w:sz="4" w:space="0"/>
            </w:tcBorders>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r>
      <w:tr>
        <w:tblPrEx>
          <w:tblCellMar>
            <w:top w:w="0" w:type="dxa"/>
            <w:left w:w="108" w:type="dxa"/>
            <w:bottom w:w="0" w:type="dxa"/>
            <w:right w:w="108" w:type="dxa"/>
          </w:tblCellMar>
        </w:tblPrEx>
        <w:trPr>
          <w:trHeight w:val="632"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1</w:t>
            </w:r>
          </w:p>
        </w:tc>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Theme="minorEastAsia" w:hAnsiTheme="minorEastAsia" w:eastAsiaTheme="minorEastAsia" w:cstheme="minorBidi"/>
                <w:b/>
                <w:bCs/>
                <w:smallCaps/>
                <w:color w:val="000000" w:themeColor="text1"/>
                <w:spacing w:val="5"/>
                <w:sz w:val="21"/>
                <w:szCs w:val="21"/>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Theme="minorEastAsia" w:hAnsiTheme="minorEastAsia" w:eastAsiaTheme="minorEastAsia" w:cstheme="minorBidi"/>
                <w:b/>
                <w:bCs/>
                <w:smallCaps/>
                <w:color w:val="000000" w:themeColor="text1"/>
                <w:spacing w:val="5"/>
                <w:sz w:val="21"/>
                <w:szCs w:val="21"/>
              </w:rPr>
            </w:pPr>
          </w:p>
        </w:tc>
        <w:tc>
          <w:tcPr>
            <w:tcW w:w="771"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Theme="minorEastAsia" w:hAnsiTheme="minorEastAsia" w:eastAsiaTheme="minorEastAsia" w:cstheme="minorBidi"/>
                <w:b/>
                <w:bCs/>
                <w:smallCaps/>
                <w:color w:val="000000" w:themeColor="text1"/>
                <w:spacing w:val="5"/>
                <w:sz w:val="21"/>
                <w:szCs w:val="21"/>
              </w:rPr>
            </w:pPr>
          </w:p>
        </w:tc>
      </w:tr>
      <w:tr>
        <w:tblPrEx>
          <w:tblCellMar>
            <w:top w:w="0" w:type="dxa"/>
            <w:left w:w="108" w:type="dxa"/>
            <w:bottom w:w="0" w:type="dxa"/>
            <w:right w:w="108" w:type="dxa"/>
          </w:tblCellMar>
        </w:tblPrEx>
        <w:trPr>
          <w:trHeight w:val="632"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2</w:t>
            </w:r>
          </w:p>
        </w:tc>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Theme="minorEastAsia" w:hAnsiTheme="minorEastAsia" w:eastAsiaTheme="minorEastAsia" w:cstheme="minorBidi"/>
                <w:b/>
                <w:bCs/>
                <w:smallCaps/>
                <w:color w:val="000000" w:themeColor="text1"/>
                <w:spacing w:val="5"/>
                <w:sz w:val="21"/>
                <w:szCs w:val="21"/>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Theme="minorEastAsia" w:hAnsiTheme="minorEastAsia" w:eastAsiaTheme="minorEastAsia" w:cstheme="minorBidi"/>
                <w:b/>
                <w:bCs/>
                <w:smallCaps/>
                <w:color w:val="000000" w:themeColor="text1"/>
                <w:spacing w:val="5"/>
                <w:sz w:val="21"/>
                <w:szCs w:val="21"/>
              </w:rPr>
            </w:pPr>
          </w:p>
        </w:tc>
        <w:tc>
          <w:tcPr>
            <w:tcW w:w="771"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Theme="minorEastAsia" w:hAnsiTheme="minorEastAsia" w:eastAsiaTheme="minorEastAsia" w:cstheme="minorBidi"/>
                <w:b/>
                <w:bCs/>
                <w:smallCaps/>
                <w:color w:val="000000" w:themeColor="text1"/>
                <w:spacing w:val="5"/>
                <w:sz w:val="21"/>
                <w:szCs w:val="21"/>
              </w:rPr>
            </w:pPr>
          </w:p>
        </w:tc>
      </w:tr>
      <w:tr>
        <w:tblPrEx>
          <w:tblCellMar>
            <w:top w:w="0" w:type="dxa"/>
            <w:left w:w="108" w:type="dxa"/>
            <w:bottom w:w="0" w:type="dxa"/>
            <w:right w:w="108" w:type="dxa"/>
          </w:tblCellMar>
        </w:tblPrEx>
        <w:trPr>
          <w:trHeight w:val="632"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3</w:t>
            </w:r>
          </w:p>
        </w:tc>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Theme="minorEastAsia" w:hAnsiTheme="minorEastAsia" w:eastAsiaTheme="minorEastAsia" w:cstheme="minorBidi"/>
                <w:b/>
                <w:bCs/>
                <w:smallCaps/>
                <w:color w:val="000000" w:themeColor="text1"/>
                <w:spacing w:val="5"/>
                <w:sz w:val="21"/>
                <w:szCs w:val="21"/>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Theme="minorEastAsia" w:hAnsiTheme="minorEastAsia" w:eastAsiaTheme="minorEastAsia" w:cstheme="minorBidi"/>
                <w:b/>
                <w:bCs/>
                <w:smallCaps/>
                <w:color w:val="000000" w:themeColor="text1"/>
                <w:spacing w:val="5"/>
                <w:sz w:val="21"/>
                <w:szCs w:val="21"/>
              </w:rPr>
            </w:pPr>
          </w:p>
        </w:tc>
        <w:tc>
          <w:tcPr>
            <w:tcW w:w="771"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Theme="minorEastAsia" w:hAnsiTheme="minorEastAsia" w:eastAsiaTheme="minorEastAsia" w:cstheme="minorBidi"/>
                <w:b/>
                <w:bCs/>
                <w:smallCaps/>
                <w:color w:val="000000" w:themeColor="text1"/>
                <w:spacing w:val="5"/>
                <w:sz w:val="21"/>
                <w:szCs w:val="21"/>
              </w:rPr>
            </w:pPr>
          </w:p>
        </w:tc>
      </w:tr>
      <w:tr>
        <w:tblPrEx>
          <w:tblCellMar>
            <w:top w:w="0" w:type="dxa"/>
            <w:left w:w="108" w:type="dxa"/>
            <w:bottom w:w="0" w:type="dxa"/>
            <w:right w:w="108" w:type="dxa"/>
          </w:tblCellMar>
        </w:tblPrEx>
        <w:trPr>
          <w:trHeight w:val="632"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heme="minorEastAsia" w:hAnsiTheme="minorEastAsia" w:eastAsiaTheme="minorEastAsia" w:cstheme="minorBidi"/>
                <w:b/>
                <w:bCs/>
                <w:smallCaps/>
                <w:color w:val="000000" w:themeColor="text1"/>
                <w:spacing w:val="5"/>
                <w:sz w:val="21"/>
                <w:szCs w:val="21"/>
              </w:rPr>
            </w:pPr>
            <w:r>
              <w:rPr>
                <w:rFonts w:hint="eastAsia" w:asciiTheme="minorEastAsia" w:hAnsiTheme="minorEastAsia" w:eastAsiaTheme="minorEastAsia" w:cstheme="minorBidi"/>
                <w:b/>
                <w:bCs/>
                <w:smallCaps/>
                <w:color w:val="000000" w:themeColor="text1"/>
                <w:spacing w:val="5"/>
                <w:sz w:val="21"/>
                <w:szCs w:val="21"/>
              </w:rPr>
              <w:t>合计</w:t>
            </w:r>
          </w:p>
        </w:tc>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asciiTheme="minorEastAsia" w:hAnsiTheme="minorEastAsia" w:eastAsiaTheme="minorEastAsia" w:cstheme="minorBidi"/>
                <w:b/>
                <w:bCs/>
                <w:smallCaps/>
                <w:color w:val="000000" w:themeColor="text1"/>
                <w:spacing w:val="5"/>
                <w:sz w:val="21"/>
                <w:szCs w:val="21"/>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Theme="minorEastAsia" w:hAnsiTheme="minorEastAsia" w:eastAsiaTheme="minorEastAsia" w:cstheme="minorBidi"/>
                <w:b/>
                <w:bCs/>
                <w:smallCaps/>
                <w:color w:val="000000" w:themeColor="text1"/>
                <w:spacing w:val="5"/>
                <w:sz w:val="21"/>
                <w:szCs w:val="21"/>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asciiTheme="minorEastAsia" w:hAnsiTheme="minorEastAsia" w:eastAsiaTheme="minorEastAsia" w:cstheme="minorBidi"/>
                <w:b/>
                <w:bCs/>
                <w:smallCaps/>
                <w:color w:val="000000" w:themeColor="text1"/>
                <w:spacing w:val="5"/>
                <w:sz w:val="21"/>
                <w:szCs w:val="21"/>
              </w:rPr>
            </w:pPr>
          </w:p>
        </w:tc>
        <w:tc>
          <w:tcPr>
            <w:tcW w:w="771"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Theme="minorEastAsia" w:hAnsiTheme="minorEastAsia" w:eastAsiaTheme="minorEastAsia" w:cstheme="minorBidi"/>
                <w:b/>
                <w:bCs/>
                <w:smallCaps/>
                <w:color w:val="000000" w:themeColor="text1"/>
                <w:spacing w:val="5"/>
                <w:sz w:val="21"/>
                <w:szCs w:val="21"/>
              </w:rPr>
            </w:pPr>
          </w:p>
        </w:tc>
      </w:tr>
    </w:tbl>
    <w:p>
      <w:pPr>
        <w:ind w:firstLine="315" w:firstLineChars="150"/>
        <w:rPr>
          <w:rFonts w:hint="eastAsia" w:ascii="宋体" w:hAnsi="宋体" w:eastAsia="宋体"/>
          <w:bCs/>
          <w:sz w:val="21"/>
          <w:szCs w:val="21"/>
        </w:rPr>
      </w:pPr>
      <w:r>
        <w:rPr>
          <w:rFonts w:hint="eastAsia" w:ascii="宋体" w:hAnsi="宋体" w:eastAsia="宋体"/>
          <w:bCs/>
          <w:sz w:val="21"/>
          <w:szCs w:val="21"/>
        </w:rPr>
        <w:t>填报说明：</w:t>
      </w:r>
    </w:p>
    <w:p>
      <w:pPr>
        <w:ind w:firstLine="315" w:firstLineChars="150"/>
        <w:jc w:val="both"/>
        <w:rPr>
          <w:rFonts w:asciiTheme="minorEastAsia" w:hAnsiTheme="minorEastAsia" w:eastAsiaTheme="minorEastAsia"/>
          <w:bCs/>
          <w:sz w:val="21"/>
          <w:szCs w:val="21"/>
        </w:rPr>
      </w:pPr>
      <w:r>
        <w:rPr>
          <w:rFonts w:asciiTheme="minorEastAsia" w:hAnsiTheme="minorEastAsia" w:eastAsiaTheme="minorEastAsia"/>
          <w:bCs/>
          <w:sz w:val="21"/>
          <w:szCs w:val="21"/>
        </w:rPr>
        <w:t xml:space="preserve">1.车辆型号：按照车辆的实际品牌及车辆型号填写，如宇通T7; </w:t>
      </w:r>
    </w:p>
    <w:p>
      <w:pPr>
        <w:ind w:firstLine="315" w:firstLineChars="150"/>
        <w:jc w:val="both"/>
        <w:rPr>
          <w:rFonts w:asciiTheme="minorEastAsia" w:hAnsiTheme="minorEastAsia" w:eastAsiaTheme="minorEastAsia"/>
          <w:bCs/>
          <w:sz w:val="21"/>
          <w:szCs w:val="21"/>
        </w:rPr>
      </w:pPr>
      <w:r>
        <w:rPr>
          <w:rFonts w:asciiTheme="minorEastAsia" w:hAnsiTheme="minorEastAsia" w:eastAsiaTheme="minorEastAsia"/>
          <w:bCs/>
          <w:sz w:val="21"/>
          <w:szCs w:val="21"/>
        </w:rPr>
        <w:t>2.车辆排放标准：按照车辆实际的排放标准进行填写，，例如国Ⅵ、国Ⅴ；</w:t>
      </w:r>
    </w:p>
    <w:p>
      <w:pPr>
        <w:ind w:firstLine="315" w:firstLineChars="150"/>
        <w:jc w:val="both"/>
        <w:rPr>
          <w:rFonts w:asciiTheme="minorEastAsia" w:hAnsiTheme="minorEastAsia" w:eastAsiaTheme="minorEastAsia"/>
          <w:bCs/>
          <w:sz w:val="21"/>
          <w:szCs w:val="21"/>
        </w:rPr>
      </w:pPr>
      <w:r>
        <w:rPr>
          <w:rFonts w:asciiTheme="minorEastAsia" w:hAnsiTheme="minorEastAsia" w:eastAsiaTheme="minorEastAsia"/>
          <w:bCs/>
          <w:sz w:val="21"/>
          <w:szCs w:val="21"/>
        </w:rPr>
        <w:t>3.座位数：按照车辆的实际座位数填写，如7座、15座、30座</w:t>
      </w:r>
    </w:p>
    <w:p>
      <w:pPr>
        <w:ind w:firstLine="315" w:firstLineChars="150"/>
        <w:jc w:val="both"/>
        <w:rPr>
          <w:rFonts w:asciiTheme="minorEastAsia" w:hAnsiTheme="minorEastAsia" w:eastAsiaTheme="minorEastAsia"/>
          <w:bCs/>
          <w:sz w:val="21"/>
          <w:szCs w:val="21"/>
        </w:rPr>
      </w:pPr>
      <w:r>
        <w:rPr>
          <w:rFonts w:asciiTheme="minorEastAsia" w:hAnsiTheme="minorEastAsia" w:eastAsiaTheme="minorEastAsia"/>
          <w:bCs/>
          <w:sz w:val="21"/>
          <w:szCs w:val="21"/>
        </w:rPr>
        <w:t>4.车辆数量：填写登记注册在企业名下每种车型及排放标准的车辆保有量;</w:t>
      </w:r>
    </w:p>
    <w:p>
      <w:pPr>
        <w:ind w:firstLine="315" w:firstLineChars="150"/>
        <w:jc w:val="both"/>
        <w:rPr>
          <w:rFonts w:asciiTheme="minorEastAsia" w:hAnsiTheme="minorEastAsia" w:eastAsiaTheme="minorEastAsia"/>
          <w:bCs/>
          <w:sz w:val="21"/>
          <w:szCs w:val="21"/>
        </w:rPr>
      </w:pPr>
      <w:r>
        <w:rPr>
          <w:rFonts w:asciiTheme="minorEastAsia" w:hAnsiTheme="minorEastAsia" w:eastAsiaTheme="minorEastAsia"/>
          <w:bCs/>
          <w:sz w:val="21"/>
          <w:szCs w:val="21"/>
        </w:rPr>
        <w:t>5.安装SCR车辆数：填写登记注册在企业名下车辆中安装了SCR设备的车辆保有量</w:t>
      </w:r>
    </w:p>
    <w:p>
      <w:pPr>
        <w:ind w:firstLine="315" w:firstLineChars="150"/>
        <w:jc w:val="both"/>
        <w:rPr>
          <w:rFonts w:asciiTheme="minorEastAsia" w:hAnsiTheme="minorEastAsia" w:eastAsiaTheme="minorEastAsia"/>
          <w:bCs/>
          <w:sz w:val="21"/>
          <w:szCs w:val="21"/>
        </w:rPr>
      </w:pPr>
      <w:r>
        <w:rPr>
          <w:rFonts w:asciiTheme="minorEastAsia" w:hAnsiTheme="minorEastAsia" w:eastAsiaTheme="minorEastAsia"/>
          <w:bCs/>
          <w:sz w:val="21"/>
          <w:szCs w:val="21"/>
        </w:rPr>
        <w:t>6.能源类型：填写每种车型及排放标准的车辆对应燃料种类，如柴油、汽油、天然气、电力;</w:t>
      </w:r>
    </w:p>
    <w:p>
      <w:pPr>
        <w:ind w:firstLine="315" w:firstLineChars="150"/>
        <w:jc w:val="both"/>
        <w:rPr>
          <w:rFonts w:asciiTheme="minorEastAsia" w:hAnsiTheme="minorEastAsia" w:eastAsiaTheme="minorEastAsia"/>
          <w:bCs/>
          <w:sz w:val="21"/>
          <w:szCs w:val="21"/>
        </w:rPr>
      </w:pPr>
      <w:r>
        <w:rPr>
          <w:rFonts w:asciiTheme="minorEastAsia" w:hAnsiTheme="minorEastAsia" w:eastAsiaTheme="minorEastAsia"/>
          <w:bCs/>
          <w:sz w:val="21"/>
          <w:szCs w:val="21"/>
        </w:rPr>
        <w:t>7.年度累计行驶里程（</w:t>
      </w:r>
      <w:r>
        <w:rPr>
          <w:rFonts w:hint="eastAsia" w:asciiTheme="minorEastAsia" w:hAnsiTheme="minorEastAsia" w:eastAsiaTheme="minorEastAsia"/>
          <w:bCs/>
          <w:sz w:val="21"/>
          <w:szCs w:val="21"/>
        </w:rPr>
        <w:t>万</w:t>
      </w:r>
      <w:r>
        <w:rPr>
          <w:rFonts w:asciiTheme="minorEastAsia" w:hAnsiTheme="minorEastAsia" w:eastAsiaTheme="minorEastAsia"/>
          <w:bCs/>
          <w:sz w:val="21"/>
          <w:szCs w:val="21"/>
        </w:rPr>
        <w:t>公里）：</w:t>
      </w:r>
    </w:p>
    <w:p>
      <w:pPr>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1）累计里程：企业旗下车辆单车在全国范围内运行的全部里程合计；</w:t>
      </w:r>
    </w:p>
    <w:p>
      <w:pPr>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2）京内里程：企业旗下车辆单车在北京市域范围内运行的全部里程合计；</w:t>
      </w:r>
    </w:p>
    <w:p>
      <w:pPr>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3）天津、河北里程：企业旗下车辆单车在天津市及河北省域范围内运行的全部里程合计；</w:t>
      </w:r>
    </w:p>
    <w:p>
      <w:pPr>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4）京津冀外里程：企业旗下车辆单车在全国除北京市、天津市、河北省域范围外运行的全部里程合计；</w:t>
      </w:r>
    </w:p>
    <w:p>
      <w:pPr>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5）数据获取方式：</w:t>
      </w:r>
    </w:p>
    <w:p>
      <w:pPr>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①企业通过自有单车级大数据监控平台获取得到的单车级车辆行驶里程；</w:t>
      </w:r>
    </w:p>
    <w:p>
      <w:pPr>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②企业通过对旗下车辆仪表盘进行抄表统计获得的单车级车辆行驶里程；</w:t>
      </w:r>
    </w:p>
    <w:p>
      <w:pPr>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③企业通过参考北京市应对气候变化管理中心提供的单车级车辆行驶里程推荐值；</w:t>
      </w:r>
    </w:p>
    <w:p>
      <w:pPr>
        <w:ind w:firstLine="315" w:firstLineChars="150"/>
        <w:jc w:val="both"/>
        <w:rPr>
          <w:rFonts w:asciiTheme="minorEastAsia" w:hAnsiTheme="minorEastAsia" w:eastAsiaTheme="minorEastAsia"/>
          <w:bCs/>
          <w:sz w:val="21"/>
          <w:szCs w:val="21"/>
        </w:rPr>
      </w:pPr>
      <w:r>
        <w:rPr>
          <w:rFonts w:asciiTheme="minorEastAsia" w:hAnsiTheme="minorEastAsia" w:eastAsiaTheme="minorEastAsia"/>
          <w:bCs/>
          <w:sz w:val="21"/>
          <w:szCs w:val="21"/>
        </w:rPr>
        <w:t>8.客运量：填报公路运输企业旗下所有车辆在每年度内实际运送的旅客人数（</w:t>
      </w:r>
      <w:r>
        <w:rPr>
          <w:rFonts w:hint="eastAsia" w:asciiTheme="minorEastAsia" w:hAnsiTheme="minorEastAsia" w:eastAsiaTheme="minorEastAsia"/>
          <w:bCs/>
          <w:sz w:val="21"/>
          <w:szCs w:val="21"/>
        </w:rPr>
        <w:t>万</w:t>
      </w:r>
      <w:r>
        <w:rPr>
          <w:rFonts w:asciiTheme="minorEastAsia" w:hAnsiTheme="minorEastAsia" w:eastAsiaTheme="minorEastAsia"/>
          <w:bCs/>
          <w:sz w:val="21"/>
          <w:szCs w:val="21"/>
        </w:rPr>
        <w:t>人次）;</w:t>
      </w:r>
    </w:p>
    <w:p>
      <w:pPr>
        <w:ind w:firstLine="315" w:firstLineChars="150"/>
        <w:jc w:val="both"/>
        <w:rPr>
          <w:rFonts w:asciiTheme="minorEastAsia" w:hAnsiTheme="minorEastAsia" w:eastAsiaTheme="minorEastAsia"/>
          <w:bCs/>
          <w:sz w:val="21"/>
          <w:szCs w:val="21"/>
        </w:rPr>
      </w:pPr>
      <w:r>
        <w:rPr>
          <w:rFonts w:asciiTheme="minorEastAsia" w:hAnsiTheme="minorEastAsia" w:eastAsiaTheme="minorEastAsia"/>
          <w:bCs/>
          <w:sz w:val="21"/>
          <w:szCs w:val="21"/>
        </w:rPr>
        <w:t>9.客运周转量：填报公路运输企业旗下所有车辆在每年度内实际运送的旅客运输总量指标（</w:t>
      </w:r>
      <w:r>
        <w:rPr>
          <w:rFonts w:hint="eastAsia" w:asciiTheme="minorEastAsia" w:hAnsiTheme="minorEastAsia" w:eastAsiaTheme="minorEastAsia"/>
          <w:bCs/>
          <w:sz w:val="21"/>
          <w:szCs w:val="21"/>
        </w:rPr>
        <w:t>万</w:t>
      </w:r>
      <w:r>
        <w:rPr>
          <w:rFonts w:asciiTheme="minorEastAsia" w:hAnsiTheme="minorEastAsia" w:eastAsiaTheme="minorEastAsia"/>
          <w:bCs/>
          <w:sz w:val="21"/>
          <w:szCs w:val="21"/>
        </w:rPr>
        <w:t>人公里），基于客运量及平均运距乘积得到；</w:t>
      </w:r>
    </w:p>
    <w:p>
      <w:pPr>
        <w:ind w:firstLine="315" w:firstLineChars="150"/>
        <w:jc w:val="both"/>
        <w:rPr>
          <w:rFonts w:asciiTheme="minorEastAsia" w:hAnsiTheme="minorEastAsia" w:eastAsiaTheme="minorEastAsia"/>
          <w:bCs/>
          <w:sz w:val="21"/>
          <w:szCs w:val="21"/>
        </w:rPr>
      </w:pPr>
      <w:r>
        <w:rPr>
          <w:rFonts w:asciiTheme="minorEastAsia" w:hAnsiTheme="minorEastAsia" w:eastAsiaTheme="minorEastAsia"/>
          <w:bCs/>
          <w:sz w:val="21"/>
          <w:szCs w:val="21"/>
        </w:rPr>
        <w:t>10.百公里单耗：</w:t>
      </w:r>
    </w:p>
    <w:p>
      <w:pPr>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1）百公里单耗数据结果：填报企业企业车辆（单车级）在运行单位距离（通常标定为100公里）时产生的能源消耗量，单位主要是：kg/百公里、立方米/百公里、千瓦时/百公里（企业如统计汽油、柴油车辆百公里单耗时统计单位为升时，可按照汽油0.73kg/L,柴油0.86kg/L进行单位换算）</w:t>
      </w:r>
    </w:p>
    <w:p>
      <w:pPr>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2）数据获取方式：</w:t>
      </w:r>
    </w:p>
    <w:p>
      <w:pPr>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①企业通过自有单车级大数据监控平台获取得到的单车级车辆百公里能耗；</w:t>
      </w:r>
    </w:p>
    <w:p>
      <w:pPr>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②企业通过参考主管部门提供的单车级车辆百公里能耗推荐值；</w:t>
      </w:r>
    </w:p>
    <w:p>
      <w:pPr>
        <w:ind w:firstLine="315" w:firstLineChars="150"/>
        <w:jc w:val="both"/>
        <w:rPr>
          <w:rFonts w:asciiTheme="minorEastAsia" w:hAnsiTheme="minorEastAsia" w:eastAsiaTheme="minorEastAsia"/>
          <w:bCs/>
          <w:sz w:val="21"/>
          <w:szCs w:val="21"/>
        </w:rPr>
      </w:pPr>
      <w:r>
        <w:rPr>
          <w:rFonts w:asciiTheme="minorEastAsia" w:hAnsiTheme="minorEastAsia" w:eastAsiaTheme="minorEastAsia"/>
          <w:bCs/>
          <w:sz w:val="21"/>
          <w:szCs w:val="21"/>
        </w:rPr>
        <w:t>11.能源消耗量：</w:t>
      </w:r>
    </w:p>
    <w:p>
      <w:pPr>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1）能源消耗量：填报企业旗下车辆因运行而产生的能源消耗总量，按照车辆对应的能源类型，将实际的能源消耗量填写到对应的格内，单位主要是：吨、立方米、千瓦时（企业如统计汽油、柴油时统计单位为升时，可按照汽油0.73kg/L,柴油0.86kg/L进行单位换算）；</w:t>
      </w:r>
    </w:p>
    <w:p>
      <w:pPr>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2）数据获取方式：</w:t>
      </w:r>
    </w:p>
    <w:p>
      <w:pPr>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①基于单车级的能源消耗量统计手段进行能源消耗统计，一车一卡或一车一个充电账号等手段获取；</w:t>
      </w:r>
    </w:p>
    <w:p>
      <w:pPr>
        <w:ind w:firstLine="315" w:firstLineChars="15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②基于单车级的车辆行驶里程与百公里单耗数据结果计算得到；</w:t>
      </w:r>
    </w:p>
    <w:p>
      <w:pPr>
        <w:ind w:firstLine="315" w:firstLineChars="150"/>
        <w:rPr>
          <w:rFonts w:asciiTheme="minorEastAsia" w:hAnsiTheme="minorEastAsia" w:eastAsiaTheme="minorEastAsia"/>
          <w:bCs/>
          <w:sz w:val="21"/>
          <w:szCs w:val="21"/>
        </w:rPr>
        <w:sectPr>
          <w:footerReference r:id="rId12" w:type="default"/>
          <w:pgSz w:w="16838" w:h="11906" w:orient="landscape"/>
          <w:pgMar w:top="1587" w:right="1440" w:bottom="1474" w:left="1440" w:header="851" w:footer="1134" w:gutter="0"/>
          <w:paperSrc/>
          <w:pgNumType w:fmt="decimal"/>
          <w:cols w:space="0" w:num="1"/>
          <w:rtlGutter w:val="0"/>
          <w:docGrid w:linePitch="326" w:charSpace="0"/>
        </w:sectPr>
      </w:pPr>
      <w:r>
        <w:rPr>
          <w:rFonts w:asciiTheme="minorEastAsia" w:hAnsiTheme="minorEastAsia" w:eastAsiaTheme="minorEastAsia"/>
          <w:bCs/>
          <w:sz w:val="21"/>
          <w:szCs w:val="21"/>
        </w:rPr>
        <w:t>12.累计碳排放量：由统计得到的车辆运行能耗及每种能源类型对应的碳排放因子转换系数计算得到</w:t>
      </w:r>
      <w:r>
        <w:rPr>
          <w:rFonts w:hint="eastAsia" w:asciiTheme="minorEastAsia" w:hAnsiTheme="minorEastAsia" w:eastAsiaTheme="minorEastAsia"/>
          <w:bCs/>
          <w:sz w:val="21"/>
          <w:szCs w:val="21"/>
        </w:rPr>
        <w:t>。</w:t>
      </w:r>
    </w:p>
    <w:p>
      <w:pPr>
        <w:ind w:firstLine="480" w:firstLineChars="150"/>
        <w:jc w:val="center"/>
        <w:rPr>
          <w:rFonts w:ascii="黑体" w:hAnsi="黑体" w:eastAsia="黑体"/>
          <w:bCs/>
          <w:sz w:val="32"/>
          <w:szCs w:val="28"/>
        </w:rPr>
      </w:pPr>
      <w:r>
        <w:rPr>
          <w:rFonts w:hint="eastAsia" w:ascii="黑体" w:hAnsi="黑体" w:eastAsia="黑体"/>
          <w:bCs/>
          <w:sz w:val="32"/>
          <w:szCs w:val="28"/>
        </w:rPr>
        <w:t>道路货物运输企业补充数据表</w:t>
      </w:r>
    </w:p>
    <w:tbl>
      <w:tblPr>
        <w:tblStyle w:val="27"/>
        <w:tblW w:w="0" w:type="auto"/>
        <w:tblInd w:w="98" w:type="dxa"/>
        <w:tblLayout w:type="fixed"/>
        <w:tblCellMar>
          <w:top w:w="0" w:type="dxa"/>
          <w:left w:w="108" w:type="dxa"/>
          <w:bottom w:w="0" w:type="dxa"/>
          <w:right w:w="108" w:type="dxa"/>
        </w:tblCellMar>
      </w:tblPr>
      <w:tblGrid>
        <w:gridCol w:w="556"/>
        <w:gridCol w:w="897"/>
        <w:gridCol w:w="727"/>
        <w:gridCol w:w="1237"/>
        <w:gridCol w:w="520"/>
        <w:gridCol w:w="585"/>
        <w:gridCol w:w="555"/>
        <w:gridCol w:w="420"/>
        <w:gridCol w:w="510"/>
        <w:gridCol w:w="720"/>
        <w:gridCol w:w="499"/>
        <w:gridCol w:w="596"/>
        <w:gridCol w:w="435"/>
        <w:gridCol w:w="570"/>
        <w:gridCol w:w="454"/>
        <w:gridCol w:w="596"/>
        <w:gridCol w:w="517"/>
        <w:gridCol w:w="593"/>
        <w:gridCol w:w="705"/>
        <w:gridCol w:w="541"/>
        <w:gridCol w:w="728"/>
        <w:gridCol w:w="387"/>
        <w:gridCol w:w="728"/>
      </w:tblGrid>
      <w:tr>
        <w:tblPrEx>
          <w:tblCellMar>
            <w:top w:w="0" w:type="dxa"/>
            <w:left w:w="108" w:type="dxa"/>
            <w:bottom w:w="0" w:type="dxa"/>
            <w:right w:w="108" w:type="dxa"/>
          </w:tblCellMar>
        </w:tblPrEx>
        <w:trPr>
          <w:trHeight w:val="1007" w:hRule="atLeast"/>
        </w:trPr>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highlight w:val="none"/>
              </w:rPr>
            </w:pPr>
            <w:r>
              <w:rPr>
                <w:rFonts w:hint="eastAsia" w:cs="等线" w:asciiTheme="minorEastAsia" w:hAnsiTheme="minorEastAsia" w:eastAsiaTheme="minorEastAsia"/>
                <w:color w:val="000000"/>
                <w:kern w:val="0"/>
                <w:sz w:val="21"/>
                <w:szCs w:val="21"/>
                <w:highlight w:val="none"/>
                <w:lang w:bidi="ar"/>
              </w:rPr>
              <w:t>序号</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highlight w:val="none"/>
              </w:rPr>
            </w:pPr>
            <w:r>
              <w:rPr>
                <w:rFonts w:hint="eastAsia" w:cs="等线" w:asciiTheme="minorEastAsia" w:hAnsiTheme="minorEastAsia" w:eastAsiaTheme="minorEastAsia"/>
                <w:color w:val="000000"/>
                <w:kern w:val="0"/>
                <w:sz w:val="21"/>
                <w:szCs w:val="21"/>
                <w:highlight w:val="none"/>
                <w:lang w:bidi="ar"/>
              </w:rPr>
              <w:t>车辆型号</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highlight w:val="none"/>
              </w:rPr>
            </w:pPr>
            <w:r>
              <w:rPr>
                <w:rFonts w:hint="eastAsia" w:cs="等线" w:asciiTheme="minorEastAsia" w:hAnsiTheme="minorEastAsia" w:eastAsiaTheme="minorEastAsia"/>
                <w:color w:val="000000"/>
                <w:kern w:val="0"/>
                <w:sz w:val="21"/>
                <w:szCs w:val="21"/>
                <w:highlight w:val="none"/>
                <w:lang w:bidi="ar"/>
              </w:rPr>
              <w:t>总质量</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highlight w:val="none"/>
              </w:rPr>
            </w:pPr>
            <w:r>
              <w:rPr>
                <w:rFonts w:hint="eastAsia" w:cs="等线" w:asciiTheme="minorEastAsia" w:hAnsiTheme="minorEastAsia" w:eastAsiaTheme="minorEastAsia"/>
                <w:color w:val="000000"/>
                <w:kern w:val="0"/>
                <w:sz w:val="21"/>
                <w:szCs w:val="21"/>
                <w:highlight w:val="none"/>
                <w:lang w:bidi="ar"/>
              </w:rPr>
              <w:t>车辆排放标准</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highlight w:val="none"/>
              </w:rPr>
            </w:pPr>
            <w:r>
              <w:rPr>
                <w:rFonts w:hint="eastAsia" w:cs="等线" w:asciiTheme="minorEastAsia" w:hAnsiTheme="minorEastAsia" w:eastAsiaTheme="minorEastAsia"/>
                <w:color w:val="000000"/>
                <w:kern w:val="0"/>
                <w:sz w:val="21"/>
                <w:szCs w:val="21"/>
                <w:highlight w:val="none"/>
                <w:lang w:bidi="ar"/>
              </w:rPr>
              <w:t>车辆数</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highlight w:val="none"/>
              </w:rPr>
            </w:pPr>
            <w:r>
              <w:rPr>
                <w:rFonts w:hint="eastAsia" w:cs="等线" w:asciiTheme="minorEastAsia" w:hAnsiTheme="minorEastAsia" w:eastAsiaTheme="minorEastAsia"/>
                <w:color w:val="000000"/>
                <w:kern w:val="0"/>
                <w:sz w:val="21"/>
                <w:szCs w:val="21"/>
                <w:highlight w:val="none"/>
                <w:lang w:bidi="ar"/>
              </w:rPr>
              <w:t>安装SCR车辆</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highlight w:val="none"/>
              </w:rPr>
            </w:pPr>
            <w:r>
              <w:rPr>
                <w:rFonts w:hint="eastAsia" w:cs="等线" w:asciiTheme="minorEastAsia" w:hAnsiTheme="minorEastAsia" w:eastAsiaTheme="minorEastAsia"/>
                <w:color w:val="000000"/>
                <w:kern w:val="0"/>
                <w:sz w:val="21"/>
                <w:szCs w:val="21"/>
                <w:highlight w:val="none"/>
                <w:lang w:bidi="ar"/>
              </w:rPr>
              <w:t>能源类型</w:t>
            </w:r>
          </w:p>
        </w:tc>
        <w:tc>
          <w:tcPr>
            <w:tcW w:w="27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highlight w:val="none"/>
              </w:rPr>
            </w:pPr>
            <w:r>
              <w:rPr>
                <w:rFonts w:hint="eastAsia" w:cs="等线" w:asciiTheme="minorEastAsia" w:hAnsiTheme="minorEastAsia" w:eastAsiaTheme="minorEastAsia"/>
                <w:color w:val="000000"/>
                <w:kern w:val="0"/>
                <w:sz w:val="21"/>
                <w:szCs w:val="21"/>
                <w:highlight w:val="none"/>
                <w:lang w:bidi="ar"/>
              </w:rPr>
              <w:t>年度累计行驶里程</w:t>
            </w:r>
            <w:r>
              <w:rPr>
                <w:rFonts w:hint="eastAsia" w:cs="等线" w:asciiTheme="minorEastAsia" w:hAnsiTheme="minorEastAsia" w:eastAsiaTheme="minorEastAsia"/>
                <w:color w:val="000000"/>
                <w:kern w:val="0"/>
                <w:sz w:val="21"/>
                <w:szCs w:val="21"/>
                <w:lang w:bidi="ar"/>
              </w:rPr>
              <w:t>（万公里）</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highlight w:val="none"/>
              </w:rPr>
            </w:pPr>
            <w:r>
              <w:rPr>
                <w:rFonts w:hint="eastAsia" w:cs="等线" w:asciiTheme="minorEastAsia" w:hAnsiTheme="minorEastAsia" w:eastAsiaTheme="minorEastAsia"/>
                <w:color w:val="000000"/>
                <w:kern w:val="0"/>
                <w:sz w:val="21"/>
                <w:szCs w:val="21"/>
                <w:highlight w:val="none"/>
                <w:lang w:bidi="ar"/>
              </w:rPr>
              <w:t>货运量</w:t>
            </w:r>
            <w:r>
              <w:rPr>
                <w:rFonts w:hint="eastAsia" w:cs="等线" w:asciiTheme="minorEastAsia" w:hAnsiTheme="minorEastAsia" w:eastAsiaTheme="minorEastAsia"/>
                <w:color w:val="000000"/>
                <w:kern w:val="0"/>
                <w:sz w:val="21"/>
                <w:szCs w:val="21"/>
                <w:lang w:bidi="ar"/>
              </w:rPr>
              <w:t>（吨）</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20" w:leftChars="-50" w:right="-120" w:rightChars="-50" w:firstLine="0" w:firstLineChars="0"/>
              <w:jc w:val="center"/>
              <w:textAlignment w:val="center"/>
              <w:rPr>
                <w:rFonts w:hint="eastAsia" w:cs="等线" w:asciiTheme="minorEastAsia" w:hAnsiTheme="minorEastAsia" w:eastAsiaTheme="minorEastAsia"/>
                <w:color w:val="000000"/>
                <w:kern w:val="0"/>
                <w:sz w:val="21"/>
                <w:szCs w:val="21"/>
                <w:highlight w:val="none"/>
                <w:lang w:bidi="ar"/>
              </w:rPr>
            </w:pPr>
            <w:r>
              <w:rPr>
                <w:rFonts w:hint="eastAsia" w:cs="等线" w:asciiTheme="minorEastAsia" w:hAnsiTheme="minorEastAsia" w:eastAsiaTheme="minorEastAsia"/>
                <w:color w:val="000000"/>
                <w:kern w:val="0"/>
                <w:sz w:val="21"/>
                <w:szCs w:val="21"/>
                <w:highlight w:val="none"/>
                <w:lang w:bidi="ar"/>
              </w:rPr>
              <w:t>货运</w:t>
            </w:r>
          </w:p>
          <w:p>
            <w:pPr>
              <w:keepNext w:val="0"/>
              <w:keepLines w:val="0"/>
              <w:pageBreakBefore w:val="0"/>
              <w:widowControl/>
              <w:kinsoku/>
              <w:wordWrap/>
              <w:overflowPunct/>
              <w:topLinePunct w:val="0"/>
              <w:autoSpaceDE/>
              <w:autoSpaceDN/>
              <w:bidi w:val="0"/>
              <w:adjustRightInd/>
              <w:snapToGrid/>
              <w:spacing w:line="240" w:lineRule="auto"/>
              <w:ind w:left="-120" w:leftChars="-50" w:right="-120" w:rightChars="-50" w:firstLine="0" w:firstLineChars="0"/>
              <w:jc w:val="center"/>
              <w:textAlignment w:val="center"/>
              <w:rPr>
                <w:rFonts w:hint="eastAsia" w:cs="等线" w:asciiTheme="minorEastAsia" w:hAnsiTheme="minorEastAsia" w:eastAsiaTheme="minorEastAsia"/>
                <w:color w:val="000000"/>
                <w:kern w:val="0"/>
                <w:sz w:val="21"/>
                <w:szCs w:val="21"/>
                <w:highlight w:val="none"/>
                <w:lang w:bidi="ar"/>
              </w:rPr>
            </w:pPr>
            <w:r>
              <w:rPr>
                <w:rFonts w:hint="eastAsia" w:cs="等线" w:asciiTheme="minorEastAsia" w:hAnsiTheme="minorEastAsia" w:eastAsiaTheme="minorEastAsia"/>
                <w:color w:val="000000"/>
                <w:kern w:val="0"/>
                <w:sz w:val="21"/>
                <w:szCs w:val="21"/>
                <w:highlight w:val="none"/>
                <w:lang w:bidi="ar"/>
              </w:rPr>
              <w:t>周转量</w:t>
            </w:r>
          </w:p>
          <w:p>
            <w:pPr>
              <w:keepNext w:val="0"/>
              <w:keepLines w:val="0"/>
              <w:pageBreakBefore w:val="0"/>
              <w:widowControl/>
              <w:kinsoku/>
              <w:wordWrap/>
              <w:overflowPunct/>
              <w:topLinePunct w:val="0"/>
              <w:autoSpaceDE/>
              <w:autoSpaceDN/>
              <w:bidi w:val="0"/>
              <w:adjustRightInd/>
              <w:snapToGrid/>
              <w:spacing w:line="240" w:lineRule="auto"/>
              <w:ind w:left="-120" w:leftChars="-50" w:right="-120" w:rightChars="-50" w:firstLine="0" w:firstLineChars="0"/>
              <w:jc w:val="center"/>
              <w:textAlignment w:val="center"/>
              <w:rPr>
                <w:rFonts w:cs="等线" w:asciiTheme="minorEastAsia" w:hAnsiTheme="minorEastAsia" w:eastAsiaTheme="minorEastAsia"/>
                <w:color w:val="000000"/>
                <w:sz w:val="21"/>
                <w:szCs w:val="21"/>
                <w:highlight w:val="none"/>
              </w:rPr>
            </w:pPr>
            <w:r>
              <w:rPr>
                <w:rFonts w:hint="eastAsia" w:cs="等线" w:asciiTheme="minorEastAsia" w:hAnsiTheme="minorEastAsia" w:eastAsiaTheme="minorEastAsia"/>
                <w:color w:val="000000"/>
                <w:kern w:val="0"/>
                <w:sz w:val="21"/>
                <w:szCs w:val="21"/>
                <w:lang w:bidi="ar"/>
              </w:rPr>
              <w:t>（万吨公里）</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highlight w:val="none"/>
              </w:rPr>
            </w:pPr>
            <w:r>
              <w:rPr>
                <w:rFonts w:hint="eastAsia" w:cs="等线" w:asciiTheme="minorEastAsia" w:hAnsiTheme="minorEastAsia" w:eastAsiaTheme="minorEastAsia"/>
                <w:color w:val="000000"/>
                <w:kern w:val="0"/>
                <w:sz w:val="21"/>
                <w:szCs w:val="21"/>
                <w:highlight w:val="none"/>
                <w:lang w:bidi="ar"/>
              </w:rPr>
              <w:t>百公里单耗</w:t>
            </w:r>
          </w:p>
        </w:tc>
        <w:tc>
          <w:tcPr>
            <w:tcW w:w="347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cs="等线" w:asciiTheme="minorEastAsia" w:hAnsiTheme="minorEastAsia" w:eastAsiaTheme="minorEastAsia"/>
                <w:color w:val="000000"/>
                <w:kern w:val="0"/>
                <w:sz w:val="21"/>
                <w:szCs w:val="21"/>
                <w:highlight w:val="none"/>
                <w:lang w:bidi="ar"/>
              </w:rPr>
            </w:pPr>
            <w:r>
              <w:rPr>
                <w:rFonts w:hint="eastAsia" w:cs="等线" w:asciiTheme="minorEastAsia" w:hAnsiTheme="minorEastAsia" w:eastAsiaTheme="minorEastAsia"/>
                <w:color w:val="000000"/>
                <w:kern w:val="0"/>
                <w:sz w:val="21"/>
                <w:szCs w:val="21"/>
                <w:highlight w:val="none"/>
                <w:lang w:bidi="ar"/>
              </w:rPr>
              <w:t>能源消耗量</w:t>
            </w: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kern w:val="0"/>
                <w:sz w:val="21"/>
                <w:szCs w:val="21"/>
                <w:highlight w:val="none"/>
                <w:lang w:bidi="ar"/>
              </w:rPr>
              <w:t>累计碳排放量（吨）</w:t>
            </w:r>
          </w:p>
        </w:tc>
      </w:tr>
      <w:tr>
        <w:tblPrEx>
          <w:tblCellMar>
            <w:top w:w="0" w:type="dxa"/>
            <w:left w:w="108" w:type="dxa"/>
            <w:bottom w:w="0" w:type="dxa"/>
            <w:right w:w="108" w:type="dxa"/>
          </w:tblCellMar>
        </w:tblPrEx>
        <w:trPr>
          <w:trHeight w:val="1709" w:hRule="atLeast"/>
        </w:trPr>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highlight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highlight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highlight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cs="等线" w:asciiTheme="minorEastAsia" w:hAnsiTheme="minorEastAsia" w:eastAsiaTheme="minorEastAsia"/>
                <w:color w:val="000000"/>
                <w:sz w:val="21"/>
                <w:szCs w:val="21"/>
                <w:highlight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highlight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highlight w:val="none"/>
              </w:rPr>
            </w:pPr>
            <w:r>
              <w:rPr>
                <w:rFonts w:hint="eastAsia" w:cs="等线" w:asciiTheme="minorEastAsia" w:hAnsiTheme="minorEastAsia" w:eastAsiaTheme="minorEastAsia"/>
                <w:color w:val="000000"/>
                <w:kern w:val="0"/>
                <w:sz w:val="21"/>
                <w:szCs w:val="21"/>
                <w:highlight w:val="none"/>
                <w:lang w:bidi="ar"/>
              </w:rPr>
              <w:t>累计里程</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highlight w:val="none"/>
              </w:rPr>
            </w:pPr>
            <w:r>
              <w:rPr>
                <w:rFonts w:hint="eastAsia" w:cs="等线" w:asciiTheme="minorEastAsia" w:hAnsiTheme="minorEastAsia" w:eastAsiaTheme="minorEastAsia"/>
                <w:color w:val="000000"/>
                <w:kern w:val="0"/>
                <w:sz w:val="21"/>
                <w:szCs w:val="21"/>
                <w:highlight w:val="none"/>
                <w:lang w:bidi="ar"/>
              </w:rPr>
              <w:t>京内里程</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highlight w:val="none"/>
              </w:rPr>
            </w:pPr>
            <w:r>
              <w:rPr>
                <w:rFonts w:hint="eastAsia" w:cs="等线" w:asciiTheme="minorEastAsia" w:hAnsiTheme="minorEastAsia" w:eastAsiaTheme="minorEastAsia"/>
                <w:color w:val="000000"/>
                <w:kern w:val="0"/>
                <w:sz w:val="21"/>
                <w:szCs w:val="21"/>
                <w:highlight w:val="none"/>
                <w:lang w:bidi="ar"/>
              </w:rPr>
              <w:t>天津、河北里程</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highlight w:val="none"/>
              </w:rPr>
            </w:pPr>
            <w:r>
              <w:rPr>
                <w:rFonts w:hint="eastAsia" w:cs="等线" w:asciiTheme="minorEastAsia" w:hAnsiTheme="minorEastAsia" w:eastAsiaTheme="minorEastAsia"/>
                <w:color w:val="000000"/>
                <w:kern w:val="0"/>
                <w:sz w:val="21"/>
                <w:szCs w:val="21"/>
                <w:highlight w:val="none"/>
                <w:lang w:bidi="ar"/>
              </w:rPr>
              <w:t>京津冀外里程</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highlight w:val="none"/>
              </w:rPr>
            </w:pPr>
            <w:r>
              <w:rPr>
                <w:rFonts w:hint="eastAsia" w:cs="等线" w:asciiTheme="minorEastAsia" w:hAnsiTheme="minorEastAsia" w:eastAsiaTheme="minorEastAsia"/>
                <w:color w:val="000000"/>
                <w:kern w:val="0"/>
                <w:sz w:val="21"/>
                <w:szCs w:val="21"/>
                <w:highlight w:val="none"/>
                <w:lang w:bidi="ar"/>
              </w:rPr>
              <w:t>数据获取方式</w:t>
            </w: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cs="等线" w:asciiTheme="minorEastAsia" w:hAnsiTheme="minorEastAsia" w:eastAsiaTheme="minorEastAsia"/>
                <w:color w:val="000000"/>
                <w:sz w:val="21"/>
                <w:szCs w:val="21"/>
                <w:highlight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cs="等线" w:asciiTheme="minorEastAsia" w:hAnsiTheme="minorEastAsia" w:eastAsiaTheme="minorEastAsia"/>
                <w:color w:val="000000"/>
                <w:sz w:val="21"/>
                <w:szCs w:val="21"/>
                <w:highlight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highlight w:val="none"/>
              </w:rPr>
            </w:pPr>
            <w:r>
              <w:rPr>
                <w:rFonts w:hint="eastAsia" w:cs="等线" w:asciiTheme="minorEastAsia" w:hAnsiTheme="minorEastAsia" w:eastAsiaTheme="minorEastAsia"/>
                <w:color w:val="000000"/>
                <w:kern w:val="0"/>
                <w:sz w:val="21"/>
                <w:szCs w:val="21"/>
                <w:highlight w:val="none"/>
                <w:lang w:bidi="ar"/>
              </w:rPr>
              <w:t>数据结果</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highlight w:val="none"/>
              </w:rPr>
            </w:pPr>
            <w:r>
              <w:rPr>
                <w:rFonts w:hint="eastAsia" w:cs="等线" w:asciiTheme="minorEastAsia" w:hAnsiTheme="minorEastAsia" w:eastAsiaTheme="minorEastAsia"/>
                <w:color w:val="000000"/>
                <w:kern w:val="0"/>
                <w:sz w:val="21"/>
                <w:szCs w:val="21"/>
                <w:highlight w:val="none"/>
                <w:lang w:bidi="ar"/>
              </w:rPr>
              <w:t>数据获取方式</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highlight w:val="none"/>
              </w:rPr>
            </w:pPr>
            <w:r>
              <w:rPr>
                <w:rFonts w:hint="eastAsia" w:cs="等线" w:asciiTheme="minorEastAsia" w:hAnsiTheme="minorEastAsia" w:eastAsiaTheme="minorEastAsia"/>
                <w:color w:val="000000"/>
                <w:kern w:val="0"/>
                <w:sz w:val="21"/>
                <w:szCs w:val="21"/>
                <w:lang w:bidi="ar"/>
              </w:rPr>
              <w:t>汽油（吨</w:t>
            </w:r>
            <w:r>
              <w:rPr>
                <w:rFonts w:hint="eastAsia" w:cs="等线" w:asciiTheme="minorEastAsia" w:hAnsiTheme="minorEastAsia" w:eastAsiaTheme="minorEastAsia"/>
                <w:color w:val="000000"/>
                <w:kern w:val="0"/>
                <w:sz w:val="21"/>
                <w:szCs w:val="21"/>
                <w:highlight w:val="none"/>
                <w:lang w:bidi="ar"/>
              </w:rPr>
              <w:t>）</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highlight w:val="none"/>
              </w:rPr>
            </w:pPr>
            <w:r>
              <w:rPr>
                <w:rFonts w:hint="eastAsia" w:cs="等线" w:asciiTheme="minorEastAsia" w:hAnsiTheme="minorEastAsia" w:eastAsiaTheme="minorEastAsia"/>
                <w:color w:val="000000"/>
                <w:kern w:val="0"/>
                <w:sz w:val="21"/>
                <w:szCs w:val="21"/>
                <w:lang w:bidi="ar"/>
              </w:rPr>
              <w:t>电（兆</w:t>
            </w:r>
            <w:r>
              <w:rPr>
                <w:rFonts w:hint="eastAsia" w:cs="等线" w:asciiTheme="minorEastAsia" w:hAnsiTheme="minorEastAsia" w:eastAsiaTheme="minorEastAsia"/>
                <w:color w:val="000000"/>
                <w:kern w:val="0"/>
                <w:sz w:val="21"/>
                <w:szCs w:val="21"/>
                <w:highlight w:val="none"/>
                <w:lang w:bidi="ar"/>
              </w:rPr>
              <w:t>瓦时）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highlight w:val="none"/>
              </w:rPr>
            </w:pPr>
            <w:r>
              <w:rPr>
                <w:rFonts w:hint="eastAsia" w:cs="等线" w:asciiTheme="minorEastAsia" w:hAnsiTheme="minorEastAsia" w:eastAsiaTheme="minorEastAsia"/>
                <w:color w:val="000000"/>
                <w:kern w:val="0"/>
                <w:sz w:val="21"/>
                <w:szCs w:val="21"/>
                <w:highlight w:val="none"/>
                <w:lang w:bidi="ar"/>
              </w:rPr>
              <w:t>天然气（</w:t>
            </w:r>
            <w:r>
              <w:rPr>
                <w:rFonts w:hint="eastAsia" w:cs="等线" w:asciiTheme="minorEastAsia" w:hAnsiTheme="minorEastAsia" w:eastAsiaTheme="minorEastAsia"/>
                <w:color w:val="000000"/>
                <w:kern w:val="0"/>
                <w:sz w:val="21"/>
                <w:szCs w:val="21"/>
                <w:lang w:bidi="ar"/>
              </w:rPr>
              <w:t>万</w:t>
            </w:r>
            <w:r>
              <w:rPr>
                <w:rFonts w:hint="eastAsia" w:cs="等线" w:asciiTheme="minorEastAsia" w:hAnsiTheme="minorEastAsia" w:eastAsiaTheme="minorEastAsia"/>
                <w:color w:val="000000"/>
                <w:kern w:val="0"/>
                <w:sz w:val="21"/>
                <w:szCs w:val="21"/>
                <w:highlight w:val="none"/>
                <w:lang w:bidi="ar"/>
              </w:rPr>
              <w:t>立方米）</w:t>
            </w:r>
          </w:p>
        </w:tc>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highlight w:val="none"/>
              </w:rPr>
            </w:pPr>
            <w:r>
              <w:rPr>
                <w:rFonts w:hint="eastAsia" w:cs="等线" w:asciiTheme="minorEastAsia" w:hAnsiTheme="minorEastAsia" w:eastAsiaTheme="minorEastAsia"/>
                <w:color w:val="000000"/>
                <w:kern w:val="0"/>
                <w:sz w:val="21"/>
                <w:szCs w:val="21"/>
                <w:highlight w:val="none"/>
                <w:lang w:bidi="ar"/>
              </w:rPr>
              <w:t>柴油（</w:t>
            </w:r>
            <w:r>
              <w:rPr>
                <w:rFonts w:hint="eastAsia" w:cs="等线" w:asciiTheme="minorEastAsia" w:hAnsiTheme="minorEastAsia" w:eastAsiaTheme="minorEastAsia"/>
                <w:color w:val="000000"/>
                <w:kern w:val="0"/>
                <w:sz w:val="21"/>
                <w:szCs w:val="21"/>
                <w:lang w:bidi="ar"/>
              </w:rPr>
              <w:t>吨</w:t>
            </w:r>
            <w:r>
              <w:rPr>
                <w:rFonts w:hint="eastAsia" w:cs="等线" w:asciiTheme="minorEastAsia" w:hAnsiTheme="minorEastAsia" w:eastAsiaTheme="minorEastAsia"/>
                <w:color w:val="000000"/>
                <w:kern w:val="0"/>
                <w:sz w:val="21"/>
                <w:szCs w:val="21"/>
                <w:highlight w:val="none"/>
                <w:lang w:bidi="ar"/>
              </w:rPr>
              <w:t>）</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cs="等线" w:asciiTheme="minorEastAsia" w:hAnsiTheme="minorEastAsia" w:eastAsiaTheme="minorEastAsia"/>
                <w:color w:val="000000"/>
                <w:kern w:val="0"/>
                <w:sz w:val="21"/>
                <w:szCs w:val="21"/>
                <w:highlight w:val="none"/>
                <w:lang w:bidi="ar"/>
              </w:rPr>
            </w:pPr>
            <w:r>
              <w:rPr>
                <w:rFonts w:hint="eastAsia" w:cs="宋体" w:asciiTheme="minorEastAsia" w:hAnsiTheme="minorEastAsia" w:eastAsiaTheme="minorEastAsia"/>
                <w:color w:val="000000"/>
                <w:kern w:val="0"/>
                <w:sz w:val="21"/>
                <w:szCs w:val="21"/>
                <w:highlight w:val="none"/>
                <w:lang w:bidi="ar"/>
              </w:rPr>
              <w:t>车用尿素溶液（吨）</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left"/>
              <w:textAlignment w:val="center"/>
              <w:rPr>
                <w:rFonts w:cs="宋体" w:asciiTheme="minorEastAsia" w:hAnsiTheme="minorEastAsia" w:eastAsiaTheme="minorEastAsia"/>
                <w:color w:val="000000"/>
                <w:sz w:val="21"/>
                <w:szCs w:val="21"/>
                <w:highlight w:val="none"/>
              </w:rPr>
            </w:pPr>
            <w:r>
              <w:rPr>
                <w:rFonts w:hint="eastAsia" w:cs="宋体" w:asciiTheme="minorEastAsia" w:hAnsiTheme="minorEastAsia" w:eastAsiaTheme="minorEastAsia"/>
                <w:color w:val="000000"/>
                <w:kern w:val="0"/>
                <w:sz w:val="21"/>
                <w:szCs w:val="21"/>
                <w:highlight w:val="none"/>
                <w:lang w:bidi="ar"/>
              </w:rPr>
              <w:t>数据获取方式</w:t>
            </w: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cs="宋体" w:asciiTheme="minorEastAsia" w:hAnsiTheme="minorEastAsia" w:eastAsiaTheme="minorEastAsia"/>
                <w:color w:val="000000"/>
                <w:sz w:val="21"/>
                <w:szCs w:val="21"/>
              </w:rPr>
            </w:pPr>
          </w:p>
        </w:tc>
      </w:tr>
      <w:tr>
        <w:tblPrEx>
          <w:tblCellMar>
            <w:top w:w="0" w:type="dxa"/>
            <w:left w:w="108" w:type="dxa"/>
            <w:bottom w:w="0" w:type="dxa"/>
            <w:right w:w="108" w:type="dxa"/>
          </w:tblCellMar>
        </w:tblPrEx>
        <w:trPr>
          <w:trHeight w:val="632" w:hRule="atLeast"/>
        </w:trPr>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kern w:val="0"/>
                <w:sz w:val="21"/>
                <w:szCs w:val="21"/>
                <w:lang w:bidi="ar"/>
              </w:rPr>
              <w:t>1</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cs="宋体" w:asciiTheme="minorEastAsia" w:hAnsiTheme="minorEastAsia" w:eastAsiaTheme="minorEastAsia"/>
                <w:color w:val="000000"/>
                <w:sz w:val="21"/>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cs="宋体" w:asciiTheme="minorEastAsia" w:hAnsiTheme="minorEastAsia" w:eastAsiaTheme="minorEastAsia"/>
                <w:color w:val="000000"/>
                <w:sz w:val="21"/>
                <w:szCs w:val="21"/>
              </w:rPr>
            </w:pPr>
          </w:p>
        </w:tc>
      </w:tr>
      <w:tr>
        <w:tblPrEx>
          <w:tblCellMar>
            <w:top w:w="0" w:type="dxa"/>
            <w:left w:w="108" w:type="dxa"/>
            <w:bottom w:w="0" w:type="dxa"/>
            <w:right w:w="108" w:type="dxa"/>
          </w:tblCellMar>
        </w:tblPrEx>
        <w:trPr>
          <w:trHeight w:val="632" w:hRule="atLeast"/>
        </w:trPr>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kern w:val="0"/>
                <w:sz w:val="21"/>
                <w:szCs w:val="21"/>
                <w:lang w:bidi="ar"/>
              </w:rPr>
              <w:t>2</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cs="宋体" w:asciiTheme="minorEastAsia" w:hAnsiTheme="minorEastAsia" w:eastAsiaTheme="minorEastAsia"/>
                <w:color w:val="000000"/>
                <w:sz w:val="21"/>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cs="宋体" w:asciiTheme="minorEastAsia" w:hAnsiTheme="minorEastAsia" w:eastAsiaTheme="minorEastAsia"/>
                <w:color w:val="000000"/>
                <w:sz w:val="21"/>
                <w:szCs w:val="21"/>
              </w:rPr>
            </w:pPr>
          </w:p>
        </w:tc>
      </w:tr>
      <w:tr>
        <w:tblPrEx>
          <w:tblCellMar>
            <w:top w:w="0" w:type="dxa"/>
            <w:left w:w="108" w:type="dxa"/>
            <w:bottom w:w="0" w:type="dxa"/>
            <w:right w:w="108" w:type="dxa"/>
          </w:tblCellMar>
        </w:tblPrEx>
        <w:trPr>
          <w:trHeight w:val="632" w:hRule="atLeast"/>
        </w:trPr>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kern w:val="0"/>
                <w:sz w:val="21"/>
                <w:szCs w:val="21"/>
                <w:lang w:bidi="ar"/>
              </w:rPr>
              <w:t>3</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cs="宋体" w:asciiTheme="minorEastAsia" w:hAnsiTheme="minorEastAsia" w:eastAsiaTheme="minorEastAsia"/>
                <w:color w:val="000000"/>
                <w:sz w:val="21"/>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cs="宋体" w:asciiTheme="minorEastAsia" w:hAnsiTheme="minorEastAsia" w:eastAsiaTheme="minorEastAsia"/>
                <w:color w:val="000000"/>
                <w:sz w:val="21"/>
                <w:szCs w:val="21"/>
              </w:rPr>
            </w:pPr>
          </w:p>
        </w:tc>
      </w:tr>
      <w:tr>
        <w:tblPrEx>
          <w:tblCellMar>
            <w:top w:w="0" w:type="dxa"/>
            <w:left w:w="108" w:type="dxa"/>
            <w:bottom w:w="0" w:type="dxa"/>
            <w:right w:w="108" w:type="dxa"/>
          </w:tblCellMar>
        </w:tblPrEx>
        <w:trPr>
          <w:trHeight w:val="632" w:hRule="atLeast"/>
        </w:trPr>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cs="等线" w:asciiTheme="minorEastAsia" w:hAnsiTheme="minorEastAsia" w:eastAsiaTheme="minorEastAsia"/>
                <w:color w:val="000000"/>
                <w:sz w:val="21"/>
                <w:szCs w:val="21"/>
              </w:rPr>
            </w:pPr>
            <w:r>
              <w:rPr>
                <w:rFonts w:hint="eastAsia" w:cs="等线" w:asciiTheme="minorEastAsia" w:hAnsiTheme="minorEastAsia" w:eastAsiaTheme="minorEastAsia"/>
                <w:color w:val="000000"/>
                <w:kern w:val="0"/>
                <w:sz w:val="21"/>
                <w:szCs w:val="21"/>
                <w:lang w:bidi="ar"/>
              </w:rPr>
              <w:t>合计</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jc w:val="center"/>
              <w:rPr>
                <w:rFonts w:cs="等线" w:asciiTheme="minorEastAsia" w:hAnsiTheme="minorEastAsia" w:eastAsiaTheme="minorEastAsia"/>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cs="宋体" w:asciiTheme="minorEastAsia" w:hAnsiTheme="minorEastAsia" w:eastAsiaTheme="minorEastAsia"/>
                <w:color w:val="000000"/>
                <w:sz w:val="21"/>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0" w:firstLineChars="0"/>
              <w:rPr>
                <w:rFonts w:cs="宋体" w:asciiTheme="minorEastAsia" w:hAnsiTheme="minorEastAsia" w:eastAsiaTheme="minorEastAsia"/>
                <w:color w:val="000000"/>
                <w:sz w:val="21"/>
                <w:szCs w:val="21"/>
              </w:rPr>
            </w:pPr>
          </w:p>
        </w:tc>
      </w:tr>
    </w:tbl>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hint="eastAsia"/>
          <w:bCs/>
          <w:sz w:val="21"/>
          <w:szCs w:val="21"/>
        </w:rPr>
      </w:pPr>
      <w:r>
        <w:rPr>
          <w:rFonts w:hint="eastAsia"/>
          <w:bCs/>
          <w:sz w:val="21"/>
          <w:szCs w:val="21"/>
        </w:rPr>
        <w:t>填报说明：</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asciiTheme="minorEastAsia" w:hAnsiTheme="minorEastAsia" w:eastAsiaTheme="minorEastAsia"/>
          <w:b w:val="0"/>
          <w:bCs/>
          <w:sz w:val="21"/>
          <w:szCs w:val="21"/>
        </w:rPr>
        <w:t>1.车辆型</w:t>
      </w:r>
      <w:r>
        <w:rPr>
          <w:rFonts w:ascii="宋体" w:hAnsi="宋体" w:eastAsia="宋体"/>
          <w:b w:val="0"/>
          <w:bCs/>
          <w:sz w:val="21"/>
          <w:szCs w:val="21"/>
        </w:rPr>
        <w:t xml:space="preserve">号：按照车辆的实际品牌及车辆型号填写，如宇通T7; </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ascii="宋体" w:hAnsi="宋体" w:eastAsia="宋体"/>
          <w:b w:val="0"/>
          <w:bCs/>
          <w:sz w:val="21"/>
          <w:szCs w:val="21"/>
        </w:rPr>
        <w:t>2.车辆排放标准：按照车辆实际的排放标准进行填写，，例如国Ⅵ、国Ⅴ；</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ascii="宋体" w:hAnsi="宋体" w:eastAsia="宋体"/>
          <w:b w:val="0"/>
          <w:bCs/>
          <w:sz w:val="21"/>
          <w:szCs w:val="21"/>
        </w:rPr>
        <w:t>3.总质量：按照车辆的实际总质量填写，如4.49吨、18吨、35吨</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ascii="宋体" w:hAnsi="宋体" w:eastAsia="宋体"/>
          <w:b w:val="0"/>
          <w:bCs/>
          <w:sz w:val="21"/>
          <w:szCs w:val="21"/>
        </w:rPr>
        <w:t>4.车辆数量：填写登记注册在企业名下每种车型及排放标准的车辆保有量;</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ascii="宋体" w:hAnsi="宋体" w:eastAsia="宋体"/>
          <w:b w:val="0"/>
          <w:bCs/>
          <w:sz w:val="21"/>
          <w:szCs w:val="21"/>
        </w:rPr>
        <w:t>5.安装SCR车辆数：填写登记注册在企业名下车辆中安装了SCR设备的车辆保有量</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ascii="宋体" w:hAnsi="宋体" w:eastAsia="宋体"/>
          <w:b w:val="0"/>
          <w:bCs/>
          <w:sz w:val="21"/>
          <w:szCs w:val="21"/>
        </w:rPr>
        <w:t>6.能源类型：填写每种车型及排放标准的车辆对应燃料种类，如柴油、汽油、天然气、电力;</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ascii="宋体" w:hAnsi="宋体" w:eastAsia="宋体"/>
          <w:b w:val="0"/>
          <w:bCs/>
          <w:sz w:val="21"/>
          <w:szCs w:val="21"/>
        </w:rPr>
        <w:t>7.年度累计行驶里程（公里）：</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hint="eastAsia" w:ascii="宋体" w:hAnsi="宋体" w:eastAsia="宋体"/>
          <w:b w:val="0"/>
          <w:bCs/>
          <w:sz w:val="21"/>
          <w:szCs w:val="21"/>
        </w:rPr>
        <w:t>（</w:t>
      </w:r>
      <w:r>
        <w:rPr>
          <w:rFonts w:ascii="宋体" w:hAnsi="宋体" w:eastAsia="宋体"/>
          <w:b w:val="0"/>
          <w:bCs/>
          <w:sz w:val="21"/>
          <w:szCs w:val="21"/>
        </w:rPr>
        <w:t>1）累计里程：企业旗下车辆单车在全国范围内运行的全部里程合计；</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hint="eastAsia" w:ascii="宋体" w:hAnsi="宋体" w:eastAsia="宋体"/>
          <w:b w:val="0"/>
          <w:bCs/>
          <w:sz w:val="21"/>
          <w:szCs w:val="21"/>
        </w:rPr>
        <w:t>（</w:t>
      </w:r>
      <w:r>
        <w:rPr>
          <w:rFonts w:ascii="宋体" w:hAnsi="宋体" w:eastAsia="宋体"/>
          <w:b w:val="0"/>
          <w:bCs/>
          <w:sz w:val="21"/>
          <w:szCs w:val="21"/>
        </w:rPr>
        <w:t>2）京内里程：企业旗下车辆单车在北京市域范围内运行的全部里程合计；</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hint="eastAsia" w:ascii="宋体" w:hAnsi="宋体" w:eastAsia="宋体"/>
          <w:b w:val="0"/>
          <w:bCs/>
          <w:sz w:val="21"/>
          <w:szCs w:val="21"/>
        </w:rPr>
        <w:t>（</w:t>
      </w:r>
      <w:r>
        <w:rPr>
          <w:rFonts w:ascii="宋体" w:hAnsi="宋体" w:eastAsia="宋体"/>
          <w:b w:val="0"/>
          <w:bCs/>
          <w:sz w:val="21"/>
          <w:szCs w:val="21"/>
        </w:rPr>
        <w:t>3）天津、河北里程：企业旗下车辆单车在天津市及河北省域范围内运行的全部里程合计；</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hint="eastAsia" w:ascii="宋体" w:hAnsi="宋体" w:eastAsia="宋体"/>
          <w:b w:val="0"/>
          <w:bCs/>
          <w:sz w:val="21"/>
          <w:szCs w:val="21"/>
        </w:rPr>
        <w:t>（</w:t>
      </w:r>
      <w:r>
        <w:rPr>
          <w:rFonts w:ascii="宋体" w:hAnsi="宋体" w:eastAsia="宋体"/>
          <w:b w:val="0"/>
          <w:bCs/>
          <w:sz w:val="21"/>
          <w:szCs w:val="21"/>
        </w:rPr>
        <w:t>4）京津冀外里程：企业旗下车辆单车在全国除北京市、天津市、河北省域范围外运行的全部里程合计；</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hint="eastAsia" w:ascii="宋体" w:hAnsi="宋体" w:eastAsia="宋体"/>
          <w:b w:val="0"/>
          <w:bCs/>
          <w:sz w:val="21"/>
          <w:szCs w:val="21"/>
        </w:rPr>
        <w:t>（</w:t>
      </w:r>
      <w:r>
        <w:rPr>
          <w:rFonts w:ascii="宋体" w:hAnsi="宋体" w:eastAsia="宋体"/>
          <w:b w:val="0"/>
          <w:bCs/>
          <w:sz w:val="21"/>
          <w:szCs w:val="21"/>
        </w:rPr>
        <w:t>5）数据获取方式：</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hint="eastAsia" w:ascii="宋体" w:hAnsi="宋体" w:eastAsia="宋体"/>
          <w:b w:val="0"/>
          <w:bCs/>
          <w:sz w:val="21"/>
          <w:szCs w:val="21"/>
        </w:rPr>
        <w:t>①企业通过自有单车级大数据监控平台获取得到的单车级车辆行驶里程；</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hint="eastAsia" w:ascii="宋体" w:hAnsi="宋体" w:eastAsia="宋体"/>
          <w:b w:val="0"/>
          <w:bCs/>
          <w:sz w:val="21"/>
          <w:szCs w:val="21"/>
        </w:rPr>
        <w:t>②企业通过对旗下车辆仪表盘进行抄表统计获得的单车级车辆行驶里程；</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ascii="宋体" w:hAnsi="宋体" w:eastAsia="宋体"/>
          <w:b w:val="0"/>
          <w:bCs/>
          <w:sz w:val="21"/>
          <w:szCs w:val="21"/>
        </w:rPr>
        <w:t>8.货运量：填报公路运输企业旗下所有车辆在每年度内实际运送的货物运输总量（吨）;</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ascii="宋体" w:hAnsi="宋体" w:eastAsia="宋体"/>
          <w:b w:val="0"/>
          <w:bCs/>
          <w:sz w:val="21"/>
          <w:szCs w:val="21"/>
        </w:rPr>
        <w:t>9.货运周转量：填报公路运输企业旗下所有车辆在每年度内实际运送的货物运输总量指标（吨公里），基于货运量及平均运距乘积得到；</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ascii="宋体" w:hAnsi="宋体" w:eastAsia="宋体"/>
          <w:b w:val="0"/>
          <w:bCs/>
          <w:sz w:val="21"/>
          <w:szCs w:val="21"/>
        </w:rPr>
        <w:t>10.百公里单耗：</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hint="eastAsia" w:ascii="宋体" w:hAnsi="宋体" w:eastAsia="宋体"/>
          <w:b w:val="0"/>
          <w:bCs/>
          <w:sz w:val="21"/>
          <w:szCs w:val="21"/>
        </w:rPr>
        <w:t>（</w:t>
      </w:r>
      <w:r>
        <w:rPr>
          <w:rFonts w:ascii="宋体" w:hAnsi="宋体" w:eastAsia="宋体"/>
          <w:b w:val="0"/>
          <w:bCs/>
          <w:sz w:val="21"/>
          <w:szCs w:val="21"/>
        </w:rPr>
        <w:t>1）百公里单耗数据结果：填报企业企业车辆（单车级）在运行单位距离（通常标定为100公里）时产生的能源消耗量，单位主要是：kg/百公里、立方米/百公里、千瓦时/百公里（企业如统计汽油、柴油车辆百公里单耗时统计单位为升时，可按照汽油0.73kg/L,柴油0.86kg/L进行单位换算）</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hint="eastAsia" w:ascii="宋体" w:hAnsi="宋体" w:eastAsia="宋体"/>
          <w:b w:val="0"/>
          <w:bCs/>
          <w:sz w:val="21"/>
          <w:szCs w:val="21"/>
        </w:rPr>
        <w:t>（</w:t>
      </w:r>
      <w:r>
        <w:rPr>
          <w:rFonts w:ascii="宋体" w:hAnsi="宋体" w:eastAsia="宋体"/>
          <w:b w:val="0"/>
          <w:bCs/>
          <w:sz w:val="21"/>
          <w:szCs w:val="21"/>
        </w:rPr>
        <w:t>2）数据获取方式：</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hint="eastAsia" w:ascii="宋体" w:hAnsi="宋体" w:eastAsia="宋体"/>
          <w:b w:val="0"/>
          <w:bCs/>
          <w:sz w:val="21"/>
          <w:szCs w:val="21"/>
        </w:rPr>
        <w:t>①企业通过自有单车级大数据监控平台获取得到的单车级车辆百公里能耗；</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ascii="宋体" w:hAnsi="宋体" w:eastAsia="宋体"/>
          <w:b w:val="0"/>
          <w:bCs/>
          <w:sz w:val="21"/>
          <w:szCs w:val="21"/>
        </w:rPr>
        <w:t>11.能源消耗量：</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hint="eastAsia" w:ascii="宋体" w:hAnsi="宋体" w:eastAsia="宋体"/>
          <w:b w:val="0"/>
          <w:bCs/>
          <w:sz w:val="21"/>
          <w:szCs w:val="21"/>
        </w:rPr>
        <w:t>（</w:t>
      </w:r>
      <w:r>
        <w:rPr>
          <w:rFonts w:ascii="宋体" w:hAnsi="宋体" w:eastAsia="宋体"/>
          <w:b w:val="0"/>
          <w:bCs/>
          <w:sz w:val="21"/>
          <w:szCs w:val="21"/>
        </w:rPr>
        <w:t>1）能源消耗量：填报企业旗下车辆因运行而产生的能源消耗总量，按照车辆对应的能源类型，将实际的能源消耗量填写到对应的格内，单位主要是：吨、立方米、千瓦时（企业如统计汽油、柴油时统计单位为升时，可按照汽油0.73kg/L,柴油0.86kg/L进行单位换算）；</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hint="eastAsia" w:ascii="宋体" w:hAnsi="宋体" w:eastAsia="宋体"/>
          <w:b w:val="0"/>
          <w:bCs/>
          <w:sz w:val="21"/>
          <w:szCs w:val="21"/>
        </w:rPr>
        <w:t>（</w:t>
      </w:r>
      <w:r>
        <w:rPr>
          <w:rFonts w:ascii="宋体" w:hAnsi="宋体" w:eastAsia="宋体"/>
          <w:b w:val="0"/>
          <w:bCs/>
          <w:sz w:val="21"/>
          <w:szCs w:val="21"/>
        </w:rPr>
        <w:t>2）数据获取方式：</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hint="eastAsia" w:ascii="宋体" w:hAnsi="宋体" w:eastAsia="宋体"/>
          <w:b w:val="0"/>
          <w:bCs/>
          <w:sz w:val="21"/>
          <w:szCs w:val="21"/>
        </w:rPr>
        <w:t>①基于单车级的能源消耗量统计手段进行能源消耗统计，一车一卡或一车一个充电账号等手段获取；</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宋体" w:hAnsi="宋体" w:eastAsia="宋体"/>
          <w:b w:val="0"/>
          <w:bCs/>
          <w:sz w:val="21"/>
          <w:szCs w:val="21"/>
        </w:rPr>
      </w:pPr>
      <w:r>
        <w:rPr>
          <w:rFonts w:hint="eastAsia" w:ascii="宋体" w:hAnsi="宋体" w:eastAsia="宋体"/>
          <w:b w:val="0"/>
          <w:bCs/>
          <w:sz w:val="21"/>
          <w:szCs w:val="21"/>
        </w:rPr>
        <w:t>②基于单车级的车辆行驶里程与百公里单耗数据结果计算得到；</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ascii="黑体" w:hAnsi="黑体" w:eastAsia="黑体"/>
          <w:bCs/>
          <w:sz w:val="32"/>
          <w:szCs w:val="28"/>
        </w:rPr>
        <w:sectPr>
          <w:footerReference r:id="rId13" w:type="default"/>
          <w:pgSz w:w="16838" w:h="11906" w:orient="landscape"/>
          <w:pgMar w:top="1587" w:right="1440" w:bottom="1474" w:left="1440" w:header="851" w:footer="992" w:gutter="0"/>
          <w:pgNumType w:fmt="decimal"/>
          <w:cols w:space="425" w:num="1"/>
          <w:docGrid w:linePitch="326" w:charSpace="0"/>
        </w:sectPr>
      </w:pPr>
      <w:r>
        <w:rPr>
          <w:rFonts w:ascii="宋体" w:hAnsi="宋体" w:eastAsia="宋体"/>
          <w:b w:val="0"/>
          <w:bCs/>
          <w:sz w:val="21"/>
          <w:szCs w:val="21"/>
        </w:rPr>
        <w:t>12.累计碳排放量：由统计得到的车辆运行能耗及每种能源类型对应的碳排放因子转换系数计算得到</w:t>
      </w:r>
      <w:r>
        <w:rPr>
          <w:rFonts w:hint="eastAsia"/>
          <w:bCs/>
          <w:sz w:val="21"/>
          <w:szCs w:val="21"/>
        </w:rPr>
        <w:t>。</w:t>
      </w:r>
    </w:p>
    <w:p>
      <w:pPr>
        <w:ind w:firstLine="0" w:firstLineChars="0"/>
        <w:rPr>
          <w:rFonts w:ascii="黑体" w:hAnsi="黑体" w:eastAsia="黑体"/>
          <w:bCs/>
          <w:sz w:val="32"/>
          <w:szCs w:val="28"/>
        </w:rPr>
      </w:pPr>
      <w:r>
        <w:rPr>
          <w:rFonts w:hint="eastAsia" w:ascii="黑体" w:hAnsi="黑体" w:eastAsia="黑体"/>
          <w:bCs/>
          <w:sz w:val="32"/>
          <w:szCs w:val="28"/>
        </w:rPr>
        <w:t>附件</w:t>
      </w:r>
      <w:r>
        <w:rPr>
          <w:rFonts w:ascii="黑体" w:hAnsi="黑体" w:eastAsia="黑体"/>
          <w:bCs/>
          <w:sz w:val="32"/>
          <w:szCs w:val="28"/>
        </w:rPr>
        <w:t>2</w:t>
      </w:r>
    </w:p>
    <w:p>
      <w:pPr>
        <w:ind w:firstLine="0" w:firstLineChars="0"/>
        <w:rPr>
          <w:rFonts w:ascii="黑体" w:hAnsi="黑体" w:eastAsia="黑体"/>
          <w:bCs/>
          <w:sz w:val="32"/>
          <w:szCs w:val="28"/>
        </w:rPr>
      </w:pPr>
    </w:p>
    <w:p>
      <w:pPr>
        <w:ind w:firstLine="480" w:firstLineChars="150"/>
        <w:jc w:val="center"/>
        <w:rPr>
          <w:rFonts w:ascii="黑体" w:hAnsi="黑体" w:eastAsia="黑体"/>
          <w:bCs/>
          <w:sz w:val="32"/>
          <w:szCs w:val="28"/>
        </w:rPr>
      </w:pPr>
      <w:r>
        <w:rPr>
          <w:rFonts w:hint="eastAsia" w:ascii="黑体" w:hAnsi="黑体" w:eastAsia="黑体"/>
          <w:bCs/>
          <w:sz w:val="32"/>
          <w:szCs w:val="28"/>
        </w:rPr>
        <w:t>民用航空运输</w:t>
      </w:r>
      <w:r>
        <w:rPr>
          <w:rFonts w:ascii="黑体" w:hAnsi="黑体" w:eastAsia="黑体"/>
          <w:bCs/>
          <w:sz w:val="32"/>
          <w:szCs w:val="28"/>
        </w:rPr>
        <w:t>企业排放核算和报告</w:t>
      </w:r>
      <w:bookmarkEnd w:id="16"/>
      <w:bookmarkEnd w:id="17"/>
      <w:r>
        <w:rPr>
          <w:rFonts w:hint="eastAsia" w:ascii="黑体" w:hAnsi="黑体" w:eastAsia="黑体"/>
          <w:bCs/>
          <w:sz w:val="32"/>
          <w:szCs w:val="28"/>
        </w:rPr>
        <w:t>要求</w:t>
      </w:r>
    </w:p>
    <w:p>
      <w:pPr>
        <w:adjustRightInd w:val="0"/>
        <w:snapToGrid w:val="0"/>
        <w:ind w:firstLine="480" w:firstLineChars="200"/>
        <w:rPr>
          <w:rFonts w:hint="eastAsia" w:ascii="Times New Roman" w:hAnsi="Times New Roman"/>
        </w:rPr>
      </w:pPr>
    </w:p>
    <w:p>
      <w:pPr>
        <w:adjustRightInd w:val="0"/>
        <w:snapToGrid w:val="0"/>
        <w:ind w:firstLine="480" w:firstLineChars="200"/>
        <w:rPr>
          <w:rFonts w:ascii="Times New Roman" w:hAnsi="Times New Roman"/>
        </w:rPr>
      </w:pPr>
      <w:r>
        <w:rPr>
          <w:rFonts w:hint="eastAsia" w:ascii="Times New Roman" w:hAnsi="Times New Roman"/>
        </w:rPr>
        <w:t>本部分核算方法和报告格式适用以北京市为注册地的航空客货运输、</w:t>
      </w:r>
      <w:r>
        <w:rPr>
          <w:rFonts w:ascii="Times New Roman" w:hAnsi="Times New Roman"/>
        </w:rPr>
        <w:t>通用航空运输</w:t>
      </w:r>
      <w:r>
        <w:rPr>
          <w:rFonts w:hint="eastAsia" w:ascii="Times New Roman" w:hAnsi="Times New Roman"/>
        </w:rPr>
        <w:t>两类民用航空运输企业，根据《国民经济行业分类（</w:t>
      </w:r>
      <w:r>
        <w:rPr>
          <w:rFonts w:ascii="Times New Roman" w:hAnsi="Times New Roman"/>
        </w:rPr>
        <w:t>GB/T4754-2017</w:t>
      </w:r>
      <w:r>
        <w:rPr>
          <w:rFonts w:hint="eastAsia" w:ascii="Times New Roman" w:hAnsi="Times New Roman"/>
        </w:rPr>
        <w:t>）》，其行业代码分别为</w:t>
      </w:r>
      <w:r>
        <w:rPr>
          <w:rFonts w:ascii="Times New Roman" w:hAnsi="Times New Roman"/>
        </w:rPr>
        <w:t>561</w:t>
      </w:r>
      <w:r>
        <w:rPr>
          <w:rFonts w:hint="eastAsia" w:ascii="Times New Roman" w:hAnsi="Times New Roman"/>
        </w:rPr>
        <w:t>和</w:t>
      </w:r>
      <w:r>
        <w:rPr>
          <w:rFonts w:ascii="Times New Roman" w:hAnsi="Times New Roman"/>
        </w:rPr>
        <w:t>562</w:t>
      </w:r>
      <w:r>
        <w:rPr>
          <w:rFonts w:hint="eastAsia" w:ascii="Times New Roman" w:hAnsi="Times New Roman"/>
        </w:rPr>
        <w:t>，其中行业代码为562的通用航空运输企业按照本部分通航相关要求执行。</w:t>
      </w:r>
    </w:p>
    <w:p>
      <w:pPr>
        <w:adjustRightInd w:val="0"/>
        <w:snapToGrid w:val="0"/>
        <w:spacing w:line="420" w:lineRule="exact"/>
        <w:ind w:firstLine="480" w:firstLineChars="200"/>
        <w:rPr>
          <w:rFonts w:ascii="Times New Roman" w:hAnsi="Times New Roman"/>
        </w:rPr>
      </w:pPr>
      <w:r>
        <w:rPr>
          <w:rFonts w:hint="eastAsia" w:ascii="Times New Roman" w:hAnsi="Times New Roman"/>
        </w:rPr>
        <w:t>民用航空运输企业</w:t>
      </w:r>
      <w:r>
        <w:rPr>
          <w:rFonts w:ascii="Times New Roman" w:hAnsi="Times New Roman"/>
        </w:rPr>
        <w:t>应以企业为法人边界</w:t>
      </w:r>
      <w:r>
        <w:rPr>
          <w:rFonts w:hint="eastAsia" w:ascii="Times New Roman" w:hAnsi="Times New Roman"/>
        </w:rPr>
        <w:t>，</w:t>
      </w:r>
      <w:r>
        <w:rPr>
          <w:rFonts w:ascii="Times New Roman" w:hAnsi="Times New Roman"/>
        </w:rPr>
        <w:t>核算企业边界内</w:t>
      </w:r>
      <w:r>
        <w:rPr>
          <w:rFonts w:hint="eastAsia" w:ascii="Times New Roman" w:hAnsi="Times New Roman"/>
        </w:rPr>
        <w:t>所有设施</w:t>
      </w:r>
      <w:r>
        <w:rPr>
          <w:rFonts w:ascii="Times New Roman" w:hAnsi="Times New Roman"/>
        </w:rPr>
        <w:t>产生的二氧化碳排放，同时</w:t>
      </w:r>
      <w:r>
        <w:rPr>
          <w:rFonts w:hint="eastAsia" w:ascii="Times New Roman" w:hAnsi="Times New Roman"/>
        </w:rPr>
        <w:t>应</w:t>
      </w:r>
      <w:r>
        <w:rPr>
          <w:rFonts w:ascii="Times New Roman" w:hAnsi="Times New Roman"/>
        </w:rPr>
        <w:t>避免重复计算和漏算</w:t>
      </w:r>
      <w:r>
        <w:rPr>
          <w:rFonts w:hint="eastAsia" w:ascii="Times New Roman" w:hAnsi="Times New Roman"/>
        </w:rPr>
        <w:t>。</w:t>
      </w:r>
      <w:r>
        <w:rPr>
          <w:rFonts w:ascii="Times New Roman" w:hAnsi="Times New Roman"/>
        </w:rPr>
        <w:t>如果</w:t>
      </w:r>
      <w:r>
        <w:rPr>
          <w:rFonts w:hint="eastAsia" w:ascii="Times New Roman" w:hAnsi="Times New Roman"/>
        </w:rPr>
        <w:t>企业</w:t>
      </w:r>
      <w:r>
        <w:rPr>
          <w:rFonts w:ascii="Times New Roman" w:hAnsi="Times New Roman"/>
        </w:rPr>
        <w:t>除</w:t>
      </w:r>
      <w:r>
        <w:rPr>
          <w:rFonts w:hint="eastAsia" w:ascii="Times New Roman" w:hAnsi="Times New Roman"/>
        </w:rPr>
        <w:t>航空器</w:t>
      </w:r>
      <w:r>
        <w:rPr>
          <w:rFonts w:ascii="Times New Roman" w:hAnsi="Times New Roman"/>
        </w:rPr>
        <w:t>外，还存在其他生产活动且存在</w:t>
      </w:r>
      <w:r>
        <w:rPr>
          <w:rFonts w:hint="eastAsia" w:ascii="Times New Roman" w:hAnsi="Times New Roman"/>
        </w:rPr>
        <w:t>二氧化碳</w:t>
      </w:r>
      <w:r>
        <w:rPr>
          <w:rFonts w:ascii="Times New Roman" w:hAnsi="Times New Roman"/>
        </w:rPr>
        <w:t>排放的</w:t>
      </w:r>
      <w:r>
        <w:rPr>
          <w:rFonts w:hint="eastAsia" w:ascii="Times New Roman" w:hAnsi="Times New Roman"/>
        </w:rPr>
        <w:t>，</w:t>
      </w:r>
      <w:r>
        <w:rPr>
          <w:rFonts w:ascii="Times New Roman" w:hAnsi="Times New Roman"/>
        </w:rPr>
        <w:t>则</w:t>
      </w:r>
      <w:r>
        <w:rPr>
          <w:rFonts w:hint="eastAsia" w:ascii="Times New Roman" w:hAnsi="Times New Roman"/>
        </w:rPr>
        <w:t>应</w:t>
      </w:r>
      <w:r>
        <w:rPr>
          <w:rFonts w:ascii="Times New Roman" w:hAnsi="Times New Roman"/>
        </w:rPr>
        <w:t>参照相关行业企业的二氧化碳排放核算</w:t>
      </w:r>
      <w:r>
        <w:rPr>
          <w:rFonts w:hint="eastAsia" w:ascii="Times New Roman" w:hAnsi="Times New Roman"/>
        </w:rPr>
        <w:t>和</w:t>
      </w:r>
      <w:r>
        <w:rPr>
          <w:rFonts w:ascii="Times New Roman" w:hAnsi="Times New Roman"/>
        </w:rPr>
        <w:t>报告指南核算</w:t>
      </w:r>
      <w:r>
        <w:rPr>
          <w:rFonts w:hint="eastAsia" w:ascii="Times New Roman" w:hAnsi="Times New Roman"/>
        </w:rPr>
        <w:t>并</w:t>
      </w:r>
      <w:r>
        <w:rPr>
          <w:rFonts w:ascii="Times New Roman" w:hAnsi="Times New Roman"/>
        </w:rPr>
        <w:t>报告</w:t>
      </w:r>
      <w:r>
        <w:rPr>
          <w:rFonts w:hint="eastAsia" w:ascii="Times New Roman" w:hAnsi="Times New Roman"/>
        </w:rPr>
        <w:t>其</w:t>
      </w:r>
      <w:r>
        <w:rPr>
          <w:rFonts w:ascii="Times New Roman" w:hAnsi="Times New Roman"/>
        </w:rPr>
        <w:t>二氧化碳排放。</w:t>
      </w:r>
    </w:p>
    <w:p>
      <w:pPr>
        <w:adjustRightInd w:val="0"/>
        <w:snapToGrid w:val="0"/>
        <w:ind w:firstLine="480" w:firstLineChars="200"/>
        <w:rPr>
          <w:rFonts w:ascii="Times New Roman" w:hAnsi="Times New Roman"/>
        </w:rPr>
      </w:pPr>
    </w:p>
    <w:p>
      <w:pPr>
        <w:pStyle w:val="3"/>
        <w:ind w:firstLine="0" w:firstLineChars="0"/>
        <w:rPr>
          <w:sz w:val="28"/>
        </w:rPr>
      </w:pPr>
      <w:bookmarkStart w:id="20" w:name="_Toc36127050"/>
      <w:bookmarkStart w:id="21" w:name="_Toc34322720"/>
      <w:r>
        <w:rPr>
          <w:rFonts w:hint="eastAsia"/>
          <w:sz w:val="28"/>
        </w:rPr>
        <w:t>一、排放核算方法</w:t>
      </w:r>
      <w:bookmarkEnd w:id="20"/>
      <w:bookmarkEnd w:id="21"/>
    </w:p>
    <w:p>
      <w:pPr>
        <w:pStyle w:val="4"/>
        <w:numPr>
          <w:ilvl w:val="0"/>
          <w:numId w:val="2"/>
        </w:numPr>
        <w:spacing w:before="0" w:after="0" w:line="415" w:lineRule="auto"/>
        <w:ind w:left="0" w:firstLine="426" w:firstLineChars="0"/>
      </w:pPr>
      <w:r>
        <w:rPr>
          <w:rFonts w:hint="eastAsia"/>
        </w:rPr>
        <w:t>核算边界</w:t>
      </w:r>
    </w:p>
    <w:p>
      <w:pPr>
        <w:adjustRightInd w:val="0"/>
        <w:snapToGrid w:val="0"/>
        <w:ind w:firstLine="480" w:firstLineChars="200"/>
        <w:rPr>
          <w:rFonts w:ascii="Times New Roman" w:hAnsi="Times New Roman"/>
        </w:rPr>
      </w:pPr>
      <w:r>
        <w:rPr>
          <w:rFonts w:hint="eastAsia" w:ascii="Times New Roman" w:hAnsi="Times New Roman"/>
        </w:rPr>
        <w:t>民用航空运输企业二氧化碳排放核算边界包括企业最大审定起飞重量超过5</w:t>
      </w:r>
      <w:r>
        <w:rPr>
          <w:rFonts w:ascii="Times New Roman" w:hAnsi="Times New Roman"/>
        </w:rPr>
        <w:t>700千克的所有飞机</w:t>
      </w:r>
      <w:r>
        <w:rPr>
          <w:rFonts w:hint="eastAsia" w:ascii="Times New Roman" w:hAnsi="Times New Roman"/>
        </w:rPr>
        <w:t>，</w:t>
      </w:r>
      <w:r>
        <w:rPr>
          <w:rFonts w:ascii="Times New Roman" w:hAnsi="Times New Roman"/>
        </w:rPr>
        <w:t>其</w:t>
      </w:r>
      <w:r>
        <w:rPr>
          <w:rFonts w:hint="eastAsia" w:ascii="Times New Roman" w:hAnsi="Times New Roman"/>
        </w:rPr>
        <w:t>飞行活动产生的二氧化碳排放，以及直接为飞行活动服务的辅助及附属</w:t>
      </w:r>
      <w:r>
        <w:rPr>
          <w:rFonts w:ascii="Times New Roman" w:hAnsi="Times New Roman"/>
        </w:rPr>
        <w:t>生产</w:t>
      </w:r>
      <w:r>
        <w:rPr>
          <w:rFonts w:hint="eastAsia" w:ascii="Times New Roman" w:hAnsi="Times New Roman"/>
        </w:rPr>
        <w:t>系统。其中，附属生产系统包括办公楼、职工食堂等。</w:t>
      </w:r>
    </w:p>
    <w:p>
      <w:pPr>
        <w:adjustRightInd w:val="0"/>
        <w:snapToGrid w:val="0"/>
        <w:ind w:firstLine="480" w:firstLineChars="200"/>
        <w:rPr>
          <w:rFonts w:ascii="Times New Roman" w:hAnsi="Times New Roman"/>
        </w:rPr>
      </w:pPr>
      <w:r>
        <w:rPr>
          <w:rFonts w:hint="eastAsia" w:ascii="Times New Roman" w:hAnsi="Times New Roman"/>
        </w:rPr>
        <w:t>民用航空运输企业二氧化碳主要排放设施包括最大审定起飞重量超过5</w:t>
      </w:r>
      <w:r>
        <w:rPr>
          <w:rFonts w:ascii="Times New Roman" w:hAnsi="Times New Roman"/>
        </w:rPr>
        <w:t>700千克的所有飞机</w:t>
      </w:r>
      <w:r>
        <w:rPr>
          <w:rFonts w:hint="eastAsia" w:ascii="Times New Roman" w:hAnsi="Times New Roman"/>
        </w:rPr>
        <w:t>以及企业内固定源燃煤、</w:t>
      </w:r>
      <w:r>
        <w:rPr>
          <w:rFonts w:ascii="Times New Roman" w:hAnsi="Times New Roman"/>
        </w:rPr>
        <w:t>燃油</w:t>
      </w:r>
      <w:r>
        <w:rPr>
          <w:rFonts w:hint="eastAsia" w:ascii="Times New Roman" w:hAnsi="Times New Roman"/>
        </w:rPr>
        <w:t>和燃气设施等。排放源包括：企业运营的飞机移动设施二氧化碳直接排放、锅炉等固定设施二氧化碳直接排放</w:t>
      </w:r>
      <w:r>
        <w:rPr>
          <w:rFonts w:ascii="Times New Roman" w:hAnsi="Times New Roman"/>
        </w:rPr>
        <w:t>、</w:t>
      </w:r>
      <w:r>
        <w:rPr>
          <w:rFonts w:hint="eastAsia" w:ascii="Times New Roman" w:hAnsi="Times New Roman"/>
        </w:rPr>
        <w:t>固定设施电力消耗产生的二氧化碳间接排放。</w:t>
      </w:r>
    </w:p>
    <w:p>
      <w:pPr>
        <w:ind w:firstLine="480" w:firstLineChars="200"/>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）移动设施二氧化碳排放是指企业运营的飞机（包括自有飞机和租赁飞机）消耗的航空煤油等化石燃料在燃烧过程中产生的二氧化碳排放，包括飞机地面运行阶段辅助动力装置（</w:t>
      </w:r>
      <w:r>
        <w:rPr>
          <w:rFonts w:ascii="Times New Roman" w:hAnsi="Times New Roman"/>
        </w:rPr>
        <w:t>APU）燃油产生的排放</w:t>
      </w:r>
      <w:r>
        <w:rPr>
          <w:rFonts w:hint="eastAsia" w:ascii="Times New Roman" w:hAnsi="Times New Roman"/>
        </w:rPr>
        <w:t>，</w:t>
      </w:r>
      <w:r>
        <w:rPr>
          <w:rFonts w:ascii="Times New Roman" w:hAnsi="Times New Roman"/>
        </w:rPr>
        <w:t>但不包括停场维修等燃油产生的排放</w:t>
      </w:r>
      <w:r>
        <w:rPr>
          <w:rFonts w:hint="eastAsia" w:ascii="Times New Roman" w:hAnsi="Times New Roman"/>
        </w:rPr>
        <w:t>。</w:t>
      </w:r>
    </w:p>
    <w:p>
      <w:pPr>
        <w:ind w:firstLine="480" w:firstLineChars="200"/>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）固定设施二氧化碳的排放是指企业所属办公楼等场所内燃油、燃气固定设施消耗的化石燃料在燃烧过程中产生的直接排放和消耗</w:t>
      </w:r>
      <w:r>
        <w:rPr>
          <w:rFonts w:ascii="Times New Roman" w:hAnsi="Times New Roman"/>
        </w:rPr>
        <w:t>电力产生的间接排放</w:t>
      </w:r>
      <w:r>
        <w:rPr>
          <w:rFonts w:hint="eastAsia" w:ascii="Times New Roman" w:hAnsi="Times New Roman"/>
        </w:rPr>
        <w:t>，不包括在本市行政辖区外的固定设施产生的排放。</w:t>
      </w:r>
    </w:p>
    <w:p>
      <w:pPr>
        <w:pStyle w:val="4"/>
        <w:numPr>
          <w:ilvl w:val="0"/>
          <w:numId w:val="3"/>
        </w:numPr>
        <w:spacing w:before="0" w:after="0" w:line="415" w:lineRule="auto"/>
        <w:ind w:left="0" w:firstLine="479" w:firstLineChars="0"/>
      </w:pPr>
      <w:r>
        <w:rPr>
          <w:rFonts w:hint="eastAsia"/>
        </w:rPr>
        <w:t>排放量计算</w:t>
      </w:r>
    </w:p>
    <w:p>
      <w:pPr>
        <w:ind w:firstLine="480" w:firstLineChars="200"/>
        <w:rPr>
          <w:rFonts w:ascii="Times New Roman" w:hAnsi="Times New Roman"/>
        </w:rPr>
      </w:pPr>
      <w:r>
        <w:rPr>
          <w:rFonts w:hint="eastAsia" w:ascii="Times New Roman" w:hAnsi="Times New Roman"/>
        </w:rPr>
        <w:t>民用航空运输企业二氧化碳排放总量等于企业核算边界内所有化石燃料燃烧二氧化碳排放量以及企业电力消耗隐含的二氧化碳排放量之和。</w:t>
      </w:r>
    </w:p>
    <w:p>
      <w:pPr>
        <w:adjustRightInd w:val="0"/>
        <w:snapToGrid w:val="0"/>
        <w:ind w:firstLine="480" w:firstLineChars="200"/>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）化石燃料燃烧排放</w:t>
      </w:r>
    </w:p>
    <w:p>
      <w:pPr>
        <w:adjustRightInd w:val="0"/>
        <w:snapToGrid w:val="0"/>
        <w:ind w:firstLine="480" w:firstLineChars="200"/>
        <w:rPr>
          <w:rFonts w:ascii="Times New Roman" w:hAnsi="Times New Roman"/>
        </w:rPr>
      </w:pPr>
      <w:r>
        <w:rPr>
          <w:rFonts w:hint="eastAsia" w:ascii="Times New Roman" w:hAnsi="Times New Roman"/>
        </w:rPr>
        <w:t>化石燃料燃烧二氧化碳排放量按公式（</w:t>
      </w:r>
      <w:r>
        <w:rPr>
          <w:rFonts w:ascii="Times New Roman" w:hAnsi="Times New Roman"/>
        </w:rPr>
        <w:t>TY-1</w:t>
      </w:r>
      <w:r>
        <w:rPr>
          <w:rFonts w:hint="eastAsia" w:ascii="Times New Roman" w:hAnsi="Times New Roman"/>
        </w:rPr>
        <w:t>）计算。</w:t>
      </w:r>
    </w:p>
    <w:p>
      <w:pPr>
        <w:adjustRightInd w:val="0"/>
        <w:snapToGrid w:val="0"/>
        <w:ind w:firstLine="480" w:firstLineChars="200"/>
        <w:rPr>
          <w:rFonts w:ascii="Times New Roman" w:hAnsi="Times New Roman"/>
          <w:i/>
        </w:rPr>
      </w:pPr>
      <m:oMath>
        <m:r>
          <m:rPr/>
          <w:rPr>
            <w:rFonts w:ascii="Cambria Math" w:hAnsi="Cambria Math" w:eastAsia="Cambria Math"/>
          </w:rPr>
          <m:t>E</m:t>
        </m:r>
        <m:r>
          <m:rPr/>
          <w:rPr>
            <w:rFonts w:hint="eastAsia" w:ascii="Cambria Math" w:hAnsi="Cambria Math"/>
          </w:rPr>
          <m:t>=</m:t>
        </m:r>
        <m:nary>
          <m:naryPr>
            <m:chr m:val="∑"/>
            <m:grow m:val="1"/>
            <m:ctrlPr>
              <w:rPr>
                <w:rFonts w:ascii="Cambria Math" w:hAnsi="Cambria Math" w:eastAsia="Cambria Math"/>
                <w:i/>
              </w:rPr>
            </m:ctrlPr>
          </m:naryPr>
          <m:sub>
            <m:r>
              <m:rPr/>
              <w:rPr>
                <w:rFonts w:hint="eastAsia" w:ascii="Cambria Math" w:hAnsi="Cambria Math"/>
              </w:rPr>
              <m:t>i=1</m:t>
            </m:r>
            <m:ctrlPr>
              <w:rPr>
                <w:rFonts w:ascii="Cambria Math" w:hAnsi="Cambria Math" w:eastAsia="Cambria Math"/>
                <w:i/>
              </w:rPr>
            </m:ctrlPr>
          </m:sub>
          <m:sup>
            <m:r>
              <m:rPr/>
              <w:rPr>
                <w:rFonts w:hint="eastAsia" w:ascii="Cambria Math" w:hAnsi="Cambria Math"/>
              </w:rPr>
              <m:t>I</m:t>
            </m:r>
            <m:ctrlPr>
              <w:rPr>
                <w:rFonts w:ascii="Cambria Math" w:hAnsi="Cambria Math" w:eastAsia="Cambria Math"/>
                <w:i/>
              </w:rPr>
            </m:ctrlPr>
          </m:sup>
          <m:e>
            <m:sSub>
              <m:sSubPr>
                <m:ctrlPr>
                  <w:rPr>
                    <w:rFonts w:ascii="Cambria Math" w:hAnsi="Cambria Math" w:eastAsia="Cambria Math"/>
                    <w:i/>
                  </w:rPr>
                </m:ctrlPr>
              </m:sSubPr>
              <m:e>
                <m:r>
                  <m:rPr/>
                  <w:rPr>
                    <w:rFonts w:ascii="Cambria Math" w:hAnsi="Cambria Math" w:eastAsia="Cambria Math"/>
                  </w:rPr>
                  <m:t>A</m:t>
                </m:r>
                <m:ctrlPr>
                  <w:rPr>
                    <w:rFonts w:ascii="Cambria Math" w:hAnsi="Cambria Math" w:eastAsia="Cambria Math"/>
                    <w:i/>
                  </w:rPr>
                </m:ctrlPr>
              </m:e>
              <m:sub>
                <m:r>
                  <m:rPr/>
                  <w:rPr>
                    <w:rFonts w:ascii="Cambria Math" w:hAnsi="Cambria Math" w:eastAsia="Cambria Math"/>
                  </w:rPr>
                  <m:t>i</m:t>
                </m:r>
                <m:ctrlPr>
                  <w:rPr>
                    <w:rFonts w:ascii="Cambria Math" w:hAnsi="Cambria Math" w:eastAsia="Cambria Math"/>
                    <w:i/>
                  </w:rPr>
                </m:ctrlPr>
              </m:sub>
            </m:sSub>
            <m:ctrlPr>
              <w:rPr>
                <w:rFonts w:ascii="Cambria Math" w:hAnsi="Cambria Math" w:eastAsia="Cambria Math"/>
                <w:i/>
              </w:rPr>
            </m:ctrlPr>
          </m:e>
        </m:nary>
        <m:sSub>
          <m:sSubPr>
            <m:ctrlPr>
              <w:rPr>
                <w:rFonts w:ascii="Cambria Math" w:hAnsi="Cambria Math" w:eastAsia="Cambria Math"/>
                <w:i/>
              </w:rPr>
            </m:ctrlPr>
          </m:sSubPr>
          <m:e>
            <m:r>
              <m:rPr/>
              <w:rPr>
                <w:rFonts w:ascii="Cambria Math" w:hAnsi="Cambria Math" w:eastAsia="Cambria Math"/>
              </w:rPr>
              <m:t>F</m:t>
            </m:r>
            <m:ctrlPr>
              <w:rPr>
                <w:rFonts w:ascii="Cambria Math" w:hAnsi="Cambria Math" w:eastAsia="Cambria Math"/>
                <w:i/>
              </w:rPr>
            </m:ctrlPr>
          </m:e>
          <m:sub>
            <m:r>
              <m:rPr/>
              <w:rPr>
                <w:rFonts w:ascii="Cambria Math" w:hAnsi="Cambria Math" w:eastAsia="Cambria Math"/>
              </w:rPr>
              <m:t>i</m:t>
            </m:r>
            <m:ctrlPr>
              <w:rPr>
                <w:rFonts w:ascii="Cambria Math" w:hAnsi="Cambria Math" w:eastAsia="Cambria Math"/>
                <w:i/>
              </w:rPr>
            </m:ctrlPr>
          </m:sub>
        </m:sSub>
      </m:oMath>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hint="eastAsia" w:ascii="Times New Roman" w:hAnsi="Times New Roman"/>
        </w:rPr>
        <w:t>（</w:t>
      </w:r>
      <w:r>
        <w:rPr>
          <w:rFonts w:ascii="Times New Roman" w:hAnsi="Times New Roman"/>
        </w:rPr>
        <w:t>TY-1</w:t>
      </w:r>
      <w:r>
        <w:rPr>
          <w:rFonts w:hint="eastAsia" w:ascii="Times New Roman" w:hAnsi="Times New Roman"/>
        </w:rPr>
        <w:t>）</w:t>
      </w:r>
    </w:p>
    <w:p>
      <w:pPr>
        <w:adjustRightInd w:val="0"/>
        <w:snapToGrid w:val="0"/>
        <w:ind w:firstLine="480" w:firstLineChars="200"/>
        <w:rPr>
          <w:rFonts w:ascii="Times New Roman" w:hAnsi="Times New Roman"/>
        </w:rPr>
      </w:pPr>
      <w:r>
        <w:rPr>
          <w:rFonts w:hint="eastAsia" w:ascii="Times New Roman" w:hAnsi="Times New Roman"/>
        </w:rPr>
        <w:t>式中，</w:t>
      </w:r>
    </w:p>
    <w:p>
      <w:pPr>
        <w:adjustRightInd w:val="0"/>
        <w:snapToGrid w:val="0"/>
        <w:ind w:firstLine="480" w:firstLineChars="200"/>
        <w:rPr>
          <w:rFonts w:ascii="Times New Roman" w:hAnsi="Times New Roman"/>
        </w:rPr>
      </w:pPr>
      <w:r>
        <w:rPr>
          <w:rFonts w:ascii="Times New Roman" w:hAnsi="Times New Roman"/>
          <w:i/>
        </w:rPr>
        <w:t>E</w:t>
      </w:r>
      <w:r>
        <w:rPr>
          <w:rFonts w:hint="eastAsia" w:ascii="Times New Roman" w:hAnsi="Times New Roman"/>
        </w:rPr>
        <w:t>是核算和报告年企业化石燃料燃烧产生的二氧化碳排放量，单位为</w:t>
      </w:r>
      <w:r>
        <w:rPr>
          <w:rFonts w:ascii="Times New Roman" w:hAnsi="Times New Roman"/>
        </w:rPr>
        <w:t>tCO</w:t>
      </w:r>
      <w:r>
        <w:rPr>
          <w:rFonts w:ascii="Times New Roman" w:hAnsi="Times New Roman"/>
          <w:vertAlign w:val="subscript"/>
        </w:rPr>
        <w:t>2</w:t>
      </w:r>
      <w:r>
        <w:rPr>
          <w:rFonts w:hint="eastAsia" w:ascii="Times New Roman" w:hAnsi="Times New Roman"/>
        </w:rPr>
        <w:t>；</w:t>
      </w:r>
    </w:p>
    <w:p>
      <w:pPr>
        <w:adjustRightInd w:val="0"/>
        <w:snapToGrid w:val="0"/>
        <w:ind w:firstLine="480" w:firstLineChars="200"/>
        <w:rPr>
          <w:rFonts w:ascii="Times New Roman" w:hAnsi="Times New Roman"/>
        </w:rPr>
      </w:pPr>
      <w:r>
        <w:rPr>
          <w:rFonts w:ascii="Times New Roman" w:hAnsi="Times New Roman"/>
          <w:i/>
        </w:rPr>
        <w:t>A</w:t>
      </w:r>
      <w:r>
        <w:rPr>
          <w:rFonts w:ascii="Times New Roman" w:hAnsi="Times New Roman"/>
          <w:i/>
          <w:vertAlign w:val="subscript"/>
        </w:rPr>
        <w:t>i</w:t>
      </w:r>
      <w:r>
        <w:rPr>
          <w:rFonts w:hint="eastAsia" w:ascii="Times New Roman" w:hAnsi="Times New Roman"/>
        </w:rPr>
        <w:t>是核算和报告年化石燃料燃烧活动水平数据，是飞机和固定设施所燃烧的第</w:t>
      </w:r>
      <w:r>
        <w:rPr>
          <w:rFonts w:ascii="Times New Roman" w:hAnsi="Times New Roman"/>
          <w:i/>
        </w:rPr>
        <w:t>i</w:t>
      </w:r>
      <w:r>
        <w:rPr>
          <w:rFonts w:hint="eastAsia" w:ascii="Times New Roman" w:hAnsi="Times New Roman"/>
        </w:rPr>
        <w:t>种化石燃料的热量，单位为</w:t>
      </w:r>
      <w:r>
        <w:rPr>
          <w:rFonts w:ascii="Times New Roman" w:hAnsi="Times New Roman"/>
        </w:rPr>
        <w:t>TJ</w:t>
      </w:r>
      <w:r>
        <w:rPr>
          <w:rFonts w:hint="eastAsia" w:ascii="Times New Roman" w:hAnsi="Times New Roman"/>
        </w:rPr>
        <w:t>；</w:t>
      </w:r>
    </w:p>
    <w:p>
      <w:pPr>
        <w:adjustRightInd w:val="0"/>
        <w:snapToGrid w:val="0"/>
        <w:ind w:firstLine="480" w:firstLineChars="200"/>
        <w:rPr>
          <w:rFonts w:ascii="Times New Roman" w:hAnsi="Times New Roman"/>
        </w:rPr>
      </w:pPr>
      <w:r>
        <w:rPr>
          <w:rFonts w:ascii="Times New Roman" w:hAnsi="Times New Roman"/>
          <w:i/>
        </w:rPr>
        <w:t>F</w:t>
      </w:r>
      <w:r>
        <w:rPr>
          <w:rFonts w:ascii="Times New Roman" w:hAnsi="Times New Roman"/>
          <w:i/>
          <w:vertAlign w:val="subscript"/>
        </w:rPr>
        <w:t>i</w:t>
      </w:r>
      <w:r>
        <w:rPr>
          <w:rFonts w:hint="eastAsia" w:ascii="Times New Roman" w:hAnsi="Times New Roman"/>
        </w:rPr>
        <w:t>是第</w:t>
      </w:r>
      <w:r>
        <w:rPr>
          <w:rFonts w:ascii="Times New Roman" w:hAnsi="Times New Roman"/>
          <w:i/>
        </w:rPr>
        <w:t>i</w:t>
      </w:r>
      <w:r>
        <w:rPr>
          <w:rFonts w:hint="eastAsia" w:ascii="Times New Roman" w:hAnsi="Times New Roman"/>
        </w:rPr>
        <w:t>种燃料的排放因子，单位为</w:t>
      </w:r>
      <w:r>
        <w:rPr>
          <w:rFonts w:ascii="Times New Roman" w:hAnsi="Times New Roman"/>
        </w:rPr>
        <w:t>tCO</w:t>
      </w:r>
      <w:r>
        <w:rPr>
          <w:rFonts w:ascii="Times New Roman" w:hAnsi="Times New Roman"/>
          <w:vertAlign w:val="subscript"/>
        </w:rPr>
        <w:t>2</w:t>
      </w:r>
      <w:r>
        <w:rPr>
          <w:rFonts w:ascii="Times New Roman" w:hAnsi="Times New Roman"/>
        </w:rPr>
        <w:t>/TJ</w:t>
      </w:r>
      <w:r>
        <w:rPr>
          <w:rFonts w:hint="eastAsia" w:ascii="Times New Roman" w:hAnsi="Times New Roman"/>
        </w:rPr>
        <w:t>；</w:t>
      </w:r>
    </w:p>
    <w:p>
      <w:pPr>
        <w:adjustRightInd w:val="0"/>
        <w:snapToGrid w:val="0"/>
        <w:ind w:firstLine="480" w:firstLineChars="200"/>
        <w:rPr>
          <w:rFonts w:ascii="Times New Roman" w:hAnsi="Times New Roman"/>
        </w:rPr>
      </w:pPr>
      <w:r>
        <w:rPr>
          <w:rFonts w:ascii="Times New Roman" w:hAnsi="Times New Roman"/>
          <w:i/>
        </w:rPr>
        <w:t>i</w:t>
      </w:r>
      <w:r>
        <w:rPr>
          <w:rFonts w:hint="eastAsia" w:ascii="Times New Roman" w:hAnsi="Times New Roman"/>
        </w:rPr>
        <w:t>是化石燃料类型；</w:t>
      </w:r>
    </w:p>
    <w:p>
      <w:pPr>
        <w:adjustRightInd w:val="0"/>
        <w:snapToGrid w:val="0"/>
        <w:ind w:firstLine="480" w:firstLineChars="200"/>
        <w:rPr>
          <w:rFonts w:ascii="Times New Roman" w:hAnsi="Times New Roman"/>
        </w:rPr>
      </w:pPr>
      <w:r>
        <w:rPr>
          <w:rFonts w:ascii="Times New Roman" w:hAnsi="Times New Roman"/>
          <w:i/>
        </w:rPr>
        <w:t>I</w:t>
      </w:r>
      <w:r>
        <w:rPr>
          <w:rFonts w:hint="eastAsia" w:ascii="Times New Roman" w:hAnsi="Times New Roman"/>
        </w:rPr>
        <w:t>是化石燃料类型数量。</w:t>
      </w:r>
    </w:p>
    <w:p>
      <w:pPr>
        <w:adjustRightInd w:val="0"/>
        <w:snapToGrid w:val="0"/>
        <w:ind w:firstLine="480" w:firstLineChars="200"/>
        <w:rPr>
          <w:rFonts w:ascii="Times New Roman" w:hAnsi="Times New Roman"/>
        </w:rPr>
      </w:pPr>
    </w:p>
    <w:p>
      <w:pPr>
        <w:adjustRightInd w:val="0"/>
        <w:snapToGrid w:val="0"/>
        <w:ind w:firstLine="480" w:firstLineChars="200"/>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）电力消耗隐含排放</w:t>
      </w:r>
    </w:p>
    <w:p>
      <w:pPr>
        <w:adjustRightInd w:val="0"/>
        <w:snapToGrid w:val="0"/>
        <w:ind w:firstLine="480" w:firstLineChars="200"/>
        <w:rPr>
          <w:rFonts w:ascii="Times New Roman" w:hAnsi="Times New Roman"/>
        </w:rPr>
      </w:pPr>
      <w:r>
        <w:rPr>
          <w:rFonts w:hint="eastAsia" w:ascii="Times New Roman" w:hAnsi="Times New Roman"/>
        </w:rPr>
        <w:t>民用航空运输单位电力消耗隐含的二氧化碳间接排放按公式（</w:t>
      </w:r>
      <w:r>
        <w:rPr>
          <w:rFonts w:ascii="Times New Roman" w:hAnsi="Times New Roman"/>
        </w:rPr>
        <w:t>TY-2</w:t>
      </w:r>
      <w:r>
        <w:rPr>
          <w:rFonts w:hint="eastAsia" w:ascii="Times New Roman" w:hAnsi="Times New Roman"/>
        </w:rPr>
        <w:t>）计算。</w:t>
      </w:r>
    </w:p>
    <w:p>
      <w:pPr>
        <w:adjustRightInd w:val="0"/>
        <w:snapToGrid w:val="0"/>
        <w:ind w:firstLine="480" w:firstLineChars="200"/>
        <w:jc w:val="left"/>
        <w:rPr>
          <w:rFonts w:ascii="Times New Roman" w:hAnsi="Times New Roman"/>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d</m:t>
            </m:r>
            <m:ctrlPr>
              <w:rPr>
                <w:rFonts w:ascii="Cambria Math" w:hAnsi="Cambria Math"/>
                <w:i/>
              </w:rPr>
            </m:ctrlPr>
          </m:sub>
        </m:sSub>
        <m:r>
          <m:rPr/>
          <w:rPr>
            <w:rFonts w:ascii="Cambria Math" w:hAnsi="Cambria Math"/>
          </w:rPr>
          <m:t>=D×</m:t>
        </m:r>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g</m:t>
            </m:r>
            <m:ctrlPr>
              <w:rPr>
                <w:rFonts w:ascii="Cambria Math" w:hAnsi="Cambria Math"/>
                <w:i/>
              </w:rPr>
            </m:ctrlPr>
          </m:sub>
        </m:sSub>
      </m:oMath>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w:t>
      </w:r>
      <w:r>
        <w:rPr>
          <w:rFonts w:ascii="Times New Roman" w:hAnsi="Times New Roman"/>
        </w:rPr>
        <w:t>TY-2</w:t>
      </w:r>
      <w:r>
        <w:rPr>
          <w:rFonts w:hint="eastAsia" w:ascii="Times New Roman" w:hAnsi="Times New Roman"/>
        </w:rPr>
        <w:t>）</w:t>
      </w:r>
    </w:p>
    <w:p>
      <w:pPr>
        <w:adjustRightInd w:val="0"/>
        <w:snapToGrid w:val="0"/>
        <w:ind w:firstLine="480" w:firstLineChars="200"/>
        <w:rPr>
          <w:rFonts w:ascii="Times New Roman" w:hAnsi="Times New Roman"/>
        </w:rPr>
      </w:pPr>
      <w:r>
        <w:rPr>
          <w:rFonts w:hint="eastAsia" w:ascii="Times New Roman" w:hAnsi="Times New Roman"/>
        </w:rPr>
        <w:t>式中，</w:t>
      </w:r>
    </w:p>
    <w:p>
      <w:pPr>
        <w:adjustRightInd w:val="0"/>
        <w:snapToGrid w:val="0"/>
        <w:ind w:firstLine="480" w:firstLineChars="200"/>
        <w:rPr>
          <w:rFonts w:ascii="Times New Roman" w:hAnsi="Times New Roman"/>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d</m:t>
            </m:r>
            <m:ctrlPr>
              <w:rPr>
                <w:rFonts w:ascii="Cambria Math" w:hAnsi="Cambria Math"/>
                <w:i/>
              </w:rPr>
            </m:ctrlPr>
          </m:sub>
        </m:sSub>
      </m:oMath>
      <w:r>
        <w:rPr>
          <w:rFonts w:hint="eastAsia" w:ascii="Times New Roman" w:hAnsi="Times New Roman"/>
        </w:rPr>
        <w:t>是核算和报告年企业电力消耗隐含的二氧化碳排放量，单位为</w:t>
      </w:r>
      <w:r>
        <w:rPr>
          <w:rFonts w:ascii="Times New Roman" w:hAnsi="Times New Roman"/>
        </w:rPr>
        <w:t>tCO</w:t>
      </w:r>
      <w:r>
        <w:rPr>
          <w:rFonts w:ascii="Times New Roman" w:hAnsi="Times New Roman"/>
          <w:vertAlign w:val="subscript"/>
        </w:rPr>
        <w:t>2</w:t>
      </w:r>
      <w:r>
        <w:rPr>
          <w:rFonts w:hint="eastAsia" w:ascii="Times New Roman" w:hAnsi="Times New Roman"/>
        </w:rPr>
        <w:t>；</w:t>
      </w:r>
    </w:p>
    <w:p>
      <w:pPr>
        <w:adjustRightInd w:val="0"/>
        <w:snapToGrid w:val="0"/>
        <w:ind w:firstLine="480" w:firstLineChars="200"/>
        <w:rPr>
          <w:rFonts w:ascii="Times New Roman" w:hAnsi="Times New Roman"/>
        </w:rPr>
      </w:pPr>
      <w:r>
        <w:rPr>
          <w:rFonts w:ascii="Times New Roman" w:hAnsi="Times New Roman"/>
          <w:i/>
        </w:rPr>
        <w:t>D</w:t>
      </w:r>
      <w:r>
        <w:rPr>
          <w:rFonts w:hint="eastAsia" w:ascii="Times New Roman" w:hAnsi="Times New Roman"/>
        </w:rPr>
        <w:t>是核算和报告年企业的电力消耗量，单位为</w:t>
      </w:r>
      <w:r>
        <w:rPr>
          <w:rFonts w:ascii="Times New Roman" w:hAnsi="Times New Roman"/>
        </w:rPr>
        <w:t>MWh</w:t>
      </w:r>
      <w:r>
        <w:rPr>
          <w:rFonts w:hint="eastAsia" w:ascii="Times New Roman" w:hAnsi="Times New Roman"/>
        </w:rPr>
        <w:t>；</w:t>
      </w:r>
    </w:p>
    <w:p>
      <w:pPr>
        <w:adjustRightInd w:val="0"/>
        <w:snapToGrid w:val="0"/>
        <w:ind w:firstLine="480" w:firstLineChars="200"/>
        <w:rPr>
          <w:rFonts w:ascii="Times New Roman" w:hAnsi="Times New Roman"/>
        </w:rPr>
      </w:pPr>
      <m:oMath>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g</m:t>
            </m:r>
            <m:ctrlPr>
              <w:rPr>
                <w:rFonts w:ascii="Cambria Math" w:hAnsi="Cambria Math"/>
                <w:i/>
              </w:rPr>
            </m:ctrlPr>
          </m:sub>
        </m:sSub>
      </m:oMath>
      <w:r>
        <w:rPr>
          <w:rFonts w:hint="eastAsia" w:ascii="Times New Roman" w:hAnsi="Times New Roman"/>
        </w:rPr>
        <w:t>是电力消耗间接排放系数，采用发布的最近年份排放系数。</w:t>
      </w:r>
    </w:p>
    <w:p>
      <w:pPr>
        <w:pStyle w:val="4"/>
        <w:numPr>
          <w:ilvl w:val="0"/>
          <w:numId w:val="3"/>
        </w:numPr>
        <w:adjustRightInd w:val="0"/>
        <w:snapToGrid w:val="0"/>
        <w:spacing w:before="0" w:after="0" w:line="420" w:lineRule="exact"/>
        <w:ind w:left="0" w:firstLine="479" w:firstLineChars="0"/>
        <w:rPr>
          <w:rFonts w:ascii="Times New Roman" w:hAnsi="Times New Roman"/>
        </w:rPr>
      </w:pPr>
      <w:r>
        <w:rPr>
          <w:rFonts w:hint="eastAsia" w:ascii="Times New Roman" w:hAnsi="Times New Roman"/>
        </w:rPr>
        <w:t>活动水平数据</w:t>
      </w:r>
    </w:p>
    <w:p>
      <w:pPr>
        <w:adjustRightInd w:val="0"/>
        <w:snapToGrid w:val="0"/>
        <w:ind w:firstLine="480" w:firstLineChars="200"/>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）化石燃料燃烧排放</w:t>
      </w:r>
    </w:p>
    <w:p>
      <w:pPr>
        <w:adjustRightInd w:val="0"/>
        <w:snapToGrid w:val="0"/>
        <w:ind w:firstLine="480" w:firstLineChars="200"/>
        <w:rPr>
          <w:rFonts w:ascii="Times New Roman" w:hAnsi="Times New Roman"/>
        </w:rPr>
      </w:pPr>
      <w:r>
        <w:rPr>
          <w:rFonts w:hint="eastAsia" w:ascii="Times New Roman" w:hAnsi="Times New Roman"/>
        </w:rPr>
        <w:t>企业第</w:t>
      </w:r>
      <w:r>
        <w:rPr>
          <w:rFonts w:ascii="Times New Roman" w:hAnsi="Times New Roman"/>
          <w:i/>
        </w:rPr>
        <w:t>i</w:t>
      </w:r>
      <w:r>
        <w:rPr>
          <w:rFonts w:hint="eastAsia" w:ascii="Times New Roman" w:hAnsi="Times New Roman"/>
        </w:rPr>
        <w:t>种化石燃料消费量的热量按公式（</w:t>
      </w:r>
      <w:r>
        <w:rPr>
          <w:rFonts w:ascii="Times New Roman" w:hAnsi="Times New Roman"/>
        </w:rPr>
        <w:t>TY-3</w:t>
      </w:r>
      <w:r>
        <w:rPr>
          <w:rFonts w:hint="eastAsia" w:ascii="Times New Roman" w:hAnsi="Times New Roman"/>
        </w:rPr>
        <w:t>）计算。</w:t>
      </w:r>
    </w:p>
    <w:p>
      <w:pPr>
        <w:adjustRightInd w:val="0"/>
        <w:snapToGrid w:val="0"/>
        <w:ind w:firstLine="480" w:firstLineChars="200"/>
        <w:jc w:val="left"/>
        <w:rPr>
          <w:rFonts w:ascii="Times New Roman" w:hAnsi="Times New Roman"/>
        </w:rPr>
      </w:pPr>
      <m:oMath>
        <m:sSub>
          <m:sSubPr>
            <m:ctrlPr>
              <w:rPr>
                <w:rFonts w:ascii="Cambria Math" w:hAnsi="Cambria Math" w:eastAsia="Cambria Math"/>
                <w:i/>
              </w:rPr>
            </m:ctrlPr>
          </m:sSubPr>
          <m:e>
            <m:r>
              <m:rPr/>
              <w:rPr>
                <w:rFonts w:ascii="Cambria Math" w:hAnsi="Cambria Math" w:eastAsia="Cambria Math"/>
              </w:rPr>
              <m:t>A</m:t>
            </m:r>
            <m:ctrlPr>
              <w:rPr>
                <w:rFonts w:ascii="Cambria Math" w:hAnsi="Cambria Math" w:eastAsia="Cambria Math"/>
                <w:i/>
              </w:rPr>
            </m:ctrlPr>
          </m:e>
          <m:sub>
            <m:r>
              <m:rPr/>
              <w:rPr>
                <w:rFonts w:ascii="Cambria Math" w:hAnsi="Cambria Math" w:eastAsia="Cambria Math"/>
              </w:rPr>
              <m:t>i</m:t>
            </m:r>
            <m:ctrlPr>
              <w:rPr>
                <w:rFonts w:ascii="Cambria Math" w:hAnsi="Cambria Math" w:eastAsia="Cambria Math"/>
                <w:i/>
              </w:rPr>
            </m:ctrlPr>
          </m:sub>
        </m:sSub>
        <m:r>
          <m:rPr/>
          <w:rPr>
            <w:rFonts w:ascii="Cambria Math" w:hAnsi="Cambria Math"/>
          </w:rPr>
          <m:t>=</m:t>
        </m:r>
        <m:sSub>
          <m:sSubPr>
            <m:ctrlPr>
              <w:rPr>
                <w:rFonts w:ascii="Cambria Math" w:hAnsi="Cambria Math" w:eastAsia="Cambria Math"/>
                <w:i/>
              </w:rPr>
            </m:ctrlPr>
          </m:sSubPr>
          <m:e>
            <m:r>
              <m:rPr/>
              <w:rPr>
                <w:rFonts w:ascii="Cambria Math" w:hAnsi="Cambria Math" w:eastAsia="Cambria Math"/>
              </w:rPr>
              <m:t>RL</m:t>
            </m:r>
            <m:ctrlPr>
              <w:rPr>
                <w:rFonts w:ascii="Cambria Math" w:hAnsi="Cambria Math" w:eastAsia="Cambria Math"/>
                <w:i/>
              </w:rPr>
            </m:ctrlPr>
          </m:e>
          <m:sub>
            <m:r>
              <m:rPr/>
              <w:rPr>
                <w:rFonts w:ascii="Cambria Math" w:hAnsi="Cambria Math" w:eastAsia="Cambria Math"/>
              </w:rPr>
              <m:t>i</m:t>
            </m:r>
            <m:ctrlPr>
              <w:rPr>
                <w:rFonts w:ascii="Cambria Math" w:hAnsi="Cambria Math" w:eastAsia="Cambria Math"/>
                <w:i/>
              </w:rPr>
            </m:ctrlPr>
          </m:sub>
        </m:sSub>
        <m:r>
          <m:rPr/>
          <w:rPr>
            <w:rFonts w:ascii="Cambria Math" w:hAnsi="Cambria Math"/>
          </w:rPr>
          <m:t>×</m:t>
        </m:r>
        <m:sSub>
          <m:sSubPr>
            <m:ctrlPr>
              <w:rPr>
                <w:rFonts w:ascii="Cambria Math" w:hAnsi="Cambria Math" w:eastAsia="Cambria Math"/>
                <w:i/>
              </w:rPr>
            </m:ctrlPr>
          </m:sSubPr>
          <m:e>
            <m:r>
              <m:rPr/>
              <w:rPr>
                <w:rFonts w:ascii="Cambria Math" w:hAnsi="Cambria Math" w:eastAsia="Cambria Math"/>
              </w:rPr>
              <m:t>RZ</m:t>
            </m:r>
            <m:ctrlPr>
              <w:rPr>
                <w:rFonts w:ascii="Cambria Math" w:hAnsi="Cambria Math" w:eastAsia="Cambria Math"/>
                <w:i/>
              </w:rPr>
            </m:ctrlPr>
          </m:e>
          <m:sub>
            <m:r>
              <m:rPr/>
              <w:rPr>
                <w:rFonts w:ascii="Cambria Math" w:hAnsi="Cambria Math" w:eastAsia="Cambria Math"/>
              </w:rPr>
              <m:t>i</m:t>
            </m:r>
            <m:ctrlPr>
              <w:rPr>
                <w:rFonts w:ascii="Cambria Math" w:hAnsi="Cambria Math" w:eastAsia="Cambria Math"/>
                <w:i/>
              </w:rPr>
            </m:ctrlPr>
          </m:sub>
        </m:sSub>
        <m:r>
          <m:rPr/>
          <w:rPr>
            <w:rFonts w:ascii="Cambria Math" w:hAnsi="Cambria Math"/>
          </w:rPr>
          <m:t>×</m:t>
        </m:r>
        <m:sSup>
          <m:sSupPr>
            <m:ctrlPr>
              <w:rPr>
                <w:rFonts w:ascii="Cambria Math" w:hAnsi="Cambria Math" w:eastAsia="Cambria Math"/>
              </w:rPr>
            </m:ctrlPr>
          </m:sSupPr>
          <m:e>
            <m:r>
              <m:rPr/>
              <w:rPr>
                <w:rFonts w:ascii="Cambria Math" w:hAnsi="Cambria Math" w:eastAsia="Cambria Math"/>
              </w:rPr>
              <m:t>10</m:t>
            </m:r>
            <m:ctrlPr>
              <w:rPr>
                <w:rFonts w:ascii="Cambria Math" w:hAnsi="Cambria Math" w:eastAsia="Cambria Math"/>
              </w:rPr>
            </m:ctrlPr>
          </m:e>
          <m:sup>
            <m:r>
              <m:rPr/>
              <w:rPr>
                <w:rFonts w:ascii="Cambria Math" w:hAnsi="Cambria Math" w:eastAsia="Cambria Math"/>
              </w:rPr>
              <m:t>−3</m:t>
            </m:r>
            <m:ctrlPr>
              <w:rPr>
                <w:rFonts w:ascii="Cambria Math" w:hAnsi="Cambria Math" w:eastAsia="Cambria Math"/>
              </w:rPr>
            </m:ctrlPr>
          </m:sup>
        </m:sSup>
      </m:oMath>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w:t>
      </w:r>
      <w:r>
        <w:rPr>
          <w:rFonts w:ascii="Times New Roman" w:hAnsi="Times New Roman"/>
        </w:rPr>
        <w:t>TY-3</w:t>
      </w:r>
      <w:r>
        <w:rPr>
          <w:rFonts w:hint="eastAsia" w:ascii="Times New Roman" w:hAnsi="Times New Roman"/>
        </w:rPr>
        <w:t>）</w:t>
      </w:r>
    </w:p>
    <w:p>
      <w:pPr>
        <w:adjustRightInd w:val="0"/>
        <w:snapToGrid w:val="0"/>
        <w:ind w:firstLine="480" w:firstLineChars="200"/>
        <w:rPr>
          <w:rFonts w:ascii="Times New Roman" w:hAnsi="Times New Roman"/>
        </w:rPr>
      </w:pPr>
      <w:r>
        <w:rPr>
          <w:rFonts w:hint="eastAsia" w:ascii="Times New Roman" w:hAnsi="Times New Roman"/>
        </w:rPr>
        <w:t>式中，</w:t>
      </w:r>
    </w:p>
    <w:p>
      <w:pPr>
        <w:adjustRightInd w:val="0"/>
        <w:snapToGrid w:val="0"/>
        <w:spacing w:line="420" w:lineRule="exact"/>
        <w:ind w:firstLine="480" w:firstLineChars="200"/>
        <w:rPr>
          <w:rFonts w:ascii="Times New Roman" w:hAnsi="Times New Roman"/>
        </w:rPr>
      </w:pPr>
      <w:r>
        <w:rPr>
          <w:rFonts w:ascii="Times New Roman" w:hAnsi="Times New Roman"/>
          <w:i/>
        </w:rPr>
        <w:t>A</w:t>
      </w:r>
      <w:r>
        <w:rPr>
          <w:rFonts w:ascii="Times New Roman" w:hAnsi="Times New Roman"/>
          <w:i/>
          <w:vertAlign w:val="subscript"/>
        </w:rPr>
        <w:t>i</w:t>
      </w:r>
      <w:r>
        <w:rPr>
          <w:rFonts w:hint="eastAsia" w:ascii="Times New Roman" w:hAnsi="Times New Roman"/>
        </w:rPr>
        <w:t>是核算和报告年民用航空运输单位第</w:t>
      </w:r>
      <w:r>
        <w:rPr>
          <w:rFonts w:ascii="Times New Roman" w:hAnsi="Times New Roman"/>
          <w:i/>
        </w:rPr>
        <w:t>i</w:t>
      </w:r>
      <w:r>
        <w:rPr>
          <w:rFonts w:hint="eastAsia" w:ascii="Times New Roman" w:hAnsi="Times New Roman"/>
        </w:rPr>
        <w:t>种化石燃料消费量的热量，单位为</w:t>
      </w:r>
      <w:r>
        <w:rPr>
          <w:rFonts w:ascii="Times New Roman" w:hAnsi="Times New Roman"/>
        </w:rPr>
        <w:t>TJ</w:t>
      </w:r>
      <w:r>
        <w:rPr>
          <w:rFonts w:hint="eastAsia" w:ascii="Times New Roman" w:hAnsi="Times New Roman"/>
        </w:rPr>
        <w:t>；</w:t>
      </w:r>
    </w:p>
    <w:p>
      <w:pPr>
        <w:adjustRightInd w:val="0"/>
        <w:snapToGrid w:val="0"/>
        <w:spacing w:line="420" w:lineRule="exact"/>
        <w:ind w:firstLine="480" w:firstLineChars="200"/>
        <w:rPr>
          <w:rFonts w:ascii="Times New Roman" w:hAnsi="Times New Roman"/>
        </w:rPr>
      </w:pPr>
      <w:r>
        <w:rPr>
          <w:rFonts w:ascii="Times New Roman" w:hAnsi="Times New Roman"/>
          <w:i/>
        </w:rPr>
        <w:t>RL</w:t>
      </w:r>
      <w:r>
        <w:rPr>
          <w:rFonts w:ascii="Times New Roman" w:hAnsi="Times New Roman"/>
          <w:i/>
          <w:vertAlign w:val="subscript"/>
        </w:rPr>
        <w:t>i</w:t>
      </w:r>
      <w:r>
        <w:rPr>
          <w:rFonts w:hint="eastAsia" w:ascii="Times New Roman" w:hAnsi="Times New Roman"/>
        </w:rPr>
        <w:t>是核算和报告年第</w:t>
      </w:r>
      <w:r>
        <w:rPr>
          <w:rFonts w:ascii="Times New Roman" w:hAnsi="Times New Roman"/>
          <w:i/>
        </w:rPr>
        <w:t>i</w:t>
      </w:r>
      <w:r>
        <w:rPr>
          <w:rFonts w:hint="eastAsia" w:ascii="Times New Roman" w:hAnsi="Times New Roman"/>
        </w:rPr>
        <w:t>种化石燃料用于燃烧的消费量，固体和液体燃料的单位为</w:t>
      </w:r>
      <w:r>
        <w:rPr>
          <w:rFonts w:ascii="Times New Roman" w:hAnsi="Times New Roman"/>
        </w:rPr>
        <w:t>t</w:t>
      </w:r>
      <w:r>
        <w:rPr>
          <w:rFonts w:hint="eastAsia" w:ascii="Times New Roman" w:hAnsi="Times New Roman"/>
        </w:rPr>
        <w:t>，气体燃料单位为万</w:t>
      </w:r>
      <w:r>
        <w:rPr>
          <w:rFonts w:ascii="Times New Roman" w:hAnsi="Times New Roman"/>
        </w:rPr>
        <w:t>Nm</w:t>
      </w:r>
      <w:r>
        <w:rPr>
          <w:rFonts w:ascii="Times New Roman" w:hAnsi="Times New Roman"/>
          <w:vertAlign w:val="superscript"/>
        </w:rPr>
        <w:t>3</w:t>
      </w:r>
      <w:r>
        <w:rPr>
          <w:rFonts w:hint="eastAsia" w:ascii="Times New Roman" w:hAnsi="Times New Roman"/>
        </w:rPr>
        <w:t>；</w:t>
      </w:r>
    </w:p>
    <w:p>
      <w:pPr>
        <w:adjustRightInd w:val="0"/>
        <w:snapToGrid w:val="0"/>
        <w:spacing w:line="420" w:lineRule="exact"/>
        <w:ind w:firstLine="480" w:firstLineChars="200"/>
        <w:rPr>
          <w:rFonts w:ascii="Times New Roman" w:hAnsi="Times New Roman"/>
        </w:rPr>
      </w:pPr>
      <w:r>
        <w:rPr>
          <w:rFonts w:ascii="Times New Roman" w:hAnsi="Times New Roman"/>
          <w:i/>
        </w:rPr>
        <w:t>RZ</w:t>
      </w:r>
      <w:r>
        <w:rPr>
          <w:rFonts w:ascii="Times New Roman" w:hAnsi="Times New Roman"/>
          <w:i/>
          <w:vertAlign w:val="subscript"/>
        </w:rPr>
        <w:t>i</w:t>
      </w:r>
      <w:r>
        <w:rPr>
          <w:rFonts w:hint="eastAsia" w:ascii="Times New Roman" w:hAnsi="Times New Roman"/>
        </w:rPr>
        <w:t>是核算和报告年第</w:t>
      </w:r>
      <w:r>
        <w:rPr>
          <w:rFonts w:ascii="Times New Roman" w:hAnsi="Times New Roman"/>
          <w:i/>
        </w:rPr>
        <w:t>i</w:t>
      </w:r>
      <w:r>
        <w:rPr>
          <w:rFonts w:hint="eastAsia" w:ascii="Times New Roman" w:hAnsi="Times New Roman"/>
        </w:rPr>
        <w:t>种燃料的平均低位发热量，固体和液体燃料的单位为</w:t>
      </w:r>
      <w:r>
        <w:rPr>
          <w:rFonts w:ascii="Times New Roman" w:hAnsi="Times New Roman"/>
        </w:rPr>
        <w:t>GJ/t</w:t>
      </w:r>
      <w:r>
        <w:rPr>
          <w:rFonts w:hint="eastAsia" w:ascii="Times New Roman" w:hAnsi="Times New Roman"/>
        </w:rPr>
        <w:t>，气体燃料单位为</w:t>
      </w:r>
      <w:r>
        <w:rPr>
          <w:rFonts w:ascii="Times New Roman" w:hAnsi="Times New Roman"/>
        </w:rPr>
        <w:t>GJ/</w:t>
      </w:r>
      <w:r>
        <w:rPr>
          <w:rFonts w:hint="eastAsia" w:ascii="Times New Roman" w:hAnsi="Times New Roman"/>
        </w:rPr>
        <w:t>万</w:t>
      </w:r>
      <w:r>
        <w:rPr>
          <w:rFonts w:ascii="Times New Roman" w:hAnsi="Times New Roman"/>
        </w:rPr>
        <w:t>Nm</w:t>
      </w:r>
      <w:r>
        <w:rPr>
          <w:rFonts w:ascii="Times New Roman" w:hAnsi="Times New Roman"/>
          <w:vertAlign w:val="superscript"/>
        </w:rPr>
        <w:t>3</w:t>
      </w:r>
      <w:r>
        <w:rPr>
          <w:rFonts w:hint="eastAsia" w:ascii="Times New Roman" w:hAnsi="Times New Roman"/>
        </w:rPr>
        <w:t>；</w:t>
      </w:r>
    </w:p>
    <w:p>
      <w:pPr>
        <w:adjustRightInd w:val="0"/>
        <w:snapToGrid w:val="0"/>
        <w:spacing w:line="420" w:lineRule="exact"/>
        <w:ind w:firstLine="480" w:firstLineChars="200"/>
        <w:rPr>
          <w:rFonts w:ascii="Times New Roman" w:hAnsi="Times New Roman"/>
        </w:rPr>
      </w:pPr>
      <w:r>
        <w:rPr>
          <w:rFonts w:ascii="Times New Roman" w:hAnsi="Times New Roman"/>
          <w:i/>
        </w:rPr>
        <w:t>10</w:t>
      </w:r>
      <w:r>
        <w:rPr>
          <w:rFonts w:ascii="Times New Roman" w:hAnsi="Times New Roman"/>
          <w:i/>
          <w:vertAlign w:val="superscript"/>
        </w:rPr>
        <w:t>-3</w:t>
      </w:r>
      <w:r>
        <w:rPr>
          <w:rFonts w:hint="eastAsia" w:ascii="Times New Roman" w:hAnsi="Times New Roman"/>
        </w:rPr>
        <w:t>是单位换算系数。</w:t>
      </w:r>
    </w:p>
    <w:p>
      <w:pPr>
        <w:ind w:firstLine="480" w:firstLineChars="200"/>
        <w:rPr>
          <w:rFonts w:ascii="Times New Roman" w:hAnsi="Times New Roman"/>
        </w:rPr>
      </w:pPr>
      <w:r>
        <w:rPr>
          <w:rFonts w:hint="eastAsia" w:ascii="Times New Roman" w:hAnsi="Times New Roman"/>
        </w:rPr>
        <w:t>飞机燃油消耗量应使用方法A或方法B计算：</w:t>
      </w:r>
    </w:p>
    <w:p>
      <w:pPr>
        <w:ind w:firstLine="480" w:firstLineChars="200"/>
        <w:rPr>
          <w:rFonts w:ascii="Times New Roman" w:hAnsi="Times New Roman"/>
        </w:rPr>
      </w:pPr>
      <w:r>
        <w:rPr>
          <w:rFonts w:hint="eastAsia" w:ascii="Times New Roman" w:hAnsi="Times New Roman"/>
        </w:rPr>
        <w:t>方法A：</w:t>
      </w:r>
    </w:p>
    <w:p>
      <w:pPr>
        <w:adjustRightInd w:val="0"/>
        <w:snapToGrid w:val="0"/>
        <w:ind w:firstLine="480" w:firstLineChars="200"/>
        <w:jc w:val="left"/>
        <w:rPr>
          <w:rFonts w:ascii="Times New Roman" w:hAnsi="Times New Roman"/>
        </w:rPr>
      </w:pPr>
      <m:oMath>
        <m:sSub>
          <m:sSubPr>
            <m:ctrlPr>
              <w:rPr>
                <w:rFonts w:ascii="Cambria Math" w:hAnsi="Cambria Math" w:eastAsia="Cambria Math"/>
                <w:i/>
              </w:rPr>
            </m:ctrlPr>
          </m:sSubPr>
          <m:e>
            <m:r>
              <m:rPr/>
              <w:rPr>
                <w:rFonts w:ascii="Cambria Math" w:hAnsi="Cambria Math" w:eastAsia="Cambria Math"/>
              </w:rPr>
              <m:t>RL</m:t>
            </m:r>
            <m:ctrlPr>
              <w:rPr>
                <w:rFonts w:ascii="Cambria Math" w:hAnsi="Cambria Math" w:eastAsia="Cambria Math"/>
                <w:i/>
              </w:rPr>
            </m:ctrlPr>
          </m:e>
          <m:sub>
            <m:r>
              <m:rPr/>
              <w:rPr>
                <w:rFonts w:ascii="Cambria Math" w:hAnsi="Cambria Math" w:eastAsia="Cambria Math"/>
              </w:rPr>
              <m:t>N</m:t>
            </m:r>
            <m:ctrlPr>
              <w:rPr>
                <w:rFonts w:ascii="Cambria Math" w:hAnsi="Cambria Math" w:eastAsia="Cambria Math"/>
                <w:i/>
              </w:rPr>
            </m:ctrlPr>
          </m:sub>
        </m:sSub>
        <m:r>
          <m:rPr/>
          <w:rPr>
            <w:rFonts w:ascii="Cambria Math" w:hAnsi="Cambria Math"/>
          </w:rPr>
          <m:t>=</m:t>
        </m:r>
        <m:sSub>
          <m:sSubPr>
            <m:ctrlPr>
              <w:rPr>
                <w:rFonts w:ascii="Cambria Math" w:hAnsi="Cambria Math" w:eastAsia="Cambria Math"/>
                <w:i/>
              </w:rPr>
            </m:ctrlPr>
          </m:sSubPr>
          <m:e>
            <m:r>
              <m:rPr/>
              <w:rPr>
                <w:rFonts w:ascii="Cambria Math" w:hAnsi="Cambria Math" w:eastAsia="Cambria Math"/>
              </w:rPr>
              <m:t>T</m:t>
            </m:r>
            <m:ctrlPr>
              <w:rPr>
                <w:rFonts w:ascii="Cambria Math" w:hAnsi="Cambria Math" w:eastAsia="Cambria Math"/>
                <w:i/>
              </w:rPr>
            </m:ctrlPr>
          </m:e>
          <m:sub>
            <m:r>
              <m:rPr/>
              <w:rPr>
                <w:rFonts w:ascii="Cambria Math" w:hAnsi="Cambria Math" w:eastAsia="Cambria Math"/>
              </w:rPr>
              <m:t>N</m:t>
            </m:r>
            <m:ctrlPr>
              <w:rPr>
                <w:rFonts w:ascii="Cambria Math" w:hAnsi="Cambria Math" w:eastAsia="Cambria Math"/>
                <w:i/>
              </w:rPr>
            </m:ctrlPr>
          </m:sub>
        </m:sSub>
        <m:r>
          <m:rPr/>
          <w:rPr>
            <w:rFonts w:ascii="Cambria Math" w:hAnsi="Cambria Math" w:cs="MS Gothic"/>
          </w:rPr>
          <m:t>−</m:t>
        </m:r>
        <m:sSub>
          <m:sSubPr>
            <m:ctrlPr>
              <w:rPr>
                <w:rFonts w:ascii="Cambria Math" w:hAnsi="Cambria Math" w:eastAsia="Cambria Math"/>
                <w:i/>
              </w:rPr>
            </m:ctrlPr>
          </m:sSubPr>
          <m:e>
            <m:r>
              <m:rPr/>
              <w:rPr>
                <w:rFonts w:ascii="Cambria Math" w:hAnsi="Cambria Math" w:eastAsia="Cambria Math"/>
              </w:rPr>
              <m:t>T</m:t>
            </m:r>
            <m:ctrlPr>
              <w:rPr>
                <w:rFonts w:ascii="Cambria Math" w:hAnsi="Cambria Math" w:eastAsia="Cambria Math"/>
                <w:i/>
              </w:rPr>
            </m:ctrlPr>
          </m:e>
          <m:sub>
            <m:r>
              <m:rPr/>
              <w:rPr>
                <w:rFonts w:ascii="Cambria Math" w:hAnsi="Cambria Math" w:eastAsia="Cambria Math"/>
              </w:rPr>
              <m:t>N</m:t>
            </m:r>
            <m:r>
              <m:rPr/>
              <w:rPr>
                <w:rFonts w:hint="eastAsia" w:ascii="Cambria Math" w:hAnsi="Cambria Math" w:eastAsiaTheme="minorEastAsia"/>
              </w:rPr>
              <m:t>+</m:t>
            </m:r>
            <m:r>
              <m:rPr/>
              <w:rPr>
                <w:rFonts w:ascii="Cambria Math" w:hAnsi="Cambria Math" w:eastAsia="Cambria Math"/>
              </w:rPr>
              <m:t>1</m:t>
            </m:r>
            <m:ctrlPr>
              <w:rPr>
                <w:rFonts w:ascii="Cambria Math" w:hAnsi="Cambria Math" w:eastAsia="Cambria Math"/>
                <w:i/>
              </w:rPr>
            </m:ctrlPr>
          </m:sub>
        </m:sSub>
        <m:r>
          <m:rPr/>
          <w:rPr>
            <w:rFonts w:hint="eastAsia" w:ascii="Cambria Math" w:hAnsi="Cambria Math"/>
          </w:rPr>
          <m:t>+</m:t>
        </m:r>
        <m:sSub>
          <m:sSubPr>
            <m:ctrlPr>
              <w:rPr>
                <w:rFonts w:ascii="Cambria Math" w:hAnsi="Cambria Math" w:eastAsia="Cambria Math"/>
                <w:i/>
              </w:rPr>
            </m:ctrlPr>
          </m:sSubPr>
          <m:e>
            <m:r>
              <m:rPr/>
              <w:rPr>
                <w:rFonts w:ascii="Cambria Math" w:hAnsi="Cambria Math" w:eastAsia="Cambria Math"/>
              </w:rPr>
              <m:t>U</m:t>
            </m:r>
            <m:ctrlPr>
              <w:rPr>
                <w:rFonts w:ascii="Cambria Math" w:hAnsi="Cambria Math" w:eastAsia="Cambria Math"/>
                <w:i/>
              </w:rPr>
            </m:ctrlPr>
          </m:e>
          <m:sub>
            <m:r>
              <m:rPr/>
              <w:rPr>
                <w:rFonts w:ascii="Cambria Math" w:hAnsi="Cambria Math" w:eastAsia="Cambria Math"/>
              </w:rPr>
              <m:t>N</m:t>
            </m:r>
            <m:r>
              <m:rPr/>
              <w:rPr>
                <w:rFonts w:hint="eastAsia" w:ascii="Cambria Math" w:hAnsi="Cambria Math" w:eastAsiaTheme="minorEastAsia"/>
              </w:rPr>
              <m:t>+</m:t>
            </m:r>
            <m:r>
              <m:rPr/>
              <w:rPr>
                <w:rFonts w:ascii="Cambria Math" w:hAnsi="Cambria Math" w:eastAsia="Cambria Math"/>
              </w:rPr>
              <m:t>1</m:t>
            </m:r>
            <m:ctrlPr>
              <w:rPr>
                <w:rFonts w:ascii="Cambria Math" w:hAnsi="Cambria Math" w:eastAsia="Cambria Math"/>
                <w:i/>
              </w:rPr>
            </m:ctrlPr>
          </m:sub>
        </m:sSub>
      </m:oMath>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（HK</w:t>
      </w:r>
      <w:r>
        <w:rPr>
          <w:rFonts w:ascii="Times New Roman" w:hAnsi="Times New Roman"/>
        </w:rPr>
        <w:t>-1</w:t>
      </w:r>
      <w:r>
        <w:rPr>
          <w:rFonts w:hint="eastAsia" w:ascii="Times New Roman" w:hAnsi="Times New Roman"/>
        </w:rPr>
        <w:t>）</w:t>
      </w:r>
    </w:p>
    <w:p>
      <w:pPr>
        <w:adjustRightInd w:val="0"/>
        <w:snapToGrid w:val="0"/>
        <w:ind w:firstLine="480" w:firstLineChars="200"/>
        <w:rPr>
          <w:rFonts w:ascii="Times New Roman" w:hAnsi="Times New Roman"/>
        </w:rPr>
      </w:pPr>
      <w:r>
        <w:rPr>
          <w:rFonts w:hint="eastAsia" w:ascii="Times New Roman" w:hAnsi="Times New Roman"/>
        </w:rPr>
        <w:t>式中，</w:t>
      </w:r>
    </w:p>
    <w:p>
      <w:pPr>
        <w:adjustRightInd w:val="0"/>
        <w:snapToGrid w:val="0"/>
        <w:spacing w:line="420" w:lineRule="exact"/>
        <w:ind w:firstLine="480" w:firstLineChars="200"/>
        <w:rPr>
          <w:rFonts w:ascii="Times New Roman" w:hAnsi="Times New Roman"/>
        </w:rPr>
      </w:pPr>
      <w:r>
        <w:rPr>
          <w:rFonts w:ascii="Times New Roman" w:hAnsi="Times New Roman"/>
          <w:i/>
        </w:rPr>
        <w:t>RL</w:t>
      </w:r>
      <w:r>
        <w:rPr>
          <w:rFonts w:ascii="Times New Roman" w:hAnsi="Times New Roman"/>
          <w:i/>
          <w:vertAlign w:val="subscript"/>
        </w:rPr>
        <w:t>N</w:t>
      </w:r>
      <w:r>
        <w:rPr>
          <w:rFonts w:hint="eastAsia" w:ascii="Times New Roman" w:hAnsi="Times New Roman"/>
        </w:rPr>
        <w:t>是当前航班（航班</w:t>
      </w:r>
      <w:r>
        <w:rPr>
          <w:rFonts w:hint="eastAsia" w:ascii="Times New Roman" w:hAnsi="Times New Roman"/>
          <w:vertAlign w:val="subscript"/>
        </w:rPr>
        <w:t>N</w:t>
      </w:r>
      <w:r>
        <w:rPr>
          <w:rFonts w:hint="eastAsia" w:ascii="Times New Roman" w:hAnsi="Times New Roman"/>
        </w:rPr>
        <w:t>）的燃料消耗量，单位为t；</w:t>
      </w:r>
    </w:p>
    <w:p>
      <w:pPr>
        <w:adjustRightInd w:val="0"/>
        <w:snapToGrid w:val="0"/>
        <w:spacing w:line="420" w:lineRule="exact"/>
        <w:ind w:firstLine="480" w:firstLineChars="200"/>
        <w:rPr>
          <w:rFonts w:ascii="Times New Roman" w:hAnsi="Times New Roman"/>
        </w:rPr>
      </w:pPr>
      <w:r>
        <w:rPr>
          <w:rFonts w:ascii="Times New Roman" w:hAnsi="Times New Roman"/>
          <w:i/>
        </w:rPr>
        <w:t>T</w:t>
      </w:r>
      <w:r>
        <w:rPr>
          <w:rFonts w:ascii="Times New Roman" w:hAnsi="Times New Roman"/>
          <w:i/>
          <w:vertAlign w:val="subscript"/>
        </w:rPr>
        <w:t>N</w:t>
      </w:r>
      <w:r>
        <w:rPr>
          <w:rFonts w:hint="eastAsia" w:ascii="Times New Roman" w:hAnsi="Times New Roman"/>
        </w:rPr>
        <w:t>是当前航班（航班</w:t>
      </w:r>
      <w:r>
        <w:rPr>
          <w:rFonts w:hint="eastAsia" w:ascii="Times New Roman" w:hAnsi="Times New Roman"/>
          <w:vertAlign w:val="subscript"/>
        </w:rPr>
        <w:t>N</w:t>
      </w:r>
      <w:r>
        <w:rPr>
          <w:rFonts w:hint="eastAsia" w:ascii="Times New Roman" w:hAnsi="Times New Roman"/>
        </w:rPr>
        <w:t>）加注燃料后，飞机油箱载有的燃料量，单位为t；</w:t>
      </w:r>
    </w:p>
    <w:p>
      <w:pPr>
        <w:adjustRightInd w:val="0"/>
        <w:snapToGrid w:val="0"/>
        <w:spacing w:line="420" w:lineRule="exact"/>
        <w:ind w:firstLine="480" w:firstLineChars="200"/>
        <w:rPr>
          <w:rFonts w:ascii="Times New Roman" w:hAnsi="Times New Roman"/>
        </w:rPr>
      </w:pPr>
      <w:r>
        <w:rPr>
          <w:rFonts w:ascii="Times New Roman" w:hAnsi="Times New Roman"/>
          <w:i/>
        </w:rPr>
        <w:t>T</w:t>
      </w:r>
      <w:r>
        <w:rPr>
          <w:rFonts w:ascii="Times New Roman" w:hAnsi="Times New Roman"/>
          <w:i/>
          <w:vertAlign w:val="subscript"/>
        </w:rPr>
        <w:t>N</w:t>
      </w:r>
      <w:r>
        <w:rPr>
          <w:rFonts w:hint="eastAsia" w:ascii="Times New Roman" w:hAnsi="Times New Roman"/>
          <w:i/>
          <w:vertAlign w:val="subscript"/>
        </w:rPr>
        <w:t>+</w:t>
      </w:r>
      <w:r>
        <w:rPr>
          <w:rFonts w:ascii="Times New Roman" w:hAnsi="Times New Roman"/>
          <w:i/>
          <w:vertAlign w:val="subscript"/>
        </w:rPr>
        <w:t>1</w:t>
      </w:r>
      <w:r>
        <w:rPr>
          <w:rFonts w:hint="eastAsia" w:ascii="Times New Roman" w:hAnsi="Times New Roman"/>
        </w:rPr>
        <w:t>是下一航班（航班</w:t>
      </w:r>
      <w:r>
        <w:rPr>
          <w:rFonts w:hint="eastAsia" w:ascii="Times New Roman" w:hAnsi="Times New Roman"/>
          <w:vertAlign w:val="subscript"/>
        </w:rPr>
        <w:t>N+</w:t>
      </w:r>
      <w:r>
        <w:rPr>
          <w:rFonts w:ascii="Times New Roman" w:hAnsi="Times New Roman"/>
          <w:vertAlign w:val="subscript"/>
        </w:rPr>
        <w:t>1</w:t>
      </w:r>
      <w:r>
        <w:rPr>
          <w:rFonts w:hint="eastAsia" w:ascii="Times New Roman" w:hAnsi="Times New Roman"/>
        </w:rPr>
        <w:t>）加注燃料后，飞机油箱载有的燃料量，单位为t；</w:t>
      </w:r>
    </w:p>
    <w:p>
      <w:pPr>
        <w:adjustRightInd w:val="0"/>
        <w:snapToGrid w:val="0"/>
        <w:spacing w:line="420" w:lineRule="exact"/>
        <w:ind w:firstLine="480" w:firstLineChars="200"/>
        <w:rPr>
          <w:rFonts w:ascii="Times New Roman" w:hAnsi="Times New Roman"/>
        </w:rPr>
      </w:pPr>
      <w:r>
        <w:rPr>
          <w:rFonts w:ascii="Times New Roman" w:hAnsi="Times New Roman"/>
          <w:i/>
        </w:rPr>
        <w:t>U</w:t>
      </w:r>
      <w:r>
        <w:rPr>
          <w:rFonts w:ascii="Times New Roman" w:hAnsi="Times New Roman"/>
          <w:i/>
          <w:vertAlign w:val="subscript"/>
        </w:rPr>
        <w:t>N</w:t>
      </w:r>
      <w:r>
        <w:rPr>
          <w:rFonts w:hint="eastAsia" w:ascii="Times New Roman" w:hAnsi="Times New Roman"/>
          <w:i/>
          <w:vertAlign w:val="subscript"/>
        </w:rPr>
        <w:t>+</w:t>
      </w:r>
      <w:r>
        <w:rPr>
          <w:rFonts w:ascii="Times New Roman" w:hAnsi="Times New Roman"/>
          <w:i/>
          <w:vertAlign w:val="subscript"/>
        </w:rPr>
        <w:t>1</w:t>
      </w:r>
      <w:r>
        <w:rPr>
          <w:rFonts w:hint="eastAsia" w:ascii="Times New Roman" w:hAnsi="Times New Roman"/>
        </w:rPr>
        <w:t>是下一航班（航班</w:t>
      </w:r>
      <w:r>
        <w:rPr>
          <w:rFonts w:hint="eastAsia" w:ascii="Times New Roman" w:hAnsi="Times New Roman"/>
          <w:vertAlign w:val="subscript"/>
        </w:rPr>
        <w:t>N+</w:t>
      </w:r>
      <w:r>
        <w:rPr>
          <w:rFonts w:ascii="Times New Roman" w:hAnsi="Times New Roman"/>
          <w:vertAlign w:val="subscript"/>
        </w:rPr>
        <w:t>1</w:t>
      </w:r>
      <w:r>
        <w:rPr>
          <w:rFonts w:hint="eastAsia" w:ascii="Times New Roman" w:hAnsi="Times New Roman"/>
        </w:rPr>
        <w:t>）燃料加注量，单位为t。按新加油的体积乘以燃油密度值（可为实际值或每升0.8千克的缺省值）计算得到。</w:t>
      </w:r>
    </w:p>
    <w:p>
      <w:pPr>
        <w:ind w:firstLine="480" w:firstLineChars="200"/>
        <w:rPr>
          <w:rFonts w:ascii="Times New Roman" w:hAnsi="Times New Roman"/>
        </w:rPr>
      </w:pPr>
      <w:r>
        <w:rPr>
          <w:rFonts w:ascii="Times New Roman" w:hAnsi="Times New Roman"/>
        </w:rPr>
        <w:t>其中</w:t>
      </w:r>
      <w:r>
        <w:rPr>
          <w:rFonts w:hint="eastAsia" w:ascii="Times New Roman" w:hAnsi="Times New Roman"/>
        </w:rPr>
        <w:t>：</w:t>
      </w:r>
      <w:r>
        <w:rPr>
          <w:rFonts w:ascii="Times New Roman" w:hAnsi="Times New Roman"/>
          <w:i/>
        </w:rPr>
        <w:t>T</w:t>
      </w:r>
      <w:r>
        <w:rPr>
          <w:rFonts w:ascii="Times New Roman" w:hAnsi="Times New Roman"/>
          <w:i/>
          <w:vertAlign w:val="subscript"/>
        </w:rPr>
        <w:t>N</w:t>
      </w:r>
      <w:r>
        <w:rPr>
          <w:rFonts w:ascii="Times New Roman" w:hAnsi="Times New Roman"/>
        </w:rPr>
        <w:t>和</w:t>
      </w:r>
      <w:r>
        <w:rPr>
          <w:rFonts w:ascii="Times New Roman" w:hAnsi="Times New Roman"/>
          <w:i/>
        </w:rPr>
        <w:t>T</w:t>
      </w:r>
      <w:r>
        <w:rPr>
          <w:rFonts w:ascii="Times New Roman" w:hAnsi="Times New Roman"/>
          <w:i/>
          <w:vertAlign w:val="subscript"/>
        </w:rPr>
        <w:t>N</w:t>
      </w:r>
      <w:r>
        <w:rPr>
          <w:rFonts w:hint="eastAsia" w:ascii="Times New Roman" w:hAnsi="Times New Roman"/>
          <w:i/>
          <w:vertAlign w:val="subscript"/>
        </w:rPr>
        <w:t>+</w:t>
      </w:r>
      <w:r>
        <w:rPr>
          <w:rFonts w:ascii="Times New Roman" w:hAnsi="Times New Roman"/>
          <w:i/>
          <w:vertAlign w:val="subscript"/>
        </w:rPr>
        <w:t>1</w:t>
      </w:r>
      <w:r>
        <w:rPr>
          <w:rFonts w:ascii="Times New Roman" w:hAnsi="Times New Roman"/>
        </w:rPr>
        <w:t>数据应通过机载数据系统或飞行任务书获得。</w:t>
      </w:r>
      <w:r>
        <w:rPr>
          <w:rFonts w:ascii="Times New Roman" w:hAnsi="Times New Roman"/>
          <w:i/>
        </w:rPr>
        <w:t>U</w:t>
      </w:r>
      <w:r>
        <w:rPr>
          <w:rFonts w:ascii="Times New Roman" w:hAnsi="Times New Roman"/>
          <w:i/>
          <w:vertAlign w:val="subscript"/>
        </w:rPr>
        <w:t>N</w:t>
      </w:r>
      <w:r>
        <w:rPr>
          <w:rFonts w:hint="eastAsia" w:ascii="Times New Roman" w:hAnsi="Times New Roman"/>
          <w:i/>
          <w:vertAlign w:val="subscript"/>
        </w:rPr>
        <w:t>+</w:t>
      </w:r>
      <w:r>
        <w:rPr>
          <w:rFonts w:ascii="Times New Roman" w:hAnsi="Times New Roman"/>
          <w:i/>
          <w:vertAlign w:val="subscript"/>
        </w:rPr>
        <w:t>1</w:t>
      </w:r>
      <w:r>
        <w:rPr>
          <w:rFonts w:ascii="Times New Roman" w:hAnsi="Times New Roman"/>
        </w:rPr>
        <w:t>应以燃油供应商提供的加油</w:t>
      </w:r>
      <w:r>
        <w:rPr>
          <w:rFonts w:hint="eastAsia" w:ascii="Times New Roman" w:hAnsi="Times New Roman"/>
        </w:rPr>
        <w:t>单或发票数据为准，若信息无法获得，也可通过机载数据系统或飞行任务书获得。</w:t>
      </w:r>
    </w:p>
    <w:p>
      <w:pPr>
        <w:ind w:firstLine="480" w:firstLineChars="200"/>
        <w:rPr>
          <w:rFonts w:ascii="Times New Roman" w:hAnsi="Times New Roman"/>
        </w:rPr>
      </w:pPr>
      <w:r>
        <w:rPr>
          <w:rFonts w:ascii="Times New Roman" w:hAnsi="Times New Roman"/>
        </w:rPr>
        <w:t>若当前航班或下一航班未进行燃料加注</w:t>
      </w:r>
      <w:r>
        <w:rPr>
          <w:rFonts w:hint="eastAsia" w:ascii="Times New Roman" w:hAnsi="Times New Roman"/>
        </w:rPr>
        <w:t>，公式（HK</w:t>
      </w:r>
      <w:r>
        <w:rPr>
          <w:rFonts w:ascii="Times New Roman" w:hAnsi="Times New Roman"/>
        </w:rPr>
        <w:t>-1</w:t>
      </w:r>
      <w:r>
        <w:rPr>
          <w:rFonts w:hint="eastAsia" w:ascii="Times New Roman" w:hAnsi="Times New Roman"/>
        </w:rPr>
        <w:t>）中航班加注燃料后，飞机油箱载有的燃料量（</w:t>
      </w:r>
      <w:r>
        <w:rPr>
          <w:rFonts w:ascii="Times New Roman" w:hAnsi="Times New Roman"/>
          <w:i/>
        </w:rPr>
        <w:t>T</w:t>
      </w:r>
      <w:r>
        <w:rPr>
          <w:rFonts w:ascii="Times New Roman" w:hAnsi="Times New Roman"/>
          <w:i/>
          <w:vertAlign w:val="subscript"/>
        </w:rPr>
        <w:t>N</w:t>
      </w:r>
      <w:r>
        <w:rPr>
          <w:rFonts w:hint="eastAsia" w:ascii="Times New Roman" w:hAnsi="Times New Roman"/>
        </w:rPr>
        <w:t>或</w:t>
      </w:r>
      <w:r>
        <w:rPr>
          <w:rFonts w:ascii="Times New Roman" w:hAnsi="Times New Roman"/>
          <w:i/>
        </w:rPr>
        <w:t>T</w:t>
      </w:r>
      <w:r>
        <w:rPr>
          <w:rFonts w:ascii="Times New Roman" w:hAnsi="Times New Roman"/>
          <w:i/>
          <w:vertAlign w:val="subscript"/>
        </w:rPr>
        <w:t>N</w:t>
      </w:r>
      <w:r>
        <w:rPr>
          <w:rFonts w:hint="eastAsia" w:ascii="Times New Roman" w:hAnsi="Times New Roman"/>
          <w:i/>
          <w:vertAlign w:val="subscript"/>
        </w:rPr>
        <w:t>+</w:t>
      </w:r>
      <w:r>
        <w:rPr>
          <w:rFonts w:ascii="Times New Roman" w:hAnsi="Times New Roman"/>
          <w:i/>
          <w:vertAlign w:val="subscript"/>
        </w:rPr>
        <w:t>1</w:t>
      </w:r>
      <w:r>
        <w:rPr>
          <w:rFonts w:hint="eastAsia" w:ascii="Times New Roman" w:hAnsi="Times New Roman"/>
        </w:rPr>
        <w:t>）为航班撤轮档时飞机油箱载有的燃料量。当飞机开展飞行以外的活动时（如需监测的飞行之后进行大修），飞机运营人可使用技术日志中飞机后续活动开始前飞机油箱载有的燃料量或本次航班上轮档时飞机油箱中的燃料量替代公式（HK</w:t>
      </w:r>
      <w:r>
        <w:rPr>
          <w:rFonts w:ascii="Times New Roman" w:hAnsi="Times New Roman"/>
        </w:rPr>
        <w:t>-1</w:t>
      </w:r>
      <w:r>
        <w:rPr>
          <w:rFonts w:hint="eastAsia" w:ascii="Times New Roman" w:hAnsi="Times New Roman"/>
        </w:rPr>
        <w:t>）中的“</w:t>
      </w:r>
      <w:r>
        <w:rPr>
          <w:rFonts w:ascii="Times New Roman" w:hAnsi="Times New Roman"/>
          <w:i/>
        </w:rPr>
        <w:t>T</w:t>
      </w:r>
      <w:r>
        <w:rPr>
          <w:rFonts w:ascii="Times New Roman" w:hAnsi="Times New Roman"/>
          <w:i/>
          <w:vertAlign w:val="subscript"/>
        </w:rPr>
        <w:t>N</w:t>
      </w:r>
      <w:r>
        <w:rPr>
          <w:rFonts w:hint="eastAsia" w:ascii="Times New Roman" w:hAnsi="Times New Roman"/>
          <w:i/>
          <w:vertAlign w:val="subscript"/>
        </w:rPr>
        <w:t>+</w:t>
      </w:r>
      <w:r>
        <w:rPr>
          <w:rFonts w:ascii="Times New Roman" w:hAnsi="Times New Roman"/>
          <w:i/>
          <w:vertAlign w:val="subscript"/>
        </w:rPr>
        <w:t>1</w:t>
      </w:r>
      <w:r>
        <w:rPr>
          <w:rFonts w:hint="eastAsia" w:ascii="Times New Roman" w:hAnsi="Times New Roman"/>
        </w:rPr>
        <w:t>”，“</w:t>
      </w:r>
      <w:r>
        <w:rPr>
          <w:rFonts w:ascii="Times New Roman" w:hAnsi="Times New Roman"/>
          <w:i/>
        </w:rPr>
        <w:t>U</w:t>
      </w:r>
      <w:r>
        <w:rPr>
          <w:rFonts w:ascii="Times New Roman" w:hAnsi="Times New Roman"/>
          <w:i/>
          <w:vertAlign w:val="subscript"/>
        </w:rPr>
        <w:t>N</w:t>
      </w:r>
      <w:r>
        <w:rPr>
          <w:rFonts w:hint="eastAsia" w:ascii="Times New Roman" w:hAnsi="Times New Roman"/>
          <w:i/>
          <w:vertAlign w:val="subscript"/>
        </w:rPr>
        <w:t>+</w:t>
      </w:r>
      <w:r>
        <w:rPr>
          <w:rFonts w:ascii="Times New Roman" w:hAnsi="Times New Roman"/>
          <w:i/>
          <w:vertAlign w:val="subscript"/>
        </w:rPr>
        <w:t>1</w:t>
      </w:r>
      <w:r>
        <w:rPr>
          <w:rFonts w:hint="eastAsia" w:ascii="Times New Roman" w:hAnsi="Times New Roman"/>
        </w:rPr>
        <w:t>”取值为0。</w:t>
      </w:r>
    </w:p>
    <w:p>
      <w:pPr>
        <w:ind w:firstLine="480" w:firstLineChars="200"/>
        <w:rPr>
          <w:rFonts w:ascii="Times New Roman" w:hAnsi="Times New Roman"/>
        </w:rPr>
      </w:pPr>
      <w:r>
        <w:rPr>
          <w:rFonts w:hint="eastAsia" w:ascii="Times New Roman" w:hAnsi="Times New Roman"/>
        </w:rPr>
        <w:t>方法B：</w:t>
      </w:r>
    </w:p>
    <w:p>
      <w:pPr>
        <w:adjustRightInd w:val="0"/>
        <w:snapToGrid w:val="0"/>
        <w:ind w:firstLine="480" w:firstLineChars="200"/>
        <w:jc w:val="left"/>
        <w:rPr>
          <w:rFonts w:ascii="Times New Roman" w:hAnsi="Times New Roman"/>
        </w:rPr>
      </w:pPr>
      <m:oMath>
        <m:sSub>
          <m:sSubPr>
            <m:ctrlPr>
              <w:rPr>
                <w:rFonts w:ascii="Cambria Math" w:hAnsi="Cambria Math" w:eastAsia="Cambria Math"/>
                <w:i/>
              </w:rPr>
            </m:ctrlPr>
          </m:sSubPr>
          <m:e>
            <m:r>
              <m:rPr/>
              <w:rPr>
                <w:rFonts w:ascii="Cambria Math" w:hAnsi="Cambria Math" w:eastAsia="Cambria Math"/>
              </w:rPr>
              <m:t>RL</m:t>
            </m:r>
            <m:ctrlPr>
              <w:rPr>
                <w:rFonts w:ascii="Cambria Math" w:hAnsi="Cambria Math" w:eastAsia="Cambria Math"/>
                <w:i/>
              </w:rPr>
            </m:ctrlPr>
          </m:e>
          <m:sub>
            <m:r>
              <m:rPr/>
              <w:rPr>
                <w:rFonts w:ascii="Cambria Math" w:hAnsi="Cambria Math" w:eastAsia="Cambria Math"/>
              </w:rPr>
              <m:t>N</m:t>
            </m:r>
            <m:ctrlPr>
              <w:rPr>
                <w:rFonts w:ascii="Cambria Math" w:hAnsi="Cambria Math" w:eastAsia="Cambria Math"/>
                <w:i/>
              </w:rPr>
            </m:ctrlPr>
          </m:sub>
        </m:sSub>
        <m:r>
          <m:rPr/>
          <w:rPr>
            <w:rFonts w:ascii="Cambria Math" w:hAnsi="Cambria Math"/>
          </w:rPr>
          <m:t>=</m:t>
        </m:r>
        <m:sSub>
          <m:sSubPr>
            <m:ctrlPr>
              <w:rPr>
                <w:rFonts w:ascii="Cambria Math" w:hAnsi="Cambria Math" w:eastAsia="Cambria Math"/>
                <w:i/>
              </w:rPr>
            </m:ctrlPr>
          </m:sSubPr>
          <m:e>
            <m:r>
              <m:rPr/>
              <w:rPr>
                <w:rFonts w:ascii="Cambria Math" w:hAnsi="Cambria Math" w:eastAsia="Cambria Math"/>
              </w:rPr>
              <m:t>R</m:t>
            </m:r>
            <m:ctrlPr>
              <w:rPr>
                <w:rFonts w:ascii="Cambria Math" w:hAnsi="Cambria Math" w:eastAsia="Cambria Math"/>
                <w:i/>
              </w:rPr>
            </m:ctrlPr>
          </m:e>
          <m:sub>
            <m:r>
              <m:rPr/>
              <w:rPr>
                <w:rFonts w:ascii="Cambria Math" w:hAnsi="Cambria Math" w:eastAsia="Cambria Math"/>
              </w:rPr>
              <m:t>N−1</m:t>
            </m:r>
            <m:ctrlPr>
              <w:rPr>
                <w:rFonts w:ascii="Cambria Math" w:hAnsi="Cambria Math" w:eastAsia="Cambria Math"/>
                <w:i/>
              </w:rPr>
            </m:ctrlPr>
          </m:sub>
        </m:sSub>
        <m:r>
          <m:rPr/>
          <w:rPr>
            <w:rFonts w:ascii="Cambria Math" w:hAnsi="Cambria Math" w:cs="MS Gothic"/>
          </w:rPr>
          <m:t>−</m:t>
        </m:r>
        <m:sSub>
          <m:sSubPr>
            <m:ctrlPr>
              <w:rPr>
                <w:rFonts w:ascii="Cambria Math" w:hAnsi="Cambria Math" w:eastAsia="Cambria Math"/>
                <w:i/>
              </w:rPr>
            </m:ctrlPr>
          </m:sSubPr>
          <m:e>
            <m:r>
              <m:rPr/>
              <w:rPr>
                <w:rFonts w:ascii="Cambria Math" w:hAnsi="Cambria Math" w:eastAsia="Cambria Math"/>
              </w:rPr>
              <m:t>R</m:t>
            </m:r>
            <m:ctrlPr>
              <w:rPr>
                <w:rFonts w:ascii="Cambria Math" w:hAnsi="Cambria Math" w:eastAsia="Cambria Math"/>
                <w:i/>
              </w:rPr>
            </m:ctrlPr>
          </m:e>
          <m:sub>
            <m:r>
              <m:rPr/>
              <w:rPr>
                <w:rFonts w:ascii="Cambria Math" w:hAnsi="Cambria Math" w:eastAsia="Cambria Math"/>
              </w:rPr>
              <m:t>N</m:t>
            </m:r>
            <m:ctrlPr>
              <w:rPr>
                <w:rFonts w:ascii="Cambria Math" w:hAnsi="Cambria Math" w:eastAsia="Cambria Math"/>
                <w:i/>
              </w:rPr>
            </m:ctrlPr>
          </m:sub>
        </m:sSub>
        <m:r>
          <m:rPr/>
          <w:rPr>
            <w:rFonts w:hint="eastAsia" w:ascii="Cambria Math" w:hAnsi="Cambria Math"/>
          </w:rPr>
          <m:t>+</m:t>
        </m:r>
        <m:sSub>
          <m:sSubPr>
            <m:ctrlPr>
              <w:rPr>
                <w:rFonts w:ascii="Cambria Math" w:hAnsi="Cambria Math" w:eastAsia="Cambria Math"/>
                <w:i/>
              </w:rPr>
            </m:ctrlPr>
          </m:sSubPr>
          <m:e>
            <m:r>
              <m:rPr/>
              <w:rPr>
                <w:rFonts w:ascii="Cambria Math" w:hAnsi="Cambria Math" w:eastAsia="Cambria Math"/>
              </w:rPr>
              <m:t>U</m:t>
            </m:r>
            <m:ctrlPr>
              <w:rPr>
                <w:rFonts w:ascii="Cambria Math" w:hAnsi="Cambria Math" w:eastAsia="Cambria Math"/>
                <w:i/>
              </w:rPr>
            </m:ctrlPr>
          </m:e>
          <m:sub>
            <m:r>
              <m:rPr/>
              <w:rPr>
                <w:rFonts w:ascii="Cambria Math" w:hAnsi="Cambria Math" w:eastAsia="Cambria Math"/>
              </w:rPr>
              <m:t>N</m:t>
            </m:r>
            <m:ctrlPr>
              <w:rPr>
                <w:rFonts w:ascii="Cambria Math" w:hAnsi="Cambria Math" w:eastAsia="Cambria Math"/>
                <w:i/>
              </w:rPr>
            </m:ctrlPr>
          </m:sub>
        </m:sSub>
      </m:oMath>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（HK</w:t>
      </w:r>
      <w:r>
        <w:rPr>
          <w:rFonts w:ascii="Times New Roman" w:hAnsi="Times New Roman"/>
        </w:rPr>
        <w:t>-2</w:t>
      </w:r>
      <w:r>
        <w:rPr>
          <w:rFonts w:hint="eastAsia" w:ascii="Times New Roman" w:hAnsi="Times New Roman"/>
        </w:rPr>
        <w:t>）</w:t>
      </w:r>
    </w:p>
    <w:p>
      <w:pPr>
        <w:adjustRightInd w:val="0"/>
        <w:snapToGrid w:val="0"/>
        <w:ind w:firstLine="480" w:firstLineChars="200"/>
        <w:rPr>
          <w:rFonts w:ascii="Times New Roman" w:hAnsi="Times New Roman"/>
        </w:rPr>
      </w:pPr>
      <w:r>
        <w:rPr>
          <w:rFonts w:hint="eastAsia" w:ascii="Times New Roman" w:hAnsi="Times New Roman"/>
        </w:rPr>
        <w:t>式中，</w:t>
      </w:r>
    </w:p>
    <w:p>
      <w:pPr>
        <w:adjustRightInd w:val="0"/>
        <w:snapToGrid w:val="0"/>
        <w:spacing w:line="420" w:lineRule="exact"/>
        <w:ind w:firstLine="480" w:firstLineChars="200"/>
        <w:rPr>
          <w:rFonts w:ascii="Times New Roman" w:hAnsi="Times New Roman"/>
        </w:rPr>
      </w:pPr>
      <w:r>
        <w:rPr>
          <w:rFonts w:ascii="Times New Roman" w:hAnsi="Times New Roman"/>
          <w:i/>
        </w:rPr>
        <w:t>RL</w:t>
      </w:r>
      <w:r>
        <w:rPr>
          <w:rFonts w:ascii="Times New Roman" w:hAnsi="Times New Roman"/>
          <w:i/>
          <w:vertAlign w:val="subscript"/>
        </w:rPr>
        <w:t>N</w:t>
      </w:r>
      <w:r>
        <w:rPr>
          <w:rFonts w:hint="eastAsia" w:ascii="Times New Roman" w:hAnsi="Times New Roman"/>
        </w:rPr>
        <w:t>是当前航班（航班</w:t>
      </w:r>
      <w:r>
        <w:rPr>
          <w:rFonts w:hint="eastAsia" w:ascii="Times New Roman" w:hAnsi="Times New Roman"/>
          <w:vertAlign w:val="subscript"/>
        </w:rPr>
        <w:t>N</w:t>
      </w:r>
      <w:r>
        <w:rPr>
          <w:rFonts w:hint="eastAsia" w:ascii="Times New Roman" w:hAnsi="Times New Roman"/>
        </w:rPr>
        <w:t>）的燃料消耗量，单位为t；</w:t>
      </w:r>
    </w:p>
    <w:p>
      <w:pPr>
        <w:adjustRightInd w:val="0"/>
        <w:snapToGrid w:val="0"/>
        <w:spacing w:line="420" w:lineRule="exact"/>
        <w:ind w:firstLine="480" w:firstLineChars="200"/>
        <w:rPr>
          <w:rFonts w:ascii="Times New Roman" w:hAnsi="Times New Roman"/>
        </w:rPr>
      </w:pPr>
      <w:r>
        <w:rPr>
          <w:rFonts w:ascii="Times New Roman" w:hAnsi="Times New Roman"/>
          <w:i/>
        </w:rPr>
        <w:t>R</w:t>
      </w:r>
      <w:r>
        <w:rPr>
          <w:rFonts w:ascii="Times New Roman" w:hAnsi="Times New Roman"/>
          <w:i/>
          <w:vertAlign w:val="subscript"/>
        </w:rPr>
        <w:t>N-1</w:t>
      </w:r>
      <w:r>
        <w:rPr>
          <w:rFonts w:hint="eastAsia" w:ascii="Times New Roman" w:hAnsi="Times New Roman"/>
        </w:rPr>
        <w:t>是上一航班（航班</w:t>
      </w:r>
      <w:r>
        <w:rPr>
          <w:rFonts w:hint="eastAsia" w:ascii="Times New Roman" w:hAnsi="Times New Roman"/>
          <w:vertAlign w:val="subscript"/>
        </w:rPr>
        <w:t>N-1</w:t>
      </w:r>
      <w:r>
        <w:rPr>
          <w:rFonts w:hint="eastAsia" w:ascii="Times New Roman" w:hAnsi="Times New Roman"/>
        </w:rPr>
        <w:t>）上轮档时，飞机油箱载有的燃料量，单位为t；</w:t>
      </w:r>
    </w:p>
    <w:p>
      <w:pPr>
        <w:adjustRightInd w:val="0"/>
        <w:snapToGrid w:val="0"/>
        <w:spacing w:line="420" w:lineRule="exact"/>
        <w:ind w:firstLine="480" w:firstLineChars="200"/>
        <w:rPr>
          <w:rFonts w:ascii="Times New Roman" w:hAnsi="Times New Roman"/>
        </w:rPr>
      </w:pPr>
      <w:r>
        <w:rPr>
          <w:rFonts w:ascii="Times New Roman" w:hAnsi="Times New Roman"/>
          <w:i/>
        </w:rPr>
        <w:t>R</w:t>
      </w:r>
      <w:r>
        <w:rPr>
          <w:rFonts w:ascii="Times New Roman" w:hAnsi="Times New Roman"/>
          <w:i/>
          <w:vertAlign w:val="subscript"/>
        </w:rPr>
        <w:t>N</w:t>
      </w:r>
      <w:r>
        <w:rPr>
          <w:rFonts w:hint="eastAsia" w:ascii="Times New Roman" w:hAnsi="Times New Roman"/>
        </w:rPr>
        <w:t>是当前航班（航班</w:t>
      </w:r>
      <w:r>
        <w:rPr>
          <w:rFonts w:hint="eastAsia" w:ascii="Times New Roman" w:hAnsi="Times New Roman"/>
          <w:vertAlign w:val="subscript"/>
        </w:rPr>
        <w:t>N</w:t>
      </w:r>
      <w:r>
        <w:rPr>
          <w:rFonts w:hint="eastAsia" w:ascii="Times New Roman" w:hAnsi="Times New Roman"/>
        </w:rPr>
        <w:t>）上轮档时，飞机油箱载有的燃料量，单位为t；</w:t>
      </w:r>
    </w:p>
    <w:p>
      <w:pPr>
        <w:adjustRightInd w:val="0"/>
        <w:snapToGrid w:val="0"/>
        <w:spacing w:line="420" w:lineRule="exact"/>
        <w:ind w:firstLine="480" w:firstLineChars="200"/>
        <w:rPr>
          <w:rFonts w:ascii="Times New Roman" w:hAnsi="Times New Roman"/>
        </w:rPr>
      </w:pPr>
      <w:r>
        <w:rPr>
          <w:rFonts w:ascii="Times New Roman" w:hAnsi="Times New Roman"/>
          <w:i/>
        </w:rPr>
        <w:t>U</w:t>
      </w:r>
      <w:r>
        <w:rPr>
          <w:rFonts w:ascii="Times New Roman" w:hAnsi="Times New Roman"/>
          <w:i/>
          <w:vertAlign w:val="subscript"/>
        </w:rPr>
        <w:t>N</w:t>
      </w:r>
      <w:r>
        <w:rPr>
          <w:rFonts w:hint="eastAsia" w:ascii="Times New Roman" w:hAnsi="Times New Roman"/>
        </w:rPr>
        <w:t>是当前航班（航班</w:t>
      </w:r>
      <w:r>
        <w:rPr>
          <w:rFonts w:hint="eastAsia" w:ascii="Times New Roman" w:hAnsi="Times New Roman"/>
          <w:vertAlign w:val="subscript"/>
        </w:rPr>
        <w:t>N</w:t>
      </w:r>
      <w:r>
        <w:rPr>
          <w:rFonts w:hint="eastAsia" w:ascii="Times New Roman" w:hAnsi="Times New Roman"/>
        </w:rPr>
        <w:t>）燃料加注量，单位为t。按新加油的体积乘以燃油密度值（可为实际值或每升0.8千克的缺省值）计算得到。</w:t>
      </w:r>
    </w:p>
    <w:p>
      <w:pPr>
        <w:ind w:firstLine="480" w:firstLineChars="200"/>
        <w:rPr>
          <w:rFonts w:ascii="Times New Roman" w:hAnsi="Times New Roman"/>
        </w:rPr>
      </w:pPr>
      <w:r>
        <w:rPr>
          <w:rFonts w:ascii="Times New Roman" w:hAnsi="Times New Roman"/>
        </w:rPr>
        <w:t>其中</w:t>
      </w:r>
      <w:r>
        <w:rPr>
          <w:rFonts w:hint="eastAsia" w:ascii="Times New Roman" w:hAnsi="Times New Roman"/>
        </w:rPr>
        <w:t>：</w:t>
      </w:r>
      <w:r>
        <w:rPr>
          <w:rFonts w:ascii="Times New Roman" w:hAnsi="Times New Roman"/>
          <w:i/>
        </w:rPr>
        <w:t>R</w:t>
      </w:r>
      <w:r>
        <w:rPr>
          <w:rFonts w:ascii="Times New Roman" w:hAnsi="Times New Roman"/>
          <w:i/>
          <w:vertAlign w:val="subscript"/>
        </w:rPr>
        <w:t>N-1</w:t>
      </w:r>
      <w:r>
        <w:rPr>
          <w:rFonts w:ascii="Times New Roman" w:hAnsi="Times New Roman"/>
        </w:rPr>
        <w:t>和</w:t>
      </w:r>
      <w:r>
        <w:rPr>
          <w:rFonts w:ascii="Times New Roman" w:hAnsi="Times New Roman"/>
          <w:i/>
        </w:rPr>
        <w:t>R</w:t>
      </w:r>
      <w:r>
        <w:rPr>
          <w:rFonts w:ascii="Times New Roman" w:hAnsi="Times New Roman"/>
          <w:i/>
          <w:vertAlign w:val="subscript"/>
        </w:rPr>
        <w:t>N</w:t>
      </w:r>
      <w:r>
        <w:rPr>
          <w:rFonts w:ascii="Times New Roman" w:hAnsi="Times New Roman"/>
        </w:rPr>
        <w:t>数据应通过机载数据系统或飞行任务书获得。</w:t>
      </w:r>
      <w:r>
        <w:rPr>
          <w:rFonts w:ascii="Times New Roman" w:hAnsi="Times New Roman"/>
          <w:i/>
        </w:rPr>
        <w:t>U</w:t>
      </w:r>
      <w:r>
        <w:rPr>
          <w:rFonts w:ascii="Times New Roman" w:hAnsi="Times New Roman"/>
          <w:i/>
          <w:vertAlign w:val="subscript"/>
        </w:rPr>
        <w:t>N</w:t>
      </w:r>
      <w:r>
        <w:rPr>
          <w:rFonts w:ascii="Times New Roman" w:hAnsi="Times New Roman"/>
        </w:rPr>
        <w:t>应以燃油供应商提供的加油</w:t>
      </w:r>
      <w:r>
        <w:rPr>
          <w:rFonts w:hint="eastAsia" w:ascii="Times New Roman" w:hAnsi="Times New Roman"/>
        </w:rPr>
        <w:t>单或发票数据为准，若信息无法获得，也可通过机载数据系统或飞行任务书获得。</w:t>
      </w:r>
    </w:p>
    <w:p>
      <w:pPr>
        <w:ind w:firstLine="480" w:firstLineChars="200"/>
        <w:rPr>
          <w:rFonts w:ascii="Times New Roman" w:hAnsi="Times New Roman"/>
        </w:rPr>
      </w:pPr>
      <w:r>
        <w:rPr>
          <w:rFonts w:ascii="Times New Roman" w:hAnsi="Times New Roman"/>
        </w:rPr>
        <w:t>若需监测的航班之前未执行飞行活动（如涉及抽油放油停场维修后的首次飞行），</w:t>
      </w:r>
      <w:r>
        <w:rPr>
          <w:rFonts w:hint="eastAsia" w:ascii="Times New Roman" w:hAnsi="Times New Roman"/>
        </w:rPr>
        <w:t>企业可使用技术日志中飞机前序活动（停场维修）结束时油箱中载有的燃料量代替（HK</w:t>
      </w:r>
      <w:r>
        <w:rPr>
          <w:rFonts w:ascii="Times New Roman" w:hAnsi="Times New Roman"/>
        </w:rPr>
        <w:t>-2</w:t>
      </w:r>
      <w:r>
        <w:rPr>
          <w:rFonts w:hint="eastAsia" w:ascii="Times New Roman" w:hAnsi="Times New Roman"/>
        </w:rPr>
        <w:t>）</w:t>
      </w:r>
      <w:r>
        <w:rPr>
          <w:rFonts w:ascii="Times New Roman" w:hAnsi="Times New Roman"/>
        </w:rPr>
        <w:t>公式</w:t>
      </w:r>
      <w:r>
        <w:rPr>
          <w:rFonts w:hint="eastAsia" w:ascii="Times New Roman" w:hAnsi="Times New Roman"/>
        </w:rPr>
        <w:t>中的“</w:t>
      </w:r>
      <w:r>
        <w:rPr>
          <w:rFonts w:ascii="Times New Roman" w:hAnsi="Times New Roman"/>
          <w:i/>
        </w:rPr>
        <w:t>R</w:t>
      </w:r>
      <w:r>
        <w:rPr>
          <w:rFonts w:ascii="Times New Roman" w:hAnsi="Times New Roman"/>
          <w:i/>
          <w:vertAlign w:val="subscript"/>
        </w:rPr>
        <w:t>N-1</w:t>
      </w:r>
      <w:r>
        <w:rPr>
          <w:rFonts w:ascii="Times New Roman" w:hAnsi="Times New Roman"/>
        </w:rPr>
        <w:t>”。</w:t>
      </w:r>
    </w:p>
    <w:p>
      <w:pPr>
        <w:ind w:firstLine="480" w:firstLineChars="200"/>
        <w:rPr>
          <w:rFonts w:ascii="Times New Roman" w:hAnsi="Times New Roman"/>
        </w:rPr>
      </w:pPr>
      <w:r>
        <w:rPr>
          <w:rFonts w:hint="eastAsia" w:ascii="Times New Roman" w:hAnsi="Times New Roman"/>
        </w:rPr>
        <w:t>在重点碳排放单位年度报告中，应依据企业能源台账等，分别报告其在本市行政辖区内</w:t>
      </w:r>
      <w:r>
        <w:rPr>
          <w:rFonts w:ascii="Times New Roman" w:hAnsi="Times New Roman"/>
        </w:rPr>
        <w:t>2018和2019年</w:t>
      </w:r>
      <w:r>
        <w:rPr>
          <w:rFonts w:hint="eastAsia" w:ascii="Times New Roman" w:hAnsi="Times New Roman"/>
        </w:rPr>
        <w:t>移动设施、2</w:t>
      </w:r>
      <w:r>
        <w:rPr>
          <w:rFonts w:ascii="Times New Roman" w:hAnsi="Times New Roman"/>
        </w:rPr>
        <w:t>016—2019</w:t>
      </w:r>
      <w:r>
        <w:rPr>
          <w:rFonts w:hint="eastAsia" w:ascii="Times New Roman" w:hAnsi="Times New Roman"/>
        </w:rPr>
        <w:t>年</w:t>
      </w:r>
      <w:r>
        <w:rPr>
          <w:rFonts w:ascii="Times New Roman" w:hAnsi="Times New Roman"/>
        </w:rPr>
        <w:t>的</w:t>
      </w:r>
      <w:r>
        <w:rPr>
          <w:rFonts w:hint="eastAsia" w:ascii="Times New Roman" w:hAnsi="Times New Roman"/>
        </w:rPr>
        <w:t>固定设施化石燃料消费量，其中飞机燃油消耗量需分机型进行填报。化石燃料热值可采用附录一附表</w:t>
      </w:r>
      <w:r>
        <w:rPr>
          <w:rFonts w:ascii="Times New Roman" w:hAnsi="Times New Roman"/>
        </w:rPr>
        <w:t>1</w:t>
      </w:r>
      <w:r>
        <w:rPr>
          <w:rFonts w:hint="eastAsia" w:ascii="Times New Roman" w:hAnsi="Times New Roman"/>
        </w:rPr>
        <w:t>和附表</w:t>
      </w:r>
      <w:r>
        <w:rPr>
          <w:rFonts w:ascii="Times New Roman" w:hAnsi="Times New Roman"/>
        </w:rPr>
        <w:t>2</w:t>
      </w:r>
      <w:r>
        <w:rPr>
          <w:rFonts w:hint="eastAsia" w:ascii="Times New Roman" w:hAnsi="Times New Roman"/>
        </w:rPr>
        <w:t>的缺省值。</w:t>
      </w:r>
    </w:p>
    <w:p>
      <w:pPr>
        <w:ind w:firstLine="480" w:firstLineChars="200"/>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）电力消耗隐含排放</w:t>
      </w:r>
    </w:p>
    <w:p>
      <w:pPr>
        <w:ind w:firstLine="480" w:firstLineChars="200"/>
        <w:rPr>
          <w:rFonts w:ascii="Times New Roman" w:hAnsi="Times New Roman"/>
        </w:rPr>
      </w:pPr>
      <w:r>
        <w:rPr>
          <w:rFonts w:ascii="Times New Roman" w:hAnsi="Times New Roman"/>
        </w:rPr>
        <w:t>二氧化碳间接排放的活动水平数据是单位在本市行政辖区内固定设施的年电力消耗量。可以通过查读电表获得，取年末（比如，2019年12月31日23:59）和年初（比如，2019年1月1日00:00）企业电力总表的读数差值。也可根据与电力供应部门的结算凭证获取。</w:t>
      </w:r>
    </w:p>
    <w:p>
      <w:pPr>
        <w:ind w:firstLine="480" w:firstLineChars="200"/>
        <w:rPr>
          <w:rFonts w:ascii="Times New Roman" w:hAnsi="Times New Roman"/>
        </w:rPr>
      </w:pPr>
      <w:r>
        <w:rPr>
          <w:rFonts w:hint="eastAsia" w:ascii="Times New Roman" w:hAnsi="Times New Roman"/>
        </w:rPr>
        <w:t>在重点碳排放单位年度报告中，应通过上述方法获得电力消耗量。企业可根据与电力供应部门的结算凭证对上述电力计量数据进行验证。</w:t>
      </w:r>
    </w:p>
    <w:p>
      <w:pPr>
        <w:pStyle w:val="4"/>
        <w:numPr>
          <w:ilvl w:val="0"/>
          <w:numId w:val="3"/>
        </w:numPr>
        <w:adjustRightInd w:val="0"/>
        <w:snapToGrid w:val="0"/>
        <w:spacing w:before="0" w:after="0" w:line="420" w:lineRule="exact"/>
        <w:ind w:left="0" w:firstLine="479" w:firstLineChars="0"/>
        <w:rPr>
          <w:rFonts w:ascii="Times New Roman" w:hAnsi="Times New Roman"/>
        </w:rPr>
      </w:pPr>
      <w:r>
        <w:rPr>
          <w:rFonts w:hint="eastAsia" w:ascii="Times New Roman" w:hAnsi="Times New Roman"/>
        </w:rPr>
        <w:t>排放因子确定</w:t>
      </w:r>
    </w:p>
    <w:p>
      <w:pPr>
        <w:adjustRightInd w:val="0"/>
        <w:snapToGrid w:val="0"/>
        <w:ind w:firstLine="480" w:firstLineChars="200"/>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）化石燃料燃烧排放</w:t>
      </w:r>
    </w:p>
    <w:p>
      <w:pPr>
        <w:rPr>
          <w:rFonts w:ascii="Times New Roman" w:hAnsi="Times New Roman"/>
        </w:rPr>
      </w:pPr>
      <w:r>
        <w:rPr>
          <w:rFonts w:hint="eastAsia" w:ascii="Times New Roman" w:hAnsi="Times New Roman"/>
        </w:rPr>
        <w:t>第</w:t>
      </w:r>
      <w:r>
        <w:rPr>
          <w:rFonts w:ascii="Times New Roman" w:hAnsi="Times New Roman"/>
        </w:rPr>
        <w:t>i</w:t>
      </w:r>
      <w:r>
        <w:rPr>
          <w:rFonts w:hint="eastAsia" w:ascii="Times New Roman" w:hAnsi="Times New Roman"/>
        </w:rPr>
        <w:t>种燃料二氧化碳直接排放的排放因子按公式（</w:t>
      </w:r>
      <w:r>
        <w:rPr>
          <w:rFonts w:ascii="Times New Roman" w:hAnsi="Times New Roman"/>
        </w:rPr>
        <w:t>TY-4</w:t>
      </w:r>
      <w:r>
        <w:rPr>
          <w:rFonts w:hint="eastAsia" w:ascii="Times New Roman" w:hAnsi="Times New Roman"/>
        </w:rPr>
        <w:t>）计算得到。</w:t>
      </w:r>
    </w:p>
    <w:p>
      <w:pPr>
        <w:adjustRightInd w:val="0"/>
        <w:snapToGrid w:val="0"/>
        <w:ind w:firstLine="480" w:firstLineChars="200"/>
        <w:jc w:val="left"/>
        <w:rPr>
          <w:rFonts w:ascii="Times New Roman" w:hAnsi="Times New Roman"/>
          <w:sz w:val="36"/>
        </w:rPr>
      </w:pPr>
      <m:oMath>
        <m:sSub>
          <m:sSubPr>
            <m:ctrlPr>
              <w:rPr>
                <w:rFonts w:ascii="Cambria Math" w:hAnsi="Cambria Math" w:eastAsia="Cambria Math"/>
                <w:i/>
              </w:rPr>
            </m:ctrlPr>
          </m:sSubPr>
          <m:e>
            <m:r>
              <m:rPr/>
              <w:rPr>
                <w:rFonts w:ascii="Cambria Math" w:hAnsi="Cambria Math" w:eastAsia="Cambria Math"/>
              </w:rPr>
              <m:t>F</m:t>
            </m:r>
            <m:ctrlPr>
              <w:rPr>
                <w:rFonts w:ascii="Cambria Math" w:hAnsi="Cambria Math" w:eastAsia="Cambria Math"/>
                <w:i/>
              </w:rPr>
            </m:ctrlPr>
          </m:e>
          <m:sub>
            <m:r>
              <m:rPr/>
              <w:rPr>
                <w:rFonts w:ascii="Cambria Math" w:hAnsi="Cambria Math" w:eastAsia="Cambria Math"/>
              </w:rPr>
              <m:t>i</m:t>
            </m:r>
            <m:ctrlPr>
              <w:rPr>
                <w:rFonts w:ascii="Cambria Math" w:hAnsi="Cambria Math" w:eastAsia="Cambria Math"/>
                <w:i/>
              </w:rPr>
            </m:ctrlPr>
          </m:sub>
        </m:sSub>
        <m:r>
          <m:rPr/>
          <w:rPr>
            <w:rFonts w:ascii="Cambria Math" w:hAnsi="Cambria Math"/>
          </w:rPr>
          <m:t>=</m:t>
        </m:r>
        <m:sSub>
          <m:sSubPr>
            <m:ctrlPr>
              <w:rPr>
                <w:rFonts w:ascii="Cambria Math" w:hAnsi="Cambria Math" w:eastAsia="Cambria Math"/>
                <w:i/>
              </w:rPr>
            </m:ctrlPr>
          </m:sSubPr>
          <m:e>
            <m:r>
              <m:rPr/>
              <w:rPr>
                <w:rFonts w:ascii="Cambria Math" w:hAnsi="Cambria Math" w:eastAsia="Cambria Math"/>
              </w:rPr>
              <m:t>C</m:t>
            </m:r>
            <m:ctrlPr>
              <w:rPr>
                <w:rFonts w:ascii="Cambria Math" w:hAnsi="Cambria Math" w:eastAsia="Cambria Math"/>
                <w:i/>
              </w:rPr>
            </m:ctrlPr>
          </m:e>
          <m:sub>
            <m:r>
              <m:rPr/>
              <w:rPr>
                <w:rFonts w:ascii="Cambria Math" w:hAnsi="Cambria Math" w:eastAsia="Cambria Math"/>
              </w:rPr>
              <m:t>i</m:t>
            </m:r>
            <m:ctrlPr>
              <w:rPr>
                <w:rFonts w:ascii="Cambria Math" w:hAnsi="Cambria Math" w:eastAsia="Cambria Math"/>
                <w:i/>
              </w:rPr>
            </m:ctrlPr>
          </m:sub>
        </m:sSub>
        <m:r>
          <m:rPr>
            <m:sty m:val="p"/>
          </m:rPr>
          <w:rPr>
            <w:rFonts w:ascii="Cambria Math" w:hAnsi="Cambria Math"/>
          </w:rPr>
          <m:t>×</m:t>
        </m:r>
        <m:sSub>
          <m:sSubPr>
            <m:ctrlPr>
              <w:rPr>
                <w:rFonts w:ascii="Cambria Math" w:hAnsi="Cambria Math" w:eastAsia="Cambria Math"/>
                <w:i/>
              </w:rPr>
            </m:ctrlPr>
          </m:sSubPr>
          <m:e>
            <m:r>
              <m:rPr/>
              <w:rPr>
                <w:rFonts w:ascii="Cambria Math" w:hAnsi="Cambria Math" w:eastAsia="Cambria Math"/>
              </w:rPr>
              <m:t>α</m:t>
            </m:r>
            <m:ctrlPr>
              <w:rPr>
                <w:rFonts w:ascii="Cambria Math" w:hAnsi="Cambria Math" w:eastAsia="Cambria Math"/>
                <w:i/>
              </w:rPr>
            </m:ctrlPr>
          </m:e>
          <m:sub>
            <m:r>
              <m:rPr/>
              <w:rPr>
                <w:rFonts w:ascii="Cambria Math" w:hAnsi="Cambria Math" w:eastAsia="Cambria Math"/>
              </w:rPr>
              <m:t>i</m:t>
            </m:r>
            <m:ctrlPr>
              <w:rPr>
                <w:rFonts w:ascii="Cambria Math" w:hAnsi="Cambria Math" w:eastAsia="Cambria Math"/>
                <w:i/>
              </w:rPr>
            </m:ctrlPr>
          </m:sub>
        </m:sSub>
        <m:r>
          <m:rPr>
            <m:sty m:val="p"/>
          </m:rPr>
          <w:rPr>
            <w:rFonts w:ascii="Cambria Math" w:hAnsi="Cambria Math"/>
          </w:rPr>
          <m:t>×</m:t>
        </m:r>
        <m:r>
          <m:rPr/>
          <w:rPr>
            <w:rFonts w:ascii="Cambria Math" w:hAnsi="Cambria Math" w:eastAsia="Cambria Math"/>
          </w:rPr>
          <m:t>ρ</m:t>
        </m:r>
      </m:oMath>
      <w:r>
        <w:rPr>
          <w:rFonts w:ascii="Times New Roman" w:hAnsi="Times New Roman"/>
          <w:i/>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hint="eastAsia" w:ascii="Times New Roman" w:hAnsi="Times New Roman"/>
        </w:rPr>
        <w:t>（</w:t>
      </w:r>
      <w:r>
        <w:rPr>
          <w:rFonts w:ascii="Times New Roman" w:hAnsi="Times New Roman"/>
        </w:rPr>
        <w:t>TY-4</w:t>
      </w:r>
      <w:r>
        <w:rPr>
          <w:rFonts w:hint="eastAsia" w:ascii="Times New Roman" w:hAnsi="Times New Roman"/>
        </w:rPr>
        <w:t>）</w:t>
      </w:r>
    </w:p>
    <w:p>
      <w:pPr>
        <w:ind w:firstLine="420" w:firstLineChars="0"/>
        <w:jc w:val="left"/>
        <w:rPr>
          <w:rFonts w:ascii="Times New Roman" w:hAnsi="Times New Roman"/>
        </w:rPr>
      </w:pPr>
      <w:r>
        <w:rPr>
          <w:rFonts w:hint="eastAsia" w:ascii="Times New Roman" w:hAnsi="Times New Roman"/>
        </w:rPr>
        <w:t>式中，</w:t>
      </w:r>
    </w:p>
    <w:p>
      <w:pPr>
        <w:ind w:firstLine="420" w:firstLineChars="0"/>
        <w:rPr>
          <w:rFonts w:ascii="Times New Roman" w:hAnsi="Times New Roman"/>
        </w:rPr>
      </w:pPr>
      <w:r>
        <w:rPr>
          <w:rFonts w:ascii="Times New Roman" w:hAnsi="Times New Roman"/>
          <w:i/>
        </w:rPr>
        <w:t>F</w:t>
      </w:r>
      <w:r>
        <w:rPr>
          <w:rFonts w:ascii="Times New Roman" w:hAnsi="Times New Roman"/>
          <w:i/>
          <w:vertAlign w:val="subscript"/>
        </w:rPr>
        <w:t>i</w:t>
      </w:r>
      <w:r>
        <w:rPr>
          <w:rFonts w:hint="eastAsia" w:ascii="Times New Roman" w:hAnsi="Times New Roman"/>
        </w:rPr>
        <w:t>是燃料</w:t>
      </w:r>
      <w:r>
        <w:rPr>
          <w:rFonts w:ascii="Times New Roman" w:hAnsi="Times New Roman"/>
          <w:i/>
        </w:rPr>
        <w:t>i</w:t>
      </w:r>
      <w:r>
        <w:rPr>
          <w:rFonts w:hint="eastAsia" w:ascii="Times New Roman" w:hAnsi="Times New Roman"/>
        </w:rPr>
        <w:t>的排放因子，单位为</w:t>
      </w:r>
      <w:r>
        <w:rPr>
          <w:rFonts w:ascii="Times New Roman" w:hAnsi="Times New Roman"/>
        </w:rPr>
        <w:t>tCO</w:t>
      </w:r>
      <w:r>
        <w:rPr>
          <w:rFonts w:ascii="Times New Roman" w:hAnsi="Times New Roman"/>
          <w:vertAlign w:val="subscript"/>
        </w:rPr>
        <w:t>2</w:t>
      </w:r>
      <w:r>
        <w:rPr>
          <w:rFonts w:ascii="Times New Roman" w:hAnsi="Times New Roman"/>
        </w:rPr>
        <w:t>/TJ</w:t>
      </w:r>
      <w:r>
        <w:rPr>
          <w:rFonts w:hint="eastAsia" w:ascii="Times New Roman" w:hAnsi="Times New Roman"/>
        </w:rPr>
        <w:t>；</w:t>
      </w:r>
    </w:p>
    <w:p>
      <w:pPr>
        <w:adjustRightInd w:val="0"/>
        <w:snapToGrid w:val="0"/>
        <w:ind w:firstLine="480" w:firstLineChars="200"/>
        <w:rPr>
          <w:rFonts w:ascii="Times New Roman" w:hAnsi="Times New Roman"/>
        </w:rPr>
      </w:pPr>
      <w:r>
        <w:rPr>
          <w:rFonts w:ascii="Times New Roman" w:hAnsi="Times New Roman"/>
          <w:i/>
        </w:rPr>
        <w:t>C</w:t>
      </w:r>
      <w:r>
        <w:rPr>
          <w:rFonts w:ascii="Times New Roman" w:hAnsi="Times New Roman"/>
          <w:i/>
          <w:vertAlign w:val="subscript"/>
        </w:rPr>
        <w:t>i</w:t>
      </w:r>
      <w:r>
        <w:rPr>
          <w:rFonts w:hint="eastAsia" w:ascii="Times New Roman" w:hAnsi="Times New Roman"/>
        </w:rPr>
        <w:t>是燃料</w:t>
      </w:r>
      <w:r>
        <w:rPr>
          <w:rFonts w:ascii="Times New Roman" w:hAnsi="Times New Roman"/>
          <w:i/>
        </w:rPr>
        <w:t>i</w:t>
      </w:r>
      <w:r>
        <w:rPr>
          <w:rFonts w:hint="eastAsia" w:ascii="Times New Roman" w:hAnsi="Times New Roman"/>
        </w:rPr>
        <w:t>的单位热值含碳量，单位为</w:t>
      </w:r>
      <w:r>
        <w:rPr>
          <w:rFonts w:ascii="Times New Roman" w:hAnsi="Times New Roman"/>
        </w:rPr>
        <w:t>tC/TJ</w:t>
      </w:r>
      <w:r>
        <w:rPr>
          <w:rFonts w:hint="eastAsia" w:ascii="Times New Roman" w:hAnsi="Times New Roman"/>
        </w:rPr>
        <w:t>；</w:t>
      </w:r>
    </w:p>
    <w:p>
      <w:pPr>
        <w:adjustRightInd w:val="0"/>
        <w:snapToGrid w:val="0"/>
        <w:ind w:firstLine="480" w:firstLineChars="200"/>
        <w:rPr>
          <w:rFonts w:ascii="Times New Roman" w:hAnsi="Times New Roman"/>
        </w:rPr>
      </w:pPr>
      <w:r>
        <w:rPr>
          <w:rFonts w:ascii="Times New Roman" w:hAnsi="Times New Roman"/>
          <w:i/>
        </w:rPr>
        <w:t>α</w:t>
      </w:r>
      <w:r>
        <w:rPr>
          <w:rFonts w:ascii="Times New Roman" w:hAnsi="Times New Roman"/>
          <w:i/>
          <w:vertAlign w:val="subscript"/>
        </w:rPr>
        <w:t>i</w:t>
      </w:r>
      <w:r>
        <w:rPr>
          <w:rFonts w:hint="eastAsia" w:ascii="Times New Roman" w:hAnsi="Times New Roman"/>
        </w:rPr>
        <w:t>是为燃料</w:t>
      </w:r>
      <w:r>
        <w:rPr>
          <w:rFonts w:ascii="Times New Roman" w:hAnsi="Times New Roman"/>
          <w:i/>
        </w:rPr>
        <w:t>i</w:t>
      </w:r>
      <w:r>
        <w:rPr>
          <w:rFonts w:hint="eastAsia" w:ascii="Times New Roman" w:hAnsi="Times New Roman"/>
        </w:rPr>
        <w:t>的碳氧化率；</w:t>
      </w:r>
    </w:p>
    <w:p>
      <w:pPr>
        <w:adjustRightInd w:val="0"/>
        <w:snapToGrid w:val="0"/>
        <w:ind w:firstLine="480" w:firstLineChars="200"/>
        <w:rPr>
          <w:rFonts w:ascii="Times New Roman" w:hAnsi="Times New Roman"/>
        </w:rPr>
      </w:pPr>
      <w:r>
        <w:rPr>
          <w:rFonts w:ascii="Times New Roman" w:hAnsi="Times New Roman"/>
          <w:i/>
        </w:rPr>
        <w:t>ρ</w:t>
      </w:r>
      <w:r>
        <w:rPr>
          <w:rFonts w:hint="eastAsia" w:ascii="Times New Roman" w:hAnsi="Times New Roman"/>
        </w:rPr>
        <w:t>是二氧化碳与碳的分子量之比，为一常数，44/12。</w:t>
      </w:r>
    </w:p>
    <w:p>
      <w:pPr>
        <w:ind w:firstLine="480" w:firstLineChars="200"/>
        <w:rPr>
          <w:rFonts w:ascii="Times New Roman" w:hAnsi="Times New Roman"/>
        </w:rPr>
      </w:pPr>
      <w:r>
        <w:rPr>
          <w:rFonts w:hint="eastAsia" w:ascii="Times New Roman" w:hAnsi="Times New Roman"/>
        </w:rPr>
        <w:t>在重点碳排放单位年度报告中，化石燃料的单位热值含碳量和碳氧化率可采用附录一附表</w:t>
      </w:r>
      <w:r>
        <w:rPr>
          <w:rFonts w:ascii="Times New Roman" w:hAnsi="Times New Roman"/>
        </w:rPr>
        <w:t>1</w:t>
      </w:r>
      <w:r>
        <w:rPr>
          <w:rFonts w:hint="eastAsia" w:ascii="Times New Roman" w:hAnsi="Times New Roman"/>
        </w:rPr>
        <w:t>和附表</w:t>
      </w:r>
      <w:r>
        <w:rPr>
          <w:rFonts w:ascii="Times New Roman" w:hAnsi="Times New Roman"/>
        </w:rPr>
        <w:t>2</w:t>
      </w:r>
      <w:r>
        <w:rPr>
          <w:rFonts w:hint="eastAsia" w:ascii="Times New Roman" w:hAnsi="Times New Roman"/>
        </w:rPr>
        <w:t>列出的缺省值。</w:t>
      </w:r>
    </w:p>
    <w:p>
      <w:pPr>
        <w:adjustRightInd w:val="0"/>
        <w:snapToGrid w:val="0"/>
        <w:ind w:firstLine="480" w:firstLineChars="200"/>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）电力消耗隐含排放</w:t>
      </w:r>
    </w:p>
    <w:p>
      <w:pPr>
        <w:ind w:firstLine="480" w:firstLineChars="200"/>
        <w:rPr>
          <w:rFonts w:ascii="Times New Roman" w:hAnsi="Times New Roman"/>
        </w:rPr>
      </w:pPr>
      <w:r>
        <w:rPr>
          <w:rFonts w:hint="eastAsia" w:ascii="Times New Roman" w:hAnsi="Times New Roman"/>
        </w:rPr>
        <w:t>电力消耗的间接排放系数采用发布的最近年份的排放系数。</w:t>
      </w:r>
    </w:p>
    <w:p/>
    <w:p>
      <w:pPr>
        <w:pStyle w:val="3"/>
        <w:ind w:firstLine="562"/>
        <w:rPr>
          <w:sz w:val="28"/>
        </w:rPr>
      </w:pPr>
      <w:bookmarkStart w:id="22" w:name="_Toc36127051"/>
      <w:bookmarkStart w:id="23" w:name="_Toc34322721"/>
      <w:r>
        <w:rPr>
          <w:rFonts w:hint="eastAsia"/>
          <w:sz w:val="28"/>
        </w:rPr>
        <w:t>（二）排放报告格式和要求</w:t>
      </w:r>
      <w:bookmarkEnd w:id="22"/>
      <w:bookmarkEnd w:id="23"/>
    </w:p>
    <w:p/>
    <w:p>
      <w:pPr>
        <w:ind w:firstLine="480" w:firstLineChars="200"/>
        <w:rPr>
          <w:rFonts w:ascii="Times New Roman" w:hAnsi="Times New Roman"/>
        </w:rPr>
      </w:pPr>
      <w:r>
        <w:rPr>
          <w:rFonts w:hint="eastAsia" w:ascii="Times New Roman" w:hAnsi="Times New Roman"/>
        </w:rPr>
        <w:t>重点碳排放单位应提交重点碳排放单位年度排放报告。</w:t>
      </w:r>
    </w:p>
    <w:p>
      <w:pPr>
        <w:ind w:firstLine="480" w:firstLineChars="200"/>
        <w:rPr>
          <w:rFonts w:ascii="Times New Roman" w:hAnsi="Times New Roman"/>
        </w:rPr>
      </w:pPr>
      <w:r>
        <w:rPr>
          <w:rFonts w:hint="eastAsia" w:ascii="Times New Roman" w:hAnsi="Times New Roman"/>
        </w:rPr>
        <w:t>民用航空</w:t>
      </w:r>
      <w:r>
        <w:rPr>
          <w:rFonts w:ascii="Times New Roman" w:hAnsi="Times New Roman"/>
        </w:rPr>
        <w:t>运输企业</w:t>
      </w:r>
      <w:r>
        <w:rPr>
          <w:rFonts w:hint="eastAsia" w:ascii="Times New Roman" w:hAnsi="Times New Roman"/>
        </w:rPr>
        <w:t>分别报告</w:t>
      </w:r>
      <w:r>
        <w:rPr>
          <w:rFonts w:ascii="Times New Roman" w:hAnsi="Times New Roman"/>
        </w:rPr>
        <w:t>固定设施排放和移动设施排放</w:t>
      </w:r>
      <w:r>
        <w:rPr>
          <w:rFonts w:hint="eastAsia" w:ascii="Times New Roman" w:hAnsi="Times New Roman"/>
        </w:rPr>
        <w:t>。</w:t>
      </w:r>
    </w:p>
    <w:p>
      <w:pPr>
        <w:ind w:firstLine="480" w:firstLineChars="200"/>
        <w:rPr>
          <w:rFonts w:ascii="Times New Roman" w:hAnsi="Times New Roman"/>
        </w:rPr>
      </w:pPr>
      <w:r>
        <w:rPr>
          <w:rFonts w:hint="eastAsia" w:ascii="Times New Roman" w:hAnsi="Times New Roman"/>
        </w:rPr>
        <w:t>重点碳排放单位年度排放报告应包括基本情况、二氧化碳直接排放、二氧化碳间接排放、核算结果、不确定性分析、监测计划、二氧化碳控制措施、附录、真实性声明、核查机构意见。</w:t>
      </w:r>
    </w:p>
    <w:p>
      <w:pPr>
        <w:pStyle w:val="4"/>
        <w:numPr>
          <w:ilvl w:val="0"/>
          <w:numId w:val="4"/>
        </w:numPr>
        <w:adjustRightInd w:val="0"/>
        <w:snapToGrid w:val="0"/>
        <w:spacing w:before="0" w:after="0" w:line="420" w:lineRule="exact"/>
        <w:ind w:left="0" w:firstLine="426" w:firstLineChars="0"/>
        <w:rPr>
          <w:rFonts w:ascii="Times New Roman" w:hAnsi="Times New Roman"/>
        </w:rPr>
      </w:pPr>
      <w:r>
        <w:rPr>
          <w:rFonts w:hint="eastAsia" w:ascii="Times New Roman" w:hAnsi="Times New Roman"/>
        </w:rPr>
        <w:t>基本情况</w:t>
      </w:r>
    </w:p>
    <w:p>
      <w:pPr>
        <w:ind w:firstLine="480" w:firstLineChars="200"/>
        <w:rPr>
          <w:rFonts w:ascii="Times New Roman" w:hAnsi="Times New Roman"/>
        </w:rPr>
      </w:pPr>
      <w:r>
        <w:rPr>
          <w:rFonts w:hint="eastAsia" w:ascii="Times New Roman" w:hAnsi="Times New Roman"/>
        </w:rPr>
        <w:t>民用航空运输行业排放报告单位按照表HK-</w:t>
      </w:r>
      <w:r>
        <w:rPr>
          <w:rFonts w:ascii="Times New Roman" w:hAnsi="Times New Roman"/>
        </w:rPr>
        <w:t>1</w:t>
      </w:r>
      <w:r>
        <w:rPr>
          <w:rFonts w:hint="eastAsia" w:ascii="Times New Roman" w:hAnsi="Times New Roman"/>
        </w:rPr>
        <w:t>格式要求填写企业基本信息。</w:t>
      </w:r>
    </w:p>
    <w:p>
      <w:pPr>
        <w:pStyle w:val="51"/>
        <w:adjustRightInd w:val="0"/>
        <w:snapToGrid w:val="0"/>
        <w:ind w:firstLine="480"/>
        <w:rPr>
          <w:rFonts w:ascii="Times New Roman" w:hAnsi="Times New Roman"/>
        </w:rPr>
      </w:pPr>
      <w:r>
        <w:rPr>
          <w:rFonts w:hint="eastAsia" w:ascii="Times New Roman" w:hAnsi="Times New Roman"/>
        </w:rPr>
        <w:t>民用航空运输企业重点碳排放单位应</w:t>
      </w:r>
      <w:r>
        <w:rPr>
          <w:rFonts w:ascii="Times New Roman" w:hAnsi="Times New Roman"/>
        </w:rPr>
        <w:t>按照表ZD-1-</w:t>
      </w:r>
      <w:r>
        <w:rPr>
          <w:rFonts w:hint="eastAsia" w:ascii="Times New Roman" w:hAnsi="Times New Roman"/>
        </w:rPr>
        <w:t>H</w:t>
      </w:r>
      <w:r>
        <w:rPr>
          <w:rFonts w:ascii="Times New Roman" w:hAnsi="Times New Roman"/>
        </w:rPr>
        <w:t>1格式要求填写固定设施情况</w:t>
      </w:r>
      <w:r>
        <w:rPr>
          <w:rFonts w:hint="eastAsia" w:ascii="Times New Roman" w:hAnsi="Times New Roman"/>
        </w:rPr>
        <w:t>，</w:t>
      </w:r>
      <w:r>
        <w:rPr>
          <w:rFonts w:ascii="Times New Roman" w:hAnsi="Times New Roman"/>
        </w:rPr>
        <w:t>按照</w:t>
      </w:r>
      <w:r>
        <w:rPr>
          <w:rFonts w:hint="eastAsia" w:ascii="Times New Roman" w:hAnsi="Times New Roman"/>
        </w:rPr>
        <w:t>表</w:t>
      </w:r>
      <w:r>
        <w:rPr>
          <w:rFonts w:ascii="Times New Roman" w:hAnsi="Times New Roman"/>
        </w:rPr>
        <w:t>ZD-1-</w:t>
      </w:r>
      <w:r>
        <w:rPr>
          <w:rFonts w:hint="eastAsia" w:ascii="Times New Roman" w:hAnsi="Times New Roman"/>
        </w:rPr>
        <w:t>H2格式要求填写移动设施，基于不同活动类别、不同机型分别统计燃油消耗量、大圆总周转量等。</w:t>
      </w:r>
    </w:p>
    <w:p>
      <w:pPr>
        <w:pStyle w:val="51"/>
        <w:adjustRightInd w:val="0"/>
        <w:snapToGrid w:val="0"/>
        <w:ind w:firstLine="480"/>
        <w:rPr>
          <w:rFonts w:ascii="Times New Roman" w:hAnsi="Times New Roman"/>
        </w:rPr>
      </w:pPr>
      <w:r>
        <w:rPr>
          <w:rFonts w:ascii="Times New Roman" w:hAnsi="Times New Roman"/>
        </w:rPr>
        <w:t>其中飞行活动类别包括四类</w:t>
      </w:r>
      <w:r>
        <w:rPr>
          <w:rFonts w:hint="eastAsia" w:ascii="Times New Roman" w:hAnsi="Times New Roman"/>
        </w:rPr>
        <w:t>：</w:t>
      </w:r>
    </w:p>
    <w:p>
      <w:pPr>
        <w:pStyle w:val="51"/>
        <w:adjustRightInd w:val="0"/>
        <w:snapToGrid w:val="0"/>
        <w:ind w:firstLine="480"/>
        <w:rPr>
          <w:rFonts w:ascii="Times New Roman" w:hAnsi="Times New Roman"/>
        </w:rPr>
      </w:pPr>
      <w:r>
        <w:rPr>
          <w:rFonts w:ascii="Times New Roman" w:hAnsi="Times New Roman"/>
        </w:rPr>
        <w:t>第一类飞行活动</w:t>
      </w:r>
      <w:r>
        <w:rPr>
          <w:rFonts w:hint="eastAsia" w:ascii="Times New Roman" w:hAnsi="Times New Roman"/>
        </w:rPr>
        <w:t>：</w:t>
      </w:r>
      <w:r>
        <w:rPr>
          <w:rFonts w:ascii="Times New Roman" w:hAnsi="Times New Roman"/>
        </w:rPr>
        <w:t>航段两端都在中华人民共和国境内</w:t>
      </w:r>
      <w:r>
        <w:rPr>
          <w:rFonts w:hint="eastAsia" w:ascii="Times New Roman" w:hAnsi="Times New Roman"/>
        </w:rPr>
        <w:t>（不含港澳台）的。</w:t>
      </w:r>
    </w:p>
    <w:p>
      <w:pPr>
        <w:pStyle w:val="51"/>
        <w:adjustRightInd w:val="0"/>
        <w:snapToGrid w:val="0"/>
        <w:ind w:firstLine="480"/>
        <w:rPr>
          <w:rFonts w:ascii="Times New Roman" w:hAnsi="Times New Roman"/>
        </w:rPr>
      </w:pPr>
      <w:r>
        <w:rPr>
          <w:rFonts w:ascii="Times New Roman" w:hAnsi="Times New Roman"/>
        </w:rPr>
        <w:t>第二类飞行活动</w:t>
      </w:r>
      <w:r>
        <w:rPr>
          <w:rFonts w:hint="eastAsia" w:ascii="Times New Roman" w:hAnsi="Times New Roman"/>
        </w:rPr>
        <w:t>：</w:t>
      </w:r>
      <w:r>
        <w:rPr>
          <w:rFonts w:ascii="Times New Roman" w:hAnsi="Times New Roman"/>
        </w:rPr>
        <w:t>航段一端在中华人民共和国境内</w:t>
      </w:r>
      <w:r>
        <w:rPr>
          <w:rFonts w:hint="eastAsia" w:ascii="Times New Roman" w:hAnsi="Times New Roman"/>
        </w:rPr>
        <w:t>（不含港澳台）且另一端在台湾省、香港特别行政区或澳门特别行政区的，或者两端在台湾省、香港特别行政区、澳门特别行政区的。</w:t>
      </w:r>
    </w:p>
    <w:p>
      <w:pPr>
        <w:pStyle w:val="51"/>
        <w:adjustRightInd w:val="0"/>
        <w:snapToGrid w:val="0"/>
        <w:ind w:firstLine="480"/>
        <w:rPr>
          <w:rFonts w:ascii="Times New Roman" w:hAnsi="Times New Roman"/>
        </w:rPr>
      </w:pPr>
      <w:r>
        <w:rPr>
          <w:rFonts w:ascii="Times New Roman" w:hAnsi="Times New Roman"/>
        </w:rPr>
        <w:t>第三类飞行活动</w:t>
      </w:r>
      <w:r>
        <w:rPr>
          <w:rFonts w:hint="eastAsia" w:ascii="Times New Roman" w:hAnsi="Times New Roman"/>
        </w:rPr>
        <w:t>：</w:t>
      </w:r>
      <w:r>
        <w:rPr>
          <w:rFonts w:ascii="Times New Roman" w:hAnsi="Times New Roman"/>
        </w:rPr>
        <w:t>航段一端在中华人民共和国国内</w:t>
      </w:r>
      <w:r>
        <w:rPr>
          <w:rFonts w:hint="eastAsia" w:ascii="Times New Roman" w:hAnsi="Times New Roman"/>
        </w:rPr>
        <w:t>（含港澳台），另一端在其他国家的；或者航段两端分别在中华人民共和国（含港澳台）以外不同国家的。</w:t>
      </w:r>
    </w:p>
    <w:p>
      <w:pPr>
        <w:pStyle w:val="51"/>
        <w:adjustRightInd w:val="0"/>
        <w:snapToGrid w:val="0"/>
        <w:ind w:firstLine="480"/>
        <w:rPr>
          <w:rFonts w:ascii="Times New Roman" w:hAnsi="Times New Roman"/>
        </w:rPr>
      </w:pPr>
      <w:r>
        <w:rPr>
          <w:rFonts w:ascii="Times New Roman" w:hAnsi="Times New Roman"/>
        </w:rPr>
        <w:t>第四类飞行活动</w:t>
      </w:r>
      <w:r>
        <w:rPr>
          <w:rFonts w:hint="eastAsia" w:ascii="Times New Roman" w:hAnsi="Times New Roman"/>
        </w:rPr>
        <w:t>：</w:t>
      </w:r>
      <w:r>
        <w:rPr>
          <w:rFonts w:ascii="Times New Roman" w:hAnsi="Times New Roman"/>
        </w:rPr>
        <w:t>航段两端都在中华人民共和国</w:t>
      </w:r>
      <w:r>
        <w:rPr>
          <w:rFonts w:hint="eastAsia" w:ascii="Times New Roman" w:hAnsi="Times New Roman"/>
        </w:rPr>
        <w:t>（含港澳台）国外的同一国家的。</w:t>
      </w:r>
    </w:p>
    <w:p>
      <w:pPr>
        <w:adjustRightInd w:val="0"/>
        <w:snapToGrid w:val="0"/>
        <w:ind w:firstLine="0" w:firstLineChars="0"/>
        <w:jc w:val="center"/>
        <w:rPr>
          <w:rFonts w:ascii="Times New Roman" w:hAnsi="Times New Roman"/>
          <w:b/>
          <w:sz w:val="21"/>
          <w:szCs w:val="21"/>
        </w:rPr>
      </w:pPr>
      <w:r>
        <w:rPr>
          <w:rFonts w:hint="eastAsia" w:ascii="Times New Roman" w:hAnsi="Times New Roman"/>
          <w:b/>
          <w:sz w:val="21"/>
          <w:szCs w:val="21"/>
        </w:rPr>
        <w:t>表</w:t>
      </w:r>
      <w:r>
        <w:rPr>
          <w:rFonts w:ascii="Times New Roman" w:hAnsi="Times New Roman"/>
          <w:b/>
          <w:sz w:val="21"/>
          <w:szCs w:val="21"/>
        </w:rPr>
        <w:t xml:space="preserve">HK-1  </w:t>
      </w:r>
      <w:r>
        <w:rPr>
          <w:rFonts w:hint="eastAsia" w:ascii="Times New Roman" w:hAnsi="Times New Roman"/>
          <w:b/>
          <w:sz w:val="21"/>
          <w:szCs w:val="21"/>
        </w:rPr>
        <w:t>报告单位基本信息</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714"/>
        <w:gridCol w:w="970"/>
        <w:gridCol w:w="976"/>
        <w:gridCol w:w="267"/>
        <w:gridCol w:w="1118"/>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企业名称</w:t>
            </w:r>
          </w:p>
        </w:tc>
        <w:tc>
          <w:tcPr>
            <w:tcW w:w="5472" w:type="dxa"/>
            <w:gridSpan w:val="6"/>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所属行业</w:t>
            </w:r>
          </w:p>
        </w:tc>
        <w:tc>
          <w:tcPr>
            <w:tcW w:w="714" w:type="dxa"/>
            <w:vAlign w:val="center"/>
          </w:tcPr>
          <w:p>
            <w:pPr>
              <w:adjustRightInd w:val="0"/>
              <w:snapToGrid w:val="0"/>
              <w:spacing w:line="320" w:lineRule="atLeast"/>
              <w:ind w:firstLine="0" w:firstLineChars="0"/>
              <w:jc w:val="center"/>
              <w:rPr>
                <w:rFonts w:ascii="Times New Roman" w:hAnsi="Times New Roman"/>
                <w:sz w:val="18"/>
                <w:szCs w:val="18"/>
              </w:rPr>
            </w:pPr>
          </w:p>
        </w:tc>
        <w:tc>
          <w:tcPr>
            <w:tcW w:w="97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行业代码</w:t>
            </w:r>
          </w:p>
        </w:tc>
        <w:tc>
          <w:tcPr>
            <w:tcW w:w="976" w:type="dxa"/>
            <w:vAlign w:val="center"/>
          </w:tcPr>
          <w:p>
            <w:pPr>
              <w:adjustRightInd w:val="0"/>
              <w:snapToGrid w:val="0"/>
              <w:spacing w:line="320" w:lineRule="atLeast"/>
              <w:ind w:firstLine="0" w:firstLineChars="0"/>
              <w:jc w:val="center"/>
              <w:rPr>
                <w:rFonts w:ascii="Times New Roman" w:hAnsi="Times New Roman"/>
                <w:sz w:val="18"/>
                <w:szCs w:val="18"/>
              </w:rPr>
            </w:pPr>
          </w:p>
        </w:tc>
        <w:tc>
          <w:tcPr>
            <w:tcW w:w="1385" w:type="dxa"/>
            <w:gridSpan w:val="2"/>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社会信用</w:t>
            </w:r>
            <w:r>
              <w:rPr>
                <w:rFonts w:ascii="Times New Roman" w:hAnsi="Times New Roman"/>
                <w:sz w:val="18"/>
                <w:szCs w:val="18"/>
              </w:rPr>
              <w:t>代码</w:t>
            </w:r>
          </w:p>
        </w:tc>
        <w:tc>
          <w:tcPr>
            <w:tcW w:w="1427" w:type="dxa"/>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企业注册地址</w:t>
            </w:r>
          </w:p>
        </w:tc>
        <w:tc>
          <w:tcPr>
            <w:tcW w:w="5472" w:type="dxa"/>
            <w:gridSpan w:val="6"/>
            <w:vAlign w:val="center"/>
          </w:tcPr>
          <w:p>
            <w:pPr>
              <w:adjustRightInd w:val="0"/>
              <w:snapToGrid w:val="0"/>
              <w:spacing w:line="320" w:lineRule="atLeast"/>
              <w:ind w:firstLine="90" w:firstLineChars="50"/>
              <w:jc w:val="left"/>
              <w:rPr>
                <w:rFonts w:ascii="Times New Roman" w:hAnsi="Times New Roman"/>
                <w:sz w:val="18"/>
                <w:szCs w:val="18"/>
              </w:rPr>
            </w:pPr>
            <w:r>
              <w:rPr>
                <w:rFonts w:hint="eastAsia" w:ascii="Times New Roman" w:hAnsi="Times New Roman"/>
                <w:sz w:val="18"/>
                <w:szCs w:val="18"/>
              </w:rPr>
              <w:t>北京市区镇（乡、街道）村（路、小区）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企业办公地址</w:t>
            </w:r>
          </w:p>
        </w:tc>
        <w:tc>
          <w:tcPr>
            <w:tcW w:w="5472" w:type="dxa"/>
            <w:gridSpan w:val="6"/>
            <w:vAlign w:val="center"/>
          </w:tcPr>
          <w:p>
            <w:pPr>
              <w:adjustRightInd w:val="0"/>
              <w:snapToGrid w:val="0"/>
              <w:spacing w:line="320" w:lineRule="atLeast"/>
              <w:ind w:firstLine="90" w:firstLineChars="50"/>
              <w:jc w:val="left"/>
              <w:rPr>
                <w:rFonts w:ascii="Times New Roman" w:hAnsi="Times New Roman"/>
                <w:sz w:val="18"/>
                <w:szCs w:val="18"/>
              </w:rPr>
            </w:pPr>
            <w:r>
              <w:rPr>
                <w:rFonts w:hint="eastAsia" w:ascii="Times New Roman" w:hAnsi="Times New Roman"/>
                <w:sz w:val="18"/>
                <w:szCs w:val="18"/>
              </w:rPr>
              <w:t>北京市区镇（乡、街道）村（路、小区）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法定代表人</w:t>
            </w:r>
          </w:p>
        </w:tc>
        <w:tc>
          <w:tcPr>
            <w:tcW w:w="714" w:type="dxa"/>
            <w:vAlign w:val="center"/>
          </w:tcPr>
          <w:p>
            <w:pPr>
              <w:adjustRightInd w:val="0"/>
              <w:snapToGrid w:val="0"/>
              <w:spacing w:line="320" w:lineRule="atLeast"/>
              <w:ind w:firstLine="0" w:firstLineChars="0"/>
              <w:jc w:val="center"/>
              <w:rPr>
                <w:rFonts w:ascii="Times New Roman" w:hAnsi="Times New Roman"/>
                <w:sz w:val="18"/>
                <w:szCs w:val="18"/>
              </w:rPr>
            </w:pPr>
          </w:p>
        </w:tc>
        <w:tc>
          <w:tcPr>
            <w:tcW w:w="97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电话</w:t>
            </w:r>
          </w:p>
        </w:tc>
        <w:tc>
          <w:tcPr>
            <w:tcW w:w="1243" w:type="dxa"/>
            <w:gridSpan w:val="2"/>
            <w:vAlign w:val="center"/>
          </w:tcPr>
          <w:p>
            <w:pPr>
              <w:adjustRightInd w:val="0"/>
              <w:snapToGrid w:val="0"/>
              <w:spacing w:line="320" w:lineRule="atLeast"/>
              <w:ind w:firstLine="0" w:firstLineChars="0"/>
              <w:jc w:val="center"/>
              <w:rPr>
                <w:rFonts w:ascii="Times New Roman" w:hAnsi="Times New Roman"/>
                <w:sz w:val="18"/>
                <w:szCs w:val="18"/>
              </w:rPr>
            </w:pPr>
          </w:p>
        </w:tc>
        <w:tc>
          <w:tcPr>
            <w:tcW w:w="1118"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传真</w:t>
            </w:r>
          </w:p>
        </w:tc>
        <w:tc>
          <w:tcPr>
            <w:tcW w:w="1427" w:type="dxa"/>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通信地址</w:t>
            </w:r>
          </w:p>
        </w:tc>
        <w:tc>
          <w:tcPr>
            <w:tcW w:w="2927" w:type="dxa"/>
            <w:gridSpan w:val="4"/>
            <w:vAlign w:val="center"/>
          </w:tcPr>
          <w:p>
            <w:pPr>
              <w:adjustRightInd w:val="0"/>
              <w:snapToGrid w:val="0"/>
              <w:spacing w:line="320" w:lineRule="atLeast"/>
              <w:ind w:firstLine="0" w:firstLineChars="0"/>
              <w:jc w:val="center"/>
              <w:rPr>
                <w:rFonts w:ascii="Times New Roman" w:hAnsi="Times New Roman"/>
                <w:sz w:val="18"/>
                <w:szCs w:val="18"/>
              </w:rPr>
            </w:pPr>
          </w:p>
        </w:tc>
        <w:tc>
          <w:tcPr>
            <w:tcW w:w="1118"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邮编</w:t>
            </w:r>
          </w:p>
        </w:tc>
        <w:tc>
          <w:tcPr>
            <w:tcW w:w="1427" w:type="dxa"/>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单位分管领导</w:t>
            </w:r>
          </w:p>
        </w:tc>
        <w:tc>
          <w:tcPr>
            <w:tcW w:w="714" w:type="dxa"/>
            <w:vAlign w:val="center"/>
          </w:tcPr>
          <w:p>
            <w:pPr>
              <w:adjustRightInd w:val="0"/>
              <w:snapToGrid w:val="0"/>
              <w:spacing w:line="320" w:lineRule="atLeast"/>
              <w:ind w:firstLine="0" w:firstLineChars="0"/>
              <w:jc w:val="center"/>
              <w:rPr>
                <w:rFonts w:ascii="Times New Roman" w:hAnsi="Times New Roman"/>
                <w:sz w:val="18"/>
                <w:szCs w:val="18"/>
              </w:rPr>
            </w:pPr>
          </w:p>
        </w:tc>
        <w:tc>
          <w:tcPr>
            <w:tcW w:w="97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电话</w:t>
            </w:r>
          </w:p>
        </w:tc>
        <w:tc>
          <w:tcPr>
            <w:tcW w:w="1243" w:type="dxa"/>
            <w:gridSpan w:val="2"/>
            <w:vAlign w:val="center"/>
          </w:tcPr>
          <w:p>
            <w:pPr>
              <w:adjustRightInd w:val="0"/>
              <w:snapToGrid w:val="0"/>
              <w:spacing w:line="320" w:lineRule="atLeast"/>
              <w:ind w:firstLine="0" w:firstLineChars="0"/>
              <w:jc w:val="center"/>
              <w:rPr>
                <w:rFonts w:ascii="Times New Roman" w:hAnsi="Times New Roman"/>
                <w:sz w:val="18"/>
                <w:szCs w:val="18"/>
              </w:rPr>
            </w:pPr>
          </w:p>
        </w:tc>
        <w:tc>
          <w:tcPr>
            <w:tcW w:w="1118"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传真</w:t>
            </w:r>
          </w:p>
        </w:tc>
        <w:tc>
          <w:tcPr>
            <w:tcW w:w="1427" w:type="dxa"/>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单位碳排放管理部门名称</w:t>
            </w:r>
          </w:p>
        </w:tc>
        <w:tc>
          <w:tcPr>
            <w:tcW w:w="5472" w:type="dxa"/>
            <w:gridSpan w:val="6"/>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负责人</w:t>
            </w:r>
          </w:p>
        </w:tc>
        <w:tc>
          <w:tcPr>
            <w:tcW w:w="714" w:type="dxa"/>
            <w:vAlign w:val="center"/>
          </w:tcPr>
          <w:p>
            <w:pPr>
              <w:adjustRightInd w:val="0"/>
              <w:snapToGrid w:val="0"/>
              <w:spacing w:line="320" w:lineRule="atLeast"/>
              <w:ind w:firstLine="0" w:firstLineChars="0"/>
              <w:jc w:val="center"/>
              <w:rPr>
                <w:rFonts w:ascii="Times New Roman" w:hAnsi="Times New Roman"/>
                <w:sz w:val="18"/>
                <w:szCs w:val="18"/>
              </w:rPr>
            </w:pPr>
          </w:p>
        </w:tc>
        <w:tc>
          <w:tcPr>
            <w:tcW w:w="97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电话</w:t>
            </w:r>
          </w:p>
        </w:tc>
        <w:tc>
          <w:tcPr>
            <w:tcW w:w="1243" w:type="dxa"/>
            <w:gridSpan w:val="2"/>
            <w:vAlign w:val="center"/>
          </w:tcPr>
          <w:p>
            <w:pPr>
              <w:adjustRightInd w:val="0"/>
              <w:snapToGrid w:val="0"/>
              <w:spacing w:line="320" w:lineRule="atLeast"/>
              <w:ind w:firstLine="0" w:firstLineChars="0"/>
              <w:jc w:val="center"/>
              <w:rPr>
                <w:rFonts w:ascii="Times New Roman" w:hAnsi="Times New Roman"/>
                <w:sz w:val="18"/>
                <w:szCs w:val="18"/>
              </w:rPr>
            </w:pPr>
          </w:p>
        </w:tc>
        <w:tc>
          <w:tcPr>
            <w:tcW w:w="1118"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手机</w:t>
            </w:r>
          </w:p>
        </w:tc>
        <w:tc>
          <w:tcPr>
            <w:tcW w:w="1427" w:type="dxa"/>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电子邮件</w:t>
            </w:r>
          </w:p>
        </w:tc>
        <w:tc>
          <w:tcPr>
            <w:tcW w:w="2927" w:type="dxa"/>
            <w:gridSpan w:val="4"/>
            <w:vAlign w:val="center"/>
          </w:tcPr>
          <w:p>
            <w:pPr>
              <w:adjustRightInd w:val="0"/>
              <w:snapToGrid w:val="0"/>
              <w:spacing w:line="320" w:lineRule="atLeast"/>
              <w:ind w:firstLine="0" w:firstLineChars="0"/>
              <w:jc w:val="center"/>
              <w:rPr>
                <w:rFonts w:ascii="Times New Roman" w:hAnsi="Times New Roman"/>
                <w:sz w:val="18"/>
                <w:szCs w:val="18"/>
              </w:rPr>
            </w:pPr>
          </w:p>
        </w:tc>
        <w:tc>
          <w:tcPr>
            <w:tcW w:w="1118"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传真</w:t>
            </w:r>
          </w:p>
        </w:tc>
        <w:tc>
          <w:tcPr>
            <w:tcW w:w="1427" w:type="dxa"/>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联系人</w:t>
            </w:r>
          </w:p>
        </w:tc>
        <w:tc>
          <w:tcPr>
            <w:tcW w:w="714" w:type="dxa"/>
            <w:vAlign w:val="center"/>
          </w:tcPr>
          <w:p>
            <w:pPr>
              <w:adjustRightInd w:val="0"/>
              <w:snapToGrid w:val="0"/>
              <w:spacing w:line="320" w:lineRule="atLeast"/>
              <w:ind w:firstLine="0" w:firstLineChars="0"/>
              <w:jc w:val="center"/>
              <w:rPr>
                <w:rFonts w:ascii="Times New Roman" w:hAnsi="Times New Roman"/>
                <w:sz w:val="18"/>
                <w:szCs w:val="18"/>
              </w:rPr>
            </w:pPr>
          </w:p>
        </w:tc>
        <w:tc>
          <w:tcPr>
            <w:tcW w:w="97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电话</w:t>
            </w:r>
          </w:p>
        </w:tc>
        <w:tc>
          <w:tcPr>
            <w:tcW w:w="1243" w:type="dxa"/>
            <w:gridSpan w:val="2"/>
            <w:vAlign w:val="center"/>
          </w:tcPr>
          <w:p>
            <w:pPr>
              <w:adjustRightInd w:val="0"/>
              <w:snapToGrid w:val="0"/>
              <w:spacing w:line="320" w:lineRule="atLeast"/>
              <w:ind w:firstLine="0" w:firstLineChars="0"/>
              <w:jc w:val="center"/>
              <w:rPr>
                <w:rFonts w:ascii="Times New Roman" w:hAnsi="Times New Roman"/>
                <w:sz w:val="18"/>
                <w:szCs w:val="18"/>
              </w:rPr>
            </w:pPr>
          </w:p>
        </w:tc>
        <w:tc>
          <w:tcPr>
            <w:tcW w:w="1118"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手机</w:t>
            </w:r>
          </w:p>
        </w:tc>
        <w:tc>
          <w:tcPr>
            <w:tcW w:w="1427" w:type="dxa"/>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电子邮件</w:t>
            </w:r>
          </w:p>
        </w:tc>
        <w:tc>
          <w:tcPr>
            <w:tcW w:w="2927" w:type="dxa"/>
            <w:gridSpan w:val="4"/>
            <w:vAlign w:val="center"/>
          </w:tcPr>
          <w:p>
            <w:pPr>
              <w:adjustRightInd w:val="0"/>
              <w:snapToGrid w:val="0"/>
              <w:spacing w:line="320" w:lineRule="atLeast"/>
              <w:ind w:firstLine="0" w:firstLineChars="0"/>
              <w:jc w:val="center"/>
              <w:rPr>
                <w:rFonts w:ascii="Times New Roman" w:hAnsi="Times New Roman"/>
                <w:sz w:val="18"/>
                <w:szCs w:val="18"/>
              </w:rPr>
            </w:pPr>
          </w:p>
        </w:tc>
        <w:tc>
          <w:tcPr>
            <w:tcW w:w="1118"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传真</w:t>
            </w:r>
          </w:p>
        </w:tc>
        <w:tc>
          <w:tcPr>
            <w:tcW w:w="1427" w:type="dxa"/>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通信地址</w:t>
            </w:r>
          </w:p>
        </w:tc>
        <w:tc>
          <w:tcPr>
            <w:tcW w:w="2927" w:type="dxa"/>
            <w:gridSpan w:val="4"/>
            <w:vAlign w:val="center"/>
          </w:tcPr>
          <w:p>
            <w:pPr>
              <w:adjustRightInd w:val="0"/>
              <w:snapToGrid w:val="0"/>
              <w:spacing w:line="320" w:lineRule="atLeast"/>
              <w:ind w:firstLine="0" w:firstLineChars="0"/>
              <w:jc w:val="center"/>
              <w:rPr>
                <w:rFonts w:ascii="Times New Roman" w:hAnsi="Times New Roman"/>
                <w:sz w:val="18"/>
                <w:szCs w:val="18"/>
              </w:rPr>
            </w:pPr>
          </w:p>
        </w:tc>
        <w:tc>
          <w:tcPr>
            <w:tcW w:w="1118"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邮编</w:t>
            </w:r>
          </w:p>
        </w:tc>
        <w:tc>
          <w:tcPr>
            <w:tcW w:w="1427" w:type="dxa"/>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企业主要的产品</w:t>
            </w:r>
          </w:p>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或服务</w:t>
            </w:r>
          </w:p>
        </w:tc>
        <w:tc>
          <w:tcPr>
            <w:tcW w:w="5472" w:type="dxa"/>
            <w:gridSpan w:val="6"/>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jc w:val="center"/>
        </w:trPr>
        <w:tc>
          <w:tcPr>
            <w:tcW w:w="2830" w:type="dxa"/>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ICAO三字代码</w:t>
            </w:r>
          </w:p>
        </w:tc>
        <w:tc>
          <w:tcPr>
            <w:tcW w:w="5472" w:type="dxa"/>
            <w:gridSpan w:val="6"/>
            <w:vAlign w:val="center"/>
          </w:tcPr>
          <w:p>
            <w:pPr>
              <w:adjustRightInd w:val="0"/>
              <w:snapToGrid w:val="0"/>
              <w:spacing w:line="320" w:lineRule="atLeas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Merge w:val="restart"/>
            <w:tcBorders>
              <w:top w:val="single" w:color="auto" w:sz="4" w:space="0"/>
              <w:left w:val="single" w:color="auto" w:sz="4" w:space="0"/>
              <w:right w:val="single" w:color="auto" w:sz="4" w:space="0"/>
            </w:tcBorders>
            <w:vAlign w:val="center"/>
          </w:tcPr>
          <w:p>
            <w:pPr>
              <w:adjustRightInd w:val="0"/>
              <w:snapToGrid w:val="0"/>
              <w:spacing w:line="320" w:lineRule="atLeast"/>
              <w:ind w:firstLine="0" w:firstLineChars="0"/>
              <w:jc w:val="center"/>
              <w:rPr>
                <w:rFonts w:ascii="Times New Roman" w:hAnsi="Times New Roman"/>
                <w:sz w:val="18"/>
                <w:szCs w:val="18"/>
              </w:rPr>
            </w:pPr>
            <w:r>
              <w:rPr>
                <w:rFonts w:hint="eastAsia" w:ascii="Times New Roman" w:hAnsi="Times New Roman"/>
                <w:sz w:val="18"/>
                <w:szCs w:val="18"/>
              </w:rPr>
              <w:t>核算和报告边界</w:t>
            </w:r>
          </w:p>
        </w:tc>
        <w:tc>
          <w:tcPr>
            <w:tcW w:w="547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ind w:firstLine="0" w:firstLineChars="0"/>
              <w:jc w:val="left"/>
              <w:rPr>
                <w:rFonts w:ascii="Times New Roman" w:hAnsi="Times New Roman"/>
                <w:sz w:val="18"/>
                <w:szCs w:val="18"/>
              </w:rPr>
            </w:pPr>
            <w:r>
              <w:rPr>
                <w:rFonts w:hint="eastAsia" w:ascii="Times New Roman" w:hAnsi="Times New Roman"/>
                <w:sz w:val="18"/>
                <w:szCs w:val="18"/>
              </w:rPr>
              <w:t>退出的</w:t>
            </w:r>
            <w:r>
              <w:rPr>
                <w:rFonts w:ascii="Times New Roman" w:hAnsi="Times New Roman"/>
                <w:sz w:val="18"/>
                <w:szCs w:val="18"/>
              </w:rPr>
              <w:t>或规模</w:t>
            </w:r>
            <w:r>
              <w:rPr>
                <w:rFonts w:hint="eastAsia" w:ascii="Times New Roman" w:hAnsi="Times New Roman"/>
                <w:sz w:val="18"/>
                <w:szCs w:val="18"/>
              </w:rPr>
              <w:t>缩小</w:t>
            </w:r>
            <w:r>
              <w:rPr>
                <w:rFonts w:ascii="Times New Roman" w:hAnsi="Times New Roman"/>
                <w:sz w:val="18"/>
                <w:szCs w:val="18"/>
              </w:rPr>
              <w:t>的固定排放设施</w:t>
            </w:r>
            <w:r>
              <w:rPr>
                <w:rFonts w:hint="eastAsia" w:ascii="Times New Roman" w:hAnsi="Times New Roman"/>
                <w:sz w:val="18"/>
                <w:szCs w:val="18"/>
              </w:rPr>
              <w:t>（</w:t>
            </w:r>
            <w:r>
              <w:rPr>
                <w:rFonts w:ascii="Times New Roman" w:hAnsi="Times New Roman"/>
                <w:sz w:val="18"/>
                <w:szCs w:val="18"/>
              </w:rPr>
              <w:t>相比于</w:t>
            </w:r>
            <w:r>
              <w:rPr>
                <w:rFonts w:hint="eastAsia" w:ascii="Times New Roman" w:hAnsi="Times New Roman"/>
                <w:sz w:val="18"/>
                <w:szCs w:val="18"/>
              </w:rPr>
              <w:t>201</w:t>
            </w:r>
            <w:r>
              <w:rPr>
                <w:rFonts w:ascii="Times New Roman" w:hAnsi="Times New Roman"/>
                <w:sz w:val="18"/>
                <w:szCs w:val="18"/>
              </w:rPr>
              <w:t>8</w:t>
            </w:r>
            <w:r>
              <w:rPr>
                <w:rFonts w:hint="eastAsia" w:ascii="Times New Roman" w:hAnsi="Times New Roman"/>
                <w:sz w:val="18"/>
                <w:szCs w:val="18"/>
              </w:rPr>
              <w:t>年）：</w:t>
            </w:r>
          </w:p>
          <w:p>
            <w:pPr>
              <w:adjustRightInd w:val="0"/>
              <w:snapToGrid w:val="0"/>
              <w:spacing w:line="320" w:lineRule="atLeast"/>
              <w:ind w:firstLine="0" w:firstLineChars="0"/>
              <w:jc w:val="lef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Merge w:val="continue"/>
            <w:tcBorders>
              <w:left w:val="single" w:color="auto" w:sz="4" w:space="0"/>
              <w:right w:val="single" w:color="auto" w:sz="4" w:space="0"/>
            </w:tcBorders>
            <w:vAlign w:val="center"/>
          </w:tcPr>
          <w:p>
            <w:pPr>
              <w:adjustRightInd w:val="0"/>
              <w:snapToGrid w:val="0"/>
              <w:spacing w:line="320" w:lineRule="atLeast"/>
              <w:ind w:firstLine="0" w:firstLineChars="0"/>
              <w:jc w:val="center"/>
              <w:rPr>
                <w:rFonts w:ascii="Times New Roman" w:hAnsi="Times New Roman"/>
                <w:sz w:val="18"/>
                <w:szCs w:val="18"/>
              </w:rPr>
            </w:pPr>
          </w:p>
        </w:tc>
        <w:tc>
          <w:tcPr>
            <w:tcW w:w="547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ind w:firstLine="0" w:firstLineChars="0"/>
              <w:jc w:val="left"/>
              <w:rPr>
                <w:rFonts w:ascii="Times New Roman" w:hAnsi="Times New Roman"/>
                <w:sz w:val="18"/>
                <w:szCs w:val="18"/>
              </w:rPr>
            </w:pPr>
            <w:r>
              <w:rPr>
                <w:rFonts w:hint="eastAsia" w:ascii="Times New Roman" w:hAnsi="Times New Roman"/>
                <w:sz w:val="18"/>
                <w:szCs w:val="18"/>
              </w:rPr>
              <w:t>退出的</w:t>
            </w:r>
            <w:r>
              <w:rPr>
                <w:rFonts w:ascii="Times New Roman" w:hAnsi="Times New Roman"/>
                <w:sz w:val="18"/>
                <w:szCs w:val="18"/>
              </w:rPr>
              <w:t>或规模</w:t>
            </w:r>
            <w:r>
              <w:rPr>
                <w:rFonts w:hint="eastAsia" w:ascii="Times New Roman" w:hAnsi="Times New Roman"/>
                <w:sz w:val="18"/>
                <w:szCs w:val="18"/>
              </w:rPr>
              <w:t>缩小</w:t>
            </w:r>
            <w:r>
              <w:rPr>
                <w:rFonts w:ascii="Times New Roman" w:hAnsi="Times New Roman"/>
                <w:sz w:val="18"/>
                <w:szCs w:val="18"/>
              </w:rPr>
              <w:t>的固定排放设施</w:t>
            </w:r>
            <w:r>
              <w:rPr>
                <w:rFonts w:hint="eastAsia" w:ascii="Times New Roman" w:hAnsi="Times New Roman"/>
                <w:sz w:val="18"/>
                <w:szCs w:val="18"/>
              </w:rPr>
              <w:t>（</w:t>
            </w:r>
            <w:r>
              <w:rPr>
                <w:rFonts w:ascii="Times New Roman" w:hAnsi="Times New Roman"/>
                <w:sz w:val="18"/>
                <w:szCs w:val="18"/>
              </w:rPr>
              <w:t>相比于</w:t>
            </w:r>
            <w:r>
              <w:rPr>
                <w:rFonts w:hint="eastAsia" w:ascii="Times New Roman" w:hAnsi="Times New Roman"/>
                <w:sz w:val="18"/>
                <w:szCs w:val="18"/>
              </w:rPr>
              <w:t>上一年度）：</w:t>
            </w:r>
          </w:p>
          <w:p>
            <w:pPr>
              <w:adjustRightInd w:val="0"/>
              <w:snapToGrid w:val="0"/>
              <w:spacing w:line="320" w:lineRule="atLeast"/>
              <w:ind w:firstLine="0" w:firstLineChars="0"/>
              <w:jc w:val="lef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Merge w:val="continue"/>
            <w:tcBorders>
              <w:left w:val="single" w:color="auto" w:sz="4" w:space="0"/>
              <w:right w:val="single" w:color="auto" w:sz="4" w:space="0"/>
            </w:tcBorders>
            <w:vAlign w:val="center"/>
          </w:tcPr>
          <w:p>
            <w:pPr>
              <w:adjustRightInd w:val="0"/>
              <w:snapToGrid w:val="0"/>
              <w:spacing w:line="320" w:lineRule="atLeast"/>
              <w:ind w:firstLine="0" w:firstLineChars="0"/>
              <w:jc w:val="center"/>
              <w:rPr>
                <w:rFonts w:ascii="Times New Roman" w:hAnsi="Times New Roman"/>
                <w:sz w:val="18"/>
                <w:szCs w:val="18"/>
              </w:rPr>
            </w:pPr>
          </w:p>
        </w:tc>
        <w:tc>
          <w:tcPr>
            <w:tcW w:w="547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ind w:firstLine="0" w:firstLineChars="0"/>
              <w:jc w:val="left"/>
              <w:rPr>
                <w:rFonts w:ascii="Times New Roman" w:hAnsi="Times New Roman"/>
                <w:sz w:val="18"/>
                <w:szCs w:val="18"/>
              </w:rPr>
            </w:pPr>
            <w:r>
              <w:rPr>
                <w:rFonts w:ascii="Times New Roman" w:hAnsi="Times New Roman"/>
                <w:sz w:val="18"/>
                <w:szCs w:val="18"/>
              </w:rPr>
              <w:t>新增的或规模</w:t>
            </w:r>
            <w:r>
              <w:rPr>
                <w:rFonts w:hint="eastAsia" w:ascii="Times New Roman" w:hAnsi="Times New Roman"/>
                <w:sz w:val="18"/>
                <w:szCs w:val="18"/>
              </w:rPr>
              <w:t>扩大</w:t>
            </w:r>
            <w:r>
              <w:rPr>
                <w:rFonts w:ascii="Times New Roman" w:hAnsi="Times New Roman"/>
                <w:sz w:val="18"/>
                <w:szCs w:val="18"/>
              </w:rPr>
              <w:t>的固定排放设施</w:t>
            </w:r>
            <w:r>
              <w:rPr>
                <w:rFonts w:hint="eastAsia" w:ascii="Times New Roman" w:hAnsi="Times New Roman"/>
                <w:sz w:val="18"/>
                <w:szCs w:val="18"/>
              </w:rPr>
              <w:t>（</w:t>
            </w:r>
            <w:r>
              <w:rPr>
                <w:rFonts w:ascii="Times New Roman" w:hAnsi="Times New Roman"/>
                <w:sz w:val="18"/>
                <w:szCs w:val="18"/>
              </w:rPr>
              <w:t>相比于</w:t>
            </w:r>
            <w:r>
              <w:rPr>
                <w:rFonts w:hint="eastAsia" w:ascii="Times New Roman" w:hAnsi="Times New Roman"/>
                <w:sz w:val="18"/>
                <w:szCs w:val="18"/>
              </w:rPr>
              <w:t>201</w:t>
            </w:r>
            <w:r>
              <w:rPr>
                <w:rFonts w:ascii="Times New Roman" w:hAnsi="Times New Roman"/>
                <w:sz w:val="18"/>
                <w:szCs w:val="18"/>
              </w:rPr>
              <w:t>8</w:t>
            </w:r>
            <w:r>
              <w:rPr>
                <w:rFonts w:hint="eastAsia" w:ascii="Times New Roman" w:hAnsi="Times New Roman"/>
                <w:sz w:val="18"/>
                <w:szCs w:val="18"/>
              </w:rPr>
              <w:t>年）：</w:t>
            </w:r>
          </w:p>
          <w:p>
            <w:pPr>
              <w:adjustRightInd w:val="0"/>
              <w:snapToGrid w:val="0"/>
              <w:spacing w:line="320" w:lineRule="atLeast"/>
              <w:ind w:firstLine="0" w:firstLineChars="0"/>
              <w:jc w:val="lef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Merge w:val="continue"/>
            <w:tcBorders>
              <w:left w:val="single" w:color="auto" w:sz="4" w:space="0"/>
              <w:right w:val="single" w:color="auto" w:sz="4" w:space="0"/>
            </w:tcBorders>
            <w:vAlign w:val="center"/>
          </w:tcPr>
          <w:p>
            <w:pPr>
              <w:adjustRightInd w:val="0"/>
              <w:snapToGrid w:val="0"/>
              <w:spacing w:line="320" w:lineRule="atLeast"/>
              <w:ind w:firstLine="0" w:firstLineChars="0"/>
              <w:jc w:val="center"/>
              <w:rPr>
                <w:rFonts w:ascii="Times New Roman" w:hAnsi="Times New Roman"/>
                <w:sz w:val="18"/>
                <w:szCs w:val="18"/>
              </w:rPr>
            </w:pPr>
          </w:p>
        </w:tc>
        <w:tc>
          <w:tcPr>
            <w:tcW w:w="547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ind w:firstLine="0" w:firstLineChars="0"/>
              <w:jc w:val="left"/>
              <w:rPr>
                <w:rFonts w:ascii="Times New Roman" w:hAnsi="Times New Roman"/>
                <w:sz w:val="18"/>
                <w:szCs w:val="18"/>
              </w:rPr>
            </w:pPr>
            <w:r>
              <w:rPr>
                <w:rFonts w:ascii="Times New Roman" w:hAnsi="Times New Roman"/>
                <w:sz w:val="18"/>
                <w:szCs w:val="18"/>
              </w:rPr>
              <w:t>新增的或规模</w:t>
            </w:r>
            <w:r>
              <w:rPr>
                <w:rFonts w:hint="eastAsia" w:ascii="Times New Roman" w:hAnsi="Times New Roman"/>
                <w:sz w:val="18"/>
                <w:szCs w:val="18"/>
              </w:rPr>
              <w:t>扩大</w:t>
            </w:r>
            <w:r>
              <w:rPr>
                <w:rFonts w:ascii="Times New Roman" w:hAnsi="Times New Roman"/>
                <w:sz w:val="18"/>
                <w:szCs w:val="18"/>
              </w:rPr>
              <w:t>的固定排放设施</w:t>
            </w:r>
            <w:r>
              <w:rPr>
                <w:rFonts w:hint="eastAsia" w:ascii="Times New Roman" w:hAnsi="Times New Roman"/>
                <w:sz w:val="18"/>
                <w:szCs w:val="18"/>
              </w:rPr>
              <w:t>（</w:t>
            </w:r>
            <w:r>
              <w:rPr>
                <w:rFonts w:ascii="Times New Roman" w:hAnsi="Times New Roman"/>
                <w:sz w:val="18"/>
                <w:szCs w:val="18"/>
              </w:rPr>
              <w:t>相比于</w:t>
            </w:r>
            <w:r>
              <w:rPr>
                <w:rFonts w:hint="eastAsia" w:ascii="Times New Roman" w:hAnsi="Times New Roman"/>
                <w:sz w:val="18"/>
                <w:szCs w:val="18"/>
              </w:rPr>
              <w:t>上一年度）：</w:t>
            </w:r>
          </w:p>
          <w:p>
            <w:pPr>
              <w:adjustRightInd w:val="0"/>
              <w:snapToGrid w:val="0"/>
              <w:spacing w:line="320" w:lineRule="atLeast"/>
              <w:ind w:firstLine="0" w:firstLineChars="0"/>
              <w:jc w:val="lef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Merge w:val="continue"/>
            <w:tcBorders>
              <w:left w:val="single" w:color="auto" w:sz="4" w:space="0"/>
              <w:right w:val="single" w:color="auto" w:sz="4" w:space="0"/>
            </w:tcBorders>
            <w:vAlign w:val="center"/>
          </w:tcPr>
          <w:p>
            <w:pPr>
              <w:adjustRightInd w:val="0"/>
              <w:snapToGrid w:val="0"/>
              <w:spacing w:line="320" w:lineRule="atLeast"/>
              <w:ind w:firstLine="0" w:firstLineChars="0"/>
              <w:jc w:val="center"/>
              <w:rPr>
                <w:rFonts w:ascii="Times New Roman" w:hAnsi="Times New Roman"/>
                <w:sz w:val="18"/>
                <w:szCs w:val="18"/>
              </w:rPr>
            </w:pPr>
          </w:p>
        </w:tc>
        <w:tc>
          <w:tcPr>
            <w:tcW w:w="547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ind w:firstLine="0" w:firstLineChars="0"/>
              <w:jc w:val="left"/>
              <w:rPr>
                <w:rFonts w:ascii="Times New Roman" w:hAnsi="Times New Roman"/>
                <w:sz w:val="18"/>
                <w:szCs w:val="18"/>
              </w:rPr>
            </w:pPr>
            <w:r>
              <w:rPr>
                <w:rFonts w:hint="eastAsia" w:ascii="Times New Roman" w:hAnsi="Times New Roman"/>
                <w:sz w:val="18"/>
                <w:szCs w:val="18"/>
              </w:rPr>
              <w:t>退出的或规模缩小的移动排放设施（相比于</w:t>
            </w:r>
            <w:r>
              <w:rPr>
                <w:rFonts w:ascii="Times New Roman" w:hAnsi="Times New Roman"/>
                <w:sz w:val="18"/>
                <w:szCs w:val="18"/>
              </w:rPr>
              <w:t>2018</w:t>
            </w:r>
            <w:r>
              <w:rPr>
                <w:rFonts w:hint="eastAsia" w:ascii="Times New Roman" w:hAnsi="Times New Roman"/>
                <w:sz w:val="18"/>
                <w:szCs w:val="18"/>
              </w:rPr>
              <w:t>年）：</w:t>
            </w:r>
          </w:p>
          <w:p>
            <w:pPr>
              <w:adjustRightInd w:val="0"/>
              <w:snapToGrid w:val="0"/>
              <w:spacing w:line="320" w:lineRule="atLeast"/>
              <w:ind w:firstLine="0" w:firstLineChars="0"/>
              <w:jc w:val="lef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Merge w:val="continue"/>
            <w:tcBorders>
              <w:left w:val="single" w:color="auto" w:sz="4" w:space="0"/>
              <w:right w:val="single" w:color="auto" w:sz="4" w:space="0"/>
            </w:tcBorders>
            <w:vAlign w:val="center"/>
          </w:tcPr>
          <w:p>
            <w:pPr>
              <w:adjustRightInd w:val="0"/>
              <w:snapToGrid w:val="0"/>
              <w:spacing w:line="320" w:lineRule="atLeast"/>
              <w:ind w:firstLine="0" w:firstLineChars="0"/>
              <w:jc w:val="center"/>
              <w:rPr>
                <w:rFonts w:ascii="Times New Roman" w:hAnsi="Times New Roman"/>
                <w:sz w:val="18"/>
                <w:szCs w:val="18"/>
              </w:rPr>
            </w:pPr>
          </w:p>
        </w:tc>
        <w:tc>
          <w:tcPr>
            <w:tcW w:w="547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ind w:firstLine="0" w:firstLineChars="0"/>
              <w:jc w:val="left"/>
              <w:rPr>
                <w:rFonts w:ascii="Times New Roman" w:hAnsi="Times New Roman"/>
                <w:sz w:val="18"/>
                <w:szCs w:val="18"/>
              </w:rPr>
            </w:pPr>
            <w:r>
              <w:rPr>
                <w:rFonts w:hint="eastAsia" w:ascii="Times New Roman" w:hAnsi="Times New Roman"/>
                <w:sz w:val="18"/>
                <w:szCs w:val="18"/>
              </w:rPr>
              <w:t>退出的或规模缩小的移动排放设施（相比于上一年度）：</w:t>
            </w:r>
          </w:p>
          <w:p>
            <w:pPr>
              <w:adjustRightInd w:val="0"/>
              <w:snapToGrid w:val="0"/>
              <w:spacing w:line="320" w:lineRule="atLeast"/>
              <w:ind w:firstLine="0" w:firstLineChars="0"/>
              <w:jc w:val="lef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Merge w:val="continue"/>
            <w:tcBorders>
              <w:left w:val="single" w:color="auto" w:sz="4" w:space="0"/>
              <w:right w:val="single" w:color="auto" w:sz="4" w:space="0"/>
            </w:tcBorders>
            <w:vAlign w:val="center"/>
          </w:tcPr>
          <w:p>
            <w:pPr>
              <w:adjustRightInd w:val="0"/>
              <w:snapToGrid w:val="0"/>
              <w:spacing w:line="320" w:lineRule="atLeast"/>
              <w:ind w:firstLine="0" w:firstLineChars="0"/>
              <w:jc w:val="center"/>
              <w:rPr>
                <w:rFonts w:ascii="Times New Roman" w:hAnsi="Times New Roman"/>
                <w:sz w:val="18"/>
                <w:szCs w:val="18"/>
              </w:rPr>
            </w:pPr>
          </w:p>
        </w:tc>
        <w:tc>
          <w:tcPr>
            <w:tcW w:w="547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ind w:firstLine="0" w:firstLineChars="0"/>
              <w:jc w:val="left"/>
              <w:rPr>
                <w:rFonts w:ascii="Times New Roman" w:hAnsi="Times New Roman"/>
                <w:sz w:val="18"/>
                <w:szCs w:val="18"/>
              </w:rPr>
            </w:pPr>
            <w:r>
              <w:rPr>
                <w:rFonts w:hint="eastAsia" w:ascii="Times New Roman" w:hAnsi="Times New Roman"/>
                <w:sz w:val="18"/>
                <w:szCs w:val="18"/>
              </w:rPr>
              <w:t>新增的或规模扩大的移动排放设施（相比于</w:t>
            </w:r>
            <w:r>
              <w:rPr>
                <w:rFonts w:ascii="Times New Roman" w:hAnsi="Times New Roman"/>
                <w:sz w:val="18"/>
                <w:szCs w:val="18"/>
              </w:rPr>
              <w:t>2018</w:t>
            </w:r>
            <w:r>
              <w:rPr>
                <w:rFonts w:hint="eastAsia" w:ascii="Times New Roman" w:hAnsi="Times New Roman"/>
                <w:sz w:val="18"/>
                <w:szCs w:val="18"/>
              </w:rPr>
              <w:t>年）：</w:t>
            </w:r>
          </w:p>
          <w:p>
            <w:pPr>
              <w:adjustRightInd w:val="0"/>
              <w:snapToGrid w:val="0"/>
              <w:spacing w:line="320" w:lineRule="atLeast"/>
              <w:ind w:firstLine="0" w:firstLineChars="0"/>
              <w:jc w:val="lef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Merge w:val="continue"/>
            <w:tcBorders>
              <w:left w:val="single" w:color="auto" w:sz="4" w:space="0"/>
              <w:right w:val="single" w:color="auto" w:sz="4" w:space="0"/>
            </w:tcBorders>
            <w:vAlign w:val="center"/>
          </w:tcPr>
          <w:p>
            <w:pPr>
              <w:adjustRightInd w:val="0"/>
              <w:snapToGrid w:val="0"/>
              <w:spacing w:line="320" w:lineRule="atLeast"/>
              <w:ind w:firstLine="0" w:firstLineChars="0"/>
              <w:jc w:val="center"/>
              <w:rPr>
                <w:rFonts w:ascii="Times New Roman" w:hAnsi="Times New Roman"/>
                <w:sz w:val="18"/>
                <w:szCs w:val="18"/>
              </w:rPr>
            </w:pPr>
          </w:p>
        </w:tc>
        <w:tc>
          <w:tcPr>
            <w:tcW w:w="547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atLeast"/>
              <w:ind w:firstLine="0" w:firstLineChars="0"/>
              <w:jc w:val="left"/>
              <w:rPr>
                <w:rFonts w:ascii="Times New Roman" w:hAnsi="Times New Roman"/>
                <w:sz w:val="18"/>
                <w:szCs w:val="18"/>
              </w:rPr>
            </w:pPr>
            <w:r>
              <w:rPr>
                <w:rFonts w:hint="eastAsia" w:ascii="Times New Roman" w:hAnsi="Times New Roman"/>
                <w:sz w:val="18"/>
                <w:szCs w:val="18"/>
              </w:rPr>
              <w:t>新增的或规模扩大的移动排放设施（相比于上一年度）：</w:t>
            </w:r>
          </w:p>
          <w:p>
            <w:pPr>
              <w:adjustRightInd w:val="0"/>
              <w:snapToGrid w:val="0"/>
              <w:spacing w:line="320" w:lineRule="atLeast"/>
              <w:ind w:firstLine="0" w:firstLineChars="0"/>
              <w:jc w:val="left"/>
              <w:rPr>
                <w:rFonts w:ascii="Times New Roman" w:hAnsi="Times New Roman"/>
                <w:sz w:val="18"/>
                <w:szCs w:val="18"/>
              </w:rPr>
            </w:pPr>
          </w:p>
        </w:tc>
      </w:tr>
    </w:tbl>
    <w:p>
      <w:pPr>
        <w:adjustRightInd w:val="0"/>
        <w:snapToGrid w:val="0"/>
        <w:ind w:firstLine="0" w:firstLineChars="0"/>
        <w:jc w:val="center"/>
        <w:rPr>
          <w:rFonts w:ascii="Times New Roman" w:hAnsi="Times New Roman"/>
          <w:b/>
          <w:sz w:val="21"/>
          <w:szCs w:val="21"/>
        </w:rPr>
      </w:pPr>
    </w:p>
    <w:p>
      <w:pPr>
        <w:adjustRightInd w:val="0"/>
        <w:snapToGrid w:val="0"/>
        <w:ind w:firstLine="0" w:firstLineChars="0"/>
        <w:jc w:val="center"/>
        <w:rPr>
          <w:rFonts w:ascii="Times New Roman" w:hAnsi="Times New Roman"/>
          <w:b/>
          <w:sz w:val="21"/>
          <w:szCs w:val="21"/>
        </w:rPr>
      </w:pPr>
      <w:r>
        <w:rPr>
          <w:rFonts w:ascii="Times New Roman" w:hAnsi="Times New Roman"/>
          <w:b/>
          <w:sz w:val="21"/>
          <w:szCs w:val="21"/>
        </w:rPr>
        <w:t>表ZD-1-</w:t>
      </w:r>
      <w:r>
        <w:rPr>
          <w:rFonts w:hint="eastAsia" w:ascii="Times New Roman" w:hAnsi="Times New Roman"/>
          <w:b/>
          <w:sz w:val="21"/>
          <w:szCs w:val="21"/>
        </w:rPr>
        <w:t>H</w:t>
      </w:r>
      <w:r>
        <w:rPr>
          <w:rFonts w:ascii="Times New Roman" w:hAnsi="Times New Roman"/>
          <w:b/>
          <w:sz w:val="21"/>
          <w:szCs w:val="21"/>
        </w:rPr>
        <w:t>1  重点碳排放单位</w:t>
      </w:r>
      <w:r>
        <w:rPr>
          <w:rFonts w:hint="eastAsia" w:ascii="Times New Roman" w:hAnsi="Times New Roman"/>
          <w:b/>
          <w:sz w:val="21"/>
          <w:szCs w:val="21"/>
        </w:rPr>
        <w:t>固定设施</w:t>
      </w:r>
      <w:r>
        <w:rPr>
          <w:rFonts w:ascii="Times New Roman" w:hAnsi="Times New Roman"/>
          <w:b/>
          <w:sz w:val="21"/>
          <w:szCs w:val="21"/>
        </w:rPr>
        <w:t>信息</w:t>
      </w:r>
      <w:r>
        <w:rPr>
          <w:rFonts w:hint="eastAsia" w:ascii="Times New Roman" w:hAnsi="Times New Roman"/>
          <w:b/>
          <w:sz w:val="21"/>
          <w:szCs w:val="21"/>
        </w:rPr>
        <w:t>表</w:t>
      </w:r>
    </w:p>
    <w:tbl>
      <w:tblPr>
        <w:tblStyle w:val="27"/>
        <w:tblW w:w="49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42"/>
        <w:gridCol w:w="6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77" w:type="dxa"/>
            <w:vAlign w:val="center"/>
          </w:tcPr>
          <w:p>
            <w:pPr>
              <w:pStyle w:val="55"/>
              <w:snapToGrid w:val="0"/>
              <w:spacing w:line="320" w:lineRule="exact"/>
              <w:ind w:firstLine="269"/>
              <w:jc w:val="center"/>
              <w:rPr>
                <w:rFonts w:ascii="Times New Roman" w:hAnsi="Times New Roman" w:cs="Times New Roman"/>
                <w:b/>
                <w:color w:val="auto"/>
                <w:kern w:val="2"/>
                <w:sz w:val="18"/>
                <w:szCs w:val="18"/>
              </w:rPr>
            </w:pPr>
            <w:r>
              <w:rPr>
                <w:rFonts w:ascii="Times New Roman" w:hAnsi="Times New Roman" w:cs="Times New Roman"/>
                <w:b/>
                <w:color w:val="auto"/>
                <w:sz w:val="18"/>
                <w:szCs w:val="18"/>
              </w:rPr>
              <w:t>设备名称</w:t>
            </w:r>
          </w:p>
        </w:tc>
        <w:tc>
          <w:tcPr>
            <w:tcW w:w="588" w:type="dxa"/>
            <w:vAlign w:val="center"/>
          </w:tcPr>
          <w:p>
            <w:pPr>
              <w:pStyle w:val="55"/>
              <w:snapToGrid w:val="0"/>
              <w:spacing w:line="320" w:lineRule="exact"/>
              <w:rPr>
                <w:rFonts w:ascii="Times New Roman" w:hAnsi="Times New Roman" w:cs="Times New Roman"/>
                <w:b/>
                <w:color w:val="auto"/>
                <w:kern w:val="2"/>
                <w:sz w:val="18"/>
                <w:szCs w:val="18"/>
              </w:rPr>
            </w:pPr>
            <w:r>
              <w:rPr>
                <w:rFonts w:ascii="Times New Roman" w:hAnsi="Times New Roman" w:cs="Times New Roman"/>
                <w:b/>
                <w:color w:val="auto"/>
                <w:sz w:val="18"/>
                <w:szCs w:val="18"/>
                <w:lang w:eastAsia="zh-CN"/>
              </w:rPr>
              <w:t>台数</w:t>
            </w:r>
          </w:p>
        </w:tc>
        <w:tc>
          <w:tcPr>
            <w:tcW w:w="5510" w:type="dxa"/>
            <w:vAlign w:val="center"/>
          </w:tcPr>
          <w:p>
            <w:pPr>
              <w:pStyle w:val="55"/>
              <w:snapToGrid w:val="0"/>
              <w:spacing w:line="320" w:lineRule="exact"/>
              <w:ind w:firstLine="269"/>
              <w:jc w:val="center"/>
              <w:rPr>
                <w:rFonts w:ascii="Times New Roman" w:hAnsi="Times New Roman" w:cs="Times New Roman"/>
                <w:b/>
                <w:color w:val="auto"/>
                <w:kern w:val="2"/>
                <w:sz w:val="18"/>
                <w:szCs w:val="18"/>
                <w:lang w:eastAsia="zh-CN"/>
              </w:rPr>
            </w:pPr>
            <w:r>
              <w:rPr>
                <w:rFonts w:ascii="Times New Roman" w:hAnsi="Times New Roman" w:cs="Times New Roman"/>
                <w:b/>
                <w:color w:val="auto"/>
                <w:sz w:val="18"/>
                <w:szCs w:val="18"/>
                <w:lang w:eastAsia="zh-CN"/>
              </w:rPr>
              <w:t>设备情况简要说明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177" w:type="dxa"/>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燃气锅炉</w:t>
            </w:r>
          </w:p>
        </w:tc>
        <w:tc>
          <w:tcPr>
            <w:tcW w:w="588" w:type="dxa"/>
            <w:vAlign w:val="center"/>
          </w:tcPr>
          <w:p>
            <w:pPr>
              <w:adjustRightInd w:val="0"/>
              <w:snapToGrid w:val="0"/>
              <w:spacing w:line="320" w:lineRule="exact"/>
              <w:ind w:firstLine="0" w:firstLineChars="0"/>
              <w:jc w:val="center"/>
              <w:rPr>
                <w:rFonts w:ascii="Times New Roman" w:hAnsi="Times New Roman"/>
                <w:sz w:val="18"/>
                <w:szCs w:val="18"/>
              </w:rPr>
            </w:pPr>
          </w:p>
        </w:tc>
        <w:tc>
          <w:tcPr>
            <w:tcW w:w="5510" w:type="dxa"/>
            <w:vAlign w:val="center"/>
          </w:tcPr>
          <w:p>
            <w:pPr>
              <w:adjustRightInd w:val="0"/>
              <w:snapToGrid w:val="0"/>
              <w:spacing w:line="320" w:lineRule="exac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77" w:type="dxa"/>
            <w:vAlign w:val="center"/>
          </w:tcPr>
          <w:p>
            <w:pPr>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其他</w:t>
            </w:r>
            <w:r>
              <w:rPr>
                <w:rFonts w:hint="eastAsia" w:ascii="Times New Roman" w:hAnsi="Times New Roman"/>
                <w:sz w:val="18"/>
                <w:szCs w:val="18"/>
              </w:rPr>
              <w:t>化石燃料燃烧设备</w:t>
            </w:r>
          </w:p>
        </w:tc>
        <w:tc>
          <w:tcPr>
            <w:tcW w:w="588" w:type="dxa"/>
            <w:vAlign w:val="center"/>
          </w:tcPr>
          <w:p>
            <w:pPr>
              <w:adjustRightInd w:val="0"/>
              <w:snapToGrid w:val="0"/>
              <w:spacing w:line="320" w:lineRule="exact"/>
              <w:ind w:firstLine="0" w:firstLineChars="0"/>
              <w:jc w:val="center"/>
              <w:rPr>
                <w:rFonts w:ascii="Times New Roman" w:hAnsi="Times New Roman"/>
                <w:sz w:val="18"/>
                <w:szCs w:val="18"/>
              </w:rPr>
            </w:pPr>
          </w:p>
        </w:tc>
        <w:tc>
          <w:tcPr>
            <w:tcW w:w="5510" w:type="dxa"/>
            <w:vAlign w:val="center"/>
          </w:tcPr>
          <w:p>
            <w:pPr>
              <w:adjustRightInd w:val="0"/>
              <w:snapToGrid w:val="0"/>
              <w:spacing w:line="320" w:lineRule="exact"/>
              <w:ind w:firstLine="0" w:firstLineChars="0"/>
              <w:jc w:val="center"/>
              <w:rPr>
                <w:rFonts w:ascii="Times New Roman" w:hAnsi="Times New Roman"/>
                <w:sz w:val="18"/>
                <w:szCs w:val="18"/>
              </w:rPr>
            </w:pPr>
          </w:p>
        </w:tc>
      </w:tr>
    </w:tbl>
    <w:p>
      <w:pPr>
        <w:adjustRightInd w:val="0"/>
        <w:snapToGrid w:val="0"/>
        <w:ind w:firstLine="0" w:firstLineChars="0"/>
        <w:jc w:val="center"/>
        <w:rPr>
          <w:rFonts w:ascii="Times New Roman" w:hAnsi="Times New Roman"/>
          <w:b/>
          <w:bCs/>
        </w:rPr>
      </w:pPr>
    </w:p>
    <w:p>
      <w:pPr>
        <w:adjustRightInd w:val="0"/>
        <w:snapToGrid w:val="0"/>
        <w:ind w:firstLine="0" w:firstLineChars="0"/>
        <w:jc w:val="center"/>
        <w:rPr>
          <w:rFonts w:ascii="Times New Roman" w:hAnsi="Times New Roman"/>
          <w:b/>
          <w:sz w:val="21"/>
          <w:szCs w:val="21"/>
        </w:rPr>
      </w:pPr>
      <w:r>
        <w:rPr>
          <w:rFonts w:ascii="Times New Roman" w:hAnsi="Times New Roman"/>
          <w:b/>
          <w:sz w:val="21"/>
          <w:szCs w:val="21"/>
        </w:rPr>
        <w:t>表ZD-1-</w:t>
      </w:r>
      <w:r>
        <w:rPr>
          <w:rFonts w:hint="eastAsia" w:ascii="Times New Roman" w:hAnsi="Times New Roman"/>
          <w:b/>
          <w:sz w:val="21"/>
          <w:szCs w:val="21"/>
        </w:rPr>
        <w:t>H2重点碳排放单位移动设施信息表</w:t>
      </w:r>
    </w:p>
    <w:tbl>
      <w:tblPr>
        <w:tblStyle w:val="27"/>
        <w:tblW w:w="8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238"/>
        <w:gridCol w:w="1768"/>
        <w:gridCol w:w="1310"/>
        <w:gridCol w:w="3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35"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b/>
                <w:sz w:val="18"/>
                <w:szCs w:val="18"/>
              </w:rPr>
            </w:pPr>
            <w:r>
              <w:rPr>
                <w:rFonts w:hint="eastAsia"/>
                <w:b/>
                <w:sz w:val="18"/>
                <w:szCs w:val="18"/>
              </w:rPr>
              <w:t>序号</w:t>
            </w:r>
          </w:p>
        </w:tc>
        <w:tc>
          <w:tcPr>
            <w:tcW w:w="123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b/>
                <w:sz w:val="18"/>
                <w:szCs w:val="18"/>
              </w:rPr>
            </w:pPr>
            <w:r>
              <w:rPr>
                <w:rFonts w:hint="eastAsia"/>
                <w:b/>
                <w:sz w:val="18"/>
                <w:szCs w:val="18"/>
              </w:rPr>
              <w:t>ICAO机型</w:t>
            </w:r>
          </w:p>
        </w:tc>
        <w:tc>
          <w:tcPr>
            <w:tcW w:w="176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b/>
                <w:sz w:val="18"/>
                <w:szCs w:val="18"/>
              </w:rPr>
            </w:pPr>
            <w:r>
              <w:rPr>
                <w:rFonts w:hint="eastAsia"/>
                <w:b/>
                <w:sz w:val="18"/>
                <w:szCs w:val="18"/>
              </w:rPr>
              <w:t>报告期内飞机数量</w:t>
            </w:r>
          </w:p>
        </w:tc>
        <w:tc>
          <w:tcPr>
            <w:tcW w:w="131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b/>
                <w:sz w:val="18"/>
                <w:szCs w:val="18"/>
              </w:rPr>
            </w:pPr>
            <w:r>
              <w:rPr>
                <w:rFonts w:hint="eastAsia"/>
                <w:b/>
                <w:sz w:val="18"/>
                <w:szCs w:val="18"/>
              </w:rPr>
              <w:t>燃料类型</w:t>
            </w:r>
          </w:p>
        </w:tc>
        <w:tc>
          <w:tcPr>
            <w:tcW w:w="30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firstLine="0" w:firstLineChars="0"/>
              <w:jc w:val="center"/>
              <w:textAlignment w:val="auto"/>
              <w:rPr>
                <w:b/>
                <w:sz w:val="18"/>
                <w:szCs w:val="18"/>
              </w:rPr>
            </w:pPr>
            <w:r>
              <w:rPr>
                <w:rFonts w:hint="eastAsia"/>
                <w:b/>
                <w:sz w:val="18"/>
                <w:szCs w:val="18"/>
              </w:rPr>
              <w:t>飞机注册号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jc w:val="center"/>
        </w:trPr>
        <w:tc>
          <w:tcPr>
            <w:tcW w:w="835"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1</w:t>
            </w:r>
          </w:p>
        </w:tc>
        <w:tc>
          <w:tcPr>
            <w:tcW w:w="123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76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310"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3008"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jc w:val="center"/>
        </w:trPr>
        <w:tc>
          <w:tcPr>
            <w:tcW w:w="835"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2</w:t>
            </w:r>
          </w:p>
        </w:tc>
        <w:tc>
          <w:tcPr>
            <w:tcW w:w="123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76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310"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3008"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jc w:val="center"/>
        </w:trPr>
        <w:tc>
          <w:tcPr>
            <w:tcW w:w="835"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3</w:t>
            </w:r>
          </w:p>
        </w:tc>
        <w:tc>
          <w:tcPr>
            <w:tcW w:w="123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76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310"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3008"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jc w:val="center"/>
        </w:trPr>
        <w:tc>
          <w:tcPr>
            <w:tcW w:w="835"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4</w:t>
            </w:r>
          </w:p>
        </w:tc>
        <w:tc>
          <w:tcPr>
            <w:tcW w:w="123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76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310"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3008"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jc w:val="center"/>
        </w:trPr>
        <w:tc>
          <w:tcPr>
            <w:tcW w:w="835"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5</w:t>
            </w:r>
          </w:p>
        </w:tc>
        <w:tc>
          <w:tcPr>
            <w:tcW w:w="123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76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310"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3008"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jc w:val="center"/>
        </w:trPr>
        <w:tc>
          <w:tcPr>
            <w:tcW w:w="835"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6</w:t>
            </w:r>
          </w:p>
        </w:tc>
        <w:tc>
          <w:tcPr>
            <w:tcW w:w="123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76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310"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3008"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835" w:type="dxa"/>
            <w:shd w:val="clear" w:color="auto" w:fill="auto"/>
            <w:vAlign w:val="center"/>
          </w:tcPr>
          <w:p>
            <w:pPr>
              <w:adjustRightInd w:val="0"/>
              <w:snapToGrid w:val="0"/>
              <w:spacing w:line="240" w:lineRule="auto"/>
              <w:ind w:firstLine="0" w:firstLineChars="0"/>
              <w:jc w:val="center"/>
              <w:rPr>
                <w:b/>
                <w:sz w:val="18"/>
                <w:szCs w:val="18"/>
              </w:rPr>
            </w:pPr>
            <w:r>
              <w:rPr>
                <w:rFonts w:hint="eastAsia"/>
                <w:color w:val="000000"/>
                <w:sz w:val="18"/>
                <w:szCs w:val="18"/>
              </w:rPr>
              <w:t>合计</w:t>
            </w:r>
          </w:p>
        </w:tc>
        <w:tc>
          <w:tcPr>
            <w:tcW w:w="123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76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1310"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3008" w:type="dxa"/>
            <w:vAlign w:val="center"/>
          </w:tcPr>
          <w:p>
            <w:pPr>
              <w:adjustRightInd w:val="0"/>
              <w:snapToGrid w:val="0"/>
              <w:ind w:firstLine="0" w:firstLineChars="0"/>
              <w:jc w:val="center"/>
              <w:rPr>
                <w:rFonts w:ascii="Times New Roman" w:hAnsi="Times New Roman"/>
                <w:b/>
                <w:sz w:val="21"/>
                <w:szCs w:val="21"/>
              </w:rPr>
            </w:pPr>
          </w:p>
        </w:tc>
      </w:tr>
    </w:tbl>
    <w:p>
      <w:pPr>
        <w:adjustRightInd w:val="0"/>
        <w:snapToGrid w:val="0"/>
        <w:ind w:firstLine="0" w:firstLineChars="0"/>
        <w:jc w:val="center"/>
        <w:rPr>
          <w:rFonts w:ascii="Times New Roman" w:hAnsi="Times New Roman"/>
          <w:b/>
          <w:bCs/>
        </w:rPr>
        <w:sectPr>
          <w:footerReference r:id="rId14" w:type="default"/>
          <w:pgSz w:w="11906" w:h="16838"/>
          <w:pgMar w:top="2098" w:right="1474" w:bottom="1984" w:left="1588" w:header="851" w:footer="1587" w:gutter="0"/>
          <w:paperSrc/>
          <w:pgNumType w:fmt="decimal"/>
          <w:cols w:space="0" w:num="1"/>
          <w:rtlGutter w:val="0"/>
          <w:docGrid w:linePitch="326" w:charSpace="0"/>
        </w:sectPr>
      </w:pPr>
    </w:p>
    <w:p>
      <w:pPr>
        <w:tabs>
          <w:tab w:val="left" w:pos="744"/>
          <w:tab w:val="center" w:pos="6979"/>
        </w:tabs>
        <w:adjustRightInd w:val="0"/>
        <w:snapToGrid w:val="0"/>
        <w:ind w:firstLine="0" w:firstLineChars="0"/>
        <w:jc w:val="center"/>
        <w:rPr>
          <w:rFonts w:ascii="Times New Roman" w:hAnsi="Times New Roman"/>
          <w:b/>
          <w:sz w:val="21"/>
          <w:szCs w:val="21"/>
        </w:rPr>
      </w:pPr>
      <w:r>
        <w:rPr>
          <w:rFonts w:ascii="Times New Roman" w:hAnsi="Times New Roman"/>
          <w:b/>
          <w:sz w:val="21"/>
          <w:szCs w:val="21"/>
        </w:rPr>
        <w:t>表ZD-1-</w:t>
      </w:r>
      <w:r>
        <w:rPr>
          <w:rFonts w:hint="eastAsia" w:ascii="Times New Roman" w:hAnsi="Times New Roman"/>
          <w:b/>
          <w:sz w:val="21"/>
          <w:szCs w:val="21"/>
        </w:rPr>
        <w:t>H2-</w:t>
      </w:r>
      <w:r>
        <w:rPr>
          <w:rFonts w:ascii="Times New Roman" w:hAnsi="Times New Roman"/>
          <w:b/>
          <w:sz w:val="21"/>
          <w:szCs w:val="21"/>
        </w:rPr>
        <w:t>1</w:t>
      </w:r>
      <w:r>
        <w:rPr>
          <w:rFonts w:hint="eastAsia" w:ascii="Times New Roman" w:hAnsi="Times New Roman"/>
          <w:b/>
          <w:sz w:val="21"/>
          <w:szCs w:val="21"/>
        </w:rPr>
        <w:t>重点碳排放单位移动设施信息表（5</w:t>
      </w:r>
      <w:r>
        <w:rPr>
          <w:rFonts w:ascii="Times New Roman" w:hAnsi="Times New Roman"/>
          <w:b/>
          <w:sz w:val="21"/>
          <w:szCs w:val="21"/>
        </w:rPr>
        <w:t>611</w:t>
      </w:r>
      <w:r>
        <w:rPr>
          <w:rFonts w:hint="eastAsia" w:ascii="Times New Roman" w:hAnsi="Times New Roman"/>
          <w:b/>
          <w:sz w:val="21"/>
          <w:szCs w:val="21"/>
        </w:rPr>
        <w:t>和5612——第一类飞行活动）</w:t>
      </w:r>
    </w:p>
    <w:tbl>
      <w:tblPr>
        <w:tblStyle w:val="27"/>
        <w:tblW w:w="131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2278"/>
        <w:gridCol w:w="2463"/>
        <w:gridCol w:w="2115"/>
        <w:gridCol w:w="2580"/>
        <w:gridCol w:w="2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914" w:type="dxa"/>
            <w:shd w:val="clear" w:color="auto" w:fill="auto"/>
            <w:vAlign w:val="center"/>
          </w:tcPr>
          <w:p>
            <w:pPr>
              <w:adjustRightInd w:val="0"/>
              <w:snapToGrid w:val="0"/>
              <w:ind w:firstLine="0" w:firstLineChars="0"/>
              <w:jc w:val="center"/>
              <w:rPr>
                <w:b/>
                <w:sz w:val="18"/>
                <w:szCs w:val="18"/>
              </w:rPr>
            </w:pPr>
            <w:r>
              <w:rPr>
                <w:rFonts w:hint="eastAsia"/>
                <w:b/>
                <w:sz w:val="18"/>
                <w:szCs w:val="18"/>
              </w:rPr>
              <w:t>序号</w:t>
            </w:r>
          </w:p>
        </w:tc>
        <w:tc>
          <w:tcPr>
            <w:tcW w:w="2278"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ICAO机型</w:t>
            </w:r>
          </w:p>
        </w:tc>
        <w:tc>
          <w:tcPr>
            <w:tcW w:w="2463" w:type="dxa"/>
            <w:vAlign w:val="center"/>
          </w:tcPr>
          <w:p>
            <w:pPr>
              <w:adjustRightInd w:val="0"/>
              <w:snapToGrid w:val="0"/>
              <w:spacing w:line="240" w:lineRule="auto"/>
              <w:ind w:firstLine="0" w:firstLineChars="0"/>
              <w:jc w:val="center"/>
              <w:rPr>
                <w:b/>
                <w:sz w:val="18"/>
                <w:szCs w:val="18"/>
              </w:rPr>
            </w:pPr>
            <w:r>
              <w:rPr>
                <w:rFonts w:hint="eastAsia"/>
                <w:b/>
                <w:sz w:val="18"/>
                <w:szCs w:val="18"/>
              </w:rPr>
              <w:t>燃料年消耗量</w:t>
            </w:r>
          </w:p>
          <w:p>
            <w:pPr>
              <w:adjustRightInd w:val="0"/>
              <w:snapToGrid w:val="0"/>
              <w:spacing w:line="240" w:lineRule="auto"/>
              <w:ind w:firstLine="0" w:firstLineChars="0"/>
              <w:jc w:val="center"/>
              <w:rPr>
                <w:b/>
                <w:sz w:val="18"/>
                <w:szCs w:val="18"/>
              </w:rPr>
            </w:pPr>
            <w:r>
              <w:rPr>
                <w:rFonts w:ascii="Times New Roman" w:hAnsi="Times New Roman"/>
                <w:b/>
                <w:sz w:val="18"/>
                <w:szCs w:val="18"/>
              </w:rPr>
              <w:t xml:space="preserve"> (t)</w:t>
            </w:r>
          </w:p>
        </w:tc>
        <w:tc>
          <w:tcPr>
            <w:tcW w:w="2115" w:type="dxa"/>
            <w:vAlign w:val="center"/>
          </w:tcPr>
          <w:p>
            <w:pPr>
              <w:adjustRightInd w:val="0"/>
              <w:snapToGrid w:val="0"/>
              <w:spacing w:line="240" w:lineRule="auto"/>
              <w:ind w:firstLine="0" w:firstLineChars="0"/>
              <w:jc w:val="center"/>
              <w:rPr>
                <w:b/>
                <w:sz w:val="18"/>
                <w:szCs w:val="18"/>
              </w:rPr>
            </w:pPr>
            <w:r>
              <w:rPr>
                <w:rFonts w:hint="eastAsia"/>
                <w:b/>
                <w:sz w:val="18"/>
                <w:szCs w:val="18"/>
              </w:rPr>
              <w:t>移动排放设施</w:t>
            </w:r>
          </w:p>
          <w:p>
            <w:pPr>
              <w:adjustRightInd w:val="0"/>
              <w:snapToGrid w:val="0"/>
              <w:spacing w:line="240" w:lineRule="auto"/>
              <w:ind w:firstLine="0" w:firstLineChars="0"/>
              <w:jc w:val="center"/>
              <w:rPr>
                <w:b/>
                <w:sz w:val="18"/>
                <w:szCs w:val="18"/>
              </w:rPr>
            </w:pPr>
            <w:r>
              <w:rPr>
                <w:rFonts w:hint="eastAsia"/>
                <w:b/>
                <w:sz w:val="18"/>
                <w:szCs w:val="18"/>
              </w:rPr>
              <w:t>CO</w:t>
            </w:r>
            <w:r>
              <w:rPr>
                <w:b/>
                <w:sz w:val="18"/>
                <w:szCs w:val="18"/>
                <w:vertAlign w:val="subscript"/>
              </w:rPr>
              <w:t>2</w:t>
            </w:r>
            <w:r>
              <w:rPr>
                <w:rFonts w:hint="eastAsia"/>
                <w:b/>
                <w:sz w:val="18"/>
                <w:szCs w:val="18"/>
              </w:rPr>
              <w:t>排放量合计量</w:t>
            </w:r>
          </w:p>
          <w:p>
            <w:pPr>
              <w:adjustRightInd w:val="0"/>
              <w:snapToGrid w:val="0"/>
              <w:spacing w:line="240" w:lineRule="auto"/>
              <w:ind w:firstLine="0" w:firstLineChars="0"/>
              <w:jc w:val="center"/>
              <w:rPr>
                <w:b/>
                <w:sz w:val="18"/>
                <w:szCs w:val="18"/>
              </w:rPr>
            </w:pPr>
            <w:r>
              <w:rPr>
                <w:rFonts w:hint="eastAsia" w:ascii="Times New Roman" w:hAnsi="Times New Roman"/>
                <w:b/>
                <w:sz w:val="18"/>
                <w:szCs w:val="18"/>
              </w:rPr>
              <w:t>（</w:t>
            </w:r>
            <w:r>
              <w:rPr>
                <w:rFonts w:ascii="Times New Roman" w:hAnsi="Times New Roman"/>
                <w:b/>
                <w:sz w:val="18"/>
                <w:szCs w:val="18"/>
              </w:rPr>
              <w:t>tCO</w:t>
            </w:r>
            <w:r>
              <w:rPr>
                <w:rFonts w:ascii="Times New Roman" w:hAnsi="Times New Roman"/>
                <w:b/>
                <w:sz w:val="18"/>
                <w:szCs w:val="18"/>
                <w:vertAlign w:val="subscript"/>
              </w:rPr>
              <w:t>2</w:t>
            </w:r>
            <w:r>
              <w:rPr>
                <w:rFonts w:hint="eastAsia" w:ascii="Times New Roman" w:hAnsi="Times New Roman"/>
                <w:b/>
                <w:sz w:val="18"/>
                <w:szCs w:val="18"/>
              </w:rPr>
              <w:t>）</w:t>
            </w:r>
          </w:p>
        </w:tc>
        <w:tc>
          <w:tcPr>
            <w:tcW w:w="2580" w:type="dxa"/>
            <w:vAlign w:val="center"/>
          </w:tcPr>
          <w:p>
            <w:pPr>
              <w:adjustRightInd w:val="0"/>
              <w:snapToGrid w:val="0"/>
              <w:spacing w:line="240" w:lineRule="auto"/>
              <w:ind w:firstLine="0" w:firstLineChars="0"/>
              <w:jc w:val="center"/>
              <w:rPr>
                <w:b/>
                <w:sz w:val="18"/>
                <w:szCs w:val="18"/>
              </w:rPr>
            </w:pPr>
            <w:r>
              <w:rPr>
                <w:rFonts w:hint="eastAsia"/>
                <w:b/>
                <w:sz w:val="18"/>
                <w:szCs w:val="18"/>
              </w:rPr>
              <w:t>大圆总周转量</w:t>
            </w:r>
          </w:p>
          <w:p>
            <w:pPr>
              <w:adjustRightInd w:val="0"/>
              <w:snapToGrid w:val="0"/>
              <w:spacing w:line="240" w:lineRule="auto"/>
              <w:ind w:firstLine="0" w:firstLineChars="0"/>
              <w:jc w:val="center"/>
              <w:rPr>
                <w:b/>
                <w:sz w:val="18"/>
                <w:szCs w:val="18"/>
              </w:rPr>
            </w:pPr>
            <w:r>
              <w:rPr>
                <w:rFonts w:hint="eastAsia"/>
                <w:b/>
                <w:sz w:val="18"/>
                <w:szCs w:val="18"/>
              </w:rPr>
              <w:t>（万吨公里）</w:t>
            </w:r>
          </w:p>
        </w:tc>
        <w:tc>
          <w:tcPr>
            <w:tcW w:w="2771" w:type="dxa"/>
            <w:vAlign w:val="center"/>
          </w:tcPr>
          <w:p>
            <w:pPr>
              <w:adjustRightInd w:val="0"/>
              <w:snapToGrid w:val="0"/>
              <w:spacing w:line="240" w:lineRule="auto"/>
              <w:ind w:firstLine="0" w:firstLineChars="0"/>
              <w:jc w:val="center"/>
              <w:rPr>
                <w:b/>
                <w:sz w:val="18"/>
                <w:szCs w:val="18"/>
              </w:rPr>
            </w:pPr>
            <w:r>
              <w:rPr>
                <w:rFonts w:hint="eastAsia"/>
                <w:b/>
                <w:sz w:val="18"/>
                <w:szCs w:val="18"/>
              </w:rPr>
              <w:t>移动设施碳排放强度</w:t>
            </w:r>
          </w:p>
          <w:p>
            <w:pPr>
              <w:adjustRightInd w:val="0"/>
              <w:snapToGrid w:val="0"/>
              <w:spacing w:line="240" w:lineRule="auto"/>
              <w:ind w:firstLine="0" w:firstLineChars="0"/>
              <w:jc w:val="center"/>
              <w:rPr>
                <w:b/>
                <w:sz w:val="18"/>
                <w:szCs w:val="18"/>
              </w:rPr>
            </w:pPr>
            <w:r>
              <w:rPr>
                <w:rFonts w:hint="eastAsia"/>
                <w:b/>
                <w:sz w:val="18"/>
                <w:szCs w:val="18"/>
              </w:rPr>
              <w:t>（kg/吨公里）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91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1</w:t>
            </w:r>
          </w:p>
        </w:tc>
        <w:tc>
          <w:tcPr>
            <w:tcW w:w="227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463" w:type="dxa"/>
            <w:vAlign w:val="center"/>
          </w:tcPr>
          <w:p>
            <w:pPr>
              <w:adjustRightInd w:val="0"/>
              <w:snapToGrid w:val="0"/>
              <w:spacing w:line="240" w:lineRule="auto"/>
              <w:ind w:firstLine="0" w:firstLineChars="0"/>
              <w:jc w:val="center"/>
              <w:rPr>
                <w:color w:val="000000"/>
                <w:sz w:val="18"/>
                <w:szCs w:val="18"/>
              </w:rPr>
            </w:pPr>
          </w:p>
        </w:tc>
        <w:tc>
          <w:tcPr>
            <w:tcW w:w="2115" w:type="dxa"/>
            <w:vAlign w:val="center"/>
          </w:tcPr>
          <w:p>
            <w:pPr>
              <w:adjustRightInd w:val="0"/>
              <w:snapToGrid w:val="0"/>
              <w:ind w:firstLine="0" w:firstLineChars="0"/>
              <w:jc w:val="center"/>
              <w:rPr>
                <w:rFonts w:ascii="Times New Roman" w:hAnsi="Times New Roman"/>
                <w:b/>
                <w:sz w:val="21"/>
                <w:szCs w:val="21"/>
              </w:rPr>
            </w:pPr>
          </w:p>
        </w:tc>
        <w:tc>
          <w:tcPr>
            <w:tcW w:w="2580" w:type="dxa"/>
            <w:vAlign w:val="center"/>
          </w:tcPr>
          <w:p>
            <w:pPr>
              <w:adjustRightInd w:val="0"/>
              <w:snapToGrid w:val="0"/>
              <w:ind w:firstLine="0" w:firstLineChars="0"/>
              <w:jc w:val="center"/>
              <w:rPr>
                <w:rFonts w:ascii="Times New Roman" w:hAnsi="Times New Roman"/>
                <w:b/>
                <w:sz w:val="21"/>
                <w:szCs w:val="21"/>
              </w:rPr>
            </w:pPr>
          </w:p>
        </w:tc>
        <w:tc>
          <w:tcPr>
            <w:tcW w:w="2771"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91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2</w:t>
            </w:r>
          </w:p>
        </w:tc>
        <w:tc>
          <w:tcPr>
            <w:tcW w:w="227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463" w:type="dxa"/>
            <w:vAlign w:val="center"/>
          </w:tcPr>
          <w:p>
            <w:pPr>
              <w:adjustRightInd w:val="0"/>
              <w:snapToGrid w:val="0"/>
              <w:spacing w:line="240" w:lineRule="auto"/>
              <w:ind w:firstLine="0" w:firstLineChars="0"/>
              <w:jc w:val="center"/>
              <w:rPr>
                <w:color w:val="000000"/>
                <w:sz w:val="18"/>
                <w:szCs w:val="18"/>
              </w:rPr>
            </w:pPr>
          </w:p>
        </w:tc>
        <w:tc>
          <w:tcPr>
            <w:tcW w:w="2115" w:type="dxa"/>
            <w:vAlign w:val="center"/>
          </w:tcPr>
          <w:p>
            <w:pPr>
              <w:adjustRightInd w:val="0"/>
              <w:snapToGrid w:val="0"/>
              <w:ind w:firstLine="0" w:firstLineChars="0"/>
              <w:jc w:val="center"/>
              <w:rPr>
                <w:rFonts w:ascii="Times New Roman" w:hAnsi="Times New Roman"/>
                <w:b/>
                <w:sz w:val="21"/>
                <w:szCs w:val="21"/>
              </w:rPr>
            </w:pPr>
          </w:p>
        </w:tc>
        <w:tc>
          <w:tcPr>
            <w:tcW w:w="2580" w:type="dxa"/>
            <w:vAlign w:val="center"/>
          </w:tcPr>
          <w:p>
            <w:pPr>
              <w:adjustRightInd w:val="0"/>
              <w:snapToGrid w:val="0"/>
              <w:ind w:firstLine="0" w:firstLineChars="0"/>
              <w:jc w:val="center"/>
              <w:rPr>
                <w:rFonts w:ascii="Times New Roman" w:hAnsi="Times New Roman"/>
                <w:b/>
                <w:sz w:val="21"/>
                <w:szCs w:val="21"/>
              </w:rPr>
            </w:pPr>
          </w:p>
        </w:tc>
        <w:tc>
          <w:tcPr>
            <w:tcW w:w="2771"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91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3</w:t>
            </w:r>
          </w:p>
        </w:tc>
        <w:tc>
          <w:tcPr>
            <w:tcW w:w="227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463" w:type="dxa"/>
            <w:vAlign w:val="center"/>
          </w:tcPr>
          <w:p>
            <w:pPr>
              <w:adjustRightInd w:val="0"/>
              <w:snapToGrid w:val="0"/>
              <w:spacing w:line="240" w:lineRule="auto"/>
              <w:ind w:firstLine="0" w:firstLineChars="0"/>
              <w:jc w:val="center"/>
              <w:rPr>
                <w:color w:val="000000"/>
                <w:sz w:val="18"/>
                <w:szCs w:val="18"/>
              </w:rPr>
            </w:pPr>
          </w:p>
        </w:tc>
        <w:tc>
          <w:tcPr>
            <w:tcW w:w="2115" w:type="dxa"/>
            <w:vAlign w:val="center"/>
          </w:tcPr>
          <w:p>
            <w:pPr>
              <w:adjustRightInd w:val="0"/>
              <w:snapToGrid w:val="0"/>
              <w:ind w:firstLine="0" w:firstLineChars="0"/>
              <w:jc w:val="center"/>
              <w:rPr>
                <w:rFonts w:ascii="Times New Roman" w:hAnsi="Times New Roman"/>
                <w:b/>
                <w:sz w:val="21"/>
                <w:szCs w:val="21"/>
              </w:rPr>
            </w:pPr>
          </w:p>
        </w:tc>
        <w:tc>
          <w:tcPr>
            <w:tcW w:w="2580" w:type="dxa"/>
            <w:vAlign w:val="center"/>
          </w:tcPr>
          <w:p>
            <w:pPr>
              <w:adjustRightInd w:val="0"/>
              <w:snapToGrid w:val="0"/>
              <w:ind w:firstLine="0" w:firstLineChars="0"/>
              <w:jc w:val="center"/>
              <w:rPr>
                <w:rFonts w:ascii="Times New Roman" w:hAnsi="Times New Roman"/>
                <w:b/>
                <w:sz w:val="21"/>
                <w:szCs w:val="21"/>
              </w:rPr>
            </w:pPr>
          </w:p>
        </w:tc>
        <w:tc>
          <w:tcPr>
            <w:tcW w:w="2771"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91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4</w:t>
            </w:r>
          </w:p>
        </w:tc>
        <w:tc>
          <w:tcPr>
            <w:tcW w:w="227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463" w:type="dxa"/>
            <w:vAlign w:val="center"/>
          </w:tcPr>
          <w:p>
            <w:pPr>
              <w:adjustRightInd w:val="0"/>
              <w:snapToGrid w:val="0"/>
              <w:spacing w:line="240" w:lineRule="auto"/>
              <w:ind w:firstLine="0" w:firstLineChars="0"/>
              <w:jc w:val="center"/>
              <w:rPr>
                <w:color w:val="000000"/>
                <w:sz w:val="18"/>
                <w:szCs w:val="18"/>
              </w:rPr>
            </w:pPr>
          </w:p>
        </w:tc>
        <w:tc>
          <w:tcPr>
            <w:tcW w:w="2115" w:type="dxa"/>
            <w:vAlign w:val="center"/>
          </w:tcPr>
          <w:p>
            <w:pPr>
              <w:adjustRightInd w:val="0"/>
              <w:snapToGrid w:val="0"/>
              <w:ind w:firstLine="0" w:firstLineChars="0"/>
              <w:jc w:val="center"/>
              <w:rPr>
                <w:rFonts w:ascii="Times New Roman" w:hAnsi="Times New Roman"/>
                <w:b/>
                <w:sz w:val="21"/>
                <w:szCs w:val="21"/>
              </w:rPr>
            </w:pPr>
          </w:p>
        </w:tc>
        <w:tc>
          <w:tcPr>
            <w:tcW w:w="2580" w:type="dxa"/>
            <w:vAlign w:val="center"/>
          </w:tcPr>
          <w:p>
            <w:pPr>
              <w:adjustRightInd w:val="0"/>
              <w:snapToGrid w:val="0"/>
              <w:ind w:firstLine="0" w:firstLineChars="0"/>
              <w:jc w:val="center"/>
              <w:rPr>
                <w:rFonts w:ascii="Times New Roman" w:hAnsi="Times New Roman"/>
                <w:b/>
                <w:sz w:val="21"/>
                <w:szCs w:val="21"/>
              </w:rPr>
            </w:pPr>
          </w:p>
        </w:tc>
        <w:tc>
          <w:tcPr>
            <w:tcW w:w="2771"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91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5</w:t>
            </w:r>
          </w:p>
        </w:tc>
        <w:tc>
          <w:tcPr>
            <w:tcW w:w="227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463" w:type="dxa"/>
            <w:vAlign w:val="center"/>
          </w:tcPr>
          <w:p>
            <w:pPr>
              <w:adjustRightInd w:val="0"/>
              <w:snapToGrid w:val="0"/>
              <w:spacing w:line="240" w:lineRule="auto"/>
              <w:ind w:firstLine="0" w:firstLineChars="0"/>
              <w:jc w:val="center"/>
              <w:rPr>
                <w:color w:val="000000"/>
                <w:sz w:val="18"/>
                <w:szCs w:val="18"/>
              </w:rPr>
            </w:pPr>
          </w:p>
        </w:tc>
        <w:tc>
          <w:tcPr>
            <w:tcW w:w="2115" w:type="dxa"/>
            <w:vAlign w:val="center"/>
          </w:tcPr>
          <w:p>
            <w:pPr>
              <w:adjustRightInd w:val="0"/>
              <w:snapToGrid w:val="0"/>
              <w:ind w:firstLine="0" w:firstLineChars="0"/>
              <w:jc w:val="center"/>
              <w:rPr>
                <w:rFonts w:ascii="Times New Roman" w:hAnsi="Times New Roman"/>
                <w:b/>
                <w:sz w:val="21"/>
                <w:szCs w:val="21"/>
              </w:rPr>
            </w:pPr>
          </w:p>
        </w:tc>
        <w:tc>
          <w:tcPr>
            <w:tcW w:w="2580" w:type="dxa"/>
            <w:vAlign w:val="center"/>
          </w:tcPr>
          <w:p>
            <w:pPr>
              <w:adjustRightInd w:val="0"/>
              <w:snapToGrid w:val="0"/>
              <w:ind w:firstLine="0" w:firstLineChars="0"/>
              <w:jc w:val="center"/>
              <w:rPr>
                <w:rFonts w:ascii="Times New Roman" w:hAnsi="Times New Roman"/>
                <w:b/>
                <w:sz w:val="21"/>
                <w:szCs w:val="21"/>
              </w:rPr>
            </w:pPr>
          </w:p>
        </w:tc>
        <w:tc>
          <w:tcPr>
            <w:tcW w:w="2771"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91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6</w:t>
            </w:r>
          </w:p>
        </w:tc>
        <w:tc>
          <w:tcPr>
            <w:tcW w:w="227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463" w:type="dxa"/>
            <w:vAlign w:val="center"/>
          </w:tcPr>
          <w:p>
            <w:pPr>
              <w:adjustRightInd w:val="0"/>
              <w:snapToGrid w:val="0"/>
              <w:spacing w:line="240" w:lineRule="auto"/>
              <w:ind w:firstLine="0" w:firstLineChars="0"/>
              <w:jc w:val="center"/>
              <w:rPr>
                <w:color w:val="000000"/>
                <w:sz w:val="18"/>
                <w:szCs w:val="18"/>
              </w:rPr>
            </w:pPr>
          </w:p>
        </w:tc>
        <w:tc>
          <w:tcPr>
            <w:tcW w:w="2115" w:type="dxa"/>
            <w:vAlign w:val="center"/>
          </w:tcPr>
          <w:p>
            <w:pPr>
              <w:adjustRightInd w:val="0"/>
              <w:snapToGrid w:val="0"/>
              <w:ind w:firstLine="0" w:firstLineChars="0"/>
              <w:jc w:val="center"/>
              <w:rPr>
                <w:rFonts w:ascii="Times New Roman" w:hAnsi="Times New Roman"/>
                <w:b/>
                <w:sz w:val="21"/>
                <w:szCs w:val="21"/>
              </w:rPr>
            </w:pPr>
          </w:p>
        </w:tc>
        <w:tc>
          <w:tcPr>
            <w:tcW w:w="2580" w:type="dxa"/>
            <w:vAlign w:val="center"/>
          </w:tcPr>
          <w:p>
            <w:pPr>
              <w:adjustRightInd w:val="0"/>
              <w:snapToGrid w:val="0"/>
              <w:ind w:firstLine="0" w:firstLineChars="0"/>
              <w:jc w:val="center"/>
              <w:rPr>
                <w:rFonts w:ascii="Times New Roman" w:hAnsi="Times New Roman"/>
                <w:b/>
                <w:sz w:val="21"/>
                <w:szCs w:val="21"/>
              </w:rPr>
            </w:pPr>
          </w:p>
        </w:tc>
        <w:tc>
          <w:tcPr>
            <w:tcW w:w="2771"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91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7</w:t>
            </w:r>
          </w:p>
        </w:tc>
        <w:tc>
          <w:tcPr>
            <w:tcW w:w="227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463" w:type="dxa"/>
            <w:vAlign w:val="center"/>
          </w:tcPr>
          <w:p>
            <w:pPr>
              <w:adjustRightInd w:val="0"/>
              <w:snapToGrid w:val="0"/>
              <w:spacing w:line="240" w:lineRule="auto"/>
              <w:ind w:firstLine="0" w:firstLineChars="0"/>
              <w:jc w:val="center"/>
              <w:rPr>
                <w:color w:val="000000"/>
                <w:sz w:val="18"/>
                <w:szCs w:val="18"/>
              </w:rPr>
            </w:pPr>
          </w:p>
        </w:tc>
        <w:tc>
          <w:tcPr>
            <w:tcW w:w="2115" w:type="dxa"/>
            <w:vAlign w:val="center"/>
          </w:tcPr>
          <w:p>
            <w:pPr>
              <w:adjustRightInd w:val="0"/>
              <w:snapToGrid w:val="0"/>
              <w:ind w:firstLine="0" w:firstLineChars="0"/>
              <w:jc w:val="center"/>
              <w:rPr>
                <w:rFonts w:ascii="Times New Roman" w:hAnsi="Times New Roman"/>
                <w:b/>
                <w:sz w:val="21"/>
                <w:szCs w:val="21"/>
              </w:rPr>
            </w:pPr>
          </w:p>
        </w:tc>
        <w:tc>
          <w:tcPr>
            <w:tcW w:w="2580" w:type="dxa"/>
            <w:vAlign w:val="center"/>
          </w:tcPr>
          <w:p>
            <w:pPr>
              <w:adjustRightInd w:val="0"/>
              <w:snapToGrid w:val="0"/>
              <w:ind w:firstLine="0" w:firstLineChars="0"/>
              <w:jc w:val="center"/>
              <w:rPr>
                <w:rFonts w:ascii="Times New Roman" w:hAnsi="Times New Roman"/>
                <w:b/>
                <w:sz w:val="21"/>
                <w:szCs w:val="21"/>
              </w:rPr>
            </w:pPr>
          </w:p>
        </w:tc>
        <w:tc>
          <w:tcPr>
            <w:tcW w:w="2771"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91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8</w:t>
            </w:r>
          </w:p>
        </w:tc>
        <w:tc>
          <w:tcPr>
            <w:tcW w:w="227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463" w:type="dxa"/>
            <w:vAlign w:val="center"/>
          </w:tcPr>
          <w:p>
            <w:pPr>
              <w:adjustRightInd w:val="0"/>
              <w:snapToGrid w:val="0"/>
              <w:spacing w:line="240" w:lineRule="auto"/>
              <w:ind w:firstLine="0" w:firstLineChars="0"/>
              <w:jc w:val="center"/>
              <w:rPr>
                <w:color w:val="000000"/>
                <w:sz w:val="18"/>
                <w:szCs w:val="18"/>
              </w:rPr>
            </w:pPr>
          </w:p>
        </w:tc>
        <w:tc>
          <w:tcPr>
            <w:tcW w:w="2115" w:type="dxa"/>
            <w:vAlign w:val="center"/>
          </w:tcPr>
          <w:p>
            <w:pPr>
              <w:adjustRightInd w:val="0"/>
              <w:snapToGrid w:val="0"/>
              <w:ind w:firstLine="0" w:firstLineChars="0"/>
              <w:jc w:val="center"/>
              <w:rPr>
                <w:rFonts w:ascii="Times New Roman" w:hAnsi="Times New Roman"/>
                <w:b/>
                <w:sz w:val="21"/>
                <w:szCs w:val="21"/>
              </w:rPr>
            </w:pPr>
          </w:p>
        </w:tc>
        <w:tc>
          <w:tcPr>
            <w:tcW w:w="2580" w:type="dxa"/>
            <w:vAlign w:val="center"/>
          </w:tcPr>
          <w:p>
            <w:pPr>
              <w:adjustRightInd w:val="0"/>
              <w:snapToGrid w:val="0"/>
              <w:ind w:firstLine="0" w:firstLineChars="0"/>
              <w:jc w:val="center"/>
              <w:rPr>
                <w:rFonts w:ascii="Times New Roman" w:hAnsi="Times New Roman"/>
                <w:b/>
                <w:sz w:val="21"/>
                <w:szCs w:val="21"/>
              </w:rPr>
            </w:pPr>
          </w:p>
        </w:tc>
        <w:tc>
          <w:tcPr>
            <w:tcW w:w="2771"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914" w:type="dxa"/>
            <w:shd w:val="clear" w:color="auto" w:fill="auto"/>
            <w:vAlign w:val="center"/>
          </w:tcPr>
          <w:p>
            <w:pPr>
              <w:adjustRightInd w:val="0"/>
              <w:snapToGrid w:val="0"/>
              <w:spacing w:line="240" w:lineRule="auto"/>
              <w:ind w:firstLine="0" w:firstLineChars="0"/>
              <w:jc w:val="center"/>
              <w:rPr>
                <w:b/>
                <w:sz w:val="18"/>
                <w:szCs w:val="18"/>
              </w:rPr>
            </w:pPr>
            <w:r>
              <w:rPr>
                <w:rFonts w:hint="eastAsia"/>
                <w:color w:val="000000"/>
                <w:sz w:val="18"/>
                <w:szCs w:val="18"/>
              </w:rPr>
              <w:t>合计</w:t>
            </w:r>
          </w:p>
        </w:tc>
        <w:tc>
          <w:tcPr>
            <w:tcW w:w="2278"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463" w:type="dxa"/>
            <w:vAlign w:val="center"/>
          </w:tcPr>
          <w:p>
            <w:pPr>
              <w:adjustRightInd w:val="0"/>
              <w:snapToGrid w:val="0"/>
              <w:spacing w:line="240" w:lineRule="auto"/>
              <w:ind w:firstLine="0" w:firstLineChars="0"/>
              <w:jc w:val="center"/>
              <w:rPr>
                <w:color w:val="000000"/>
                <w:sz w:val="18"/>
                <w:szCs w:val="18"/>
              </w:rPr>
            </w:pPr>
          </w:p>
        </w:tc>
        <w:tc>
          <w:tcPr>
            <w:tcW w:w="2115" w:type="dxa"/>
            <w:vAlign w:val="center"/>
          </w:tcPr>
          <w:p>
            <w:pPr>
              <w:adjustRightInd w:val="0"/>
              <w:snapToGrid w:val="0"/>
              <w:ind w:firstLine="0" w:firstLineChars="0"/>
              <w:jc w:val="center"/>
              <w:rPr>
                <w:rFonts w:ascii="Times New Roman" w:hAnsi="Times New Roman"/>
                <w:b/>
                <w:sz w:val="21"/>
                <w:szCs w:val="21"/>
              </w:rPr>
            </w:pPr>
          </w:p>
        </w:tc>
        <w:tc>
          <w:tcPr>
            <w:tcW w:w="2580" w:type="dxa"/>
            <w:vAlign w:val="center"/>
          </w:tcPr>
          <w:p>
            <w:pPr>
              <w:adjustRightInd w:val="0"/>
              <w:snapToGrid w:val="0"/>
              <w:ind w:firstLine="0" w:firstLineChars="0"/>
              <w:jc w:val="center"/>
              <w:rPr>
                <w:rFonts w:ascii="Times New Roman" w:hAnsi="Times New Roman"/>
                <w:b/>
                <w:sz w:val="21"/>
                <w:szCs w:val="21"/>
              </w:rPr>
            </w:pPr>
          </w:p>
        </w:tc>
        <w:tc>
          <w:tcPr>
            <w:tcW w:w="2771"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exact"/>
          <w:jc w:val="center"/>
        </w:trPr>
        <w:tc>
          <w:tcPr>
            <w:tcW w:w="13121" w:type="dxa"/>
            <w:gridSpan w:val="6"/>
            <w:shd w:val="clear" w:color="auto" w:fill="auto"/>
            <w:vAlign w:val="center"/>
          </w:tcPr>
          <w:p>
            <w:pPr>
              <w:adjustRightInd w:val="0"/>
              <w:snapToGrid w:val="0"/>
              <w:spacing w:line="240" w:lineRule="auto"/>
              <w:ind w:firstLine="0" w:firstLineChars="0"/>
              <w:jc w:val="both"/>
              <w:rPr>
                <w:sz w:val="18"/>
                <w:szCs w:val="18"/>
              </w:rPr>
            </w:pPr>
            <w:r>
              <w:rPr>
                <w:sz w:val="18"/>
                <w:szCs w:val="18"/>
              </w:rPr>
              <w:t>1、本表统计信息为</w:t>
            </w:r>
            <w:r>
              <w:rPr>
                <w:rFonts w:hint="eastAsia"/>
                <w:sz w:val="18"/>
                <w:szCs w:val="18"/>
              </w:rPr>
              <w:t>企业运营的飞机相关信息（包括自有飞机和租赁飞机），相关数据应按照本指南以及《民航航空飞行活动二氧化碳排放监测、报告和核查管理暂行办法》（民航规〔2018〕3号）要求填写。</w:t>
            </w:r>
          </w:p>
          <w:p>
            <w:pPr>
              <w:adjustRightInd w:val="0"/>
              <w:snapToGrid w:val="0"/>
              <w:spacing w:line="240" w:lineRule="auto"/>
              <w:ind w:firstLine="0" w:firstLineChars="0"/>
              <w:jc w:val="both"/>
              <w:rPr>
                <w:sz w:val="18"/>
                <w:szCs w:val="18"/>
              </w:rPr>
            </w:pPr>
            <w:r>
              <w:rPr>
                <w:rFonts w:hint="eastAsia"/>
                <w:sz w:val="18"/>
                <w:szCs w:val="18"/>
              </w:rPr>
              <w:t>2、各类机型燃料消耗量等于各航段燃油量累计相加。</w:t>
            </w:r>
            <w:r>
              <w:rPr>
                <w:sz w:val="18"/>
                <w:szCs w:val="18"/>
              </w:rPr>
              <w:t>航段归属按照飞行</w:t>
            </w:r>
            <w:r>
              <w:rPr>
                <w:rFonts w:hint="eastAsia"/>
                <w:sz w:val="18"/>
                <w:szCs w:val="18"/>
              </w:rPr>
              <w:t>计划（飞行计划报）</w:t>
            </w:r>
            <w:r>
              <w:rPr>
                <w:sz w:val="18"/>
                <w:szCs w:val="18"/>
              </w:rPr>
              <w:t>上国际民航组织（ICAO）三字代码确定。若航班三字代码缺失，则按飞行计划</w:t>
            </w:r>
            <w:r>
              <w:rPr>
                <w:rFonts w:hint="eastAsia"/>
                <w:sz w:val="18"/>
                <w:szCs w:val="18"/>
              </w:rPr>
              <w:t>（飞行计划报）上</w:t>
            </w:r>
            <w:r>
              <w:rPr>
                <w:sz w:val="18"/>
                <w:szCs w:val="18"/>
              </w:rPr>
              <w:t>航空器注册</w:t>
            </w:r>
            <w:r>
              <w:rPr>
                <w:rFonts w:hint="eastAsia"/>
                <w:sz w:val="18"/>
                <w:szCs w:val="18"/>
              </w:rPr>
              <w:t>码来识别，通过对比运行合格证（AOC）和运行规范，或航空器国籍登记证来确定航段归属</w:t>
            </w:r>
            <w:r>
              <w:rPr>
                <w:sz w:val="18"/>
                <w:szCs w:val="18"/>
              </w:rPr>
              <w:t>。</w:t>
            </w:r>
          </w:p>
          <w:p>
            <w:pPr>
              <w:adjustRightInd w:val="0"/>
              <w:snapToGrid w:val="0"/>
              <w:spacing w:line="240" w:lineRule="auto"/>
              <w:ind w:firstLine="0" w:firstLineChars="0"/>
              <w:jc w:val="both"/>
              <w:rPr>
                <w:sz w:val="18"/>
                <w:szCs w:val="18"/>
              </w:rPr>
            </w:pPr>
            <w:r>
              <w:rPr>
                <w:rFonts w:hint="eastAsia"/>
                <w:sz w:val="18"/>
                <w:szCs w:val="18"/>
              </w:rPr>
              <w:t>3、民用航空</w:t>
            </w:r>
            <w:r>
              <w:rPr>
                <w:sz w:val="18"/>
                <w:szCs w:val="18"/>
              </w:rPr>
              <w:t>运输企业的以下飞机飞行活动不纳入监测和报告范围：a）</w:t>
            </w:r>
            <w:r>
              <w:rPr>
                <w:rFonts w:hint="eastAsia"/>
                <w:sz w:val="18"/>
                <w:szCs w:val="18"/>
              </w:rPr>
              <w:t>人道主义</w:t>
            </w:r>
            <w:r>
              <w:rPr>
                <w:sz w:val="18"/>
                <w:szCs w:val="18"/>
              </w:rPr>
              <w:t>救援；b）</w:t>
            </w:r>
            <w:r>
              <w:rPr>
                <w:rFonts w:hint="eastAsia"/>
                <w:sz w:val="18"/>
                <w:szCs w:val="18"/>
              </w:rPr>
              <w:t>医疗</w:t>
            </w:r>
            <w:r>
              <w:rPr>
                <w:sz w:val="18"/>
                <w:szCs w:val="18"/>
              </w:rPr>
              <w:t>；c）</w:t>
            </w:r>
            <w:r>
              <w:rPr>
                <w:rFonts w:hint="eastAsia"/>
                <w:sz w:val="18"/>
                <w:szCs w:val="18"/>
              </w:rPr>
              <w:t>消防</w:t>
            </w:r>
            <w:r>
              <w:rPr>
                <w:sz w:val="18"/>
                <w:szCs w:val="18"/>
              </w:rPr>
              <w:t>；d）</w:t>
            </w:r>
            <w:r>
              <w:rPr>
                <w:rFonts w:hint="eastAsia"/>
                <w:sz w:val="18"/>
                <w:szCs w:val="18"/>
              </w:rPr>
              <w:t>国家</w:t>
            </w:r>
            <w:r>
              <w:rPr>
                <w:sz w:val="18"/>
                <w:szCs w:val="18"/>
              </w:rPr>
              <w:t>元首航班。</w:t>
            </w:r>
          </w:p>
          <w:p>
            <w:pPr>
              <w:adjustRightInd w:val="0"/>
              <w:snapToGrid w:val="0"/>
              <w:spacing w:line="240" w:lineRule="auto"/>
              <w:ind w:firstLine="0" w:firstLineChars="0"/>
              <w:jc w:val="both"/>
              <w:rPr>
                <w:sz w:val="18"/>
                <w:szCs w:val="18"/>
              </w:rPr>
            </w:pPr>
            <w:r>
              <w:rPr>
                <w:sz w:val="18"/>
                <w:szCs w:val="18"/>
              </w:rPr>
              <w:t>4</w:t>
            </w:r>
            <w:r>
              <w:rPr>
                <w:rFonts w:hint="eastAsia"/>
                <w:sz w:val="18"/>
                <w:szCs w:val="18"/>
              </w:rPr>
              <w:t>、飞机飞行活动大圆总周转量等于每次飞行的业载和航段距离之乘积累计相加。其中，业载包括旅客、货物和邮件重量；航段距离是指起飞机场到降落机场之间的大圆距离（GCD）</w:t>
            </w:r>
            <w:r>
              <w:rPr>
                <w:sz w:val="18"/>
                <w:szCs w:val="18"/>
              </w:rPr>
              <w:t>，应根据机场经纬度和WGS84</w:t>
            </w:r>
            <w:r>
              <w:rPr>
                <w:rFonts w:hint="eastAsia"/>
                <w:sz w:val="18"/>
                <w:szCs w:val="18"/>
              </w:rPr>
              <w:t>所规定方法进行计算。中，旅客标准重量为：成人9</w:t>
            </w:r>
            <w:r>
              <w:rPr>
                <w:sz w:val="18"/>
                <w:szCs w:val="18"/>
              </w:rPr>
              <w:t>0千克</w:t>
            </w:r>
            <w:r>
              <w:rPr>
                <w:rFonts w:hint="eastAsia"/>
                <w:sz w:val="18"/>
                <w:szCs w:val="18"/>
              </w:rPr>
              <w:t>/人，儿童4</w:t>
            </w:r>
            <w:r>
              <w:rPr>
                <w:sz w:val="18"/>
                <w:szCs w:val="18"/>
              </w:rPr>
              <w:t>5千克</w:t>
            </w:r>
            <w:r>
              <w:rPr>
                <w:rFonts w:hint="eastAsia"/>
                <w:sz w:val="18"/>
                <w:szCs w:val="18"/>
              </w:rPr>
              <w:t>/人，婴儿9千克/人。</w:t>
            </w:r>
          </w:p>
          <w:p>
            <w:pPr>
              <w:adjustRightInd w:val="0"/>
              <w:snapToGrid w:val="0"/>
              <w:spacing w:line="240" w:lineRule="auto"/>
              <w:ind w:firstLine="0" w:firstLineChars="0"/>
              <w:jc w:val="both"/>
              <w:rPr>
                <w:rFonts w:ascii="Times New Roman" w:hAnsi="Times New Roman"/>
                <w:b/>
                <w:sz w:val="21"/>
                <w:szCs w:val="21"/>
              </w:rPr>
            </w:pPr>
            <w:r>
              <w:rPr>
                <w:sz w:val="18"/>
                <w:szCs w:val="18"/>
              </w:rPr>
              <w:t>5</w:t>
            </w:r>
            <w:r>
              <w:rPr>
                <w:rFonts w:hint="eastAsia"/>
                <w:sz w:val="18"/>
                <w:szCs w:val="18"/>
              </w:rPr>
              <w:t>、缺省排放因子为</w:t>
            </w:r>
            <w:r>
              <w:rPr>
                <w:sz w:val="18"/>
                <w:szCs w:val="18"/>
              </w:rPr>
              <w:t>3.15kgCO2/kg航空煤油</w:t>
            </w:r>
            <w:r>
              <w:rPr>
                <w:rFonts w:hint="eastAsia"/>
                <w:sz w:val="18"/>
                <w:szCs w:val="18"/>
              </w:rPr>
              <w:t>。</w:t>
            </w:r>
          </w:p>
        </w:tc>
      </w:tr>
    </w:tbl>
    <w:p>
      <w:pPr>
        <w:ind w:firstLine="313"/>
        <w:rPr>
          <w:rFonts w:ascii="Times New Roman" w:hAnsi="Times New Roman"/>
          <w:sz w:val="21"/>
          <w:szCs w:val="21"/>
        </w:rPr>
      </w:pPr>
    </w:p>
    <w:p>
      <w:pPr>
        <w:tabs>
          <w:tab w:val="left" w:pos="744"/>
          <w:tab w:val="center" w:pos="6979"/>
        </w:tabs>
        <w:adjustRightInd w:val="0"/>
        <w:snapToGrid w:val="0"/>
        <w:ind w:firstLine="0" w:firstLineChars="0"/>
        <w:jc w:val="center"/>
        <w:rPr>
          <w:rFonts w:ascii="Times New Roman" w:hAnsi="Times New Roman"/>
          <w:b/>
          <w:sz w:val="21"/>
          <w:szCs w:val="21"/>
        </w:rPr>
      </w:pPr>
      <w:r>
        <w:rPr>
          <w:rFonts w:ascii="Times New Roman" w:hAnsi="Times New Roman"/>
          <w:b/>
          <w:sz w:val="21"/>
          <w:szCs w:val="21"/>
        </w:rPr>
        <w:t>ZD-1-</w:t>
      </w:r>
      <w:r>
        <w:rPr>
          <w:rFonts w:hint="eastAsia" w:ascii="Times New Roman" w:hAnsi="Times New Roman"/>
          <w:b/>
          <w:sz w:val="21"/>
          <w:szCs w:val="21"/>
        </w:rPr>
        <w:t>H2-</w:t>
      </w:r>
      <w:r>
        <w:rPr>
          <w:rFonts w:ascii="Times New Roman" w:hAnsi="Times New Roman"/>
          <w:b/>
          <w:sz w:val="21"/>
          <w:szCs w:val="21"/>
        </w:rPr>
        <w:t>2</w:t>
      </w:r>
      <w:r>
        <w:rPr>
          <w:rFonts w:hint="eastAsia" w:ascii="Times New Roman" w:hAnsi="Times New Roman"/>
          <w:b/>
          <w:sz w:val="21"/>
          <w:szCs w:val="21"/>
        </w:rPr>
        <w:t>重点碳排放单位移动设施信息表（5</w:t>
      </w:r>
      <w:r>
        <w:rPr>
          <w:rFonts w:ascii="Times New Roman" w:hAnsi="Times New Roman"/>
          <w:b/>
          <w:sz w:val="21"/>
          <w:szCs w:val="21"/>
        </w:rPr>
        <w:t>611</w:t>
      </w:r>
      <w:r>
        <w:rPr>
          <w:rFonts w:hint="eastAsia" w:ascii="Times New Roman" w:hAnsi="Times New Roman"/>
          <w:b/>
          <w:sz w:val="21"/>
          <w:szCs w:val="21"/>
        </w:rPr>
        <w:t>和5612——第二类飞行活动）</w:t>
      </w:r>
    </w:p>
    <w:tbl>
      <w:tblPr>
        <w:tblStyle w:val="27"/>
        <w:tblW w:w="13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2616"/>
        <w:gridCol w:w="2246"/>
        <w:gridCol w:w="2287"/>
        <w:gridCol w:w="2175"/>
        <w:gridCol w:w="2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861" w:type="dxa"/>
            <w:shd w:val="clear" w:color="auto" w:fill="auto"/>
            <w:vAlign w:val="center"/>
          </w:tcPr>
          <w:p>
            <w:pPr>
              <w:adjustRightInd w:val="0"/>
              <w:snapToGrid w:val="0"/>
              <w:ind w:firstLine="0" w:firstLineChars="0"/>
              <w:jc w:val="center"/>
              <w:rPr>
                <w:b/>
                <w:sz w:val="18"/>
                <w:szCs w:val="18"/>
              </w:rPr>
            </w:pPr>
            <w:r>
              <w:rPr>
                <w:rFonts w:hint="eastAsia"/>
                <w:b/>
                <w:sz w:val="18"/>
                <w:szCs w:val="18"/>
              </w:rPr>
              <w:t>序号</w:t>
            </w:r>
          </w:p>
        </w:tc>
        <w:tc>
          <w:tcPr>
            <w:tcW w:w="2616"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ICAO机型</w:t>
            </w:r>
          </w:p>
        </w:tc>
        <w:tc>
          <w:tcPr>
            <w:tcW w:w="2246" w:type="dxa"/>
            <w:vAlign w:val="center"/>
          </w:tcPr>
          <w:p>
            <w:pPr>
              <w:adjustRightInd w:val="0"/>
              <w:snapToGrid w:val="0"/>
              <w:spacing w:line="240" w:lineRule="auto"/>
              <w:ind w:firstLine="0" w:firstLineChars="0"/>
              <w:jc w:val="center"/>
              <w:rPr>
                <w:b/>
                <w:sz w:val="18"/>
                <w:szCs w:val="18"/>
              </w:rPr>
            </w:pPr>
            <w:r>
              <w:rPr>
                <w:rFonts w:hint="eastAsia"/>
                <w:b/>
                <w:sz w:val="18"/>
                <w:szCs w:val="18"/>
              </w:rPr>
              <w:t>燃料年消耗量</w:t>
            </w:r>
          </w:p>
          <w:p>
            <w:pPr>
              <w:adjustRightInd w:val="0"/>
              <w:snapToGrid w:val="0"/>
              <w:spacing w:line="240" w:lineRule="auto"/>
              <w:ind w:firstLine="0" w:firstLineChars="0"/>
              <w:jc w:val="center"/>
              <w:rPr>
                <w:b/>
                <w:sz w:val="18"/>
                <w:szCs w:val="18"/>
              </w:rPr>
            </w:pPr>
            <w:r>
              <w:rPr>
                <w:rFonts w:ascii="Times New Roman" w:hAnsi="Times New Roman"/>
                <w:b/>
                <w:sz w:val="18"/>
                <w:szCs w:val="18"/>
              </w:rPr>
              <w:t xml:space="preserve"> (t)</w:t>
            </w:r>
          </w:p>
        </w:tc>
        <w:tc>
          <w:tcPr>
            <w:tcW w:w="2287" w:type="dxa"/>
            <w:vAlign w:val="center"/>
          </w:tcPr>
          <w:p>
            <w:pPr>
              <w:adjustRightInd w:val="0"/>
              <w:snapToGrid w:val="0"/>
              <w:spacing w:line="240" w:lineRule="auto"/>
              <w:ind w:firstLine="0" w:firstLineChars="0"/>
              <w:jc w:val="center"/>
              <w:rPr>
                <w:b/>
                <w:sz w:val="18"/>
                <w:szCs w:val="18"/>
              </w:rPr>
            </w:pPr>
            <w:r>
              <w:rPr>
                <w:rFonts w:hint="eastAsia"/>
                <w:b/>
                <w:sz w:val="18"/>
                <w:szCs w:val="18"/>
              </w:rPr>
              <w:t>移动排放设施</w:t>
            </w:r>
          </w:p>
          <w:p>
            <w:pPr>
              <w:adjustRightInd w:val="0"/>
              <w:snapToGrid w:val="0"/>
              <w:spacing w:line="240" w:lineRule="auto"/>
              <w:ind w:firstLine="0" w:firstLineChars="0"/>
              <w:jc w:val="center"/>
              <w:rPr>
                <w:b/>
                <w:sz w:val="18"/>
                <w:szCs w:val="18"/>
              </w:rPr>
            </w:pPr>
            <w:r>
              <w:rPr>
                <w:rFonts w:hint="eastAsia"/>
                <w:b/>
                <w:sz w:val="18"/>
                <w:szCs w:val="18"/>
              </w:rPr>
              <w:t>CO</w:t>
            </w:r>
            <w:r>
              <w:rPr>
                <w:b/>
                <w:sz w:val="18"/>
                <w:szCs w:val="18"/>
                <w:vertAlign w:val="subscript"/>
              </w:rPr>
              <w:t>2</w:t>
            </w:r>
            <w:r>
              <w:rPr>
                <w:rFonts w:hint="eastAsia"/>
                <w:b/>
                <w:sz w:val="18"/>
                <w:szCs w:val="18"/>
              </w:rPr>
              <w:t>排放量合计量</w:t>
            </w:r>
          </w:p>
          <w:p>
            <w:pPr>
              <w:adjustRightInd w:val="0"/>
              <w:snapToGrid w:val="0"/>
              <w:spacing w:line="240" w:lineRule="auto"/>
              <w:ind w:firstLine="0" w:firstLineChars="0"/>
              <w:jc w:val="center"/>
              <w:rPr>
                <w:b/>
                <w:sz w:val="18"/>
                <w:szCs w:val="18"/>
              </w:rPr>
            </w:pPr>
            <w:r>
              <w:rPr>
                <w:rFonts w:hint="eastAsia" w:ascii="Times New Roman" w:hAnsi="Times New Roman"/>
                <w:b/>
                <w:sz w:val="18"/>
                <w:szCs w:val="18"/>
              </w:rPr>
              <w:t>（</w:t>
            </w:r>
            <w:r>
              <w:rPr>
                <w:rFonts w:ascii="Times New Roman" w:hAnsi="Times New Roman"/>
                <w:b/>
                <w:sz w:val="18"/>
                <w:szCs w:val="18"/>
              </w:rPr>
              <w:t>tCO</w:t>
            </w:r>
            <w:r>
              <w:rPr>
                <w:rFonts w:ascii="Times New Roman" w:hAnsi="Times New Roman"/>
                <w:b/>
                <w:sz w:val="18"/>
                <w:szCs w:val="18"/>
                <w:vertAlign w:val="subscript"/>
              </w:rPr>
              <w:t>2</w:t>
            </w:r>
            <w:r>
              <w:rPr>
                <w:rFonts w:hint="eastAsia" w:ascii="Times New Roman" w:hAnsi="Times New Roman"/>
                <w:b/>
                <w:sz w:val="18"/>
                <w:szCs w:val="18"/>
              </w:rPr>
              <w:t>）</w:t>
            </w:r>
          </w:p>
        </w:tc>
        <w:tc>
          <w:tcPr>
            <w:tcW w:w="2175" w:type="dxa"/>
            <w:vAlign w:val="center"/>
          </w:tcPr>
          <w:p>
            <w:pPr>
              <w:adjustRightInd w:val="0"/>
              <w:snapToGrid w:val="0"/>
              <w:spacing w:line="240" w:lineRule="auto"/>
              <w:ind w:firstLine="0" w:firstLineChars="0"/>
              <w:jc w:val="center"/>
              <w:rPr>
                <w:b/>
                <w:sz w:val="18"/>
                <w:szCs w:val="18"/>
              </w:rPr>
            </w:pPr>
            <w:r>
              <w:rPr>
                <w:rFonts w:hint="eastAsia"/>
                <w:b/>
                <w:sz w:val="18"/>
                <w:szCs w:val="18"/>
              </w:rPr>
              <w:t>大圆总周转量</w:t>
            </w:r>
          </w:p>
          <w:p>
            <w:pPr>
              <w:adjustRightInd w:val="0"/>
              <w:snapToGrid w:val="0"/>
              <w:spacing w:line="240" w:lineRule="auto"/>
              <w:ind w:firstLine="0" w:firstLineChars="0"/>
              <w:jc w:val="center"/>
              <w:rPr>
                <w:b/>
                <w:sz w:val="18"/>
                <w:szCs w:val="18"/>
              </w:rPr>
            </w:pPr>
            <w:r>
              <w:rPr>
                <w:rFonts w:hint="eastAsia"/>
                <w:b/>
                <w:sz w:val="18"/>
                <w:szCs w:val="18"/>
              </w:rPr>
              <w:t>（万吨公里）</w:t>
            </w:r>
          </w:p>
        </w:tc>
        <w:tc>
          <w:tcPr>
            <w:tcW w:w="2831" w:type="dxa"/>
            <w:vAlign w:val="center"/>
          </w:tcPr>
          <w:p>
            <w:pPr>
              <w:adjustRightInd w:val="0"/>
              <w:snapToGrid w:val="0"/>
              <w:spacing w:line="240" w:lineRule="auto"/>
              <w:ind w:firstLine="0" w:firstLineChars="0"/>
              <w:jc w:val="center"/>
              <w:rPr>
                <w:b/>
                <w:sz w:val="18"/>
                <w:szCs w:val="18"/>
              </w:rPr>
            </w:pPr>
            <w:r>
              <w:rPr>
                <w:rFonts w:hint="eastAsia"/>
                <w:b/>
                <w:sz w:val="18"/>
                <w:szCs w:val="18"/>
              </w:rPr>
              <w:t>移动设施碳排放强度</w:t>
            </w:r>
          </w:p>
          <w:p>
            <w:pPr>
              <w:adjustRightInd w:val="0"/>
              <w:snapToGrid w:val="0"/>
              <w:spacing w:line="240" w:lineRule="auto"/>
              <w:ind w:firstLine="0" w:firstLineChars="0"/>
              <w:jc w:val="center"/>
              <w:rPr>
                <w:b/>
                <w:sz w:val="18"/>
                <w:szCs w:val="18"/>
              </w:rPr>
            </w:pPr>
            <w:r>
              <w:rPr>
                <w:rFonts w:hint="eastAsia"/>
                <w:b/>
                <w:sz w:val="18"/>
                <w:szCs w:val="18"/>
              </w:rPr>
              <w:t>（kg/吨公里）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861"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1</w:t>
            </w:r>
          </w:p>
        </w:tc>
        <w:tc>
          <w:tcPr>
            <w:tcW w:w="261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287" w:type="dxa"/>
            <w:vAlign w:val="center"/>
          </w:tcPr>
          <w:p>
            <w:pPr>
              <w:adjustRightInd w:val="0"/>
              <w:snapToGrid w:val="0"/>
              <w:ind w:firstLine="0" w:firstLineChars="0"/>
              <w:jc w:val="center"/>
              <w:rPr>
                <w:rFonts w:ascii="Times New Roman" w:hAnsi="Times New Roman"/>
                <w:b/>
                <w:sz w:val="21"/>
                <w:szCs w:val="21"/>
              </w:rPr>
            </w:pPr>
          </w:p>
        </w:tc>
        <w:tc>
          <w:tcPr>
            <w:tcW w:w="2175" w:type="dxa"/>
            <w:vAlign w:val="center"/>
          </w:tcPr>
          <w:p>
            <w:pPr>
              <w:adjustRightInd w:val="0"/>
              <w:snapToGrid w:val="0"/>
              <w:ind w:firstLine="0" w:firstLineChars="0"/>
              <w:jc w:val="center"/>
              <w:rPr>
                <w:rFonts w:ascii="Times New Roman" w:hAnsi="Times New Roman"/>
                <w:b/>
                <w:sz w:val="21"/>
                <w:szCs w:val="21"/>
              </w:rPr>
            </w:pPr>
          </w:p>
        </w:tc>
        <w:tc>
          <w:tcPr>
            <w:tcW w:w="2831"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861"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2</w:t>
            </w:r>
          </w:p>
        </w:tc>
        <w:tc>
          <w:tcPr>
            <w:tcW w:w="261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287" w:type="dxa"/>
            <w:vAlign w:val="center"/>
          </w:tcPr>
          <w:p>
            <w:pPr>
              <w:adjustRightInd w:val="0"/>
              <w:snapToGrid w:val="0"/>
              <w:ind w:firstLine="0" w:firstLineChars="0"/>
              <w:jc w:val="center"/>
              <w:rPr>
                <w:rFonts w:ascii="Times New Roman" w:hAnsi="Times New Roman"/>
                <w:b/>
                <w:sz w:val="21"/>
                <w:szCs w:val="21"/>
              </w:rPr>
            </w:pPr>
          </w:p>
        </w:tc>
        <w:tc>
          <w:tcPr>
            <w:tcW w:w="2175" w:type="dxa"/>
            <w:vAlign w:val="center"/>
          </w:tcPr>
          <w:p>
            <w:pPr>
              <w:adjustRightInd w:val="0"/>
              <w:snapToGrid w:val="0"/>
              <w:ind w:firstLine="0" w:firstLineChars="0"/>
              <w:jc w:val="center"/>
              <w:rPr>
                <w:rFonts w:ascii="Times New Roman" w:hAnsi="Times New Roman"/>
                <w:b/>
                <w:sz w:val="21"/>
                <w:szCs w:val="21"/>
              </w:rPr>
            </w:pPr>
          </w:p>
        </w:tc>
        <w:tc>
          <w:tcPr>
            <w:tcW w:w="2831"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861"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3</w:t>
            </w:r>
          </w:p>
        </w:tc>
        <w:tc>
          <w:tcPr>
            <w:tcW w:w="261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287" w:type="dxa"/>
            <w:vAlign w:val="center"/>
          </w:tcPr>
          <w:p>
            <w:pPr>
              <w:adjustRightInd w:val="0"/>
              <w:snapToGrid w:val="0"/>
              <w:ind w:firstLine="0" w:firstLineChars="0"/>
              <w:jc w:val="center"/>
              <w:rPr>
                <w:rFonts w:ascii="Times New Roman" w:hAnsi="Times New Roman"/>
                <w:b/>
                <w:sz w:val="21"/>
                <w:szCs w:val="21"/>
              </w:rPr>
            </w:pPr>
          </w:p>
        </w:tc>
        <w:tc>
          <w:tcPr>
            <w:tcW w:w="2175" w:type="dxa"/>
            <w:vAlign w:val="center"/>
          </w:tcPr>
          <w:p>
            <w:pPr>
              <w:adjustRightInd w:val="0"/>
              <w:snapToGrid w:val="0"/>
              <w:ind w:firstLine="0" w:firstLineChars="0"/>
              <w:jc w:val="center"/>
              <w:rPr>
                <w:rFonts w:ascii="Times New Roman" w:hAnsi="Times New Roman"/>
                <w:b/>
                <w:sz w:val="21"/>
                <w:szCs w:val="21"/>
              </w:rPr>
            </w:pPr>
          </w:p>
        </w:tc>
        <w:tc>
          <w:tcPr>
            <w:tcW w:w="2831"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861"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4</w:t>
            </w:r>
          </w:p>
        </w:tc>
        <w:tc>
          <w:tcPr>
            <w:tcW w:w="261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287" w:type="dxa"/>
            <w:vAlign w:val="center"/>
          </w:tcPr>
          <w:p>
            <w:pPr>
              <w:adjustRightInd w:val="0"/>
              <w:snapToGrid w:val="0"/>
              <w:ind w:firstLine="0" w:firstLineChars="0"/>
              <w:jc w:val="center"/>
              <w:rPr>
                <w:rFonts w:ascii="Times New Roman" w:hAnsi="Times New Roman"/>
                <w:b/>
                <w:sz w:val="21"/>
                <w:szCs w:val="21"/>
              </w:rPr>
            </w:pPr>
          </w:p>
        </w:tc>
        <w:tc>
          <w:tcPr>
            <w:tcW w:w="2175" w:type="dxa"/>
            <w:vAlign w:val="center"/>
          </w:tcPr>
          <w:p>
            <w:pPr>
              <w:adjustRightInd w:val="0"/>
              <w:snapToGrid w:val="0"/>
              <w:ind w:firstLine="0" w:firstLineChars="0"/>
              <w:jc w:val="center"/>
              <w:rPr>
                <w:rFonts w:ascii="Times New Roman" w:hAnsi="Times New Roman"/>
                <w:b/>
                <w:sz w:val="21"/>
                <w:szCs w:val="21"/>
              </w:rPr>
            </w:pPr>
          </w:p>
        </w:tc>
        <w:tc>
          <w:tcPr>
            <w:tcW w:w="2831"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861"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5</w:t>
            </w:r>
          </w:p>
        </w:tc>
        <w:tc>
          <w:tcPr>
            <w:tcW w:w="261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287" w:type="dxa"/>
            <w:vAlign w:val="center"/>
          </w:tcPr>
          <w:p>
            <w:pPr>
              <w:adjustRightInd w:val="0"/>
              <w:snapToGrid w:val="0"/>
              <w:ind w:firstLine="0" w:firstLineChars="0"/>
              <w:jc w:val="center"/>
              <w:rPr>
                <w:rFonts w:ascii="Times New Roman" w:hAnsi="Times New Roman"/>
                <w:b/>
                <w:sz w:val="21"/>
                <w:szCs w:val="21"/>
              </w:rPr>
            </w:pPr>
          </w:p>
        </w:tc>
        <w:tc>
          <w:tcPr>
            <w:tcW w:w="2175" w:type="dxa"/>
            <w:vAlign w:val="center"/>
          </w:tcPr>
          <w:p>
            <w:pPr>
              <w:adjustRightInd w:val="0"/>
              <w:snapToGrid w:val="0"/>
              <w:ind w:firstLine="0" w:firstLineChars="0"/>
              <w:jc w:val="center"/>
              <w:rPr>
                <w:rFonts w:ascii="Times New Roman" w:hAnsi="Times New Roman"/>
                <w:b/>
                <w:sz w:val="21"/>
                <w:szCs w:val="21"/>
              </w:rPr>
            </w:pPr>
          </w:p>
        </w:tc>
        <w:tc>
          <w:tcPr>
            <w:tcW w:w="2831"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861"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6</w:t>
            </w:r>
          </w:p>
        </w:tc>
        <w:tc>
          <w:tcPr>
            <w:tcW w:w="261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287" w:type="dxa"/>
            <w:vAlign w:val="center"/>
          </w:tcPr>
          <w:p>
            <w:pPr>
              <w:adjustRightInd w:val="0"/>
              <w:snapToGrid w:val="0"/>
              <w:ind w:firstLine="0" w:firstLineChars="0"/>
              <w:jc w:val="center"/>
              <w:rPr>
                <w:rFonts w:ascii="Times New Roman" w:hAnsi="Times New Roman"/>
                <w:b/>
                <w:sz w:val="21"/>
                <w:szCs w:val="21"/>
              </w:rPr>
            </w:pPr>
          </w:p>
        </w:tc>
        <w:tc>
          <w:tcPr>
            <w:tcW w:w="2175" w:type="dxa"/>
            <w:vAlign w:val="center"/>
          </w:tcPr>
          <w:p>
            <w:pPr>
              <w:adjustRightInd w:val="0"/>
              <w:snapToGrid w:val="0"/>
              <w:ind w:firstLine="0" w:firstLineChars="0"/>
              <w:jc w:val="center"/>
              <w:rPr>
                <w:rFonts w:ascii="Times New Roman" w:hAnsi="Times New Roman"/>
                <w:b/>
                <w:sz w:val="21"/>
                <w:szCs w:val="21"/>
              </w:rPr>
            </w:pPr>
          </w:p>
        </w:tc>
        <w:tc>
          <w:tcPr>
            <w:tcW w:w="2831"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861"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7</w:t>
            </w:r>
          </w:p>
        </w:tc>
        <w:tc>
          <w:tcPr>
            <w:tcW w:w="261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287" w:type="dxa"/>
            <w:vAlign w:val="center"/>
          </w:tcPr>
          <w:p>
            <w:pPr>
              <w:adjustRightInd w:val="0"/>
              <w:snapToGrid w:val="0"/>
              <w:ind w:firstLine="0" w:firstLineChars="0"/>
              <w:jc w:val="center"/>
              <w:rPr>
                <w:rFonts w:ascii="Times New Roman" w:hAnsi="Times New Roman"/>
                <w:b/>
                <w:sz w:val="21"/>
                <w:szCs w:val="21"/>
              </w:rPr>
            </w:pPr>
          </w:p>
        </w:tc>
        <w:tc>
          <w:tcPr>
            <w:tcW w:w="2175" w:type="dxa"/>
            <w:vAlign w:val="center"/>
          </w:tcPr>
          <w:p>
            <w:pPr>
              <w:adjustRightInd w:val="0"/>
              <w:snapToGrid w:val="0"/>
              <w:ind w:firstLine="0" w:firstLineChars="0"/>
              <w:jc w:val="center"/>
              <w:rPr>
                <w:rFonts w:ascii="Times New Roman" w:hAnsi="Times New Roman"/>
                <w:b/>
                <w:sz w:val="21"/>
                <w:szCs w:val="21"/>
              </w:rPr>
            </w:pPr>
          </w:p>
        </w:tc>
        <w:tc>
          <w:tcPr>
            <w:tcW w:w="2831"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861"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8</w:t>
            </w:r>
          </w:p>
        </w:tc>
        <w:tc>
          <w:tcPr>
            <w:tcW w:w="261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287" w:type="dxa"/>
            <w:vAlign w:val="center"/>
          </w:tcPr>
          <w:p>
            <w:pPr>
              <w:adjustRightInd w:val="0"/>
              <w:snapToGrid w:val="0"/>
              <w:ind w:firstLine="0" w:firstLineChars="0"/>
              <w:jc w:val="center"/>
              <w:rPr>
                <w:rFonts w:ascii="Times New Roman" w:hAnsi="Times New Roman"/>
                <w:b/>
                <w:sz w:val="21"/>
                <w:szCs w:val="21"/>
              </w:rPr>
            </w:pPr>
          </w:p>
        </w:tc>
        <w:tc>
          <w:tcPr>
            <w:tcW w:w="2175" w:type="dxa"/>
            <w:vAlign w:val="center"/>
          </w:tcPr>
          <w:p>
            <w:pPr>
              <w:adjustRightInd w:val="0"/>
              <w:snapToGrid w:val="0"/>
              <w:ind w:firstLine="0" w:firstLineChars="0"/>
              <w:jc w:val="center"/>
              <w:rPr>
                <w:rFonts w:ascii="Times New Roman" w:hAnsi="Times New Roman"/>
                <w:b/>
                <w:sz w:val="21"/>
                <w:szCs w:val="21"/>
              </w:rPr>
            </w:pPr>
          </w:p>
        </w:tc>
        <w:tc>
          <w:tcPr>
            <w:tcW w:w="2831"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861" w:type="dxa"/>
            <w:shd w:val="clear" w:color="auto" w:fill="auto"/>
            <w:vAlign w:val="center"/>
          </w:tcPr>
          <w:p>
            <w:pPr>
              <w:adjustRightInd w:val="0"/>
              <w:snapToGrid w:val="0"/>
              <w:spacing w:line="240" w:lineRule="auto"/>
              <w:ind w:firstLine="0" w:firstLineChars="0"/>
              <w:jc w:val="center"/>
              <w:rPr>
                <w:b/>
                <w:sz w:val="18"/>
                <w:szCs w:val="18"/>
              </w:rPr>
            </w:pPr>
            <w:r>
              <w:rPr>
                <w:rFonts w:hint="eastAsia"/>
                <w:color w:val="000000"/>
                <w:sz w:val="18"/>
                <w:szCs w:val="18"/>
              </w:rPr>
              <w:t>合计</w:t>
            </w:r>
          </w:p>
        </w:tc>
        <w:tc>
          <w:tcPr>
            <w:tcW w:w="261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287" w:type="dxa"/>
            <w:vAlign w:val="center"/>
          </w:tcPr>
          <w:p>
            <w:pPr>
              <w:adjustRightInd w:val="0"/>
              <w:snapToGrid w:val="0"/>
              <w:ind w:firstLine="0" w:firstLineChars="0"/>
              <w:jc w:val="center"/>
              <w:rPr>
                <w:rFonts w:ascii="Times New Roman" w:hAnsi="Times New Roman"/>
                <w:b/>
                <w:sz w:val="21"/>
                <w:szCs w:val="21"/>
              </w:rPr>
            </w:pPr>
          </w:p>
        </w:tc>
        <w:tc>
          <w:tcPr>
            <w:tcW w:w="2175" w:type="dxa"/>
            <w:vAlign w:val="center"/>
          </w:tcPr>
          <w:p>
            <w:pPr>
              <w:adjustRightInd w:val="0"/>
              <w:snapToGrid w:val="0"/>
              <w:ind w:firstLine="0" w:firstLineChars="0"/>
              <w:jc w:val="center"/>
              <w:rPr>
                <w:rFonts w:ascii="Times New Roman" w:hAnsi="Times New Roman"/>
                <w:b/>
                <w:sz w:val="21"/>
                <w:szCs w:val="21"/>
              </w:rPr>
            </w:pPr>
          </w:p>
        </w:tc>
        <w:tc>
          <w:tcPr>
            <w:tcW w:w="2831"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5" w:hRule="exact"/>
          <w:jc w:val="center"/>
        </w:trPr>
        <w:tc>
          <w:tcPr>
            <w:tcW w:w="13016" w:type="dxa"/>
            <w:gridSpan w:val="6"/>
            <w:shd w:val="clear" w:color="auto" w:fill="auto"/>
            <w:vAlign w:val="center"/>
          </w:tcPr>
          <w:p>
            <w:pPr>
              <w:adjustRightInd w:val="0"/>
              <w:snapToGrid w:val="0"/>
              <w:spacing w:line="240" w:lineRule="auto"/>
              <w:ind w:firstLine="0" w:firstLineChars="0"/>
              <w:jc w:val="both"/>
              <w:rPr>
                <w:sz w:val="18"/>
                <w:szCs w:val="18"/>
              </w:rPr>
            </w:pPr>
            <w:r>
              <w:rPr>
                <w:sz w:val="18"/>
                <w:szCs w:val="18"/>
              </w:rPr>
              <w:t>1、本表统计信息为</w:t>
            </w:r>
            <w:r>
              <w:rPr>
                <w:rFonts w:hint="eastAsia"/>
                <w:sz w:val="18"/>
                <w:szCs w:val="18"/>
              </w:rPr>
              <w:t>企业运营的飞机相关信息（包括自有飞机和租赁飞机），相关数据应按照本指南以及《民航航空飞行活动二氧化碳排放监测、报告和核查管理暂行办法》（民航规〔2018〕3号）要求填写。</w:t>
            </w:r>
          </w:p>
          <w:p>
            <w:pPr>
              <w:adjustRightInd w:val="0"/>
              <w:snapToGrid w:val="0"/>
              <w:spacing w:line="240" w:lineRule="auto"/>
              <w:ind w:firstLine="0" w:firstLineChars="0"/>
              <w:jc w:val="both"/>
              <w:rPr>
                <w:sz w:val="18"/>
                <w:szCs w:val="18"/>
              </w:rPr>
            </w:pPr>
            <w:r>
              <w:rPr>
                <w:rFonts w:hint="eastAsia"/>
                <w:sz w:val="18"/>
                <w:szCs w:val="18"/>
              </w:rPr>
              <w:t>2、各类机型燃料消耗量等于各航段燃油量累计相加。</w:t>
            </w:r>
            <w:r>
              <w:rPr>
                <w:sz w:val="18"/>
                <w:szCs w:val="18"/>
              </w:rPr>
              <w:t>航段归属按照飞行</w:t>
            </w:r>
            <w:r>
              <w:rPr>
                <w:rFonts w:hint="eastAsia"/>
                <w:sz w:val="18"/>
                <w:szCs w:val="18"/>
              </w:rPr>
              <w:t>计划（飞行计划报）</w:t>
            </w:r>
            <w:r>
              <w:rPr>
                <w:sz w:val="18"/>
                <w:szCs w:val="18"/>
              </w:rPr>
              <w:t>上国际民航组织（ICAO）三字代码确定。若航班三字代码缺失，则按飞行计划</w:t>
            </w:r>
            <w:r>
              <w:rPr>
                <w:rFonts w:hint="eastAsia"/>
                <w:sz w:val="18"/>
                <w:szCs w:val="18"/>
              </w:rPr>
              <w:t>（飞行计划报）上</w:t>
            </w:r>
            <w:r>
              <w:rPr>
                <w:sz w:val="18"/>
                <w:szCs w:val="18"/>
              </w:rPr>
              <w:t>航空器注册</w:t>
            </w:r>
            <w:r>
              <w:rPr>
                <w:rFonts w:hint="eastAsia"/>
                <w:sz w:val="18"/>
                <w:szCs w:val="18"/>
              </w:rPr>
              <w:t>码来识别，通过对比运行合格证（AOC）和运行规范，或航空器国籍登记证来确定航段归属</w:t>
            </w:r>
            <w:r>
              <w:rPr>
                <w:sz w:val="18"/>
                <w:szCs w:val="18"/>
              </w:rPr>
              <w:t>。</w:t>
            </w:r>
          </w:p>
          <w:p>
            <w:pPr>
              <w:adjustRightInd w:val="0"/>
              <w:snapToGrid w:val="0"/>
              <w:spacing w:line="240" w:lineRule="auto"/>
              <w:ind w:firstLine="0" w:firstLineChars="0"/>
              <w:jc w:val="both"/>
              <w:rPr>
                <w:sz w:val="18"/>
                <w:szCs w:val="18"/>
              </w:rPr>
            </w:pPr>
            <w:r>
              <w:rPr>
                <w:rFonts w:hint="eastAsia"/>
                <w:sz w:val="18"/>
                <w:szCs w:val="18"/>
              </w:rPr>
              <w:t>3、民用航空</w:t>
            </w:r>
            <w:r>
              <w:rPr>
                <w:sz w:val="18"/>
                <w:szCs w:val="18"/>
              </w:rPr>
              <w:t>运输企业的以下飞机飞行活动不纳入监测和报告范围：a）</w:t>
            </w:r>
            <w:r>
              <w:rPr>
                <w:rFonts w:hint="eastAsia"/>
                <w:sz w:val="18"/>
                <w:szCs w:val="18"/>
              </w:rPr>
              <w:t>人道主义</w:t>
            </w:r>
            <w:r>
              <w:rPr>
                <w:sz w:val="18"/>
                <w:szCs w:val="18"/>
              </w:rPr>
              <w:t>救援；b）</w:t>
            </w:r>
            <w:r>
              <w:rPr>
                <w:rFonts w:hint="eastAsia"/>
                <w:sz w:val="18"/>
                <w:szCs w:val="18"/>
              </w:rPr>
              <w:t>医疗</w:t>
            </w:r>
            <w:r>
              <w:rPr>
                <w:sz w:val="18"/>
                <w:szCs w:val="18"/>
              </w:rPr>
              <w:t>；c）</w:t>
            </w:r>
            <w:r>
              <w:rPr>
                <w:rFonts w:hint="eastAsia"/>
                <w:sz w:val="18"/>
                <w:szCs w:val="18"/>
              </w:rPr>
              <w:t>消防</w:t>
            </w:r>
            <w:r>
              <w:rPr>
                <w:sz w:val="18"/>
                <w:szCs w:val="18"/>
              </w:rPr>
              <w:t>；d）</w:t>
            </w:r>
            <w:r>
              <w:rPr>
                <w:rFonts w:hint="eastAsia"/>
                <w:sz w:val="18"/>
                <w:szCs w:val="18"/>
              </w:rPr>
              <w:t>国家</w:t>
            </w:r>
            <w:r>
              <w:rPr>
                <w:sz w:val="18"/>
                <w:szCs w:val="18"/>
              </w:rPr>
              <w:t>元首航班。</w:t>
            </w:r>
          </w:p>
          <w:p>
            <w:pPr>
              <w:adjustRightInd w:val="0"/>
              <w:snapToGrid w:val="0"/>
              <w:spacing w:line="240" w:lineRule="auto"/>
              <w:ind w:firstLine="0" w:firstLineChars="0"/>
              <w:jc w:val="both"/>
              <w:rPr>
                <w:sz w:val="18"/>
                <w:szCs w:val="18"/>
              </w:rPr>
            </w:pPr>
            <w:r>
              <w:rPr>
                <w:sz w:val="18"/>
                <w:szCs w:val="18"/>
              </w:rPr>
              <w:t>4</w:t>
            </w:r>
            <w:r>
              <w:rPr>
                <w:rFonts w:hint="eastAsia"/>
                <w:sz w:val="18"/>
                <w:szCs w:val="18"/>
              </w:rPr>
              <w:t>、飞机飞行活动大圆总周转量等于每次飞行的业载和航段距离之乘积累计相加。其中，业载包括旅客、货物和邮件重量；航段距离是指起飞机场到降落机场之间的大圆距离（GCD）</w:t>
            </w:r>
            <w:r>
              <w:rPr>
                <w:sz w:val="18"/>
                <w:szCs w:val="18"/>
              </w:rPr>
              <w:t>，应根据机场经纬度和WGS84</w:t>
            </w:r>
            <w:r>
              <w:rPr>
                <w:rFonts w:hint="eastAsia"/>
                <w:sz w:val="18"/>
                <w:szCs w:val="18"/>
              </w:rPr>
              <w:t>所规定方法进行计算。中，旅客标准重量为：成人9</w:t>
            </w:r>
            <w:r>
              <w:rPr>
                <w:sz w:val="18"/>
                <w:szCs w:val="18"/>
              </w:rPr>
              <w:t>0千克</w:t>
            </w:r>
            <w:r>
              <w:rPr>
                <w:rFonts w:hint="eastAsia"/>
                <w:sz w:val="18"/>
                <w:szCs w:val="18"/>
              </w:rPr>
              <w:t>/人，儿童4</w:t>
            </w:r>
            <w:r>
              <w:rPr>
                <w:sz w:val="18"/>
                <w:szCs w:val="18"/>
              </w:rPr>
              <w:t>5千克</w:t>
            </w:r>
            <w:r>
              <w:rPr>
                <w:rFonts w:hint="eastAsia"/>
                <w:sz w:val="18"/>
                <w:szCs w:val="18"/>
              </w:rPr>
              <w:t>/人，婴儿9千克/人。</w:t>
            </w:r>
          </w:p>
          <w:p>
            <w:pPr>
              <w:adjustRightInd w:val="0"/>
              <w:snapToGrid w:val="0"/>
              <w:spacing w:line="240" w:lineRule="auto"/>
              <w:ind w:firstLine="0" w:firstLineChars="0"/>
              <w:jc w:val="both"/>
              <w:rPr>
                <w:rFonts w:ascii="Times New Roman" w:hAnsi="Times New Roman"/>
                <w:b/>
                <w:sz w:val="21"/>
                <w:szCs w:val="21"/>
              </w:rPr>
            </w:pPr>
            <w:r>
              <w:rPr>
                <w:sz w:val="18"/>
                <w:szCs w:val="18"/>
              </w:rPr>
              <w:t>5</w:t>
            </w:r>
            <w:r>
              <w:rPr>
                <w:rFonts w:hint="eastAsia"/>
                <w:sz w:val="18"/>
                <w:szCs w:val="18"/>
              </w:rPr>
              <w:t>、缺省排放因子为</w:t>
            </w:r>
            <w:r>
              <w:rPr>
                <w:sz w:val="18"/>
                <w:szCs w:val="18"/>
              </w:rPr>
              <w:t>3.15kgCO2/kg航空煤油</w:t>
            </w:r>
            <w:r>
              <w:rPr>
                <w:rFonts w:hint="eastAsia"/>
                <w:sz w:val="18"/>
                <w:szCs w:val="18"/>
              </w:rPr>
              <w:t>。</w:t>
            </w:r>
          </w:p>
        </w:tc>
      </w:tr>
    </w:tbl>
    <w:p>
      <w:pPr>
        <w:ind w:firstLine="313"/>
        <w:rPr>
          <w:rFonts w:ascii="Times New Roman" w:hAnsi="Times New Roman"/>
          <w:sz w:val="21"/>
          <w:szCs w:val="21"/>
        </w:rPr>
        <w:sectPr>
          <w:footerReference r:id="rId15" w:type="default"/>
          <w:pgSz w:w="16838" w:h="11906" w:orient="landscape"/>
          <w:pgMar w:top="1587" w:right="1440" w:bottom="1474" w:left="1440" w:header="851" w:footer="1134" w:gutter="0"/>
          <w:paperSrc/>
          <w:pgNumType w:fmt="decimal"/>
          <w:cols w:space="0" w:num="1"/>
          <w:rtlGutter w:val="0"/>
          <w:docGrid w:linePitch="326" w:charSpace="0"/>
        </w:sectPr>
      </w:pPr>
    </w:p>
    <w:p>
      <w:pPr>
        <w:tabs>
          <w:tab w:val="left" w:pos="744"/>
          <w:tab w:val="center" w:pos="6979"/>
        </w:tabs>
        <w:adjustRightInd w:val="0"/>
        <w:snapToGrid w:val="0"/>
        <w:ind w:firstLine="0" w:firstLineChars="0"/>
        <w:jc w:val="center"/>
        <w:rPr>
          <w:rFonts w:ascii="Times New Roman" w:hAnsi="Times New Roman"/>
          <w:b/>
          <w:sz w:val="21"/>
          <w:szCs w:val="21"/>
        </w:rPr>
      </w:pPr>
      <w:r>
        <w:rPr>
          <w:rFonts w:ascii="Times New Roman" w:hAnsi="Times New Roman"/>
          <w:sz w:val="21"/>
          <w:szCs w:val="21"/>
        </w:rPr>
        <w:tab/>
      </w:r>
      <w:r>
        <w:rPr>
          <w:rFonts w:ascii="Times New Roman" w:hAnsi="Times New Roman"/>
          <w:b/>
          <w:sz w:val="21"/>
          <w:szCs w:val="21"/>
        </w:rPr>
        <w:t>表ZD-1-</w:t>
      </w:r>
      <w:r>
        <w:rPr>
          <w:rFonts w:hint="eastAsia" w:ascii="Times New Roman" w:hAnsi="Times New Roman"/>
          <w:b/>
          <w:sz w:val="21"/>
          <w:szCs w:val="21"/>
        </w:rPr>
        <w:t>H2-</w:t>
      </w:r>
      <w:r>
        <w:rPr>
          <w:rFonts w:ascii="Times New Roman" w:hAnsi="Times New Roman"/>
          <w:b/>
          <w:sz w:val="21"/>
          <w:szCs w:val="21"/>
        </w:rPr>
        <w:t>3</w:t>
      </w:r>
      <w:r>
        <w:rPr>
          <w:rFonts w:hint="eastAsia" w:ascii="Times New Roman" w:hAnsi="Times New Roman"/>
          <w:b/>
          <w:sz w:val="21"/>
          <w:szCs w:val="21"/>
        </w:rPr>
        <w:t>重点碳排放单位移动设施信息表（5</w:t>
      </w:r>
      <w:r>
        <w:rPr>
          <w:rFonts w:ascii="Times New Roman" w:hAnsi="Times New Roman"/>
          <w:b/>
          <w:sz w:val="21"/>
          <w:szCs w:val="21"/>
        </w:rPr>
        <w:t>611</w:t>
      </w:r>
      <w:r>
        <w:rPr>
          <w:rFonts w:hint="eastAsia" w:ascii="Times New Roman" w:hAnsi="Times New Roman"/>
          <w:b/>
          <w:sz w:val="21"/>
          <w:szCs w:val="21"/>
        </w:rPr>
        <w:t>和5612——第三类飞行活动）</w:t>
      </w:r>
    </w:p>
    <w:tbl>
      <w:tblPr>
        <w:tblStyle w:val="27"/>
        <w:tblW w:w="12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26"/>
        <w:gridCol w:w="2246"/>
        <w:gridCol w:w="2549"/>
        <w:gridCol w:w="2475"/>
        <w:gridCol w:w="2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704" w:type="dxa"/>
            <w:shd w:val="clear" w:color="auto" w:fill="auto"/>
            <w:vAlign w:val="center"/>
          </w:tcPr>
          <w:p>
            <w:pPr>
              <w:adjustRightInd w:val="0"/>
              <w:snapToGrid w:val="0"/>
              <w:ind w:firstLine="0" w:firstLineChars="0"/>
              <w:jc w:val="center"/>
              <w:rPr>
                <w:b/>
                <w:sz w:val="18"/>
                <w:szCs w:val="18"/>
              </w:rPr>
            </w:pPr>
            <w:r>
              <w:rPr>
                <w:rFonts w:hint="eastAsia"/>
                <w:b/>
                <w:sz w:val="18"/>
                <w:szCs w:val="18"/>
              </w:rPr>
              <w:t>序号</w:t>
            </w:r>
          </w:p>
        </w:tc>
        <w:tc>
          <w:tcPr>
            <w:tcW w:w="2126"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ICAO机型</w:t>
            </w:r>
          </w:p>
        </w:tc>
        <w:tc>
          <w:tcPr>
            <w:tcW w:w="2246" w:type="dxa"/>
            <w:vAlign w:val="center"/>
          </w:tcPr>
          <w:p>
            <w:pPr>
              <w:adjustRightInd w:val="0"/>
              <w:snapToGrid w:val="0"/>
              <w:spacing w:line="240" w:lineRule="auto"/>
              <w:ind w:firstLine="0" w:firstLineChars="0"/>
              <w:jc w:val="center"/>
              <w:rPr>
                <w:b/>
                <w:sz w:val="18"/>
                <w:szCs w:val="18"/>
              </w:rPr>
            </w:pPr>
            <w:r>
              <w:rPr>
                <w:rFonts w:hint="eastAsia"/>
                <w:b/>
                <w:sz w:val="18"/>
                <w:szCs w:val="18"/>
              </w:rPr>
              <w:t>燃料年消耗量</w:t>
            </w:r>
          </w:p>
          <w:p>
            <w:pPr>
              <w:adjustRightInd w:val="0"/>
              <w:snapToGrid w:val="0"/>
              <w:spacing w:line="240" w:lineRule="auto"/>
              <w:ind w:firstLine="0" w:firstLineChars="0"/>
              <w:jc w:val="center"/>
              <w:rPr>
                <w:b/>
                <w:sz w:val="18"/>
                <w:szCs w:val="18"/>
              </w:rPr>
            </w:pPr>
            <w:r>
              <w:rPr>
                <w:rFonts w:ascii="Times New Roman" w:hAnsi="Times New Roman"/>
                <w:b/>
                <w:sz w:val="18"/>
                <w:szCs w:val="18"/>
              </w:rPr>
              <w:t xml:space="preserve"> (t)</w:t>
            </w:r>
          </w:p>
        </w:tc>
        <w:tc>
          <w:tcPr>
            <w:tcW w:w="2549" w:type="dxa"/>
            <w:vAlign w:val="center"/>
          </w:tcPr>
          <w:p>
            <w:pPr>
              <w:adjustRightInd w:val="0"/>
              <w:snapToGrid w:val="0"/>
              <w:spacing w:line="240" w:lineRule="auto"/>
              <w:ind w:firstLine="0" w:firstLineChars="0"/>
              <w:jc w:val="center"/>
              <w:rPr>
                <w:b/>
                <w:sz w:val="18"/>
                <w:szCs w:val="18"/>
              </w:rPr>
            </w:pPr>
            <w:r>
              <w:rPr>
                <w:rFonts w:hint="eastAsia"/>
                <w:b/>
                <w:sz w:val="18"/>
                <w:szCs w:val="18"/>
              </w:rPr>
              <w:t>移动排放设施</w:t>
            </w:r>
          </w:p>
          <w:p>
            <w:pPr>
              <w:adjustRightInd w:val="0"/>
              <w:snapToGrid w:val="0"/>
              <w:spacing w:line="240" w:lineRule="auto"/>
              <w:ind w:firstLine="0" w:firstLineChars="0"/>
              <w:jc w:val="center"/>
              <w:rPr>
                <w:b/>
                <w:sz w:val="18"/>
                <w:szCs w:val="18"/>
              </w:rPr>
            </w:pPr>
            <w:r>
              <w:rPr>
                <w:rFonts w:hint="eastAsia"/>
                <w:b/>
                <w:sz w:val="18"/>
                <w:szCs w:val="18"/>
              </w:rPr>
              <w:t>CO</w:t>
            </w:r>
            <w:r>
              <w:rPr>
                <w:b/>
                <w:sz w:val="18"/>
                <w:szCs w:val="18"/>
                <w:vertAlign w:val="subscript"/>
              </w:rPr>
              <w:t>2</w:t>
            </w:r>
            <w:r>
              <w:rPr>
                <w:rFonts w:hint="eastAsia"/>
                <w:b/>
                <w:sz w:val="18"/>
                <w:szCs w:val="18"/>
              </w:rPr>
              <w:t>排放量合计量</w:t>
            </w:r>
          </w:p>
          <w:p>
            <w:pPr>
              <w:adjustRightInd w:val="0"/>
              <w:snapToGrid w:val="0"/>
              <w:spacing w:line="240" w:lineRule="auto"/>
              <w:ind w:firstLine="0" w:firstLineChars="0"/>
              <w:jc w:val="center"/>
              <w:rPr>
                <w:b/>
                <w:sz w:val="18"/>
                <w:szCs w:val="18"/>
              </w:rPr>
            </w:pPr>
            <w:r>
              <w:rPr>
                <w:rFonts w:hint="eastAsia" w:ascii="Times New Roman" w:hAnsi="Times New Roman"/>
                <w:b/>
                <w:sz w:val="18"/>
                <w:szCs w:val="18"/>
              </w:rPr>
              <w:t>（</w:t>
            </w:r>
            <w:r>
              <w:rPr>
                <w:rFonts w:ascii="Times New Roman" w:hAnsi="Times New Roman"/>
                <w:b/>
                <w:sz w:val="18"/>
                <w:szCs w:val="18"/>
              </w:rPr>
              <w:t>tCO</w:t>
            </w:r>
            <w:r>
              <w:rPr>
                <w:rFonts w:ascii="Times New Roman" w:hAnsi="Times New Roman"/>
                <w:b/>
                <w:sz w:val="18"/>
                <w:szCs w:val="18"/>
                <w:vertAlign w:val="subscript"/>
              </w:rPr>
              <w:t>2</w:t>
            </w:r>
            <w:r>
              <w:rPr>
                <w:rFonts w:hint="eastAsia" w:ascii="Times New Roman" w:hAnsi="Times New Roman"/>
                <w:b/>
                <w:sz w:val="18"/>
                <w:szCs w:val="18"/>
              </w:rPr>
              <w:t>）</w:t>
            </w:r>
          </w:p>
        </w:tc>
        <w:tc>
          <w:tcPr>
            <w:tcW w:w="2475" w:type="dxa"/>
            <w:vAlign w:val="center"/>
          </w:tcPr>
          <w:p>
            <w:pPr>
              <w:adjustRightInd w:val="0"/>
              <w:snapToGrid w:val="0"/>
              <w:spacing w:line="240" w:lineRule="auto"/>
              <w:ind w:firstLine="0" w:firstLineChars="0"/>
              <w:jc w:val="center"/>
              <w:rPr>
                <w:b/>
                <w:sz w:val="18"/>
                <w:szCs w:val="18"/>
              </w:rPr>
            </w:pPr>
            <w:r>
              <w:rPr>
                <w:rFonts w:hint="eastAsia"/>
                <w:b/>
                <w:sz w:val="18"/>
                <w:szCs w:val="18"/>
              </w:rPr>
              <w:t>大圆总周转量</w:t>
            </w:r>
          </w:p>
          <w:p>
            <w:pPr>
              <w:adjustRightInd w:val="0"/>
              <w:snapToGrid w:val="0"/>
              <w:spacing w:line="240" w:lineRule="auto"/>
              <w:ind w:firstLine="0" w:firstLineChars="0"/>
              <w:jc w:val="center"/>
              <w:rPr>
                <w:b/>
                <w:sz w:val="18"/>
                <w:szCs w:val="18"/>
              </w:rPr>
            </w:pPr>
            <w:r>
              <w:rPr>
                <w:rFonts w:hint="eastAsia"/>
                <w:b/>
                <w:sz w:val="18"/>
                <w:szCs w:val="18"/>
              </w:rPr>
              <w:t>（万吨公里）</w:t>
            </w:r>
          </w:p>
        </w:tc>
        <w:tc>
          <w:tcPr>
            <w:tcW w:w="2824" w:type="dxa"/>
            <w:vAlign w:val="center"/>
          </w:tcPr>
          <w:p>
            <w:pPr>
              <w:adjustRightInd w:val="0"/>
              <w:snapToGrid w:val="0"/>
              <w:spacing w:line="240" w:lineRule="auto"/>
              <w:ind w:firstLine="0" w:firstLineChars="0"/>
              <w:jc w:val="center"/>
              <w:rPr>
                <w:b/>
                <w:sz w:val="18"/>
                <w:szCs w:val="18"/>
              </w:rPr>
            </w:pPr>
            <w:r>
              <w:rPr>
                <w:rFonts w:hint="eastAsia"/>
                <w:b/>
                <w:sz w:val="18"/>
                <w:szCs w:val="18"/>
              </w:rPr>
              <w:t>移动设施碳排放强度</w:t>
            </w:r>
          </w:p>
          <w:p>
            <w:pPr>
              <w:adjustRightInd w:val="0"/>
              <w:snapToGrid w:val="0"/>
              <w:spacing w:line="240" w:lineRule="auto"/>
              <w:ind w:firstLine="0" w:firstLineChars="0"/>
              <w:jc w:val="center"/>
              <w:rPr>
                <w:b/>
                <w:sz w:val="18"/>
                <w:szCs w:val="18"/>
              </w:rPr>
            </w:pPr>
            <w:r>
              <w:rPr>
                <w:rFonts w:hint="eastAsia"/>
                <w:b/>
                <w:sz w:val="18"/>
                <w:szCs w:val="18"/>
              </w:rPr>
              <w:t>（kg/吨公里）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1</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549" w:type="dxa"/>
            <w:vAlign w:val="center"/>
          </w:tcPr>
          <w:p>
            <w:pPr>
              <w:adjustRightInd w:val="0"/>
              <w:snapToGrid w:val="0"/>
              <w:ind w:firstLine="0" w:firstLineChars="0"/>
              <w:jc w:val="center"/>
              <w:rPr>
                <w:rFonts w:ascii="Times New Roman" w:hAnsi="Times New Roman"/>
                <w:b/>
                <w:sz w:val="21"/>
                <w:szCs w:val="21"/>
              </w:rPr>
            </w:pPr>
          </w:p>
        </w:tc>
        <w:tc>
          <w:tcPr>
            <w:tcW w:w="2475" w:type="dxa"/>
            <w:vAlign w:val="center"/>
          </w:tcPr>
          <w:p>
            <w:pPr>
              <w:adjustRightInd w:val="0"/>
              <w:snapToGrid w:val="0"/>
              <w:ind w:firstLine="0" w:firstLineChars="0"/>
              <w:jc w:val="center"/>
              <w:rPr>
                <w:rFonts w:ascii="Times New Roman" w:hAnsi="Times New Roman"/>
                <w:b/>
                <w:sz w:val="21"/>
                <w:szCs w:val="21"/>
              </w:rPr>
            </w:pPr>
          </w:p>
        </w:tc>
        <w:tc>
          <w:tcPr>
            <w:tcW w:w="2824"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2</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549" w:type="dxa"/>
            <w:vAlign w:val="center"/>
          </w:tcPr>
          <w:p>
            <w:pPr>
              <w:adjustRightInd w:val="0"/>
              <w:snapToGrid w:val="0"/>
              <w:ind w:firstLine="0" w:firstLineChars="0"/>
              <w:jc w:val="center"/>
              <w:rPr>
                <w:rFonts w:ascii="Times New Roman" w:hAnsi="Times New Roman"/>
                <w:b/>
                <w:sz w:val="21"/>
                <w:szCs w:val="21"/>
              </w:rPr>
            </w:pPr>
          </w:p>
        </w:tc>
        <w:tc>
          <w:tcPr>
            <w:tcW w:w="2475" w:type="dxa"/>
            <w:vAlign w:val="center"/>
          </w:tcPr>
          <w:p>
            <w:pPr>
              <w:adjustRightInd w:val="0"/>
              <w:snapToGrid w:val="0"/>
              <w:ind w:firstLine="0" w:firstLineChars="0"/>
              <w:jc w:val="center"/>
              <w:rPr>
                <w:rFonts w:ascii="Times New Roman" w:hAnsi="Times New Roman"/>
                <w:b/>
                <w:sz w:val="21"/>
                <w:szCs w:val="21"/>
              </w:rPr>
            </w:pPr>
          </w:p>
        </w:tc>
        <w:tc>
          <w:tcPr>
            <w:tcW w:w="2824"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3</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549" w:type="dxa"/>
            <w:vAlign w:val="center"/>
          </w:tcPr>
          <w:p>
            <w:pPr>
              <w:adjustRightInd w:val="0"/>
              <w:snapToGrid w:val="0"/>
              <w:ind w:firstLine="0" w:firstLineChars="0"/>
              <w:jc w:val="center"/>
              <w:rPr>
                <w:rFonts w:ascii="Times New Roman" w:hAnsi="Times New Roman"/>
                <w:b/>
                <w:sz w:val="21"/>
                <w:szCs w:val="21"/>
              </w:rPr>
            </w:pPr>
          </w:p>
        </w:tc>
        <w:tc>
          <w:tcPr>
            <w:tcW w:w="2475" w:type="dxa"/>
            <w:vAlign w:val="center"/>
          </w:tcPr>
          <w:p>
            <w:pPr>
              <w:adjustRightInd w:val="0"/>
              <w:snapToGrid w:val="0"/>
              <w:ind w:firstLine="0" w:firstLineChars="0"/>
              <w:jc w:val="center"/>
              <w:rPr>
                <w:rFonts w:ascii="Times New Roman" w:hAnsi="Times New Roman"/>
                <w:b/>
                <w:sz w:val="21"/>
                <w:szCs w:val="21"/>
              </w:rPr>
            </w:pPr>
          </w:p>
        </w:tc>
        <w:tc>
          <w:tcPr>
            <w:tcW w:w="2824"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4</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549" w:type="dxa"/>
            <w:vAlign w:val="center"/>
          </w:tcPr>
          <w:p>
            <w:pPr>
              <w:adjustRightInd w:val="0"/>
              <w:snapToGrid w:val="0"/>
              <w:ind w:firstLine="0" w:firstLineChars="0"/>
              <w:jc w:val="center"/>
              <w:rPr>
                <w:rFonts w:ascii="Times New Roman" w:hAnsi="Times New Roman"/>
                <w:b/>
                <w:sz w:val="21"/>
                <w:szCs w:val="21"/>
              </w:rPr>
            </w:pPr>
          </w:p>
        </w:tc>
        <w:tc>
          <w:tcPr>
            <w:tcW w:w="2475" w:type="dxa"/>
            <w:vAlign w:val="center"/>
          </w:tcPr>
          <w:p>
            <w:pPr>
              <w:adjustRightInd w:val="0"/>
              <w:snapToGrid w:val="0"/>
              <w:ind w:firstLine="0" w:firstLineChars="0"/>
              <w:jc w:val="center"/>
              <w:rPr>
                <w:rFonts w:ascii="Times New Roman" w:hAnsi="Times New Roman"/>
                <w:b/>
                <w:sz w:val="21"/>
                <w:szCs w:val="21"/>
              </w:rPr>
            </w:pPr>
          </w:p>
        </w:tc>
        <w:tc>
          <w:tcPr>
            <w:tcW w:w="2824"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5</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549" w:type="dxa"/>
            <w:vAlign w:val="center"/>
          </w:tcPr>
          <w:p>
            <w:pPr>
              <w:adjustRightInd w:val="0"/>
              <w:snapToGrid w:val="0"/>
              <w:ind w:firstLine="0" w:firstLineChars="0"/>
              <w:jc w:val="center"/>
              <w:rPr>
                <w:rFonts w:ascii="Times New Roman" w:hAnsi="Times New Roman"/>
                <w:b/>
                <w:sz w:val="21"/>
                <w:szCs w:val="21"/>
              </w:rPr>
            </w:pPr>
          </w:p>
        </w:tc>
        <w:tc>
          <w:tcPr>
            <w:tcW w:w="2475" w:type="dxa"/>
            <w:vAlign w:val="center"/>
          </w:tcPr>
          <w:p>
            <w:pPr>
              <w:adjustRightInd w:val="0"/>
              <w:snapToGrid w:val="0"/>
              <w:ind w:firstLine="0" w:firstLineChars="0"/>
              <w:jc w:val="center"/>
              <w:rPr>
                <w:rFonts w:ascii="Times New Roman" w:hAnsi="Times New Roman"/>
                <w:b/>
                <w:sz w:val="21"/>
                <w:szCs w:val="21"/>
              </w:rPr>
            </w:pPr>
          </w:p>
        </w:tc>
        <w:tc>
          <w:tcPr>
            <w:tcW w:w="2824"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6</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549" w:type="dxa"/>
            <w:vAlign w:val="center"/>
          </w:tcPr>
          <w:p>
            <w:pPr>
              <w:adjustRightInd w:val="0"/>
              <w:snapToGrid w:val="0"/>
              <w:ind w:firstLine="0" w:firstLineChars="0"/>
              <w:jc w:val="center"/>
              <w:rPr>
                <w:rFonts w:ascii="Times New Roman" w:hAnsi="Times New Roman"/>
                <w:b/>
                <w:sz w:val="21"/>
                <w:szCs w:val="21"/>
              </w:rPr>
            </w:pPr>
          </w:p>
        </w:tc>
        <w:tc>
          <w:tcPr>
            <w:tcW w:w="2475" w:type="dxa"/>
            <w:vAlign w:val="center"/>
          </w:tcPr>
          <w:p>
            <w:pPr>
              <w:adjustRightInd w:val="0"/>
              <w:snapToGrid w:val="0"/>
              <w:ind w:firstLine="0" w:firstLineChars="0"/>
              <w:jc w:val="center"/>
              <w:rPr>
                <w:rFonts w:ascii="Times New Roman" w:hAnsi="Times New Roman"/>
                <w:b/>
                <w:sz w:val="21"/>
                <w:szCs w:val="21"/>
              </w:rPr>
            </w:pPr>
          </w:p>
        </w:tc>
        <w:tc>
          <w:tcPr>
            <w:tcW w:w="2824"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7</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549" w:type="dxa"/>
            <w:vAlign w:val="center"/>
          </w:tcPr>
          <w:p>
            <w:pPr>
              <w:adjustRightInd w:val="0"/>
              <w:snapToGrid w:val="0"/>
              <w:ind w:firstLine="0" w:firstLineChars="0"/>
              <w:jc w:val="center"/>
              <w:rPr>
                <w:rFonts w:ascii="Times New Roman" w:hAnsi="Times New Roman"/>
                <w:b/>
                <w:sz w:val="21"/>
                <w:szCs w:val="21"/>
              </w:rPr>
            </w:pPr>
          </w:p>
        </w:tc>
        <w:tc>
          <w:tcPr>
            <w:tcW w:w="2475" w:type="dxa"/>
            <w:vAlign w:val="center"/>
          </w:tcPr>
          <w:p>
            <w:pPr>
              <w:adjustRightInd w:val="0"/>
              <w:snapToGrid w:val="0"/>
              <w:ind w:firstLine="0" w:firstLineChars="0"/>
              <w:jc w:val="center"/>
              <w:rPr>
                <w:rFonts w:ascii="Times New Roman" w:hAnsi="Times New Roman"/>
                <w:b/>
                <w:sz w:val="21"/>
                <w:szCs w:val="21"/>
              </w:rPr>
            </w:pPr>
          </w:p>
        </w:tc>
        <w:tc>
          <w:tcPr>
            <w:tcW w:w="2824"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8</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549" w:type="dxa"/>
            <w:vAlign w:val="center"/>
          </w:tcPr>
          <w:p>
            <w:pPr>
              <w:adjustRightInd w:val="0"/>
              <w:snapToGrid w:val="0"/>
              <w:ind w:firstLine="0" w:firstLineChars="0"/>
              <w:jc w:val="center"/>
              <w:rPr>
                <w:rFonts w:ascii="Times New Roman" w:hAnsi="Times New Roman"/>
                <w:b/>
                <w:sz w:val="21"/>
                <w:szCs w:val="21"/>
              </w:rPr>
            </w:pPr>
          </w:p>
        </w:tc>
        <w:tc>
          <w:tcPr>
            <w:tcW w:w="2475" w:type="dxa"/>
            <w:vAlign w:val="center"/>
          </w:tcPr>
          <w:p>
            <w:pPr>
              <w:adjustRightInd w:val="0"/>
              <w:snapToGrid w:val="0"/>
              <w:ind w:firstLine="0" w:firstLineChars="0"/>
              <w:jc w:val="center"/>
              <w:rPr>
                <w:rFonts w:ascii="Times New Roman" w:hAnsi="Times New Roman"/>
                <w:b/>
                <w:sz w:val="21"/>
                <w:szCs w:val="21"/>
              </w:rPr>
            </w:pPr>
          </w:p>
        </w:tc>
        <w:tc>
          <w:tcPr>
            <w:tcW w:w="2824"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04" w:type="dxa"/>
            <w:shd w:val="clear" w:color="auto" w:fill="auto"/>
            <w:vAlign w:val="center"/>
          </w:tcPr>
          <w:p>
            <w:pPr>
              <w:adjustRightInd w:val="0"/>
              <w:snapToGrid w:val="0"/>
              <w:spacing w:line="240" w:lineRule="auto"/>
              <w:ind w:firstLine="0" w:firstLineChars="0"/>
              <w:jc w:val="center"/>
              <w:rPr>
                <w:b/>
                <w:sz w:val="18"/>
                <w:szCs w:val="18"/>
              </w:rPr>
            </w:pPr>
            <w:r>
              <w:rPr>
                <w:rFonts w:hint="eastAsia"/>
                <w:color w:val="000000"/>
                <w:sz w:val="18"/>
                <w:szCs w:val="18"/>
              </w:rPr>
              <w:t>合计</w:t>
            </w:r>
          </w:p>
        </w:tc>
        <w:tc>
          <w:tcPr>
            <w:tcW w:w="2126"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549" w:type="dxa"/>
            <w:vAlign w:val="center"/>
          </w:tcPr>
          <w:p>
            <w:pPr>
              <w:adjustRightInd w:val="0"/>
              <w:snapToGrid w:val="0"/>
              <w:ind w:firstLine="0" w:firstLineChars="0"/>
              <w:jc w:val="center"/>
              <w:rPr>
                <w:rFonts w:ascii="Times New Roman" w:hAnsi="Times New Roman"/>
                <w:b/>
                <w:sz w:val="21"/>
                <w:szCs w:val="21"/>
              </w:rPr>
            </w:pPr>
          </w:p>
        </w:tc>
        <w:tc>
          <w:tcPr>
            <w:tcW w:w="2475" w:type="dxa"/>
            <w:vAlign w:val="center"/>
          </w:tcPr>
          <w:p>
            <w:pPr>
              <w:adjustRightInd w:val="0"/>
              <w:snapToGrid w:val="0"/>
              <w:ind w:firstLine="0" w:firstLineChars="0"/>
              <w:jc w:val="center"/>
              <w:rPr>
                <w:rFonts w:ascii="Times New Roman" w:hAnsi="Times New Roman"/>
                <w:b/>
                <w:sz w:val="21"/>
                <w:szCs w:val="21"/>
              </w:rPr>
            </w:pPr>
          </w:p>
        </w:tc>
        <w:tc>
          <w:tcPr>
            <w:tcW w:w="2824"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exact"/>
          <w:jc w:val="center"/>
        </w:trPr>
        <w:tc>
          <w:tcPr>
            <w:tcW w:w="12924" w:type="dxa"/>
            <w:gridSpan w:val="6"/>
            <w:shd w:val="clear" w:color="auto" w:fill="auto"/>
            <w:vAlign w:val="center"/>
          </w:tcPr>
          <w:p>
            <w:pPr>
              <w:adjustRightInd w:val="0"/>
              <w:snapToGrid w:val="0"/>
              <w:spacing w:line="240" w:lineRule="auto"/>
              <w:ind w:firstLine="0" w:firstLineChars="0"/>
              <w:jc w:val="both"/>
              <w:rPr>
                <w:sz w:val="18"/>
                <w:szCs w:val="18"/>
              </w:rPr>
            </w:pPr>
            <w:r>
              <w:rPr>
                <w:sz w:val="18"/>
                <w:szCs w:val="18"/>
              </w:rPr>
              <w:t>1、本表统计信息为</w:t>
            </w:r>
            <w:r>
              <w:rPr>
                <w:rFonts w:hint="eastAsia"/>
                <w:sz w:val="18"/>
                <w:szCs w:val="18"/>
              </w:rPr>
              <w:t>企业运营的飞机相关信息（包括自有飞机和租赁飞机），相关数据应按照本指南以及《民航航空飞行活动二氧化碳排放监测、报告和核查管理暂行办法》（民航规〔2018〕3号）要求填写。</w:t>
            </w:r>
          </w:p>
          <w:p>
            <w:pPr>
              <w:adjustRightInd w:val="0"/>
              <w:snapToGrid w:val="0"/>
              <w:spacing w:line="240" w:lineRule="auto"/>
              <w:ind w:firstLine="0" w:firstLineChars="0"/>
              <w:jc w:val="both"/>
              <w:rPr>
                <w:sz w:val="18"/>
                <w:szCs w:val="18"/>
              </w:rPr>
            </w:pPr>
            <w:r>
              <w:rPr>
                <w:rFonts w:hint="eastAsia"/>
                <w:sz w:val="18"/>
                <w:szCs w:val="18"/>
              </w:rPr>
              <w:t>2、各类机型燃料消耗量等于各航段燃油量累计相加。</w:t>
            </w:r>
            <w:r>
              <w:rPr>
                <w:sz w:val="18"/>
                <w:szCs w:val="18"/>
              </w:rPr>
              <w:t>航段归属按照飞行</w:t>
            </w:r>
            <w:r>
              <w:rPr>
                <w:rFonts w:hint="eastAsia"/>
                <w:sz w:val="18"/>
                <w:szCs w:val="18"/>
              </w:rPr>
              <w:t>计划（飞行计划报）</w:t>
            </w:r>
            <w:r>
              <w:rPr>
                <w:sz w:val="18"/>
                <w:szCs w:val="18"/>
              </w:rPr>
              <w:t>上国际民航组织（ICAO）三字代码确定。若航班三字代码缺失，则按飞行计划</w:t>
            </w:r>
            <w:r>
              <w:rPr>
                <w:rFonts w:hint="eastAsia"/>
                <w:sz w:val="18"/>
                <w:szCs w:val="18"/>
              </w:rPr>
              <w:t>（飞行计划报）上</w:t>
            </w:r>
            <w:r>
              <w:rPr>
                <w:sz w:val="18"/>
                <w:szCs w:val="18"/>
              </w:rPr>
              <w:t>航空器注册</w:t>
            </w:r>
            <w:r>
              <w:rPr>
                <w:rFonts w:hint="eastAsia"/>
                <w:sz w:val="18"/>
                <w:szCs w:val="18"/>
              </w:rPr>
              <w:t>码来识别，通过对比运行合格证（AOC）和运行规范，或航空器国籍登记证来确定航段归属</w:t>
            </w:r>
            <w:r>
              <w:rPr>
                <w:sz w:val="18"/>
                <w:szCs w:val="18"/>
              </w:rPr>
              <w:t>。</w:t>
            </w:r>
          </w:p>
          <w:p>
            <w:pPr>
              <w:adjustRightInd w:val="0"/>
              <w:snapToGrid w:val="0"/>
              <w:spacing w:line="240" w:lineRule="auto"/>
              <w:ind w:firstLine="0" w:firstLineChars="0"/>
              <w:jc w:val="both"/>
              <w:rPr>
                <w:sz w:val="18"/>
                <w:szCs w:val="18"/>
              </w:rPr>
            </w:pPr>
            <w:r>
              <w:rPr>
                <w:rFonts w:hint="eastAsia"/>
                <w:sz w:val="18"/>
                <w:szCs w:val="18"/>
              </w:rPr>
              <w:t>3、民用航空</w:t>
            </w:r>
            <w:r>
              <w:rPr>
                <w:sz w:val="18"/>
                <w:szCs w:val="18"/>
              </w:rPr>
              <w:t>运输企业的以下飞机飞行活动不纳入监测和报告范围：a）</w:t>
            </w:r>
            <w:r>
              <w:rPr>
                <w:rFonts w:hint="eastAsia"/>
                <w:sz w:val="18"/>
                <w:szCs w:val="18"/>
              </w:rPr>
              <w:t>人道主义</w:t>
            </w:r>
            <w:r>
              <w:rPr>
                <w:sz w:val="18"/>
                <w:szCs w:val="18"/>
              </w:rPr>
              <w:t>救援；b）</w:t>
            </w:r>
            <w:r>
              <w:rPr>
                <w:rFonts w:hint="eastAsia"/>
                <w:sz w:val="18"/>
                <w:szCs w:val="18"/>
              </w:rPr>
              <w:t>医疗</w:t>
            </w:r>
            <w:r>
              <w:rPr>
                <w:sz w:val="18"/>
                <w:szCs w:val="18"/>
              </w:rPr>
              <w:t>；c）</w:t>
            </w:r>
            <w:r>
              <w:rPr>
                <w:rFonts w:hint="eastAsia"/>
                <w:sz w:val="18"/>
                <w:szCs w:val="18"/>
              </w:rPr>
              <w:t>消防</w:t>
            </w:r>
            <w:r>
              <w:rPr>
                <w:sz w:val="18"/>
                <w:szCs w:val="18"/>
              </w:rPr>
              <w:t>；d）</w:t>
            </w:r>
            <w:r>
              <w:rPr>
                <w:rFonts w:hint="eastAsia"/>
                <w:sz w:val="18"/>
                <w:szCs w:val="18"/>
              </w:rPr>
              <w:t>国家</w:t>
            </w:r>
            <w:r>
              <w:rPr>
                <w:sz w:val="18"/>
                <w:szCs w:val="18"/>
              </w:rPr>
              <w:t>元首航班。</w:t>
            </w:r>
          </w:p>
          <w:p>
            <w:pPr>
              <w:adjustRightInd w:val="0"/>
              <w:snapToGrid w:val="0"/>
              <w:spacing w:line="240" w:lineRule="auto"/>
              <w:ind w:firstLine="0" w:firstLineChars="0"/>
              <w:jc w:val="both"/>
              <w:rPr>
                <w:sz w:val="18"/>
                <w:szCs w:val="18"/>
              </w:rPr>
            </w:pPr>
            <w:r>
              <w:rPr>
                <w:sz w:val="18"/>
                <w:szCs w:val="18"/>
              </w:rPr>
              <w:t>4</w:t>
            </w:r>
            <w:r>
              <w:rPr>
                <w:rFonts w:hint="eastAsia"/>
                <w:sz w:val="18"/>
                <w:szCs w:val="18"/>
              </w:rPr>
              <w:t>、飞机飞行活动大圆总周转量等于每次飞行的业载和航段距离之乘积累计相加。其中，业载包括旅客、货物和邮件重量；航段距离是指起飞机场到降落机场之间的大圆距离（GCD）</w:t>
            </w:r>
            <w:r>
              <w:rPr>
                <w:sz w:val="18"/>
                <w:szCs w:val="18"/>
              </w:rPr>
              <w:t>，应根据机场经纬度和WGS84</w:t>
            </w:r>
            <w:r>
              <w:rPr>
                <w:rFonts w:hint="eastAsia"/>
                <w:sz w:val="18"/>
                <w:szCs w:val="18"/>
              </w:rPr>
              <w:t>所规定方法进行计算。中，旅客标准重量为：成人9</w:t>
            </w:r>
            <w:r>
              <w:rPr>
                <w:sz w:val="18"/>
                <w:szCs w:val="18"/>
              </w:rPr>
              <w:t>0千克</w:t>
            </w:r>
            <w:r>
              <w:rPr>
                <w:rFonts w:hint="eastAsia"/>
                <w:sz w:val="18"/>
                <w:szCs w:val="18"/>
              </w:rPr>
              <w:t>/人，儿童4</w:t>
            </w:r>
            <w:r>
              <w:rPr>
                <w:sz w:val="18"/>
                <w:szCs w:val="18"/>
              </w:rPr>
              <w:t>5千克</w:t>
            </w:r>
            <w:r>
              <w:rPr>
                <w:rFonts w:hint="eastAsia"/>
                <w:sz w:val="18"/>
                <w:szCs w:val="18"/>
              </w:rPr>
              <w:t>/人，婴儿9千克/人。</w:t>
            </w:r>
          </w:p>
          <w:p>
            <w:pPr>
              <w:adjustRightInd w:val="0"/>
              <w:snapToGrid w:val="0"/>
              <w:spacing w:line="240" w:lineRule="auto"/>
              <w:ind w:firstLine="0" w:firstLineChars="0"/>
              <w:jc w:val="both"/>
              <w:rPr>
                <w:rFonts w:ascii="Times New Roman" w:hAnsi="Times New Roman"/>
                <w:b/>
                <w:sz w:val="21"/>
                <w:szCs w:val="21"/>
              </w:rPr>
            </w:pPr>
            <w:r>
              <w:rPr>
                <w:sz w:val="18"/>
                <w:szCs w:val="18"/>
              </w:rPr>
              <w:t>5</w:t>
            </w:r>
            <w:r>
              <w:rPr>
                <w:rFonts w:hint="eastAsia"/>
                <w:sz w:val="18"/>
                <w:szCs w:val="18"/>
              </w:rPr>
              <w:t>、缺省排放因子为</w:t>
            </w:r>
            <w:r>
              <w:rPr>
                <w:sz w:val="18"/>
                <w:szCs w:val="18"/>
              </w:rPr>
              <w:t>3.15kgCO2/kg航空煤油</w:t>
            </w:r>
            <w:r>
              <w:rPr>
                <w:rFonts w:hint="eastAsia"/>
                <w:sz w:val="18"/>
                <w:szCs w:val="18"/>
              </w:rPr>
              <w:t>。</w:t>
            </w:r>
          </w:p>
        </w:tc>
      </w:tr>
    </w:tbl>
    <w:p>
      <w:pPr>
        <w:ind w:firstLine="313"/>
        <w:rPr>
          <w:rFonts w:ascii="Times New Roman" w:hAnsi="Times New Roman"/>
          <w:sz w:val="21"/>
          <w:szCs w:val="21"/>
        </w:rPr>
        <w:sectPr>
          <w:footerReference r:id="rId16" w:type="default"/>
          <w:pgSz w:w="16838" w:h="11906" w:orient="landscape"/>
          <w:pgMar w:top="1587" w:right="1440" w:bottom="1474" w:left="1440" w:header="851" w:footer="1134" w:gutter="0"/>
          <w:paperSrc/>
          <w:pgNumType w:fmt="decimal"/>
          <w:cols w:space="0" w:num="1"/>
          <w:rtlGutter w:val="0"/>
          <w:docGrid w:linePitch="326" w:charSpace="0"/>
        </w:sectPr>
      </w:pPr>
    </w:p>
    <w:p>
      <w:pPr>
        <w:tabs>
          <w:tab w:val="left" w:pos="744"/>
          <w:tab w:val="center" w:pos="6979"/>
        </w:tabs>
        <w:adjustRightInd w:val="0"/>
        <w:snapToGrid w:val="0"/>
        <w:ind w:firstLine="0" w:firstLineChars="0"/>
        <w:jc w:val="center"/>
        <w:rPr>
          <w:rFonts w:ascii="Times New Roman" w:hAnsi="Times New Roman"/>
          <w:b/>
          <w:sz w:val="21"/>
          <w:szCs w:val="21"/>
        </w:rPr>
      </w:pPr>
      <w:r>
        <w:rPr>
          <w:rFonts w:ascii="Times New Roman" w:hAnsi="Times New Roman"/>
          <w:b/>
          <w:sz w:val="21"/>
          <w:szCs w:val="21"/>
        </w:rPr>
        <w:t>表ZD-1-</w:t>
      </w:r>
      <w:r>
        <w:rPr>
          <w:rFonts w:hint="eastAsia" w:ascii="Times New Roman" w:hAnsi="Times New Roman"/>
          <w:b/>
          <w:sz w:val="21"/>
          <w:szCs w:val="21"/>
        </w:rPr>
        <w:t>H2-</w:t>
      </w:r>
      <w:r>
        <w:rPr>
          <w:rFonts w:ascii="Times New Roman" w:hAnsi="Times New Roman"/>
          <w:b/>
          <w:sz w:val="21"/>
          <w:szCs w:val="21"/>
        </w:rPr>
        <w:t>4</w:t>
      </w:r>
      <w:r>
        <w:rPr>
          <w:rFonts w:hint="eastAsia" w:ascii="Times New Roman" w:hAnsi="Times New Roman"/>
          <w:b/>
          <w:sz w:val="21"/>
          <w:szCs w:val="21"/>
        </w:rPr>
        <w:t>重点碳排放单位移动设施信息表（5</w:t>
      </w:r>
      <w:r>
        <w:rPr>
          <w:rFonts w:ascii="Times New Roman" w:hAnsi="Times New Roman"/>
          <w:b/>
          <w:sz w:val="21"/>
          <w:szCs w:val="21"/>
        </w:rPr>
        <w:t>611</w:t>
      </w:r>
      <w:r>
        <w:rPr>
          <w:rFonts w:hint="eastAsia" w:ascii="Times New Roman" w:hAnsi="Times New Roman"/>
          <w:b/>
          <w:sz w:val="21"/>
          <w:szCs w:val="21"/>
        </w:rPr>
        <w:t>和5612——第四类飞行活动）</w:t>
      </w:r>
    </w:p>
    <w:tbl>
      <w:tblPr>
        <w:tblStyle w:val="27"/>
        <w:tblW w:w="12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3207"/>
        <w:gridCol w:w="2246"/>
        <w:gridCol w:w="2007"/>
        <w:gridCol w:w="2126"/>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784" w:type="dxa"/>
            <w:shd w:val="clear" w:color="auto" w:fill="auto"/>
            <w:vAlign w:val="center"/>
          </w:tcPr>
          <w:p>
            <w:pPr>
              <w:adjustRightInd w:val="0"/>
              <w:snapToGrid w:val="0"/>
              <w:ind w:firstLine="0" w:firstLineChars="0"/>
              <w:jc w:val="center"/>
              <w:rPr>
                <w:b/>
                <w:sz w:val="18"/>
                <w:szCs w:val="18"/>
              </w:rPr>
            </w:pPr>
            <w:r>
              <w:rPr>
                <w:rFonts w:hint="eastAsia"/>
                <w:b/>
                <w:sz w:val="18"/>
                <w:szCs w:val="18"/>
              </w:rPr>
              <w:t>序号</w:t>
            </w:r>
          </w:p>
        </w:tc>
        <w:tc>
          <w:tcPr>
            <w:tcW w:w="3207"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ICAO机型</w:t>
            </w:r>
          </w:p>
        </w:tc>
        <w:tc>
          <w:tcPr>
            <w:tcW w:w="2246" w:type="dxa"/>
            <w:vAlign w:val="center"/>
          </w:tcPr>
          <w:p>
            <w:pPr>
              <w:adjustRightInd w:val="0"/>
              <w:snapToGrid w:val="0"/>
              <w:spacing w:line="240" w:lineRule="auto"/>
              <w:ind w:firstLine="0" w:firstLineChars="0"/>
              <w:jc w:val="center"/>
              <w:rPr>
                <w:b/>
                <w:sz w:val="18"/>
                <w:szCs w:val="18"/>
              </w:rPr>
            </w:pPr>
            <w:r>
              <w:rPr>
                <w:rFonts w:hint="eastAsia"/>
                <w:b/>
                <w:sz w:val="18"/>
                <w:szCs w:val="18"/>
              </w:rPr>
              <w:t>燃料年消耗量</w:t>
            </w:r>
          </w:p>
          <w:p>
            <w:pPr>
              <w:adjustRightInd w:val="0"/>
              <w:snapToGrid w:val="0"/>
              <w:spacing w:line="240" w:lineRule="auto"/>
              <w:ind w:firstLine="0" w:firstLineChars="0"/>
              <w:jc w:val="center"/>
              <w:rPr>
                <w:b/>
                <w:sz w:val="18"/>
                <w:szCs w:val="18"/>
              </w:rPr>
            </w:pPr>
            <w:r>
              <w:rPr>
                <w:rFonts w:ascii="Times New Roman" w:hAnsi="Times New Roman"/>
                <w:b/>
                <w:sz w:val="18"/>
                <w:szCs w:val="18"/>
              </w:rPr>
              <w:t xml:space="preserve"> (t)</w:t>
            </w:r>
          </w:p>
        </w:tc>
        <w:tc>
          <w:tcPr>
            <w:tcW w:w="2007" w:type="dxa"/>
            <w:vAlign w:val="center"/>
          </w:tcPr>
          <w:p>
            <w:pPr>
              <w:adjustRightInd w:val="0"/>
              <w:snapToGrid w:val="0"/>
              <w:spacing w:line="240" w:lineRule="auto"/>
              <w:ind w:firstLine="0" w:firstLineChars="0"/>
              <w:jc w:val="center"/>
              <w:rPr>
                <w:b/>
                <w:sz w:val="18"/>
                <w:szCs w:val="18"/>
              </w:rPr>
            </w:pPr>
            <w:r>
              <w:rPr>
                <w:rFonts w:hint="eastAsia"/>
                <w:b/>
                <w:sz w:val="18"/>
                <w:szCs w:val="18"/>
              </w:rPr>
              <w:t>移动排放设施</w:t>
            </w:r>
          </w:p>
          <w:p>
            <w:pPr>
              <w:adjustRightInd w:val="0"/>
              <w:snapToGrid w:val="0"/>
              <w:spacing w:line="240" w:lineRule="auto"/>
              <w:ind w:firstLine="0" w:firstLineChars="0"/>
              <w:jc w:val="center"/>
              <w:rPr>
                <w:b/>
                <w:sz w:val="18"/>
                <w:szCs w:val="18"/>
              </w:rPr>
            </w:pPr>
            <w:r>
              <w:rPr>
                <w:rFonts w:hint="eastAsia"/>
                <w:b/>
                <w:sz w:val="18"/>
                <w:szCs w:val="18"/>
              </w:rPr>
              <w:t>CO</w:t>
            </w:r>
            <w:r>
              <w:rPr>
                <w:b/>
                <w:sz w:val="18"/>
                <w:szCs w:val="18"/>
                <w:vertAlign w:val="subscript"/>
              </w:rPr>
              <w:t>2</w:t>
            </w:r>
            <w:r>
              <w:rPr>
                <w:rFonts w:hint="eastAsia"/>
                <w:b/>
                <w:sz w:val="18"/>
                <w:szCs w:val="18"/>
              </w:rPr>
              <w:t>排放量合计量</w:t>
            </w:r>
          </w:p>
          <w:p>
            <w:pPr>
              <w:adjustRightInd w:val="0"/>
              <w:snapToGrid w:val="0"/>
              <w:spacing w:line="240" w:lineRule="auto"/>
              <w:ind w:firstLine="0" w:firstLineChars="0"/>
              <w:jc w:val="center"/>
              <w:rPr>
                <w:b/>
                <w:sz w:val="18"/>
                <w:szCs w:val="18"/>
              </w:rPr>
            </w:pPr>
            <w:r>
              <w:rPr>
                <w:rFonts w:hint="eastAsia" w:ascii="Times New Roman" w:hAnsi="Times New Roman"/>
                <w:b/>
                <w:sz w:val="18"/>
                <w:szCs w:val="18"/>
              </w:rPr>
              <w:t>（</w:t>
            </w:r>
            <w:r>
              <w:rPr>
                <w:rFonts w:ascii="Times New Roman" w:hAnsi="Times New Roman"/>
                <w:b/>
                <w:sz w:val="18"/>
                <w:szCs w:val="18"/>
              </w:rPr>
              <w:t>tCO</w:t>
            </w:r>
            <w:r>
              <w:rPr>
                <w:rFonts w:ascii="Times New Roman" w:hAnsi="Times New Roman"/>
                <w:b/>
                <w:sz w:val="18"/>
                <w:szCs w:val="18"/>
                <w:vertAlign w:val="subscript"/>
              </w:rPr>
              <w:t>2</w:t>
            </w:r>
            <w:r>
              <w:rPr>
                <w:rFonts w:hint="eastAsia" w:ascii="Times New Roman" w:hAnsi="Times New Roman"/>
                <w:b/>
                <w:sz w:val="18"/>
                <w:szCs w:val="18"/>
              </w:rPr>
              <w:t>）</w:t>
            </w:r>
          </w:p>
        </w:tc>
        <w:tc>
          <w:tcPr>
            <w:tcW w:w="2126" w:type="dxa"/>
            <w:vAlign w:val="center"/>
          </w:tcPr>
          <w:p>
            <w:pPr>
              <w:adjustRightInd w:val="0"/>
              <w:snapToGrid w:val="0"/>
              <w:spacing w:line="240" w:lineRule="auto"/>
              <w:ind w:firstLine="0" w:firstLineChars="0"/>
              <w:jc w:val="center"/>
              <w:rPr>
                <w:b/>
                <w:sz w:val="18"/>
                <w:szCs w:val="18"/>
              </w:rPr>
            </w:pPr>
            <w:r>
              <w:rPr>
                <w:rFonts w:hint="eastAsia"/>
                <w:b/>
                <w:sz w:val="18"/>
                <w:szCs w:val="18"/>
              </w:rPr>
              <w:t>大圆总周转量</w:t>
            </w:r>
          </w:p>
          <w:p>
            <w:pPr>
              <w:adjustRightInd w:val="0"/>
              <w:snapToGrid w:val="0"/>
              <w:spacing w:line="240" w:lineRule="auto"/>
              <w:ind w:firstLine="0" w:firstLineChars="0"/>
              <w:jc w:val="center"/>
              <w:rPr>
                <w:b/>
                <w:sz w:val="18"/>
                <w:szCs w:val="18"/>
              </w:rPr>
            </w:pPr>
            <w:r>
              <w:rPr>
                <w:rFonts w:hint="eastAsia"/>
                <w:b/>
                <w:sz w:val="18"/>
                <w:szCs w:val="18"/>
              </w:rPr>
              <w:t>（万吨公里）</w:t>
            </w:r>
          </w:p>
        </w:tc>
        <w:tc>
          <w:tcPr>
            <w:tcW w:w="2552" w:type="dxa"/>
            <w:vAlign w:val="center"/>
          </w:tcPr>
          <w:p>
            <w:pPr>
              <w:adjustRightInd w:val="0"/>
              <w:snapToGrid w:val="0"/>
              <w:spacing w:line="240" w:lineRule="auto"/>
              <w:ind w:firstLine="0" w:firstLineChars="0"/>
              <w:jc w:val="center"/>
              <w:rPr>
                <w:b/>
                <w:sz w:val="18"/>
                <w:szCs w:val="18"/>
              </w:rPr>
            </w:pPr>
            <w:r>
              <w:rPr>
                <w:rFonts w:hint="eastAsia"/>
                <w:b/>
                <w:sz w:val="18"/>
                <w:szCs w:val="18"/>
              </w:rPr>
              <w:t>移动设施碳排放强度</w:t>
            </w:r>
          </w:p>
          <w:p>
            <w:pPr>
              <w:adjustRightInd w:val="0"/>
              <w:snapToGrid w:val="0"/>
              <w:spacing w:line="240" w:lineRule="auto"/>
              <w:ind w:firstLine="0" w:firstLineChars="0"/>
              <w:jc w:val="center"/>
              <w:rPr>
                <w:b/>
                <w:sz w:val="18"/>
                <w:szCs w:val="18"/>
              </w:rPr>
            </w:pPr>
            <w:r>
              <w:rPr>
                <w:rFonts w:hint="eastAsia"/>
                <w:b/>
                <w:sz w:val="18"/>
                <w:szCs w:val="18"/>
              </w:rPr>
              <w:t>（kg/吨公里）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8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1</w:t>
            </w:r>
          </w:p>
        </w:tc>
        <w:tc>
          <w:tcPr>
            <w:tcW w:w="3207"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8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2</w:t>
            </w:r>
          </w:p>
        </w:tc>
        <w:tc>
          <w:tcPr>
            <w:tcW w:w="3207"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8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3</w:t>
            </w:r>
          </w:p>
        </w:tc>
        <w:tc>
          <w:tcPr>
            <w:tcW w:w="3207"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8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4</w:t>
            </w:r>
          </w:p>
        </w:tc>
        <w:tc>
          <w:tcPr>
            <w:tcW w:w="3207"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8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5</w:t>
            </w:r>
          </w:p>
        </w:tc>
        <w:tc>
          <w:tcPr>
            <w:tcW w:w="3207"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8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6</w:t>
            </w:r>
          </w:p>
        </w:tc>
        <w:tc>
          <w:tcPr>
            <w:tcW w:w="3207"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8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7</w:t>
            </w:r>
          </w:p>
        </w:tc>
        <w:tc>
          <w:tcPr>
            <w:tcW w:w="3207"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784" w:type="dxa"/>
            <w:shd w:val="clear" w:color="auto" w:fill="auto"/>
            <w:vAlign w:val="center"/>
          </w:tcPr>
          <w:p>
            <w:pPr>
              <w:adjustRightInd w:val="0"/>
              <w:snapToGrid w:val="0"/>
              <w:spacing w:line="240" w:lineRule="auto"/>
              <w:ind w:firstLine="0" w:firstLineChars="0"/>
              <w:jc w:val="center"/>
              <w:rPr>
                <w:b/>
                <w:sz w:val="18"/>
                <w:szCs w:val="18"/>
              </w:rPr>
            </w:pPr>
            <w:r>
              <w:rPr>
                <w:rFonts w:hint="eastAsia"/>
                <w:b/>
                <w:sz w:val="18"/>
                <w:szCs w:val="18"/>
              </w:rPr>
              <w:t>8</w:t>
            </w:r>
          </w:p>
        </w:tc>
        <w:tc>
          <w:tcPr>
            <w:tcW w:w="3207"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784" w:type="dxa"/>
            <w:shd w:val="clear" w:color="auto" w:fill="auto"/>
            <w:vAlign w:val="center"/>
          </w:tcPr>
          <w:p>
            <w:pPr>
              <w:adjustRightInd w:val="0"/>
              <w:snapToGrid w:val="0"/>
              <w:spacing w:line="240" w:lineRule="auto"/>
              <w:ind w:firstLine="0" w:firstLineChars="0"/>
              <w:jc w:val="center"/>
              <w:rPr>
                <w:b/>
                <w:sz w:val="18"/>
                <w:szCs w:val="18"/>
              </w:rPr>
            </w:pPr>
            <w:r>
              <w:rPr>
                <w:rFonts w:hint="eastAsia"/>
                <w:color w:val="000000"/>
                <w:sz w:val="18"/>
                <w:szCs w:val="18"/>
              </w:rPr>
              <w:t>合计</w:t>
            </w:r>
          </w:p>
        </w:tc>
        <w:tc>
          <w:tcPr>
            <w:tcW w:w="3207" w:type="dxa"/>
            <w:shd w:val="clear" w:color="auto" w:fill="auto"/>
            <w:vAlign w:val="center"/>
          </w:tcPr>
          <w:p>
            <w:pPr>
              <w:adjustRightInd w:val="0"/>
              <w:snapToGrid w:val="0"/>
              <w:ind w:firstLine="0" w:firstLineChars="0"/>
              <w:jc w:val="center"/>
              <w:rPr>
                <w:rFonts w:ascii="Times New Roman" w:hAnsi="Times New Roman"/>
                <w:b/>
                <w:sz w:val="21"/>
                <w:szCs w:val="21"/>
              </w:rPr>
            </w:pPr>
          </w:p>
        </w:tc>
        <w:tc>
          <w:tcPr>
            <w:tcW w:w="2246" w:type="dxa"/>
            <w:vAlign w:val="center"/>
          </w:tcPr>
          <w:p>
            <w:pPr>
              <w:adjustRightInd w:val="0"/>
              <w:snapToGrid w:val="0"/>
              <w:spacing w:line="240" w:lineRule="auto"/>
              <w:ind w:firstLine="0" w:firstLineChars="0"/>
              <w:jc w:val="center"/>
              <w:rPr>
                <w:color w:val="000000"/>
                <w:sz w:val="18"/>
                <w:szCs w:val="18"/>
              </w:rPr>
            </w:pPr>
          </w:p>
        </w:tc>
        <w:tc>
          <w:tcPr>
            <w:tcW w:w="200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2552"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exact"/>
          <w:jc w:val="center"/>
        </w:trPr>
        <w:tc>
          <w:tcPr>
            <w:tcW w:w="12922" w:type="dxa"/>
            <w:gridSpan w:val="6"/>
            <w:shd w:val="clear" w:color="auto" w:fill="auto"/>
            <w:vAlign w:val="center"/>
          </w:tcPr>
          <w:p>
            <w:pPr>
              <w:adjustRightInd w:val="0"/>
              <w:snapToGrid w:val="0"/>
              <w:spacing w:line="240" w:lineRule="auto"/>
              <w:ind w:firstLine="0" w:firstLineChars="0"/>
              <w:jc w:val="both"/>
              <w:rPr>
                <w:sz w:val="18"/>
                <w:szCs w:val="18"/>
              </w:rPr>
            </w:pPr>
            <w:r>
              <w:rPr>
                <w:sz w:val="18"/>
                <w:szCs w:val="18"/>
              </w:rPr>
              <w:t>1、本表统计信息为</w:t>
            </w:r>
            <w:r>
              <w:rPr>
                <w:rFonts w:hint="eastAsia"/>
                <w:sz w:val="18"/>
                <w:szCs w:val="18"/>
              </w:rPr>
              <w:t>企业运营的飞机相关信息（包括自有飞机和租赁飞机），相关数据应按照本指南以及《民航航空飞行活动二氧化碳排放监测、报告和核查管理暂行办法》（民航规〔2018〕3号）要求填写。</w:t>
            </w:r>
          </w:p>
          <w:p>
            <w:pPr>
              <w:adjustRightInd w:val="0"/>
              <w:snapToGrid w:val="0"/>
              <w:spacing w:line="240" w:lineRule="auto"/>
              <w:ind w:firstLine="0" w:firstLineChars="0"/>
              <w:jc w:val="both"/>
              <w:rPr>
                <w:sz w:val="18"/>
                <w:szCs w:val="18"/>
              </w:rPr>
            </w:pPr>
            <w:r>
              <w:rPr>
                <w:rFonts w:hint="eastAsia"/>
                <w:sz w:val="18"/>
                <w:szCs w:val="18"/>
              </w:rPr>
              <w:t>2、各类机型燃料消耗量等于各航段燃油量累计相加。</w:t>
            </w:r>
            <w:r>
              <w:rPr>
                <w:sz w:val="18"/>
                <w:szCs w:val="18"/>
              </w:rPr>
              <w:t>航段归属按照飞行</w:t>
            </w:r>
            <w:r>
              <w:rPr>
                <w:rFonts w:hint="eastAsia"/>
                <w:sz w:val="18"/>
                <w:szCs w:val="18"/>
              </w:rPr>
              <w:t>计划（飞行计划报）</w:t>
            </w:r>
            <w:r>
              <w:rPr>
                <w:sz w:val="18"/>
                <w:szCs w:val="18"/>
              </w:rPr>
              <w:t>上国际民航组织（ICAO）三字代码确定。若航班三字代码缺失，则按飞行计划</w:t>
            </w:r>
            <w:r>
              <w:rPr>
                <w:rFonts w:hint="eastAsia"/>
                <w:sz w:val="18"/>
                <w:szCs w:val="18"/>
              </w:rPr>
              <w:t>（飞行计划报）上</w:t>
            </w:r>
            <w:r>
              <w:rPr>
                <w:sz w:val="18"/>
                <w:szCs w:val="18"/>
              </w:rPr>
              <w:t>航空器注册</w:t>
            </w:r>
            <w:r>
              <w:rPr>
                <w:rFonts w:hint="eastAsia"/>
                <w:sz w:val="18"/>
                <w:szCs w:val="18"/>
              </w:rPr>
              <w:t>码来识别，通过对比运行合格证（AOC）和运行规范，或航空器国籍登记证来确定航段归属</w:t>
            </w:r>
            <w:r>
              <w:rPr>
                <w:sz w:val="18"/>
                <w:szCs w:val="18"/>
              </w:rPr>
              <w:t>。</w:t>
            </w:r>
          </w:p>
          <w:p>
            <w:pPr>
              <w:adjustRightInd w:val="0"/>
              <w:snapToGrid w:val="0"/>
              <w:spacing w:line="240" w:lineRule="auto"/>
              <w:ind w:firstLine="0" w:firstLineChars="0"/>
              <w:jc w:val="both"/>
              <w:rPr>
                <w:sz w:val="18"/>
                <w:szCs w:val="18"/>
              </w:rPr>
            </w:pPr>
            <w:r>
              <w:rPr>
                <w:rFonts w:hint="eastAsia"/>
                <w:sz w:val="18"/>
                <w:szCs w:val="18"/>
              </w:rPr>
              <w:t>3、民用航空</w:t>
            </w:r>
            <w:r>
              <w:rPr>
                <w:sz w:val="18"/>
                <w:szCs w:val="18"/>
              </w:rPr>
              <w:t>运输企业的以下飞机飞行活动不纳入监测和报告范围：a）</w:t>
            </w:r>
            <w:r>
              <w:rPr>
                <w:rFonts w:hint="eastAsia"/>
                <w:sz w:val="18"/>
                <w:szCs w:val="18"/>
              </w:rPr>
              <w:t>人道主义</w:t>
            </w:r>
            <w:r>
              <w:rPr>
                <w:sz w:val="18"/>
                <w:szCs w:val="18"/>
              </w:rPr>
              <w:t>救援；b）</w:t>
            </w:r>
            <w:r>
              <w:rPr>
                <w:rFonts w:hint="eastAsia"/>
                <w:sz w:val="18"/>
                <w:szCs w:val="18"/>
              </w:rPr>
              <w:t>医疗</w:t>
            </w:r>
            <w:r>
              <w:rPr>
                <w:sz w:val="18"/>
                <w:szCs w:val="18"/>
              </w:rPr>
              <w:t>；c）</w:t>
            </w:r>
            <w:r>
              <w:rPr>
                <w:rFonts w:hint="eastAsia"/>
                <w:sz w:val="18"/>
                <w:szCs w:val="18"/>
              </w:rPr>
              <w:t>消防</w:t>
            </w:r>
            <w:r>
              <w:rPr>
                <w:sz w:val="18"/>
                <w:szCs w:val="18"/>
              </w:rPr>
              <w:t>；d）</w:t>
            </w:r>
            <w:r>
              <w:rPr>
                <w:rFonts w:hint="eastAsia"/>
                <w:sz w:val="18"/>
                <w:szCs w:val="18"/>
              </w:rPr>
              <w:t>国家</w:t>
            </w:r>
            <w:r>
              <w:rPr>
                <w:sz w:val="18"/>
                <w:szCs w:val="18"/>
              </w:rPr>
              <w:t>元首航班。</w:t>
            </w:r>
          </w:p>
          <w:p>
            <w:pPr>
              <w:adjustRightInd w:val="0"/>
              <w:snapToGrid w:val="0"/>
              <w:spacing w:line="240" w:lineRule="auto"/>
              <w:ind w:firstLine="0" w:firstLineChars="0"/>
              <w:jc w:val="both"/>
              <w:rPr>
                <w:sz w:val="18"/>
                <w:szCs w:val="18"/>
              </w:rPr>
            </w:pPr>
            <w:r>
              <w:rPr>
                <w:sz w:val="18"/>
                <w:szCs w:val="18"/>
              </w:rPr>
              <w:t>4</w:t>
            </w:r>
            <w:r>
              <w:rPr>
                <w:rFonts w:hint="eastAsia"/>
                <w:sz w:val="18"/>
                <w:szCs w:val="18"/>
              </w:rPr>
              <w:t>、飞机飞行活动大圆总周转量等于每次飞行的业载和航段距离之乘积累计相加。其中，业载包括旅客、货物和邮件重量；航段距离是指起飞机场到降落机场之间的大圆距离（GCD）</w:t>
            </w:r>
            <w:r>
              <w:rPr>
                <w:sz w:val="18"/>
                <w:szCs w:val="18"/>
              </w:rPr>
              <w:t>，应根据机场经纬度和WGS84</w:t>
            </w:r>
            <w:r>
              <w:rPr>
                <w:rFonts w:hint="eastAsia"/>
                <w:sz w:val="18"/>
                <w:szCs w:val="18"/>
              </w:rPr>
              <w:t>所规定方法进行计算。中，旅客标准重量为：成人9</w:t>
            </w:r>
            <w:r>
              <w:rPr>
                <w:sz w:val="18"/>
                <w:szCs w:val="18"/>
              </w:rPr>
              <w:t>0千克</w:t>
            </w:r>
            <w:r>
              <w:rPr>
                <w:rFonts w:hint="eastAsia"/>
                <w:sz w:val="18"/>
                <w:szCs w:val="18"/>
              </w:rPr>
              <w:t>/人，儿童4</w:t>
            </w:r>
            <w:r>
              <w:rPr>
                <w:sz w:val="18"/>
                <w:szCs w:val="18"/>
              </w:rPr>
              <w:t>5千克</w:t>
            </w:r>
            <w:r>
              <w:rPr>
                <w:rFonts w:hint="eastAsia"/>
                <w:sz w:val="18"/>
                <w:szCs w:val="18"/>
              </w:rPr>
              <w:t>/人，婴儿9千克/人。</w:t>
            </w:r>
          </w:p>
          <w:p>
            <w:pPr>
              <w:adjustRightInd w:val="0"/>
              <w:snapToGrid w:val="0"/>
              <w:spacing w:line="240" w:lineRule="auto"/>
              <w:ind w:firstLine="0" w:firstLineChars="0"/>
              <w:jc w:val="both"/>
              <w:rPr>
                <w:rFonts w:ascii="Times New Roman" w:hAnsi="Times New Roman"/>
                <w:b/>
                <w:sz w:val="21"/>
                <w:szCs w:val="21"/>
              </w:rPr>
            </w:pPr>
            <w:r>
              <w:rPr>
                <w:sz w:val="18"/>
                <w:szCs w:val="18"/>
              </w:rPr>
              <w:t>5</w:t>
            </w:r>
            <w:r>
              <w:rPr>
                <w:rFonts w:hint="eastAsia"/>
                <w:sz w:val="18"/>
                <w:szCs w:val="18"/>
              </w:rPr>
              <w:t>、缺省排放因子为</w:t>
            </w:r>
            <w:r>
              <w:rPr>
                <w:sz w:val="18"/>
                <w:szCs w:val="18"/>
              </w:rPr>
              <w:t>3.15kgCO2/kg航空煤油</w:t>
            </w:r>
            <w:r>
              <w:rPr>
                <w:rFonts w:hint="eastAsia"/>
                <w:sz w:val="18"/>
                <w:szCs w:val="18"/>
              </w:rPr>
              <w:t>。</w:t>
            </w:r>
          </w:p>
        </w:tc>
      </w:tr>
    </w:tbl>
    <w:p>
      <w:pPr>
        <w:ind w:firstLine="313"/>
        <w:rPr>
          <w:rFonts w:ascii="Times New Roman" w:hAnsi="Times New Roman"/>
          <w:sz w:val="21"/>
          <w:szCs w:val="21"/>
        </w:rPr>
        <w:sectPr>
          <w:footerReference r:id="rId17" w:type="default"/>
          <w:pgSz w:w="16838" w:h="11906" w:orient="landscape"/>
          <w:pgMar w:top="1587" w:right="1440" w:bottom="1474" w:left="1440" w:header="851" w:footer="1134" w:gutter="0"/>
          <w:paperSrc/>
          <w:pgNumType w:fmt="decimal"/>
          <w:cols w:space="0" w:num="1"/>
          <w:rtlGutter w:val="0"/>
          <w:docGrid w:linePitch="326" w:charSpace="0"/>
        </w:sectPr>
      </w:pPr>
    </w:p>
    <w:p>
      <w:pPr>
        <w:tabs>
          <w:tab w:val="left" w:pos="744"/>
          <w:tab w:val="center" w:pos="6979"/>
        </w:tabs>
        <w:adjustRightInd w:val="0"/>
        <w:snapToGrid w:val="0"/>
        <w:ind w:firstLine="0" w:firstLineChars="0"/>
        <w:jc w:val="center"/>
        <w:rPr>
          <w:rFonts w:ascii="Times New Roman" w:hAnsi="Times New Roman"/>
          <w:b/>
          <w:sz w:val="21"/>
          <w:szCs w:val="21"/>
        </w:rPr>
      </w:pPr>
      <w:r>
        <w:rPr>
          <w:rFonts w:ascii="Times New Roman" w:hAnsi="Times New Roman"/>
          <w:b/>
          <w:sz w:val="21"/>
          <w:szCs w:val="21"/>
        </w:rPr>
        <w:t>表ZD-1-</w:t>
      </w:r>
      <w:r>
        <w:rPr>
          <w:rFonts w:hint="eastAsia" w:ascii="Times New Roman" w:hAnsi="Times New Roman"/>
          <w:b/>
          <w:sz w:val="21"/>
          <w:szCs w:val="21"/>
        </w:rPr>
        <w:t>H2-</w:t>
      </w:r>
      <w:r>
        <w:rPr>
          <w:rFonts w:ascii="Times New Roman" w:hAnsi="Times New Roman"/>
          <w:b/>
          <w:sz w:val="21"/>
          <w:szCs w:val="21"/>
        </w:rPr>
        <w:t>TH</w:t>
      </w:r>
      <w:r>
        <w:rPr>
          <w:rFonts w:hint="eastAsia" w:ascii="Times New Roman" w:hAnsi="Times New Roman"/>
          <w:b/>
          <w:sz w:val="21"/>
          <w:szCs w:val="21"/>
        </w:rPr>
        <w:t>重点碳排放单位移动设施信息表（</w:t>
      </w:r>
      <w:r>
        <w:rPr>
          <w:rFonts w:ascii="Times New Roman" w:hAnsi="Times New Roman"/>
          <w:b/>
          <w:sz w:val="21"/>
          <w:szCs w:val="21"/>
        </w:rPr>
        <w:t>562</w:t>
      </w:r>
      <w:r>
        <w:rPr>
          <w:rFonts w:hint="eastAsia" w:ascii="Times New Roman" w:hAnsi="Times New Roman"/>
          <w:b/>
          <w:sz w:val="21"/>
          <w:szCs w:val="21"/>
        </w:rPr>
        <w:t>）</w:t>
      </w:r>
    </w:p>
    <w:tbl>
      <w:tblPr>
        <w:tblStyle w:val="27"/>
        <w:tblW w:w="12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7"/>
        <w:gridCol w:w="2086"/>
        <w:gridCol w:w="2127"/>
        <w:gridCol w:w="2126"/>
        <w:gridCol w:w="1843"/>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2357" w:type="dxa"/>
            <w:shd w:val="clear" w:color="auto" w:fill="auto"/>
            <w:vAlign w:val="center"/>
          </w:tcPr>
          <w:p>
            <w:pPr>
              <w:adjustRightInd w:val="0"/>
              <w:snapToGrid w:val="0"/>
              <w:ind w:firstLine="0" w:firstLineChars="0"/>
              <w:jc w:val="center"/>
              <w:rPr>
                <w:b/>
                <w:sz w:val="18"/>
                <w:szCs w:val="18"/>
              </w:rPr>
            </w:pPr>
            <w:r>
              <w:rPr>
                <w:rFonts w:hint="eastAsia"/>
                <w:b/>
                <w:sz w:val="18"/>
                <w:szCs w:val="18"/>
              </w:rPr>
              <w:t>序号</w:t>
            </w:r>
          </w:p>
        </w:tc>
        <w:tc>
          <w:tcPr>
            <w:tcW w:w="2086" w:type="dxa"/>
            <w:vAlign w:val="center"/>
          </w:tcPr>
          <w:p>
            <w:pPr>
              <w:adjustRightInd w:val="0"/>
              <w:snapToGrid w:val="0"/>
              <w:spacing w:line="240" w:lineRule="auto"/>
              <w:ind w:firstLine="0" w:firstLineChars="0"/>
              <w:jc w:val="center"/>
              <w:rPr>
                <w:b/>
                <w:sz w:val="18"/>
                <w:szCs w:val="18"/>
              </w:rPr>
            </w:pPr>
            <w:r>
              <w:rPr>
                <w:rFonts w:hint="eastAsia"/>
                <w:b/>
                <w:sz w:val="18"/>
                <w:szCs w:val="18"/>
              </w:rPr>
              <w:t>航空煤油年消耗量</w:t>
            </w:r>
          </w:p>
          <w:p>
            <w:pPr>
              <w:adjustRightInd w:val="0"/>
              <w:snapToGrid w:val="0"/>
              <w:spacing w:line="240" w:lineRule="auto"/>
              <w:ind w:firstLine="0" w:firstLineChars="0"/>
              <w:jc w:val="center"/>
              <w:rPr>
                <w:b/>
                <w:sz w:val="18"/>
                <w:szCs w:val="18"/>
              </w:rPr>
            </w:pPr>
            <w:r>
              <w:rPr>
                <w:rFonts w:ascii="Times New Roman" w:hAnsi="Times New Roman"/>
                <w:b/>
                <w:sz w:val="18"/>
                <w:szCs w:val="18"/>
              </w:rPr>
              <w:t xml:space="preserve"> (t)</w:t>
            </w:r>
          </w:p>
        </w:tc>
        <w:tc>
          <w:tcPr>
            <w:tcW w:w="2127" w:type="dxa"/>
            <w:vAlign w:val="center"/>
          </w:tcPr>
          <w:p>
            <w:pPr>
              <w:adjustRightInd w:val="0"/>
              <w:snapToGrid w:val="0"/>
              <w:spacing w:line="240" w:lineRule="auto"/>
              <w:ind w:firstLine="0" w:firstLineChars="0"/>
              <w:jc w:val="center"/>
              <w:rPr>
                <w:b/>
                <w:sz w:val="18"/>
                <w:szCs w:val="18"/>
              </w:rPr>
            </w:pPr>
            <w:r>
              <w:rPr>
                <w:rFonts w:hint="eastAsia"/>
                <w:b/>
                <w:sz w:val="18"/>
                <w:szCs w:val="18"/>
              </w:rPr>
              <w:t>CO</w:t>
            </w:r>
            <w:r>
              <w:rPr>
                <w:b/>
                <w:sz w:val="18"/>
                <w:szCs w:val="18"/>
                <w:vertAlign w:val="subscript"/>
              </w:rPr>
              <w:t>2</w:t>
            </w:r>
            <w:r>
              <w:rPr>
                <w:rFonts w:hint="eastAsia"/>
                <w:b/>
                <w:sz w:val="18"/>
                <w:szCs w:val="18"/>
              </w:rPr>
              <w:t>排放总量</w:t>
            </w:r>
          </w:p>
          <w:p>
            <w:pPr>
              <w:adjustRightInd w:val="0"/>
              <w:snapToGrid w:val="0"/>
              <w:spacing w:line="240" w:lineRule="auto"/>
              <w:ind w:firstLine="0" w:firstLineChars="0"/>
              <w:jc w:val="center"/>
              <w:rPr>
                <w:b/>
                <w:sz w:val="18"/>
                <w:szCs w:val="18"/>
              </w:rPr>
            </w:pPr>
            <w:r>
              <w:rPr>
                <w:rFonts w:hint="eastAsia" w:ascii="Times New Roman" w:hAnsi="Times New Roman"/>
                <w:b/>
                <w:sz w:val="18"/>
                <w:szCs w:val="18"/>
              </w:rPr>
              <w:t>（</w:t>
            </w:r>
            <w:r>
              <w:rPr>
                <w:rFonts w:ascii="Times New Roman" w:hAnsi="Times New Roman"/>
                <w:b/>
                <w:sz w:val="18"/>
                <w:szCs w:val="18"/>
              </w:rPr>
              <w:t>tCO</w:t>
            </w:r>
            <w:r>
              <w:rPr>
                <w:rFonts w:ascii="Times New Roman" w:hAnsi="Times New Roman"/>
                <w:b/>
                <w:sz w:val="18"/>
                <w:szCs w:val="18"/>
                <w:vertAlign w:val="subscript"/>
              </w:rPr>
              <w:t>2</w:t>
            </w:r>
            <w:r>
              <w:rPr>
                <w:rFonts w:hint="eastAsia" w:ascii="Times New Roman" w:hAnsi="Times New Roman"/>
                <w:b/>
                <w:sz w:val="18"/>
                <w:szCs w:val="18"/>
              </w:rPr>
              <w:t>）</w:t>
            </w:r>
          </w:p>
        </w:tc>
        <w:tc>
          <w:tcPr>
            <w:tcW w:w="2126" w:type="dxa"/>
            <w:vAlign w:val="center"/>
          </w:tcPr>
          <w:p>
            <w:pPr>
              <w:adjustRightInd w:val="0"/>
              <w:snapToGrid w:val="0"/>
              <w:spacing w:line="240" w:lineRule="auto"/>
              <w:ind w:firstLine="0" w:firstLineChars="0"/>
              <w:jc w:val="center"/>
              <w:rPr>
                <w:b/>
                <w:sz w:val="18"/>
                <w:szCs w:val="18"/>
              </w:rPr>
            </w:pPr>
            <w:r>
              <w:rPr>
                <w:b/>
                <w:sz w:val="18"/>
                <w:szCs w:val="18"/>
              </w:rPr>
              <w:t>飞行架次</w:t>
            </w:r>
          </w:p>
          <w:p>
            <w:pPr>
              <w:adjustRightInd w:val="0"/>
              <w:snapToGrid w:val="0"/>
              <w:spacing w:line="240" w:lineRule="auto"/>
              <w:ind w:firstLine="0" w:firstLineChars="0"/>
              <w:jc w:val="center"/>
              <w:rPr>
                <w:b/>
                <w:sz w:val="18"/>
                <w:szCs w:val="18"/>
              </w:rPr>
            </w:pPr>
            <w:r>
              <w:rPr>
                <w:rFonts w:hint="eastAsia"/>
                <w:b/>
                <w:sz w:val="18"/>
                <w:szCs w:val="18"/>
              </w:rPr>
              <w:t>（次）</w:t>
            </w:r>
          </w:p>
        </w:tc>
        <w:tc>
          <w:tcPr>
            <w:tcW w:w="1843" w:type="dxa"/>
            <w:vAlign w:val="center"/>
          </w:tcPr>
          <w:p>
            <w:pPr>
              <w:adjustRightInd w:val="0"/>
              <w:snapToGrid w:val="0"/>
              <w:spacing w:line="240" w:lineRule="auto"/>
              <w:ind w:firstLine="0" w:firstLineChars="0"/>
              <w:jc w:val="center"/>
              <w:rPr>
                <w:b/>
                <w:sz w:val="18"/>
                <w:szCs w:val="18"/>
              </w:rPr>
            </w:pPr>
            <w:r>
              <w:rPr>
                <w:b/>
                <w:sz w:val="18"/>
                <w:szCs w:val="18"/>
              </w:rPr>
              <w:t>飞行小时</w:t>
            </w:r>
          </w:p>
          <w:p>
            <w:pPr>
              <w:adjustRightInd w:val="0"/>
              <w:snapToGrid w:val="0"/>
              <w:spacing w:line="240" w:lineRule="auto"/>
              <w:ind w:firstLine="0" w:firstLineChars="0"/>
              <w:jc w:val="center"/>
              <w:rPr>
                <w:b/>
                <w:sz w:val="18"/>
                <w:szCs w:val="18"/>
              </w:rPr>
            </w:pPr>
            <w:r>
              <w:rPr>
                <w:rFonts w:hint="eastAsia"/>
                <w:b/>
                <w:sz w:val="18"/>
                <w:szCs w:val="18"/>
              </w:rPr>
              <w:t>（小时）</w:t>
            </w:r>
          </w:p>
        </w:tc>
        <w:tc>
          <w:tcPr>
            <w:tcW w:w="1989" w:type="dxa"/>
            <w:vAlign w:val="center"/>
          </w:tcPr>
          <w:p>
            <w:pPr>
              <w:adjustRightInd w:val="0"/>
              <w:snapToGrid w:val="0"/>
              <w:spacing w:line="240" w:lineRule="auto"/>
              <w:ind w:firstLine="0" w:firstLineChars="0"/>
              <w:jc w:val="center"/>
              <w:rPr>
                <w:b/>
                <w:sz w:val="18"/>
                <w:szCs w:val="18"/>
              </w:rPr>
            </w:pPr>
            <w:r>
              <w:rPr>
                <w:rFonts w:hint="eastAsia"/>
                <w:b/>
                <w:sz w:val="18"/>
                <w:szCs w:val="18"/>
              </w:rPr>
              <w:t>运输量</w:t>
            </w:r>
          </w:p>
          <w:p>
            <w:pPr>
              <w:adjustRightInd w:val="0"/>
              <w:snapToGrid w:val="0"/>
              <w:spacing w:line="240" w:lineRule="auto"/>
              <w:ind w:firstLine="0" w:firstLineChars="0"/>
              <w:jc w:val="center"/>
              <w:rPr>
                <w:b/>
                <w:sz w:val="18"/>
                <w:szCs w:val="18"/>
              </w:rPr>
            </w:pPr>
            <w:r>
              <w:rPr>
                <w:rFonts w:hint="eastAsia"/>
                <w:b/>
                <w:sz w:val="18"/>
                <w:szCs w:val="18"/>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2357" w:type="dxa"/>
            <w:shd w:val="clear" w:color="auto" w:fill="auto"/>
            <w:vAlign w:val="center"/>
          </w:tcPr>
          <w:p>
            <w:pPr>
              <w:adjustRightInd w:val="0"/>
              <w:snapToGrid w:val="0"/>
              <w:ind w:firstLine="0" w:firstLineChars="0"/>
              <w:jc w:val="center"/>
              <w:rPr>
                <w:rFonts w:ascii="Times New Roman" w:hAnsi="Times New Roman"/>
                <w:b/>
                <w:sz w:val="21"/>
                <w:szCs w:val="21"/>
              </w:rPr>
            </w:pPr>
            <w:r>
              <w:rPr>
                <w:rFonts w:hint="eastAsia"/>
                <w:b/>
                <w:sz w:val="18"/>
                <w:szCs w:val="18"/>
              </w:rPr>
              <w:t>合计</w:t>
            </w:r>
          </w:p>
        </w:tc>
        <w:tc>
          <w:tcPr>
            <w:tcW w:w="2086" w:type="dxa"/>
            <w:vAlign w:val="center"/>
          </w:tcPr>
          <w:p>
            <w:pPr>
              <w:adjustRightInd w:val="0"/>
              <w:snapToGrid w:val="0"/>
              <w:spacing w:line="240" w:lineRule="auto"/>
              <w:ind w:firstLine="0" w:firstLineChars="0"/>
              <w:jc w:val="center"/>
              <w:rPr>
                <w:color w:val="000000"/>
                <w:sz w:val="18"/>
                <w:szCs w:val="18"/>
              </w:rPr>
            </w:pPr>
          </w:p>
        </w:tc>
        <w:tc>
          <w:tcPr>
            <w:tcW w:w="212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1843" w:type="dxa"/>
            <w:vAlign w:val="center"/>
          </w:tcPr>
          <w:p>
            <w:pPr>
              <w:adjustRightInd w:val="0"/>
              <w:snapToGrid w:val="0"/>
              <w:ind w:firstLine="0" w:firstLineChars="0"/>
              <w:jc w:val="center"/>
              <w:rPr>
                <w:rFonts w:ascii="Times New Roman" w:hAnsi="Times New Roman"/>
                <w:b/>
                <w:sz w:val="21"/>
                <w:szCs w:val="21"/>
              </w:rPr>
            </w:pPr>
          </w:p>
        </w:tc>
        <w:tc>
          <w:tcPr>
            <w:tcW w:w="1989"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357" w:type="dxa"/>
            <w:shd w:val="clear" w:color="auto" w:fill="auto"/>
            <w:vAlign w:val="center"/>
          </w:tcPr>
          <w:p>
            <w:pPr>
              <w:adjustRightInd w:val="0"/>
              <w:snapToGrid w:val="0"/>
              <w:spacing w:line="240" w:lineRule="auto"/>
              <w:ind w:firstLine="0" w:firstLineChars="0"/>
              <w:jc w:val="center"/>
              <w:rPr>
                <w:rFonts w:ascii="Times New Roman" w:hAnsi="Times New Roman"/>
                <w:b/>
                <w:sz w:val="21"/>
                <w:szCs w:val="21"/>
              </w:rPr>
            </w:pPr>
            <w:r>
              <w:rPr>
                <w:rFonts w:hint="eastAsia"/>
                <w:b/>
                <w:sz w:val="18"/>
                <w:szCs w:val="18"/>
              </w:rPr>
              <w:t>其中：公务</w:t>
            </w:r>
            <w:r>
              <w:rPr>
                <w:b/>
                <w:sz w:val="18"/>
                <w:szCs w:val="18"/>
              </w:rPr>
              <w:t>包机载客飞行</w:t>
            </w:r>
          </w:p>
        </w:tc>
        <w:tc>
          <w:tcPr>
            <w:tcW w:w="2086" w:type="dxa"/>
            <w:vAlign w:val="center"/>
          </w:tcPr>
          <w:p>
            <w:pPr>
              <w:adjustRightInd w:val="0"/>
              <w:snapToGrid w:val="0"/>
              <w:spacing w:line="240" w:lineRule="auto"/>
              <w:ind w:firstLine="0" w:firstLineChars="0"/>
              <w:jc w:val="center"/>
              <w:rPr>
                <w:color w:val="000000"/>
                <w:sz w:val="18"/>
                <w:szCs w:val="18"/>
              </w:rPr>
            </w:pPr>
          </w:p>
        </w:tc>
        <w:tc>
          <w:tcPr>
            <w:tcW w:w="2127" w:type="dxa"/>
            <w:vAlign w:val="center"/>
          </w:tcPr>
          <w:p>
            <w:pPr>
              <w:adjustRightInd w:val="0"/>
              <w:snapToGrid w:val="0"/>
              <w:ind w:firstLine="0" w:firstLineChars="0"/>
              <w:jc w:val="center"/>
              <w:rPr>
                <w:rFonts w:ascii="Times New Roman" w:hAnsi="Times New Roman"/>
                <w:b/>
                <w:sz w:val="21"/>
                <w:szCs w:val="21"/>
              </w:rPr>
            </w:pPr>
          </w:p>
        </w:tc>
        <w:tc>
          <w:tcPr>
            <w:tcW w:w="2126" w:type="dxa"/>
            <w:vAlign w:val="center"/>
          </w:tcPr>
          <w:p>
            <w:pPr>
              <w:adjustRightInd w:val="0"/>
              <w:snapToGrid w:val="0"/>
              <w:ind w:firstLine="0" w:firstLineChars="0"/>
              <w:jc w:val="center"/>
              <w:rPr>
                <w:rFonts w:ascii="Times New Roman" w:hAnsi="Times New Roman"/>
                <w:b/>
                <w:sz w:val="21"/>
                <w:szCs w:val="21"/>
              </w:rPr>
            </w:pPr>
          </w:p>
        </w:tc>
        <w:tc>
          <w:tcPr>
            <w:tcW w:w="1843" w:type="dxa"/>
            <w:vAlign w:val="center"/>
          </w:tcPr>
          <w:p>
            <w:pPr>
              <w:adjustRightInd w:val="0"/>
              <w:snapToGrid w:val="0"/>
              <w:ind w:firstLine="0" w:firstLineChars="0"/>
              <w:jc w:val="center"/>
              <w:rPr>
                <w:rFonts w:ascii="Times New Roman" w:hAnsi="Times New Roman"/>
                <w:b/>
                <w:sz w:val="21"/>
                <w:szCs w:val="21"/>
              </w:rPr>
            </w:pPr>
          </w:p>
        </w:tc>
        <w:tc>
          <w:tcPr>
            <w:tcW w:w="1989" w:type="dxa"/>
            <w:vAlign w:val="center"/>
          </w:tcPr>
          <w:p>
            <w:pPr>
              <w:adjustRightInd w:val="0"/>
              <w:snapToGrid w:val="0"/>
              <w:ind w:firstLine="0" w:firstLineChars="0"/>
              <w:jc w:val="center"/>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exact"/>
          <w:jc w:val="center"/>
        </w:trPr>
        <w:tc>
          <w:tcPr>
            <w:tcW w:w="12528" w:type="dxa"/>
            <w:gridSpan w:val="6"/>
            <w:shd w:val="clear" w:color="auto" w:fill="auto"/>
            <w:vAlign w:val="center"/>
          </w:tcPr>
          <w:p>
            <w:pPr>
              <w:adjustRightInd w:val="0"/>
              <w:snapToGrid w:val="0"/>
              <w:spacing w:line="240" w:lineRule="auto"/>
              <w:ind w:firstLine="0" w:firstLineChars="0"/>
              <w:jc w:val="both"/>
              <w:rPr>
                <w:sz w:val="18"/>
                <w:szCs w:val="18"/>
              </w:rPr>
            </w:pPr>
            <w:r>
              <w:rPr>
                <w:sz w:val="18"/>
                <w:szCs w:val="18"/>
              </w:rPr>
              <w:t>1、本表统计信息为</w:t>
            </w:r>
            <w:r>
              <w:rPr>
                <w:rFonts w:hint="eastAsia"/>
                <w:sz w:val="18"/>
                <w:szCs w:val="18"/>
              </w:rPr>
              <w:t>企业运营的飞机相关信息（包括自有飞机和代管飞机），相关数据应参照本指南以及《民航综合统计报表制度2018》要求填写；</w:t>
            </w:r>
          </w:p>
          <w:p>
            <w:pPr>
              <w:adjustRightInd w:val="0"/>
              <w:snapToGrid w:val="0"/>
              <w:spacing w:line="240" w:lineRule="auto"/>
              <w:ind w:firstLine="0" w:firstLineChars="0"/>
              <w:jc w:val="both"/>
              <w:rPr>
                <w:sz w:val="18"/>
                <w:szCs w:val="18"/>
              </w:rPr>
            </w:pPr>
            <w:r>
              <w:rPr>
                <w:rFonts w:hint="eastAsia"/>
                <w:sz w:val="18"/>
                <w:szCs w:val="18"/>
              </w:rPr>
              <w:t>2、航空煤油年消耗量等于报告期内通航企业拥有的各型飞机在各机场的加油数量之和。</w:t>
            </w:r>
          </w:p>
          <w:p>
            <w:pPr>
              <w:adjustRightInd w:val="0"/>
              <w:snapToGrid w:val="0"/>
              <w:spacing w:line="240" w:lineRule="auto"/>
              <w:ind w:firstLine="0" w:firstLineChars="0"/>
              <w:jc w:val="both"/>
              <w:rPr>
                <w:sz w:val="18"/>
                <w:szCs w:val="18"/>
              </w:rPr>
            </w:pPr>
            <w:r>
              <w:rPr>
                <w:rFonts w:hint="eastAsia"/>
                <w:sz w:val="18"/>
                <w:szCs w:val="18"/>
              </w:rPr>
              <w:t>3、缺省排放因子为</w:t>
            </w:r>
            <w:r>
              <w:rPr>
                <w:sz w:val="18"/>
                <w:szCs w:val="18"/>
              </w:rPr>
              <w:t>3.15kgCO2/kg航空煤油</w:t>
            </w:r>
            <w:r>
              <w:rPr>
                <w:rFonts w:hint="eastAsia"/>
                <w:sz w:val="18"/>
                <w:szCs w:val="18"/>
              </w:rPr>
              <w:t>。</w:t>
            </w:r>
          </w:p>
        </w:tc>
      </w:tr>
    </w:tbl>
    <w:p>
      <w:pPr>
        <w:adjustRightInd w:val="0"/>
        <w:snapToGrid w:val="0"/>
        <w:ind w:firstLine="0" w:firstLineChars="0"/>
        <w:jc w:val="center"/>
        <w:rPr>
          <w:rFonts w:ascii="Times New Roman" w:hAnsi="Times New Roman"/>
          <w:b/>
          <w:sz w:val="21"/>
          <w:szCs w:val="21"/>
        </w:rPr>
        <w:sectPr>
          <w:footerReference r:id="rId18" w:type="default"/>
          <w:pgSz w:w="16838" w:h="11906" w:orient="landscape"/>
          <w:pgMar w:top="1587" w:right="1440" w:bottom="1474" w:left="1440" w:header="851" w:footer="1134" w:gutter="0"/>
          <w:paperSrc/>
          <w:pgNumType w:fmt="decimal"/>
          <w:cols w:space="0" w:num="1"/>
          <w:rtlGutter w:val="0"/>
          <w:docGrid w:linePitch="326" w:charSpace="0"/>
        </w:sectPr>
      </w:pPr>
    </w:p>
    <w:p>
      <w:pPr>
        <w:pStyle w:val="4"/>
        <w:numPr>
          <w:ilvl w:val="0"/>
          <w:numId w:val="3"/>
        </w:numPr>
        <w:adjustRightInd w:val="0"/>
        <w:snapToGrid w:val="0"/>
        <w:spacing w:before="0" w:after="0" w:line="420" w:lineRule="exact"/>
        <w:ind w:left="0" w:firstLine="426" w:firstLineChars="0"/>
        <w:rPr>
          <w:rFonts w:ascii="Times New Roman" w:hAnsi="Times New Roman"/>
        </w:rPr>
      </w:pPr>
      <w:r>
        <w:rPr>
          <w:rFonts w:hint="eastAsia" w:ascii="Times New Roman" w:hAnsi="Times New Roman"/>
        </w:rPr>
        <w:t>二氧化碳直接排放</w:t>
      </w:r>
    </w:p>
    <w:p>
      <w:pPr>
        <w:adjustRightInd w:val="0"/>
        <w:snapToGrid w:val="0"/>
        <w:ind w:firstLine="480" w:firstLineChars="200"/>
        <w:rPr>
          <w:rFonts w:ascii="Times New Roman" w:hAnsi="Times New Roman"/>
        </w:rPr>
      </w:pPr>
      <w:r>
        <w:rPr>
          <w:rFonts w:ascii="Times New Roman" w:hAnsi="Times New Roman"/>
        </w:rPr>
        <w:t xml:space="preserve">(1) </w:t>
      </w:r>
      <w:r>
        <w:rPr>
          <w:rFonts w:hint="eastAsia" w:ascii="Times New Roman" w:hAnsi="Times New Roman"/>
        </w:rPr>
        <w:t>化石燃料燃烧排放</w:t>
      </w:r>
    </w:p>
    <w:p>
      <w:pPr>
        <w:adjustRightInd w:val="0"/>
        <w:snapToGrid w:val="0"/>
        <w:ind w:firstLine="480" w:firstLineChars="200"/>
        <w:rPr>
          <w:rFonts w:ascii="Times New Roman" w:hAnsi="Times New Roman"/>
        </w:rPr>
      </w:pPr>
      <w:r>
        <w:rPr>
          <w:rFonts w:ascii="Times New Roman" w:hAnsi="Times New Roman"/>
        </w:rPr>
        <w:t>报告单位按表BG-2格式要求填写</w:t>
      </w:r>
      <w:r>
        <w:rPr>
          <w:rFonts w:hint="eastAsia" w:ascii="Times New Roman" w:hAnsi="Times New Roman"/>
        </w:rPr>
        <w:t>固定设施</w:t>
      </w:r>
      <w:r>
        <w:rPr>
          <w:rFonts w:ascii="Times New Roman" w:hAnsi="Times New Roman"/>
        </w:rPr>
        <w:t>各种化石燃料消耗量（表BG-2中的C栏），固体和液体燃料的单位为t，气体燃料的单位为万Nm</w:t>
      </w:r>
      <w:r>
        <w:rPr>
          <w:rFonts w:ascii="Times New Roman" w:hAnsi="Times New Roman"/>
          <w:vertAlign w:val="superscript"/>
        </w:rPr>
        <w:t>3</w:t>
      </w:r>
      <w:r>
        <w:rPr>
          <w:rFonts w:ascii="Times New Roman" w:hAnsi="Times New Roman"/>
        </w:rPr>
        <w:t>。</w:t>
      </w:r>
      <w:r>
        <w:rPr>
          <w:rFonts w:hint="eastAsia" w:ascii="Times New Roman" w:hAnsi="Times New Roman"/>
        </w:rPr>
        <w:t>企业如有其他能源品种，可自行添加。</w:t>
      </w:r>
    </w:p>
    <w:p>
      <w:pPr>
        <w:adjustRightInd w:val="0"/>
        <w:snapToGrid w:val="0"/>
        <w:ind w:firstLine="480" w:firstLineChars="200"/>
        <w:rPr>
          <w:rFonts w:ascii="Times New Roman" w:hAnsi="Times New Roman"/>
        </w:rPr>
      </w:pPr>
      <w:r>
        <w:rPr>
          <w:rFonts w:ascii="Times New Roman" w:hAnsi="Times New Roman"/>
        </w:rPr>
        <w:t>报告单位按表</w:t>
      </w:r>
      <w:r>
        <w:rPr>
          <w:rFonts w:hint="eastAsia" w:ascii="Times New Roman" w:hAnsi="Times New Roman"/>
        </w:rPr>
        <w:t>BG</w:t>
      </w:r>
      <w:r>
        <w:rPr>
          <w:rFonts w:ascii="Times New Roman" w:hAnsi="Times New Roman"/>
        </w:rPr>
        <w:t>-2</w:t>
      </w:r>
      <w:r>
        <w:rPr>
          <w:rFonts w:hint="eastAsia" w:ascii="Times New Roman" w:hAnsi="Times New Roman"/>
        </w:rPr>
        <w:t>H</w:t>
      </w:r>
      <w:r>
        <w:rPr>
          <w:rFonts w:ascii="Times New Roman" w:hAnsi="Times New Roman"/>
        </w:rPr>
        <w:t>格式要求填写</w:t>
      </w:r>
      <w:r>
        <w:rPr>
          <w:rFonts w:hint="eastAsia" w:ascii="Times New Roman" w:hAnsi="Times New Roman"/>
        </w:rPr>
        <w:t>移动设施</w:t>
      </w:r>
      <w:r>
        <w:rPr>
          <w:rFonts w:ascii="Times New Roman" w:hAnsi="Times New Roman"/>
        </w:rPr>
        <w:t>各种化石燃料消耗量（表</w:t>
      </w:r>
      <w:r>
        <w:rPr>
          <w:rFonts w:hint="eastAsia" w:ascii="Times New Roman" w:hAnsi="Times New Roman"/>
        </w:rPr>
        <w:t>BG</w:t>
      </w:r>
      <w:r>
        <w:rPr>
          <w:rFonts w:ascii="Times New Roman" w:hAnsi="Times New Roman"/>
        </w:rPr>
        <w:t>-2</w:t>
      </w:r>
      <w:r>
        <w:rPr>
          <w:rFonts w:hint="eastAsia" w:ascii="Times New Roman" w:hAnsi="Times New Roman"/>
        </w:rPr>
        <w:t>H</w:t>
      </w:r>
      <w:r>
        <w:rPr>
          <w:rFonts w:ascii="Times New Roman" w:hAnsi="Times New Roman"/>
        </w:rPr>
        <w:t>中的C栏），固体和液体燃料的单位为t，气体燃料的单位为万Nm</w:t>
      </w:r>
      <w:r>
        <w:rPr>
          <w:rFonts w:ascii="Times New Roman" w:hAnsi="Times New Roman"/>
          <w:vertAlign w:val="superscript"/>
        </w:rPr>
        <w:t>3</w:t>
      </w:r>
      <w:r>
        <w:rPr>
          <w:rFonts w:ascii="Times New Roman" w:hAnsi="Times New Roman"/>
        </w:rPr>
        <w:t>。</w:t>
      </w:r>
      <w:r>
        <w:rPr>
          <w:rFonts w:hint="eastAsia" w:ascii="Times New Roman" w:hAnsi="Times New Roman"/>
        </w:rPr>
        <w:t>企业如有其他能源品种，可自行添加。</w:t>
      </w:r>
    </w:p>
    <w:p>
      <w:pPr>
        <w:adjustRightInd w:val="0"/>
        <w:snapToGrid w:val="0"/>
        <w:ind w:firstLine="480" w:firstLineChars="200"/>
        <w:rPr>
          <w:rFonts w:ascii="Times New Roman" w:hAnsi="Times New Roman"/>
        </w:rPr>
      </w:pPr>
      <w:r>
        <w:rPr>
          <w:rFonts w:hint="eastAsia" w:ascii="Times New Roman" w:hAnsi="Times New Roman"/>
        </w:rPr>
        <w:t>化石燃料热值可采用附录一附表</w:t>
      </w:r>
      <w:r>
        <w:rPr>
          <w:rFonts w:ascii="Times New Roman" w:hAnsi="Times New Roman"/>
        </w:rPr>
        <w:t>1</w:t>
      </w:r>
      <w:r>
        <w:rPr>
          <w:rFonts w:hint="eastAsia" w:ascii="Times New Roman" w:hAnsi="Times New Roman"/>
        </w:rPr>
        <w:t>和附表</w:t>
      </w:r>
      <w:r>
        <w:rPr>
          <w:rFonts w:ascii="Times New Roman" w:hAnsi="Times New Roman"/>
        </w:rPr>
        <w:t>2</w:t>
      </w:r>
      <w:r>
        <w:rPr>
          <w:rFonts w:hint="eastAsia" w:ascii="Times New Roman" w:hAnsi="Times New Roman"/>
        </w:rPr>
        <w:t>的缺省值。</w:t>
      </w:r>
    </w:p>
    <w:p>
      <w:pPr>
        <w:adjustRightInd w:val="0"/>
        <w:snapToGrid w:val="0"/>
        <w:ind w:firstLine="480" w:firstLineChars="200"/>
        <w:rPr>
          <w:rFonts w:ascii="Times New Roman" w:hAnsi="Times New Roman"/>
        </w:rPr>
      </w:pPr>
      <w:r>
        <w:rPr>
          <w:rFonts w:hint="eastAsia" w:ascii="Times New Roman" w:hAnsi="Times New Roman"/>
        </w:rPr>
        <w:t>报告单位应根据式（</w:t>
      </w:r>
      <w:r>
        <w:rPr>
          <w:rFonts w:ascii="Times New Roman" w:hAnsi="Times New Roman"/>
        </w:rPr>
        <w:t>TY-3</w:t>
      </w:r>
      <w:r>
        <w:rPr>
          <w:rFonts w:hint="eastAsia" w:ascii="Times New Roman" w:hAnsi="Times New Roman"/>
        </w:rPr>
        <w:t>）和式（</w:t>
      </w:r>
      <w:r>
        <w:rPr>
          <w:rFonts w:ascii="Times New Roman" w:hAnsi="Times New Roman"/>
        </w:rPr>
        <w:t>TY-4</w:t>
      </w:r>
      <w:r>
        <w:rPr>
          <w:rFonts w:hint="eastAsia" w:ascii="Times New Roman" w:hAnsi="Times New Roman"/>
        </w:rPr>
        <w:t>）计算各种化石燃料消费量的热量（</w:t>
      </w:r>
      <w:r>
        <w:rPr>
          <w:rFonts w:ascii="Times New Roman" w:hAnsi="Times New Roman"/>
        </w:rPr>
        <w:t>表BG-2和</w:t>
      </w:r>
      <w:r>
        <w:rPr>
          <w:rFonts w:hint="eastAsia" w:ascii="Times New Roman" w:hAnsi="Times New Roman"/>
        </w:rPr>
        <w:t>表HK</w:t>
      </w:r>
      <w:r>
        <w:rPr>
          <w:rFonts w:ascii="Times New Roman" w:hAnsi="Times New Roman"/>
        </w:rPr>
        <w:t>-5</w:t>
      </w:r>
      <w:r>
        <w:rPr>
          <w:rFonts w:hint="eastAsia" w:ascii="Times New Roman" w:hAnsi="Times New Roman"/>
        </w:rPr>
        <w:t>中</w:t>
      </w:r>
      <w:r>
        <w:rPr>
          <w:rFonts w:ascii="Times New Roman" w:hAnsi="Times New Roman"/>
        </w:rPr>
        <w:t>E</w:t>
      </w:r>
      <w:r>
        <w:rPr>
          <w:rFonts w:hint="eastAsia" w:ascii="Times New Roman" w:hAnsi="Times New Roman"/>
        </w:rPr>
        <w:t>栏）和排放因子（</w:t>
      </w:r>
      <w:r>
        <w:rPr>
          <w:rFonts w:ascii="Times New Roman" w:hAnsi="Times New Roman"/>
        </w:rPr>
        <w:t>J</w:t>
      </w:r>
      <w:r>
        <w:rPr>
          <w:rFonts w:hint="eastAsia" w:ascii="Times New Roman" w:hAnsi="Times New Roman"/>
        </w:rPr>
        <w:t>栏）。</w:t>
      </w:r>
    </w:p>
    <w:p>
      <w:pPr>
        <w:adjustRightInd w:val="0"/>
        <w:snapToGrid w:val="0"/>
        <w:ind w:firstLine="480" w:firstLineChars="200"/>
        <w:rPr>
          <w:rFonts w:ascii="Times New Roman" w:hAnsi="Times New Roman"/>
        </w:rPr>
      </w:pPr>
      <w:r>
        <w:rPr>
          <w:rFonts w:hint="eastAsia" w:ascii="Times New Roman" w:hAnsi="Times New Roman"/>
        </w:rPr>
        <w:t>报告单位根据式（</w:t>
      </w:r>
      <w:r>
        <w:rPr>
          <w:rFonts w:ascii="Times New Roman" w:hAnsi="Times New Roman"/>
        </w:rPr>
        <w:t>TY-1</w:t>
      </w:r>
      <w:r>
        <w:rPr>
          <w:rFonts w:hint="eastAsia" w:ascii="Times New Roman" w:hAnsi="Times New Roman"/>
        </w:rPr>
        <w:t>）计算各种化石燃料的二氧化碳排放量（</w:t>
      </w:r>
      <w:r>
        <w:rPr>
          <w:rFonts w:ascii="Times New Roman" w:hAnsi="Times New Roman"/>
        </w:rPr>
        <w:t>K</w:t>
      </w:r>
      <w:r>
        <w:rPr>
          <w:rFonts w:hint="eastAsia" w:ascii="Times New Roman" w:hAnsi="Times New Roman"/>
        </w:rPr>
        <w:t>栏），报告企业化石燃料燃烧二氧化碳排放量。</w:t>
      </w:r>
    </w:p>
    <w:p>
      <w:pPr>
        <w:adjustRightInd w:val="0"/>
        <w:snapToGrid w:val="0"/>
        <w:ind w:firstLine="480" w:firstLineChars="200"/>
        <w:rPr>
          <w:rFonts w:ascii="Times New Roman" w:hAnsi="Times New Roman"/>
        </w:rPr>
      </w:pPr>
    </w:p>
    <w:p>
      <w:pPr>
        <w:adjustRightInd w:val="0"/>
        <w:snapToGrid w:val="0"/>
        <w:ind w:firstLine="0" w:firstLineChars="0"/>
        <w:jc w:val="center"/>
        <w:rPr>
          <w:rFonts w:ascii="Times New Roman" w:hAnsi="Times New Roman"/>
          <w:b/>
          <w:sz w:val="21"/>
          <w:szCs w:val="21"/>
        </w:rPr>
        <w:sectPr>
          <w:footerReference r:id="rId19" w:type="default"/>
          <w:pgSz w:w="11906" w:h="16838"/>
          <w:pgMar w:top="2098" w:right="1474" w:bottom="1984" w:left="1587" w:header="851" w:footer="1587" w:gutter="0"/>
          <w:paperSrc/>
          <w:pgNumType w:fmt="decimal"/>
          <w:cols w:space="0" w:num="1"/>
          <w:rtlGutter w:val="0"/>
          <w:docGrid w:linePitch="326" w:charSpace="0"/>
        </w:sectPr>
      </w:pPr>
    </w:p>
    <w:p>
      <w:pPr>
        <w:adjustRightInd w:val="0"/>
        <w:snapToGrid w:val="0"/>
        <w:spacing w:line="420" w:lineRule="exact"/>
        <w:ind w:firstLine="357" w:firstLineChars="0"/>
        <w:jc w:val="center"/>
        <w:rPr>
          <w:rFonts w:ascii="Times New Roman" w:hAnsi="Times New Roman"/>
          <w:b/>
          <w:sz w:val="21"/>
          <w:szCs w:val="21"/>
        </w:rPr>
      </w:pPr>
      <w:r>
        <w:rPr>
          <w:rFonts w:ascii="Times New Roman" w:hAnsi="Times New Roman"/>
          <w:b/>
          <w:sz w:val="21"/>
          <w:szCs w:val="21"/>
        </w:rPr>
        <w:t>表BG-2报告单位</w:t>
      </w:r>
      <w:r>
        <w:rPr>
          <w:rFonts w:ascii="Times New Roman" w:hAnsi="Times New Roman"/>
          <w:b/>
          <w:sz w:val="21"/>
          <w:szCs w:val="21"/>
          <w:u w:val="single"/>
        </w:rPr>
        <w:t xml:space="preserve">20   </w:t>
      </w:r>
      <w:r>
        <w:rPr>
          <w:rFonts w:ascii="Times New Roman" w:hAnsi="Times New Roman"/>
          <w:b/>
          <w:sz w:val="21"/>
          <w:szCs w:val="21"/>
        </w:rPr>
        <w:t>年化石燃料二氧化碳直接排放</w:t>
      </w:r>
      <w:r>
        <w:rPr>
          <w:rFonts w:hint="eastAsia" w:ascii="Times New Roman" w:hAnsi="Times New Roman"/>
          <w:b/>
          <w:sz w:val="21"/>
          <w:szCs w:val="21"/>
        </w:rPr>
        <w:t>（固定设施）</w:t>
      </w:r>
    </w:p>
    <w:tbl>
      <w:tblPr>
        <w:tblStyle w:val="27"/>
        <w:tblW w:w="4983" w:type="pct"/>
        <w:jc w:val="center"/>
        <w:tblLayout w:type="autofit"/>
        <w:tblCellMar>
          <w:top w:w="0" w:type="dxa"/>
          <w:left w:w="108" w:type="dxa"/>
          <w:bottom w:w="0" w:type="dxa"/>
          <w:right w:w="108" w:type="dxa"/>
        </w:tblCellMar>
      </w:tblPr>
      <w:tblGrid>
        <w:gridCol w:w="785"/>
        <w:gridCol w:w="1103"/>
        <w:gridCol w:w="1270"/>
        <w:gridCol w:w="1770"/>
        <w:gridCol w:w="1225"/>
        <w:gridCol w:w="1357"/>
        <w:gridCol w:w="1695"/>
        <w:gridCol w:w="1170"/>
        <w:gridCol w:w="1169"/>
        <w:gridCol w:w="1405"/>
        <w:gridCol w:w="1177"/>
      </w:tblGrid>
      <w:tr>
        <w:tblPrEx>
          <w:tblCellMar>
            <w:top w:w="0" w:type="dxa"/>
            <w:left w:w="108" w:type="dxa"/>
            <w:bottom w:w="0" w:type="dxa"/>
            <w:right w:w="108" w:type="dxa"/>
          </w:tblCellMar>
        </w:tblPrEx>
        <w:trPr>
          <w:trHeight w:val="796"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A</w:t>
            </w:r>
          </w:p>
          <w:p>
            <w:pPr>
              <w:pStyle w:val="55"/>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序号</w:t>
            </w:r>
          </w:p>
        </w:tc>
        <w:tc>
          <w:tcPr>
            <w:tcW w:w="111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B燃料品种</w:t>
            </w:r>
          </w:p>
        </w:tc>
        <w:tc>
          <w:tcPr>
            <w:tcW w:w="128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C年消费量</w:t>
            </w:r>
          </w:p>
          <w:p>
            <w:pPr>
              <w:pStyle w:val="55"/>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(t，万Nm</w:t>
            </w:r>
            <w:r>
              <w:rPr>
                <w:rFonts w:ascii="Times New Roman" w:hAnsi="Times New Roman" w:cs="Times New Roman"/>
                <w:b/>
                <w:color w:val="auto"/>
                <w:sz w:val="18"/>
                <w:szCs w:val="18"/>
                <w:vertAlign w:val="superscript"/>
                <w:lang w:eastAsia="zh-CN"/>
              </w:rPr>
              <w:t>3</w:t>
            </w:r>
            <w:r>
              <w:rPr>
                <w:rFonts w:ascii="Times New Roman" w:hAnsi="Times New Roman" w:cs="Times New Roman"/>
                <w:b/>
                <w:color w:val="auto"/>
                <w:sz w:val="18"/>
                <w:szCs w:val="18"/>
                <w:lang w:eastAsia="zh-CN"/>
              </w:rPr>
              <w:t>)</w:t>
            </w:r>
          </w:p>
        </w:tc>
        <w:tc>
          <w:tcPr>
            <w:tcW w:w="179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D热值</w:t>
            </w:r>
          </w:p>
          <w:p>
            <w:pPr>
              <w:pStyle w:val="55"/>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GJ/t，GJ/万Nm</w:t>
            </w:r>
            <w:r>
              <w:rPr>
                <w:rFonts w:ascii="Times New Roman" w:hAnsi="Times New Roman" w:cs="Times New Roman"/>
                <w:b/>
                <w:color w:val="auto"/>
                <w:sz w:val="18"/>
                <w:szCs w:val="18"/>
                <w:vertAlign w:val="superscript"/>
                <w:lang w:eastAsia="zh-CN"/>
              </w:rPr>
              <w:t>3</w:t>
            </w:r>
          </w:p>
        </w:tc>
        <w:tc>
          <w:tcPr>
            <w:tcW w:w="123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E</w:t>
            </w:r>
            <w:r>
              <w:rPr>
                <w:rFonts w:ascii="Times New Roman" w:hAnsi="Times New Roman" w:cs="Times New Roman"/>
                <w:color w:val="auto"/>
                <w:sz w:val="18"/>
                <w:szCs w:val="18"/>
                <w:lang w:eastAsia="zh-CN"/>
              </w:rPr>
              <w:t>(</w:t>
            </w:r>
            <w:r>
              <w:rPr>
                <w:rFonts w:ascii="Times New Roman" w:hAnsi="Times New Roman" w:cs="Times New Roman"/>
                <w:i/>
                <w:sz w:val="18"/>
                <w:szCs w:val="18"/>
              </w:rPr>
              <w:t>=C</w:t>
            </w:r>
            <w:r>
              <w:rPr>
                <w:position w:val="-9"/>
              </w:rPr>
              <w:pict>
                <v:shape id="_x0000_i1025" o:spt="75" type="#_x0000_t75" style="height:16.65pt;width:7pt;" filled="f" o:preferrelative="t" stroked="f" coordsize="21600,21600" equationxml="&lt;">
                  <v:path/>
                  <v:fill on="f" focussize="0,0"/>
                  <v:stroke on="f" joinstyle="miter"/>
                  <v:imagedata r:id="rId34" chromakey="#FFFFFF" o:title=""/>
                  <o:lock v:ext="edit" aspectratio="t"/>
                  <w10:wrap type="none"/>
                  <w10:anchorlock/>
                </v:shape>
              </w:pict>
            </w:r>
            <w:r>
              <w:rPr>
                <w:rFonts w:ascii="Times New Roman" w:hAnsi="Times New Roman" w:cs="Times New Roman"/>
                <w:i/>
                <w:sz w:val="18"/>
                <w:szCs w:val="18"/>
              </w:rPr>
              <w:t>D</w:t>
            </w:r>
            <w:r>
              <w:rPr>
                <w:rFonts w:ascii="Times New Roman" w:hAnsi="Times New Roman" w:cs="Times New Roman"/>
                <w:color w:val="auto"/>
                <w:sz w:val="18"/>
                <w:szCs w:val="18"/>
                <w:lang w:eastAsia="zh-CN"/>
              </w:rPr>
              <w:t>)</w:t>
            </w:r>
          </w:p>
          <w:p>
            <w:pPr>
              <w:pStyle w:val="55"/>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燃料热量</w:t>
            </w:r>
          </w:p>
          <w:p>
            <w:pPr>
              <w:pStyle w:val="55"/>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(GJ)</w:t>
            </w:r>
          </w:p>
        </w:tc>
        <w:tc>
          <w:tcPr>
            <w:tcW w:w="124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F</w:t>
            </w:r>
            <w:r>
              <w:rPr>
                <w:rFonts w:ascii="Times New Roman" w:hAnsi="Times New Roman" w:cs="Times New Roman"/>
                <w:color w:val="auto"/>
                <w:sz w:val="18"/>
                <w:szCs w:val="18"/>
                <w:lang w:eastAsia="zh-CN"/>
              </w:rPr>
              <w:t>(</w:t>
            </w:r>
            <w:r>
              <w:rPr>
                <w:rFonts w:ascii="Times New Roman" w:hAnsi="Times New Roman" w:cs="Times New Roman"/>
                <w:i/>
                <w:sz w:val="18"/>
                <w:szCs w:val="18"/>
              </w:rPr>
              <w:t>=E/1000</w:t>
            </w:r>
            <w:r>
              <w:rPr>
                <w:rFonts w:ascii="Times New Roman" w:hAnsi="Times New Roman" w:cs="Times New Roman"/>
                <w:color w:val="auto"/>
                <w:sz w:val="18"/>
                <w:szCs w:val="18"/>
                <w:lang w:eastAsia="zh-CN"/>
              </w:rPr>
              <w:t>)</w:t>
            </w:r>
          </w:p>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燃料热量</w:t>
            </w:r>
          </w:p>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(TJ)</w:t>
            </w:r>
          </w:p>
        </w:tc>
        <w:tc>
          <w:tcPr>
            <w:tcW w:w="170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542" w:firstLineChars="300"/>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w:t>
            </w:r>
          </w:p>
          <w:p>
            <w:pPr>
              <w:pStyle w:val="55"/>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单位热值含碳量</w:t>
            </w:r>
          </w:p>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(tC/TJ)</w:t>
            </w:r>
          </w:p>
        </w:tc>
        <w:tc>
          <w:tcPr>
            <w:tcW w:w="117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H</w:t>
            </w:r>
          </w:p>
          <w:p>
            <w:pPr>
              <w:pStyle w:val="55"/>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碳氧化率</w:t>
            </w:r>
          </w:p>
        </w:tc>
        <w:tc>
          <w:tcPr>
            <w:tcW w:w="1175"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I</w:t>
            </w:r>
          </w:p>
          <w:p>
            <w:pPr>
              <w:pStyle w:val="55"/>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与碳分子量比</w:t>
            </w:r>
          </w:p>
        </w:tc>
        <w:tc>
          <w:tcPr>
            <w:tcW w:w="141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J</w:t>
            </w:r>
            <w:r>
              <w:rPr>
                <w:rFonts w:ascii="Times New Roman" w:hAnsi="Times New Roman" w:cs="Times New Roman"/>
                <w:color w:val="auto"/>
                <w:sz w:val="18"/>
                <w:szCs w:val="18"/>
                <w:lang w:val="pt-BR" w:eastAsia="zh-CN"/>
              </w:rPr>
              <w:t>(</w:t>
            </w:r>
            <w:r>
              <w:rPr>
                <w:rFonts w:ascii="Times New Roman" w:hAnsi="Times New Roman" w:cs="Times New Roman"/>
                <w:i/>
                <w:sz w:val="18"/>
                <w:szCs w:val="18"/>
                <w:lang w:val="pt-BR"/>
              </w:rPr>
              <w:t>=</w:t>
            </w:r>
            <w:r>
              <w:rPr>
                <w:rFonts w:ascii="Times New Roman" w:hAnsi="Times New Roman" w:cs="Times New Roman"/>
                <w:i/>
                <w:sz w:val="18"/>
                <w:szCs w:val="18"/>
                <w:lang w:val="pt-BR" w:eastAsia="zh-CN"/>
              </w:rPr>
              <w:t>G</w:t>
            </w:r>
            <m:oMath>
              <m:r>
                <m:rPr/>
                <w:rPr>
                  <w:rFonts w:ascii="Cambria Math" w:hAnsi="Cambria Math"/>
                  <w:sz w:val="18"/>
                  <w:szCs w:val="18"/>
                  <w:lang w:val="pt-BR"/>
                </w:rPr>
                <m:t>×</m:t>
              </m:r>
            </m:oMath>
            <w:r>
              <w:rPr>
                <w:rFonts w:ascii="Times New Roman" w:hAnsi="Times New Roman" w:cs="Times New Roman"/>
                <w:i/>
                <w:sz w:val="18"/>
                <w:szCs w:val="18"/>
                <w:lang w:val="pt-BR" w:eastAsia="zh-CN"/>
              </w:rPr>
              <w:t>H</w:t>
            </w:r>
            <m:oMath>
              <m:r>
                <m:rPr/>
                <w:rPr>
                  <w:rFonts w:ascii="Cambria Math" w:hAnsi="Cambria Math"/>
                  <w:sz w:val="18"/>
                  <w:szCs w:val="18"/>
                  <w:lang w:val="pt-BR"/>
                </w:rPr>
                <m:t>×</m:t>
              </m:r>
              <m:r>
                <m:rPr/>
                <w:rPr>
                  <w:rFonts w:ascii="Cambria Math" w:hAnsi="Cambria Math"/>
                  <w:sz w:val="18"/>
                  <w:szCs w:val="18"/>
                </w:rPr>
                <m:t>I</m:t>
              </m:r>
            </m:oMath>
            <w:r>
              <w:rPr>
                <w:rFonts w:ascii="Times New Roman" w:hAnsi="Times New Roman" w:cs="Times New Roman"/>
                <w:color w:val="auto"/>
                <w:sz w:val="18"/>
                <w:szCs w:val="18"/>
                <w:lang w:val="pt-BR" w:eastAsia="zh-CN"/>
              </w:rPr>
              <w:t>)</w:t>
            </w:r>
          </w:p>
          <w:p>
            <w:pPr>
              <w:pStyle w:val="55"/>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eastAsia="zh-CN"/>
              </w:rPr>
              <w:t>排放因子</w:t>
            </w:r>
          </w:p>
          <w:p>
            <w:pPr>
              <w:pStyle w:val="55"/>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(tCO</w:t>
            </w:r>
            <w:r>
              <w:rPr>
                <w:rFonts w:ascii="Times New Roman" w:hAnsi="Times New Roman" w:cs="Times New Roman"/>
                <w:b/>
                <w:color w:val="auto"/>
                <w:sz w:val="18"/>
                <w:szCs w:val="18"/>
                <w:vertAlign w:val="subscript"/>
                <w:lang w:val="pt-BR" w:eastAsia="zh-CN"/>
              </w:rPr>
              <w:t>2</w:t>
            </w:r>
            <w:r>
              <w:rPr>
                <w:rFonts w:ascii="Times New Roman" w:hAnsi="Times New Roman" w:cs="Times New Roman"/>
                <w:b/>
                <w:color w:val="auto"/>
                <w:sz w:val="18"/>
                <w:szCs w:val="18"/>
                <w:lang w:val="pt-BR" w:eastAsia="zh-CN"/>
              </w:rPr>
              <w:t>/TJ)</w:t>
            </w:r>
          </w:p>
        </w:tc>
        <w:tc>
          <w:tcPr>
            <w:tcW w:w="118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K</w:t>
            </w:r>
            <w:r>
              <w:rPr>
                <w:rFonts w:ascii="Times New Roman" w:hAnsi="Times New Roman" w:cs="Times New Roman"/>
                <w:color w:val="auto"/>
                <w:sz w:val="18"/>
                <w:szCs w:val="18"/>
                <w:lang w:val="pt-BR" w:eastAsia="zh-CN"/>
              </w:rPr>
              <w:t>(</w:t>
            </w:r>
            <w:r>
              <w:rPr>
                <w:rFonts w:ascii="Times New Roman" w:hAnsi="Times New Roman" w:cs="Times New Roman"/>
                <w:i/>
                <w:sz w:val="18"/>
                <w:szCs w:val="18"/>
                <w:lang w:val="pt-BR"/>
              </w:rPr>
              <w:t>=</w:t>
            </w:r>
            <w:r>
              <w:rPr>
                <w:rFonts w:ascii="Times New Roman" w:hAnsi="Times New Roman" w:cs="Times New Roman"/>
                <w:i/>
                <w:sz w:val="18"/>
                <w:szCs w:val="18"/>
                <w:lang w:val="pt-BR" w:eastAsia="zh-CN"/>
              </w:rPr>
              <w:t>F</w:t>
            </w:r>
            <m:oMath>
              <m:r>
                <m:rPr/>
                <w:rPr>
                  <w:rFonts w:ascii="Cambria Math" w:hAnsi="Cambria Math"/>
                  <w:sz w:val="18"/>
                  <w:szCs w:val="18"/>
                  <w:lang w:val="pt-BR"/>
                </w:rPr>
                <m:t>×</m:t>
              </m:r>
            </m:oMath>
            <w:r>
              <w:rPr>
                <w:rFonts w:ascii="Times New Roman" w:hAnsi="Times New Roman" w:cs="Times New Roman"/>
                <w:i/>
                <w:sz w:val="18"/>
                <w:szCs w:val="18"/>
                <w:lang w:val="pt-BR" w:eastAsia="zh-CN"/>
              </w:rPr>
              <w:t>J</w:t>
            </w:r>
            <w:r>
              <w:rPr>
                <w:rFonts w:ascii="Times New Roman" w:hAnsi="Times New Roman" w:cs="Times New Roman"/>
                <w:color w:val="auto"/>
                <w:sz w:val="18"/>
                <w:szCs w:val="18"/>
                <w:lang w:val="pt-BR" w:eastAsia="zh-CN"/>
              </w:rPr>
              <w:t>)</w:t>
            </w:r>
          </w:p>
          <w:p>
            <w:pPr>
              <w:pStyle w:val="55"/>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eastAsia="zh-CN"/>
              </w:rPr>
              <w:t>排放量</w:t>
            </w:r>
          </w:p>
          <w:p>
            <w:pPr>
              <w:pStyle w:val="55"/>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(tCO</w:t>
            </w:r>
            <w:r>
              <w:rPr>
                <w:rFonts w:ascii="Times New Roman" w:hAnsi="Times New Roman" w:cs="Times New Roman"/>
                <w:b/>
                <w:color w:val="auto"/>
                <w:sz w:val="18"/>
                <w:szCs w:val="18"/>
                <w:vertAlign w:val="subscript"/>
                <w:lang w:val="pt-BR" w:eastAsia="zh-CN"/>
              </w:rPr>
              <w:t>2</w:t>
            </w:r>
            <w:r>
              <w:rPr>
                <w:rFonts w:ascii="Times New Roman" w:hAnsi="Times New Roman" w:cs="Times New Roman"/>
                <w:b/>
                <w:color w:val="auto"/>
                <w:sz w:val="18"/>
                <w:szCs w:val="18"/>
                <w:lang w:val="pt-BR" w:eastAsia="zh-CN"/>
              </w:rPr>
              <w:t>)</w:t>
            </w:r>
          </w:p>
        </w:tc>
      </w:tr>
      <w:tr>
        <w:tblPrEx>
          <w:tblCellMar>
            <w:top w:w="0" w:type="dxa"/>
            <w:left w:w="108" w:type="dxa"/>
            <w:bottom w:w="0" w:type="dxa"/>
            <w:right w:w="108" w:type="dxa"/>
          </w:tblCellMar>
        </w:tblPrEx>
        <w:trPr>
          <w:trHeight w:val="332" w:hRule="exact"/>
          <w:jc w:val="center"/>
        </w:trPr>
        <w:tc>
          <w:tcPr>
            <w:tcW w:w="79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111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left"/>
              <w:rPr>
                <w:rFonts w:ascii="Times New Roman" w:hAnsi="Times New Roman" w:cs="Times New Roman"/>
                <w:color w:val="FF0000"/>
                <w:sz w:val="18"/>
                <w:szCs w:val="18"/>
              </w:rPr>
            </w:pPr>
            <w:r>
              <w:rPr>
                <w:rFonts w:ascii="Times New Roman" w:hAnsi="Times New Roman" w:cs="Times New Roman"/>
                <w:color w:val="auto"/>
                <w:sz w:val="18"/>
                <w:szCs w:val="18"/>
              </w:rPr>
              <w:t>汽油</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17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r>
              <w:rPr>
                <w:rFonts w:ascii="Times New Roman" w:hAnsi="Times New Roman"/>
                <w:sz w:val="18"/>
                <w:szCs w:val="18"/>
              </w:rPr>
              <w:t>44.800</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1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170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r>
              <w:rPr>
                <w:rFonts w:ascii="Times New Roman" w:hAnsi="Times New Roman" w:cs="Times New Roman"/>
                <w:color w:val="auto"/>
                <w:sz w:val="18"/>
                <w:szCs w:val="18"/>
                <w:lang w:eastAsia="zh-CN"/>
              </w:rPr>
              <w:t>18.9</w:t>
            </w:r>
          </w:p>
        </w:tc>
        <w:tc>
          <w:tcPr>
            <w:tcW w:w="117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r>
              <w:rPr>
                <w:rFonts w:ascii="Times New Roman" w:hAnsi="Times New Roman" w:cs="Times New Roman"/>
                <w:color w:val="auto"/>
                <w:sz w:val="18"/>
                <w:szCs w:val="18"/>
                <w:lang w:eastAsia="zh-CN"/>
              </w:rPr>
              <w:t>98%</w:t>
            </w:r>
          </w:p>
        </w:tc>
        <w:tc>
          <w:tcPr>
            <w:tcW w:w="1175"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cs="Times New Roman"/>
                <w:color w:val="FF0000"/>
                <w:sz w:val="18"/>
                <w:szCs w:val="18"/>
                <w:lang w:eastAsia="zh-CN"/>
              </w:rPr>
            </w:pPr>
            <w:r>
              <w:rPr>
                <w:rFonts w:ascii="Times New Roman" w:hAnsi="Times New Roman" w:cs="Times New Roman"/>
                <w:color w:val="auto"/>
                <w:sz w:val="18"/>
                <w:szCs w:val="18"/>
                <w:lang w:eastAsia="zh-CN"/>
              </w:rPr>
              <w:t>44/12</w:t>
            </w:r>
          </w:p>
        </w:tc>
        <w:tc>
          <w:tcPr>
            <w:tcW w:w="141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p>
        </w:tc>
        <w:tc>
          <w:tcPr>
            <w:tcW w:w="118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p>
        </w:tc>
      </w:tr>
      <w:tr>
        <w:tblPrEx>
          <w:tblCellMar>
            <w:top w:w="0" w:type="dxa"/>
            <w:left w:w="108" w:type="dxa"/>
            <w:bottom w:w="0" w:type="dxa"/>
            <w:right w:w="108" w:type="dxa"/>
          </w:tblCellMar>
        </w:tblPrEx>
        <w:trPr>
          <w:trHeight w:val="332" w:hRule="exact"/>
          <w:jc w:val="center"/>
        </w:trPr>
        <w:tc>
          <w:tcPr>
            <w:tcW w:w="79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11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left"/>
              <w:rPr>
                <w:rFonts w:ascii="Times New Roman" w:hAnsi="Times New Roman" w:cs="Times New Roman"/>
                <w:color w:val="FF0000"/>
                <w:sz w:val="18"/>
                <w:szCs w:val="18"/>
              </w:rPr>
            </w:pPr>
            <w:r>
              <w:rPr>
                <w:rFonts w:ascii="Times New Roman" w:hAnsi="Times New Roman" w:cs="Times New Roman"/>
                <w:color w:val="auto"/>
                <w:sz w:val="18"/>
                <w:szCs w:val="18"/>
              </w:rPr>
              <w:t>柴油</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17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r>
              <w:rPr>
                <w:rFonts w:ascii="Times New Roman" w:hAnsi="Times New Roman"/>
                <w:color w:val="000000"/>
                <w:sz w:val="18"/>
                <w:szCs w:val="18"/>
              </w:rPr>
              <w:t>43.330</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1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170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r>
              <w:rPr>
                <w:rFonts w:ascii="Times New Roman" w:hAnsi="Times New Roman" w:cs="Times New Roman"/>
                <w:color w:val="auto"/>
                <w:sz w:val="18"/>
                <w:szCs w:val="18"/>
                <w:lang w:eastAsia="zh-CN"/>
              </w:rPr>
              <w:t>20.2</w:t>
            </w:r>
          </w:p>
        </w:tc>
        <w:tc>
          <w:tcPr>
            <w:tcW w:w="117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r>
              <w:rPr>
                <w:rFonts w:ascii="Times New Roman" w:hAnsi="Times New Roman" w:cs="Times New Roman"/>
                <w:color w:val="auto"/>
                <w:sz w:val="18"/>
                <w:szCs w:val="18"/>
                <w:lang w:eastAsia="zh-CN"/>
              </w:rPr>
              <w:t>98%</w:t>
            </w:r>
          </w:p>
        </w:tc>
        <w:tc>
          <w:tcPr>
            <w:tcW w:w="1175"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color w:val="FF0000"/>
                <w:sz w:val="18"/>
                <w:szCs w:val="18"/>
              </w:rPr>
            </w:pPr>
            <w:r>
              <w:rPr>
                <w:rFonts w:ascii="Times New Roman" w:hAnsi="Times New Roman" w:cs="Times New Roman"/>
                <w:color w:val="auto"/>
                <w:sz w:val="18"/>
                <w:szCs w:val="18"/>
                <w:lang w:eastAsia="zh-CN"/>
              </w:rPr>
              <w:t>44/12</w:t>
            </w:r>
          </w:p>
        </w:tc>
        <w:tc>
          <w:tcPr>
            <w:tcW w:w="141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p>
        </w:tc>
        <w:tc>
          <w:tcPr>
            <w:tcW w:w="118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p>
        </w:tc>
      </w:tr>
      <w:tr>
        <w:tblPrEx>
          <w:tblCellMar>
            <w:top w:w="0" w:type="dxa"/>
            <w:left w:w="108" w:type="dxa"/>
            <w:bottom w:w="0" w:type="dxa"/>
            <w:right w:w="108" w:type="dxa"/>
          </w:tblCellMar>
        </w:tblPrEx>
        <w:trPr>
          <w:trHeight w:val="332" w:hRule="exact"/>
          <w:jc w:val="center"/>
        </w:trPr>
        <w:tc>
          <w:tcPr>
            <w:tcW w:w="79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3</w:t>
            </w:r>
          </w:p>
        </w:tc>
        <w:tc>
          <w:tcPr>
            <w:tcW w:w="111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left"/>
              <w:rPr>
                <w:rFonts w:ascii="Times New Roman" w:hAnsi="Times New Roman" w:cs="Times New Roman"/>
                <w:color w:val="FF0000"/>
                <w:sz w:val="18"/>
                <w:szCs w:val="18"/>
              </w:rPr>
            </w:pPr>
            <w:r>
              <w:rPr>
                <w:rFonts w:ascii="Times New Roman" w:hAnsi="Times New Roman"/>
                <w:sz w:val="18"/>
                <w:szCs w:val="18"/>
              </w:rPr>
              <w:t>煤油</w:t>
            </w:r>
          </w:p>
        </w:tc>
        <w:tc>
          <w:tcPr>
            <w:tcW w:w="128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p>
        </w:tc>
        <w:tc>
          <w:tcPr>
            <w:tcW w:w="17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r>
              <w:rPr>
                <w:rFonts w:ascii="Times New Roman" w:hAnsi="Times New Roman"/>
                <w:sz w:val="18"/>
                <w:szCs w:val="18"/>
              </w:rPr>
              <w:t>44.750</w:t>
            </w:r>
          </w:p>
        </w:tc>
        <w:tc>
          <w:tcPr>
            <w:tcW w:w="123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p>
        </w:tc>
        <w:tc>
          <w:tcPr>
            <w:tcW w:w="170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r>
              <w:rPr>
                <w:rFonts w:ascii="Times New Roman" w:hAnsi="Times New Roman" w:cs="Times New Roman"/>
                <w:color w:val="auto"/>
                <w:sz w:val="18"/>
                <w:szCs w:val="18"/>
                <w:lang w:eastAsia="zh-CN"/>
              </w:rPr>
              <w:t>19.6</w:t>
            </w:r>
          </w:p>
        </w:tc>
        <w:tc>
          <w:tcPr>
            <w:tcW w:w="117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r>
              <w:rPr>
                <w:rFonts w:ascii="Times New Roman" w:hAnsi="Times New Roman" w:cs="Times New Roman"/>
                <w:color w:val="auto"/>
                <w:sz w:val="18"/>
                <w:szCs w:val="18"/>
                <w:lang w:eastAsia="zh-CN"/>
              </w:rPr>
              <w:t>98%</w:t>
            </w:r>
          </w:p>
        </w:tc>
        <w:tc>
          <w:tcPr>
            <w:tcW w:w="1175"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color w:val="FF0000"/>
                <w:sz w:val="18"/>
                <w:szCs w:val="18"/>
              </w:rPr>
            </w:pPr>
            <w:r>
              <w:rPr>
                <w:rFonts w:ascii="Times New Roman" w:hAnsi="Times New Roman" w:cs="Times New Roman"/>
                <w:color w:val="auto"/>
                <w:sz w:val="18"/>
                <w:szCs w:val="18"/>
                <w:lang w:eastAsia="zh-CN"/>
              </w:rPr>
              <w:t>44/12</w:t>
            </w:r>
          </w:p>
        </w:tc>
        <w:tc>
          <w:tcPr>
            <w:tcW w:w="141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p>
        </w:tc>
        <w:tc>
          <w:tcPr>
            <w:tcW w:w="118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p>
        </w:tc>
      </w:tr>
      <w:tr>
        <w:tblPrEx>
          <w:tblCellMar>
            <w:top w:w="0" w:type="dxa"/>
            <w:left w:w="108" w:type="dxa"/>
            <w:bottom w:w="0" w:type="dxa"/>
            <w:right w:w="108" w:type="dxa"/>
          </w:tblCellMar>
        </w:tblPrEx>
        <w:trPr>
          <w:trHeight w:val="332" w:hRule="exact"/>
          <w:jc w:val="center"/>
        </w:trPr>
        <w:tc>
          <w:tcPr>
            <w:tcW w:w="79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11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left"/>
              <w:rPr>
                <w:rFonts w:ascii="Times New Roman" w:hAnsi="Times New Roman" w:cs="Times New Roman"/>
                <w:color w:val="FF0000"/>
                <w:sz w:val="18"/>
                <w:szCs w:val="18"/>
                <w:lang w:eastAsia="zh-CN"/>
              </w:rPr>
            </w:pPr>
            <w:r>
              <w:rPr>
                <w:rFonts w:ascii="Times New Roman" w:hAnsi="Times New Roman" w:cs="Times New Roman"/>
                <w:color w:val="auto"/>
                <w:sz w:val="18"/>
                <w:szCs w:val="18"/>
              </w:rPr>
              <w:t>燃料油</w:t>
            </w:r>
          </w:p>
        </w:tc>
        <w:tc>
          <w:tcPr>
            <w:tcW w:w="128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p>
        </w:tc>
        <w:tc>
          <w:tcPr>
            <w:tcW w:w="17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r>
              <w:rPr>
                <w:rFonts w:ascii="Times New Roman" w:hAnsi="Times New Roman"/>
                <w:sz w:val="18"/>
                <w:szCs w:val="18"/>
              </w:rPr>
              <w:t>40.190</w:t>
            </w:r>
          </w:p>
        </w:tc>
        <w:tc>
          <w:tcPr>
            <w:tcW w:w="123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p>
        </w:tc>
        <w:tc>
          <w:tcPr>
            <w:tcW w:w="170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r>
              <w:rPr>
                <w:rFonts w:ascii="Times New Roman" w:hAnsi="Times New Roman" w:cs="Times New Roman"/>
                <w:color w:val="auto"/>
                <w:sz w:val="18"/>
                <w:szCs w:val="18"/>
                <w:lang w:eastAsia="zh-CN"/>
              </w:rPr>
              <w:t>21.1</w:t>
            </w:r>
          </w:p>
        </w:tc>
        <w:tc>
          <w:tcPr>
            <w:tcW w:w="117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r>
              <w:rPr>
                <w:rFonts w:ascii="Times New Roman" w:hAnsi="Times New Roman" w:cs="Times New Roman"/>
                <w:color w:val="auto"/>
                <w:sz w:val="18"/>
                <w:szCs w:val="18"/>
                <w:lang w:eastAsia="zh-CN"/>
              </w:rPr>
              <w:t>98%</w:t>
            </w:r>
          </w:p>
        </w:tc>
        <w:tc>
          <w:tcPr>
            <w:tcW w:w="1175"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color w:val="FF0000"/>
                <w:sz w:val="18"/>
                <w:szCs w:val="18"/>
              </w:rPr>
            </w:pPr>
            <w:r>
              <w:rPr>
                <w:rFonts w:ascii="Times New Roman" w:hAnsi="Times New Roman" w:cs="Times New Roman"/>
                <w:color w:val="auto"/>
                <w:sz w:val="18"/>
                <w:szCs w:val="18"/>
                <w:lang w:eastAsia="zh-CN"/>
              </w:rPr>
              <w:t>44/12</w:t>
            </w:r>
          </w:p>
        </w:tc>
        <w:tc>
          <w:tcPr>
            <w:tcW w:w="141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p>
        </w:tc>
        <w:tc>
          <w:tcPr>
            <w:tcW w:w="118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p>
        </w:tc>
      </w:tr>
      <w:tr>
        <w:tblPrEx>
          <w:tblCellMar>
            <w:top w:w="0" w:type="dxa"/>
            <w:left w:w="108" w:type="dxa"/>
            <w:bottom w:w="0" w:type="dxa"/>
            <w:right w:w="108" w:type="dxa"/>
          </w:tblCellMar>
        </w:tblPrEx>
        <w:trPr>
          <w:trHeight w:val="332" w:hRule="exact"/>
          <w:jc w:val="center"/>
        </w:trPr>
        <w:tc>
          <w:tcPr>
            <w:tcW w:w="79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11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left"/>
              <w:rPr>
                <w:rFonts w:ascii="Times New Roman" w:hAnsi="Times New Roman" w:cs="Times New Roman"/>
                <w:color w:val="FF0000"/>
                <w:sz w:val="18"/>
                <w:szCs w:val="18"/>
                <w:lang w:eastAsia="zh-CN"/>
              </w:rPr>
            </w:pPr>
            <w:r>
              <w:rPr>
                <w:rFonts w:ascii="Times New Roman" w:hAnsi="Times New Roman" w:cs="Times New Roman"/>
                <w:color w:val="auto"/>
                <w:sz w:val="18"/>
                <w:szCs w:val="18"/>
                <w:lang w:eastAsia="zh-CN"/>
              </w:rPr>
              <w:t>液化石油气</w:t>
            </w:r>
          </w:p>
        </w:tc>
        <w:tc>
          <w:tcPr>
            <w:tcW w:w="128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p>
        </w:tc>
        <w:tc>
          <w:tcPr>
            <w:tcW w:w="17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r>
              <w:rPr>
                <w:rFonts w:ascii="Times New Roman" w:hAnsi="Times New Roman"/>
                <w:color w:val="000000"/>
                <w:sz w:val="18"/>
                <w:szCs w:val="18"/>
              </w:rPr>
              <w:t>47.310</w:t>
            </w:r>
          </w:p>
        </w:tc>
        <w:tc>
          <w:tcPr>
            <w:tcW w:w="123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p>
        </w:tc>
        <w:tc>
          <w:tcPr>
            <w:tcW w:w="170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r>
              <w:rPr>
                <w:rFonts w:ascii="Times New Roman" w:hAnsi="Times New Roman" w:cs="Times New Roman"/>
                <w:color w:val="auto"/>
                <w:sz w:val="18"/>
                <w:szCs w:val="18"/>
                <w:lang w:eastAsia="zh-CN"/>
              </w:rPr>
              <w:t>17.2</w:t>
            </w:r>
          </w:p>
        </w:tc>
        <w:tc>
          <w:tcPr>
            <w:tcW w:w="117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r>
              <w:rPr>
                <w:rFonts w:ascii="Times New Roman" w:hAnsi="Times New Roman" w:cs="Times New Roman"/>
                <w:color w:val="auto"/>
                <w:sz w:val="18"/>
                <w:szCs w:val="18"/>
                <w:lang w:eastAsia="zh-CN"/>
              </w:rPr>
              <w:t>98%</w:t>
            </w:r>
          </w:p>
        </w:tc>
        <w:tc>
          <w:tcPr>
            <w:tcW w:w="1175"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color w:val="FF0000"/>
                <w:sz w:val="18"/>
                <w:szCs w:val="18"/>
              </w:rPr>
            </w:pPr>
            <w:r>
              <w:rPr>
                <w:rFonts w:ascii="Times New Roman" w:hAnsi="Times New Roman" w:cs="Times New Roman"/>
                <w:color w:val="auto"/>
                <w:sz w:val="18"/>
                <w:szCs w:val="18"/>
                <w:lang w:eastAsia="zh-CN"/>
              </w:rPr>
              <w:t>44/12</w:t>
            </w:r>
          </w:p>
        </w:tc>
        <w:tc>
          <w:tcPr>
            <w:tcW w:w="141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p>
        </w:tc>
        <w:tc>
          <w:tcPr>
            <w:tcW w:w="118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p>
        </w:tc>
      </w:tr>
      <w:tr>
        <w:tblPrEx>
          <w:tblCellMar>
            <w:top w:w="0" w:type="dxa"/>
            <w:left w:w="108" w:type="dxa"/>
            <w:bottom w:w="0" w:type="dxa"/>
            <w:right w:w="108" w:type="dxa"/>
          </w:tblCellMar>
        </w:tblPrEx>
        <w:trPr>
          <w:trHeight w:val="332" w:hRule="exact"/>
          <w:jc w:val="center"/>
        </w:trPr>
        <w:tc>
          <w:tcPr>
            <w:tcW w:w="79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6</w:t>
            </w:r>
          </w:p>
        </w:tc>
        <w:tc>
          <w:tcPr>
            <w:tcW w:w="111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left"/>
              <w:rPr>
                <w:rFonts w:ascii="Times New Roman" w:hAnsi="Times New Roman" w:cs="Times New Roman"/>
                <w:color w:val="FF0000"/>
                <w:sz w:val="18"/>
                <w:szCs w:val="18"/>
              </w:rPr>
            </w:pPr>
            <w:r>
              <w:rPr>
                <w:rFonts w:ascii="Times New Roman" w:hAnsi="Times New Roman" w:cs="Times New Roman"/>
                <w:sz w:val="18"/>
                <w:szCs w:val="18"/>
              </w:rPr>
              <w:t>其他油品</w:t>
            </w:r>
          </w:p>
        </w:tc>
        <w:tc>
          <w:tcPr>
            <w:tcW w:w="1284"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p>
        </w:tc>
        <w:tc>
          <w:tcPr>
            <w:tcW w:w="17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r>
              <w:rPr>
                <w:rFonts w:ascii="Times New Roman" w:hAnsi="Times New Roman"/>
                <w:sz w:val="18"/>
                <w:szCs w:val="18"/>
              </w:rPr>
              <w:t>41.031</w:t>
            </w:r>
          </w:p>
        </w:tc>
        <w:tc>
          <w:tcPr>
            <w:tcW w:w="123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p>
        </w:tc>
        <w:tc>
          <w:tcPr>
            <w:tcW w:w="170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r>
              <w:rPr>
                <w:rFonts w:ascii="Times New Roman" w:hAnsi="Times New Roman" w:cs="Times New Roman"/>
                <w:color w:val="auto"/>
                <w:sz w:val="18"/>
                <w:szCs w:val="18"/>
                <w:lang w:eastAsia="zh-CN"/>
              </w:rPr>
              <w:t>20.0</w:t>
            </w:r>
          </w:p>
        </w:tc>
        <w:tc>
          <w:tcPr>
            <w:tcW w:w="117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r>
              <w:rPr>
                <w:rFonts w:ascii="Times New Roman" w:hAnsi="Times New Roman" w:cs="Times New Roman"/>
                <w:color w:val="auto"/>
                <w:sz w:val="18"/>
                <w:szCs w:val="18"/>
                <w:lang w:eastAsia="zh-CN"/>
              </w:rPr>
              <w:t>98%</w:t>
            </w:r>
          </w:p>
        </w:tc>
        <w:tc>
          <w:tcPr>
            <w:tcW w:w="1175"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color w:val="FF0000"/>
                <w:sz w:val="18"/>
                <w:szCs w:val="18"/>
              </w:rPr>
            </w:pPr>
            <w:r>
              <w:rPr>
                <w:rFonts w:ascii="Times New Roman" w:hAnsi="Times New Roman" w:cs="Times New Roman"/>
                <w:color w:val="auto"/>
                <w:sz w:val="18"/>
                <w:szCs w:val="18"/>
                <w:lang w:eastAsia="zh-CN"/>
              </w:rPr>
              <w:t>44/12</w:t>
            </w:r>
          </w:p>
        </w:tc>
        <w:tc>
          <w:tcPr>
            <w:tcW w:w="141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p>
        </w:tc>
        <w:tc>
          <w:tcPr>
            <w:tcW w:w="118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p>
        </w:tc>
      </w:tr>
      <w:tr>
        <w:tblPrEx>
          <w:tblCellMar>
            <w:top w:w="0" w:type="dxa"/>
            <w:left w:w="108" w:type="dxa"/>
            <w:bottom w:w="0" w:type="dxa"/>
            <w:right w:w="108" w:type="dxa"/>
          </w:tblCellMar>
        </w:tblPrEx>
        <w:trPr>
          <w:trHeight w:val="332" w:hRule="exact"/>
          <w:jc w:val="center"/>
        </w:trPr>
        <w:tc>
          <w:tcPr>
            <w:tcW w:w="79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7</w:t>
            </w:r>
          </w:p>
        </w:tc>
        <w:tc>
          <w:tcPr>
            <w:tcW w:w="111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left"/>
              <w:rPr>
                <w:rFonts w:ascii="Times New Roman" w:hAnsi="Times New Roman" w:cs="Times New Roman"/>
                <w:color w:val="FF0000"/>
                <w:sz w:val="18"/>
                <w:szCs w:val="18"/>
              </w:rPr>
            </w:pPr>
            <w:r>
              <w:rPr>
                <w:rFonts w:ascii="Times New Roman" w:hAnsi="Times New Roman" w:cs="Times New Roman"/>
                <w:color w:val="auto"/>
                <w:sz w:val="18"/>
                <w:szCs w:val="18"/>
              </w:rPr>
              <w:t>天然气</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17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r>
              <w:rPr>
                <w:rFonts w:ascii="Times New Roman" w:hAnsi="Times New Roman"/>
                <w:sz w:val="18"/>
                <w:szCs w:val="18"/>
              </w:rPr>
              <w:t>389.31</w:t>
            </w: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1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170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r>
              <w:rPr>
                <w:rFonts w:ascii="Times New Roman" w:hAnsi="Times New Roman" w:cs="Times New Roman"/>
                <w:color w:val="auto"/>
                <w:sz w:val="18"/>
                <w:szCs w:val="18"/>
                <w:lang w:eastAsia="zh-CN"/>
              </w:rPr>
              <w:t>15.3</w:t>
            </w:r>
          </w:p>
        </w:tc>
        <w:tc>
          <w:tcPr>
            <w:tcW w:w="117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r>
              <w:rPr>
                <w:rFonts w:ascii="Times New Roman" w:hAnsi="Times New Roman" w:cs="Times New Roman"/>
                <w:color w:val="auto"/>
                <w:sz w:val="18"/>
                <w:szCs w:val="18"/>
                <w:lang w:eastAsia="zh-CN"/>
              </w:rPr>
              <w:t>99%</w:t>
            </w:r>
          </w:p>
        </w:tc>
        <w:tc>
          <w:tcPr>
            <w:tcW w:w="1175"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color w:val="FF0000"/>
                <w:sz w:val="18"/>
                <w:szCs w:val="18"/>
              </w:rPr>
            </w:pPr>
            <w:r>
              <w:rPr>
                <w:rFonts w:ascii="Times New Roman" w:hAnsi="Times New Roman" w:cs="Times New Roman"/>
                <w:color w:val="auto"/>
                <w:sz w:val="18"/>
                <w:szCs w:val="18"/>
                <w:lang w:eastAsia="zh-CN"/>
              </w:rPr>
              <w:t>44/12</w:t>
            </w:r>
          </w:p>
        </w:tc>
        <w:tc>
          <w:tcPr>
            <w:tcW w:w="141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p>
        </w:tc>
        <w:tc>
          <w:tcPr>
            <w:tcW w:w="118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p>
        </w:tc>
      </w:tr>
      <w:tr>
        <w:tblPrEx>
          <w:tblCellMar>
            <w:top w:w="0" w:type="dxa"/>
            <w:left w:w="108" w:type="dxa"/>
            <w:bottom w:w="0" w:type="dxa"/>
            <w:right w:w="108" w:type="dxa"/>
          </w:tblCellMar>
        </w:tblPrEx>
        <w:trPr>
          <w:trHeight w:val="332" w:hRule="exact"/>
          <w:jc w:val="center"/>
        </w:trPr>
        <w:tc>
          <w:tcPr>
            <w:tcW w:w="79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11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left"/>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7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12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70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12.2</w:t>
            </w:r>
          </w:p>
        </w:tc>
        <w:tc>
          <w:tcPr>
            <w:tcW w:w="117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99%</w:t>
            </w:r>
          </w:p>
        </w:tc>
        <w:tc>
          <w:tcPr>
            <w:tcW w:w="1175" w:type="dxa"/>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sz w:val="18"/>
                <w:szCs w:val="18"/>
              </w:rPr>
            </w:pPr>
            <w:r>
              <w:rPr>
                <w:rFonts w:ascii="Times New Roman" w:hAnsi="Times New Roman" w:cs="Times New Roman"/>
                <w:color w:val="auto"/>
                <w:sz w:val="18"/>
                <w:szCs w:val="18"/>
                <w:lang w:eastAsia="zh-CN"/>
              </w:rPr>
              <w:t>44/12</w:t>
            </w:r>
          </w:p>
        </w:tc>
        <w:tc>
          <w:tcPr>
            <w:tcW w:w="141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118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trHeight w:val="332" w:hRule="exact"/>
          <w:jc w:val="center"/>
        </w:trPr>
        <w:tc>
          <w:tcPr>
            <w:tcW w:w="79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2151" w:type="dxa"/>
            <w:gridSpan w:val="9"/>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lang w:eastAsia="zh-CN"/>
              </w:rPr>
              <w:t>年排放量</w:t>
            </w:r>
          </w:p>
        </w:tc>
        <w:tc>
          <w:tcPr>
            <w:tcW w:w="118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bl>
    <w:p>
      <w:pPr>
        <w:ind w:firstLine="0" w:firstLineChars="0"/>
        <w:rPr>
          <w:rFonts w:ascii="Times New Roman" w:hAnsi="Times New Roman"/>
          <w:sz w:val="18"/>
          <w:szCs w:val="18"/>
        </w:rPr>
        <w:sectPr>
          <w:footerReference r:id="rId20" w:type="default"/>
          <w:pgSz w:w="16838" w:h="11906" w:orient="landscape"/>
          <w:pgMar w:top="1587" w:right="1440" w:bottom="1474" w:left="1440" w:header="851" w:footer="1134" w:gutter="0"/>
          <w:paperSrc/>
          <w:pgNumType w:fmt="decimal"/>
          <w:cols w:space="0" w:num="1"/>
          <w:rtlGutter w:val="0"/>
          <w:docGrid w:type="lines" w:linePitch="326" w:charSpace="0"/>
        </w:sectPr>
      </w:pPr>
      <w:r>
        <w:rPr>
          <w:rFonts w:ascii="Times New Roman" w:hAnsi="Times New Roman"/>
          <w:sz w:val="18"/>
          <w:szCs w:val="18"/>
        </w:rPr>
        <w:t>注：1</w:t>
      </w:r>
      <w:r>
        <w:rPr>
          <w:rFonts w:hint="eastAsia" w:ascii="Times New Roman" w:hAnsi="Times New Roman"/>
          <w:sz w:val="18"/>
          <w:szCs w:val="18"/>
        </w:rPr>
        <w:t>）</w:t>
      </w:r>
      <w:r>
        <w:rPr>
          <w:rFonts w:ascii="Times New Roman" w:hAnsi="Times New Roman"/>
          <w:sz w:val="18"/>
          <w:szCs w:val="18"/>
        </w:rPr>
        <w:t>不包括用于交通运输的燃料；2</w:t>
      </w:r>
      <w:r>
        <w:rPr>
          <w:rFonts w:hint="eastAsia" w:ascii="Times New Roman" w:hAnsi="Times New Roman"/>
          <w:sz w:val="18"/>
          <w:szCs w:val="18"/>
        </w:rPr>
        <w:t>）</w:t>
      </w:r>
      <w:r>
        <w:rPr>
          <w:rFonts w:ascii="Times New Roman" w:hAnsi="Times New Roman"/>
          <w:sz w:val="18"/>
          <w:szCs w:val="18"/>
        </w:rPr>
        <w:t>不包括京外能耗；</w:t>
      </w:r>
      <w:r>
        <w:rPr>
          <w:rFonts w:hint="eastAsia" w:ascii="Times New Roman" w:hAnsi="Times New Roman"/>
          <w:sz w:val="18"/>
          <w:szCs w:val="18"/>
          <w:lang w:val="en-US" w:eastAsia="zh-CN"/>
        </w:rPr>
        <w:t>3</w:t>
      </w:r>
      <w:r>
        <w:rPr>
          <w:rFonts w:hint="eastAsia" w:ascii="Times New Roman" w:hAnsi="Times New Roman"/>
          <w:sz w:val="18"/>
          <w:szCs w:val="18"/>
        </w:rPr>
        <w:t>）</w:t>
      </w:r>
      <w:r>
        <w:rPr>
          <w:rFonts w:ascii="Times New Roman" w:hAnsi="Times New Roman"/>
          <w:sz w:val="18"/>
          <w:szCs w:val="18"/>
        </w:rPr>
        <w:t>其他能源请注明是什么能源品种；</w:t>
      </w:r>
      <w:r>
        <w:rPr>
          <w:rFonts w:hint="eastAsia" w:ascii="Times New Roman" w:hAnsi="Times New Roman"/>
          <w:sz w:val="18"/>
          <w:szCs w:val="18"/>
          <w:lang w:val="en-US" w:eastAsia="zh-CN"/>
        </w:rPr>
        <w:t>4</w:t>
      </w:r>
      <w:r>
        <w:rPr>
          <w:rFonts w:hint="eastAsia" w:ascii="Times New Roman" w:hAnsi="Times New Roman"/>
          <w:sz w:val="18"/>
          <w:szCs w:val="18"/>
        </w:rPr>
        <w:t>）</w:t>
      </w:r>
      <w:r>
        <w:rPr>
          <w:rFonts w:ascii="Times New Roman" w:hAnsi="Times New Roman"/>
          <w:sz w:val="18"/>
          <w:szCs w:val="18"/>
        </w:rPr>
        <w:t>小数点后保留2位；</w:t>
      </w:r>
    </w:p>
    <w:p>
      <w:pPr>
        <w:adjustRightInd w:val="0"/>
        <w:snapToGrid w:val="0"/>
        <w:ind w:firstLine="0" w:firstLineChars="0"/>
        <w:jc w:val="center"/>
        <w:rPr>
          <w:rFonts w:ascii="Times New Roman" w:hAnsi="Times New Roman"/>
          <w:b/>
          <w:sz w:val="21"/>
          <w:szCs w:val="21"/>
        </w:rPr>
      </w:pPr>
      <w:r>
        <w:rPr>
          <w:rFonts w:hint="eastAsia" w:ascii="Times New Roman" w:hAnsi="Times New Roman"/>
          <w:b/>
          <w:sz w:val="21"/>
          <w:szCs w:val="21"/>
        </w:rPr>
        <w:t>表</w:t>
      </w:r>
      <w:r>
        <w:rPr>
          <w:rFonts w:ascii="Times New Roman" w:hAnsi="Times New Roman"/>
          <w:b/>
          <w:sz w:val="21"/>
          <w:szCs w:val="21"/>
        </w:rPr>
        <w:t>BG-2</w:t>
      </w:r>
      <w:r>
        <w:rPr>
          <w:rFonts w:hint="eastAsia" w:ascii="Times New Roman" w:hAnsi="Times New Roman"/>
          <w:b/>
          <w:sz w:val="21"/>
          <w:szCs w:val="21"/>
        </w:rPr>
        <w:t>H报告单位</w:t>
      </w:r>
      <w:r>
        <w:rPr>
          <w:rFonts w:ascii="Times New Roman" w:hAnsi="Times New Roman"/>
          <w:b/>
          <w:sz w:val="21"/>
          <w:szCs w:val="21"/>
          <w:u w:val="single"/>
        </w:rPr>
        <w:t xml:space="preserve">20   </w:t>
      </w:r>
      <w:r>
        <w:rPr>
          <w:rFonts w:hint="eastAsia" w:ascii="Times New Roman" w:hAnsi="Times New Roman"/>
          <w:b/>
          <w:sz w:val="21"/>
          <w:szCs w:val="21"/>
        </w:rPr>
        <w:t>年化石燃料二氧化碳直接排放（移动设施）</w:t>
      </w:r>
    </w:p>
    <w:tbl>
      <w:tblPr>
        <w:tblStyle w:val="27"/>
        <w:tblW w:w="5000" w:type="pct"/>
        <w:jc w:val="center"/>
        <w:tblLayout w:type="fixed"/>
        <w:tblCellMar>
          <w:top w:w="0" w:type="dxa"/>
          <w:left w:w="108" w:type="dxa"/>
          <w:bottom w:w="0" w:type="dxa"/>
          <w:right w:w="108" w:type="dxa"/>
        </w:tblCellMar>
      </w:tblPr>
      <w:tblGrid>
        <w:gridCol w:w="428"/>
        <w:gridCol w:w="717"/>
        <w:gridCol w:w="1157"/>
        <w:gridCol w:w="1151"/>
        <w:gridCol w:w="1582"/>
        <w:gridCol w:w="1298"/>
        <w:gridCol w:w="1151"/>
        <w:gridCol w:w="1729"/>
        <w:gridCol w:w="1154"/>
        <w:gridCol w:w="1151"/>
        <w:gridCol w:w="1443"/>
        <w:gridCol w:w="1213"/>
      </w:tblGrid>
      <w:tr>
        <w:tblPrEx>
          <w:tblCellMar>
            <w:top w:w="0" w:type="dxa"/>
            <w:left w:w="108" w:type="dxa"/>
            <w:bottom w:w="0" w:type="dxa"/>
            <w:right w:w="108" w:type="dxa"/>
          </w:tblCellMar>
        </w:tblPrEx>
        <w:trPr>
          <w:jc w:val="center"/>
        </w:trPr>
        <w:tc>
          <w:tcPr>
            <w:tcW w:w="151"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p>
        </w:tc>
        <w:tc>
          <w:tcPr>
            <w:tcW w:w="253"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A</w:t>
            </w:r>
          </w:p>
          <w:p>
            <w:pPr>
              <w:pStyle w:val="55"/>
              <w:snapToGrid w:val="0"/>
              <w:spacing w:line="320" w:lineRule="exact"/>
              <w:jc w:val="center"/>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序号</w:t>
            </w:r>
          </w:p>
        </w:tc>
        <w:tc>
          <w:tcPr>
            <w:tcW w:w="40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B</w:t>
            </w:r>
          </w:p>
          <w:p>
            <w:pPr>
              <w:pStyle w:val="55"/>
              <w:snapToGrid w:val="0"/>
              <w:spacing w:line="320" w:lineRule="exact"/>
              <w:jc w:val="center"/>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燃料品种</w:t>
            </w:r>
          </w:p>
        </w:tc>
        <w:tc>
          <w:tcPr>
            <w:tcW w:w="406"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C</w:t>
            </w:r>
          </w:p>
          <w:p>
            <w:pPr>
              <w:pStyle w:val="55"/>
              <w:snapToGrid w:val="0"/>
              <w:spacing w:line="320" w:lineRule="exact"/>
              <w:jc w:val="center"/>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年消费量</w:t>
            </w:r>
          </w:p>
          <w:p>
            <w:pPr>
              <w:pStyle w:val="55"/>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w:t>
            </w:r>
          </w:p>
        </w:tc>
        <w:tc>
          <w:tcPr>
            <w:tcW w:w="55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D</w:t>
            </w:r>
          </w:p>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热值</w:t>
            </w:r>
          </w:p>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GJ/t</w:t>
            </w:r>
          </w:p>
        </w:tc>
        <w:tc>
          <w:tcPr>
            <w:tcW w:w="45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E</w:t>
            </w:r>
            <w:r>
              <w:rPr>
                <w:rFonts w:ascii="Times New Roman" w:hAnsi="Times New Roman" w:cs="Times New Roman"/>
                <w:color w:val="auto"/>
                <w:sz w:val="18"/>
                <w:szCs w:val="18"/>
                <w:lang w:eastAsia="zh-CN"/>
              </w:rPr>
              <w:t>(</w:t>
            </w:r>
            <w:r>
              <w:rPr>
                <w:rFonts w:ascii="Times New Roman" w:hAnsi="Times New Roman" w:cs="Times New Roman"/>
                <w:i/>
                <w:sz w:val="18"/>
                <w:szCs w:val="18"/>
              </w:rPr>
              <w:t>=C</w:t>
            </w:r>
            <w:r>
              <w:rPr>
                <w:rFonts w:ascii="Times New Roman" w:hAnsi="Times New Roman" w:cs="Times New Roman"/>
                <w:sz w:val="18"/>
                <w:szCs w:val="18"/>
              </w:rPr>
              <w:sym w:font="Symbol" w:char="F0B4"/>
            </w:r>
            <w:r>
              <w:rPr>
                <w:rFonts w:ascii="Times New Roman" w:hAnsi="Times New Roman" w:cs="Times New Roman"/>
                <w:i/>
                <w:sz w:val="18"/>
                <w:szCs w:val="18"/>
              </w:rPr>
              <w:t>D</w:t>
            </w:r>
            <w:r>
              <w:rPr>
                <w:rFonts w:ascii="Times New Roman" w:hAnsi="Times New Roman" w:cs="Times New Roman"/>
                <w:color w:val="auto"/>
                <w:sz w:val="18"/>
                <w:szCs w:val="18"/>
                <w:lang w:eastAsia="zh-CN"/>
              </w:rPr>
              <w:t>)</w:t>
            </w:r>
          </w:p>
          <w:p>
            <w:pPr>
              <w:pStyle w:val="55"/>
              <w:snapToGrid w:val="0"/>
              <w:spacing w:line="320" w:lineRule="exact"/>
              <w:jc w:val="center"/>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燃料热量</w:t>
            </w:r>
          </w:p>
          <w:p>
            <w:pPr>
              <w:pStyle w:val="55"/>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(GJ)</w:t>
            </w:r>
          </w:p>
        </w:tc>
        <w:tc>
          <w:tcPr>
            <w:tcW w:w="406"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F</w:t>
            </w:r>
            <w:r>
              <w:rPr>
                <w:rFonts w:ascii="Times New Roman" w:hAnsi="Times New Roman" w:cs="Times New Roman"/>
                <w:color w:val="auto"/>
                <w:sz w:val="18"/>
                <w:szCs w:val="18"/>
                <w:lang w:eastAsia="zh-CN"/>
              </w:rPr>
              <w:t>(</w:t>
            </w:r>
            <w:r>
              <w:rPr>
                <w:rFonts w:ascii="Times New Roman" w:hAnsi="Times New Roman" w:cs="Times New Roman"/>
                <w:i/>
                <w:sz w:val="18"/>
                <w:szCs w:val="18"/>
              </w:rPr>
              <w:t>=E/1000</w:t>
            </w:r>
            <w:r>
              <w:rPr>
                <w:rFonts w:ascii="Times New Roman" w:hAnsi="Times New Roman" w:cs="Times New Roman"/>
                <w:color w:val="auto"/>
                <w:sz w:val="18"/>
                <w:szCs w:val="18"/>
                <w:lang w:eastAsia="zh-CN"/>
              </w:rPr>
              <w:t>)</w:t>
            </w:r>
          </w:p>
          <w:p>
            <w:pPr>
              <w:pStyle w:val="55"/>
              <w:snapToGrid w:val="0"/>
              <w:spacing w:line="320" w:lineRule="exact"/>
              <w:jc w:val="center"/>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燃料热量</w:t>
            </w:r>
          </w:p>
          <w:p>
            <w:pPr>
              <w:pStyle w:val="55"/>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(TJ)</w:t>
            </w:r>
          </w:p>
        </w:tc>
        <w:tc>
          <w:tcPr>
            <w:tcW w:w="610"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w:t>
            </w:r>
          </w:p>
          <w:p>
            <w:pPr>
              <w:pStyle w:val="55"/>
              <w:snapToGrid w:val="0"/>
              <w:spacing w:line="320" w:lineRule="exact"/>
              <w:jc w:val="center"/>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单位热值含碳量</w:t>
            </w:r>
          </w:p>
          <w:p>
            <w:pPr>
              <w:pStyle w:val="55"/>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(tC/TJ)</w:t>
            </w:r>
          </w:p>
        </w:tc>
        <w:tc>
          <w:tcPr>
            <w:tcW w:w="407"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H</w:t>
            </w:r>
          </w:p>
          <w:p>
            <w:pPr>
              <w:pStyle w:val="55"/>
              <w:snapToGrid w:val="0"/>
              <w:spacing w:line="320" w:lineRule="exact"/>
              <w:jc w:val="center"/>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碳氧化率</w:t>
            </w:r>
          </w:p>
        </w:tc>
        <w:tc>
          <w:tcPr>
            <w:tcW w:w="406"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I</w:t>
            </w:r>
          </w:p>
          <w:p>
            <w:pPr>
              <w:pStyle w:val="55"/>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CO</w:t>
            </w:r>
            <w:r>
              <w:rPr>
                <w:rFonts w:ascii="Times New Roman" w:hAnsi="Times New Roman" w:cs="Times New Roman"/>
                <w:b/>
                <w:color w:val="auto"/>
                <w:sz w:val="18"/>
                <w:szCs w:val="18"/>
                <w:vertAlign w:val="subscript"/>
                <w:lang w:eastAsia="zh-CN"/>
              </w:rPr>
              <w:t>2</w:t>
            </w:r>
            <w:r>
              <w:rPr>
                <w:rFonts w:hint="eastAsia" w:ascii="Times New Roman" w:hAnsi="Times New Roman" w:cs="Times New Roman"/>
                <w:b/>
                <w:color w:val="auto"/>
                <w:sz w:val="18"/>
                <w:szCs w:val="18"/>
                <w:lang w:eastAsia="zh-CN"/>
              </w:rPr>
              <w:t>与碳分子量比</w:t>
            </w:r>
          </w:p>
        </w:tc>
        <w:tc>
          <w:tcPr>
            <w:tcW w:w="509"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J</w:t>
            </w:r>
            <w:r>
              <w:rPr>
                <w:rFonts w:ascii="Times New Roman" w:hAnsi="Times New Roman" w:cs="Times New Roman"/>
                <w:color w:val="auto"/>
                <w:sz w:val="18"/>
                <w:szCs w:val="18"/>
                <w:lang w:val="pt-BR" w:eastAsia="zh-CN"/>
              </w:rPr>
              <w:t>(</w:t>
            </w:r>
            <w:r>
              <w:rPr>
                <w:rFonts w:ascii="Times New Roman" w:hAnsi="Times New Roman" w:cs="Times New Roman"/>
                <w:i/>
                <w:sz w:val="18"/>
                <w:szCs w:val="18"/>
                <w:lang w:val="pt-BR"/>
              </w:rPr>
              <w:t>=</w:t>
            </w:r>
            <w:r>
              <w:rPr>
                <w:rFonts w:ascii="Times New Roman" w:hAnsi="Times New Roman" w:cs="Times New Roman"/>
                <w:i/>
                <w:sz w:val="18"/>
                <w:szCs w:val="18"/>
                <w:lang w:val="pt-BR" w:eastAsia="zh-CN"/>
              </w:rPr>
              <w:t>G</w:t>
            </w:r>
            <w:r>
              <w:rPr>
                <w:rFonts w:ascii="Times New Roman" w:hAnsi="Times New Roman" w:cs="Times New Roman"/>
                <w:i/>
                <w:sz w:val="18"/>
                <w:szCs w:val="18"/>
                <w:lang w:eastAsia="zh-CN"/>
              </w:rPr>
              <w:sym w:font="Symbol" w:char="F0B4"/>
            </w:r>
            <w:r>
              <w:rPr>
                <w:rFonts w:ascii="Times New Roman" w:hAnsi="Times New Roman" w:cs="Times New Roman"/>
                <w:sz w:val="18"/>
                <w:szCs w:val="18"/>
                <w:lang w:eastAsia="zh-CN"/>
              </w:rPr>
              <w:fldChar w:fldCharType="begin"/>
            </w:r>
            <w:r>
              <w:rPr>
                <w:rFonts w:ascii="Times New Roman" w:hAnsi="Times New Roman" w:cs="Times New Roman"/>
                <w:sz w:val="18"/>
                <w:szCs w:val="18"/>
                <w:lang w:val="pt-BR" w:eastAsia="zh-CN"/>
              </w:rPr>
              <w:instrText xml:space="preserve"> QUOTE </w:instrText>
            </w:r>
            <w:r>
              <w:rPr>
                <w:rFonts w:ascii="Cambria Math" w:hAnsi="Cambria Math"/>
                <w:sz w:val="18"/>
                <w:szCs w:val="18"/>
                <w:lang w:val="pt-BR"/>
              </w:rPr>
              <w:instrText xml:space="preserve">×</w:instrText>
            </w:r>
            <w:r>
              <w:rPr>
                <w:rFonts w:ascii="Times New Roman" w:hAnsi="Times New Roman" w:cs="Times New Roman"/>
                <w:sz w:val="18"/>
                <w:szCs w:val="18"/>
                <w:lang w:eastAsia="zh-CN"/>
              </w:rPr>
              <w:fldChar w:fldCharType="end"/>
            </w:r>
            <w:r>
              <w:rPr>
                <w:rFonts w:ascii="Times New Roman" w:hAnsi="Times New Roman" w:cs="Times New Roman"/>
                <w:i/>
                <w:sz w:val="18"/>
                <w:szCs w:val="18"/>
                <w:lang w:val="pt-BR" w:eastAsia="zh-CN"/>
              </w:rPr>
              <w:t>H</w:t>
            </w:r>
            <m:oMath>
              <m:r>
                <m:rPr/>
                <w:rPr>
                  <w:rFonts w:ascii="Cambria Math" w:hAnsi="Cambria Math"/>
                  <w:sz w:val="18"/>
                  <w:szCs w:val="18"/>
                  <w:lang w:val="pt-BR"/>
                </w:rPr>
                <m:t>×</m:t>
              </m:r>
              <m:r>
                <m:rPr/>
                <w:rPr>
                  <w:rFonts w:ascii="Cambria Math" w:hAnsi="Cambria Math"/>
                  <w:sz w:val="18"/>
                  <w:szCs w:val="18"/>
                </w:rPr>
                <m:t>I</m:t>
              </m:r>
            </m:oMath>
            <w:r>
              <w:rPr>
                <w:rFonts w:ascii="Times New Roman" w:hAnsi="Times New Roman" w:cs="Times New Roman"/>
                <w:color w:val="auto"/>
                <w:sz w:val="18"/>
                <w:szCs w:val="18"/>
                <w:lang w:val="pt-BR" w:eastAsia="zh-CN"/>
              </w:rPr>
              <w:t>)</w:t>
            </w:r>
          </w:p>
          <w:p>
            <w:pPr>
              <w:pStyle w:val="55"/>
              <w:snapToGrid w:val="0"/>
              <w:spacing w:line="320" w:lineRule="exact"/>
              <w:jc w:val="center"/>
              <w:rPr>
                <w:rFonts w:ascii="Times New Roman" w:hAnsi="Times New Roman" w:cs="Times New Roman"/>
                <w:b/>
                <w:color w:val="auto"/>
                <w:sz w:val="18"/>
                <w:szCs w:val="18"/>
                <w:lang w:val="pt-BR" w:eastAsia="zh-CN"/>
              </w:rPr>
            </w:pPr>
            <w:r>
              <w:rPr>
                <w:rFonts w:hint="eastAsia" w:ascii="Times New Roman" w:hAnsi="Times New Roman" w:cs="Times New Roman"/>
                <w:b/>
                <w:color w:val="auto"/>
                <w:sz w:val="18"/>
                <w:szCs w:val="18"/>
                <w:lang w:eastAsia="zh-CN"/>
              </w:rPr>
              <w:t>排放因子</w:t>
            </w:r>
          </w:p>
          <w:p>
            <w:pPr>
              <w:pStyle w:val="55"/>
              <w:snapToGrid w:val="0"/>
              <w:spacing w:line="320" w:lineRule="exact"/>
              <w:jc w:val="center"/>
              <w:rPr>
                <w:rFonts w:ascii="Times New Roman" w:hAnsi="Times New Roman" w:cs="Times New Roman"/>
                <w:b/>
                <w:color w:val="auto"/>
                <w:sz w:val="18"/>
                <w:szCs w:val="18"/>
                <w:lang w:val="pt-BR" w:eastAsia="zh-CN"/>
              </w:rPr>
            </w:pPr>
            <w:r>
              <w:rPr>
                <w:rFonts w:ascii="Times New Roman" w:hAnsi="Times New Roman" w:cs="Times New Roman"/>
                <w:b/>
                <w:color w:val="auto"/>
                <w:sz w:val="18"/>
                <w:szCs w:val="18"/>
                <w:lang w:val="pt-BR" w:eastAsia="zh-CN"/>
              </w:rPr>
              <w:t>(tCO</w:t>
            </w:r>
            <w:r>
              <w:rPr>
                <w:rFonts w:ascii="Times New Roman" w:hAnsi="Times New Roman" w:cs="Times New Roman"/>
                <w:b/>
                <w:color w:val="auto"/>
                <w:sz w:val="18"/>
                <w:szCs w:val="18"/>
                <w:vertAlign w:val="subscript"/>
                <w:lang w:val="pt-BR" w:eastAsia="zh-CN"/>
              </w:rPr>
              <w:t>2</w:t>
            </w:r>
            <w:r>
              <w:rPr>
                <w:rFonts w:ascii="Times New Roman" w:hAnsi="Times New Roman" w:cs="Times New Roman"/>
                <w:b/>
                <w:color w:val="auto"/>
                <w:sz w:val="18"/>
                <w:szCs w:val="18"/>
                <w:lang w:val="pt-BR" w:eastAsia="zh-CN"/>
              </w:rPr>
              <w:t>/TJ)</w:t>
            </w:r>
          </w:p>
        </w:tc>
        <w:tc>
          <w:tcPr>
            <w:tcW w:w="42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K</w:t>
            </w:r>
            <w:r>
              <w:rPr>
                <w:rFonts w:ascii="Times New Roman" w:hAnsi="Times New Roman" w:cs="Times New Roman"/>
                <w:color w:val="auto"/>
                <w:sz w:val="18"/>
                <w:szCs w:val="18"/>
                <w:lang w:eastAsia="zh-CN"/>
              </w:rPr>
              <w:t>(</w:t>
            </w:r>
            <w:r>
              <w:rPr>
                <w:rFonts w:ascii="Times New Roman" w:hAnsi="Times New Roman" w:cs="Times New Roman"/>
                <w:i/>
                <w:sz w:val="18"/>
                <w:szCs w:val="18"/>
              </w:rPr>
              <w:t>=</w:t>
            </w:r>
            <w:r>
              <w:rPr>
                <w:rFonts w:ascii="Times New Roman" w:hAnsi="Times New Roman" w:cs="Times New Roman"/>
                <w:i/>
                <w:sz w:val="18"/>
                <w:szCs w:val="18"/>
                <w:lang w:eastAsia="zh-CN"/>
              </w:rPr>
              <w:t>F</w:t>
            </w:r>
            <w:r>
              <w:rPr>
                <w:rFonts w:ascii="Times New Roman" w:hAnsi="Times New Roman" w:cs="Times New Roman"/>
                <w:sz w:val="18"/>
                <w:szCs w:val="18"/>
                <w:lang w:eastAsia="zh-CN"/>
              </w:rPr>
              <w:sym w:font="Symbol" w:char="F0B4"/>
            </w:r>
            <w:r>
              <w:rPr>
                <w:rFonts w:ascii="Times New Roman" w:hAnsi="Times New Roman" w:cs="Times New Roman"/>
                <w:i/>
                <w:sz w:val="18"/>
                <w:szCs w:val="18"/>
                <w:lang w:eastAsia="zh-CN"/>
              </w:rPr>
              <w:t>J</w:t>
            </w:r>
            <w:r>
              <w:rPr>
                <w:rFonts w:ascii="Times New Roman" w:hAnsi="Times New Roman" w:cs="Times New Roman"/>
                <w:color w:val="auto"/>
                <w:sz w:val="18"/>
                <w:szCs w:val="18"/>
                <w:lang w:eastAsia="zh-CN"/>
              </w:rPr>
              <w:t>)</w:t>
            </w:r>
          </w:p>
          <w:p>
            <w:pPr>
              <w:pStyle w:val="55"/>
              <w:snapToGrid w:val="0"/>
              <w:spacing w:line="320" w:lineRule="exact"/>
              <w:jc w:val="center"/>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排放量</w:t>
            </w:r>
          </w:p>
          <w:p>
            <w:pPr>
              <w:pStyle w:val="55"/>
              <w:snapToGrid w:val="0"/>
              <w:spacing w:line="320" w:lineRule="exact"/>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w:t>
            </w:r>
          </w:p>
        </w:tc>
      </w:tr>
      <w:tr>
        <w:tblPrEx>
          <w:tblCellMar>
            <w:top w:w="0" w:type="dxa"/>
            <w:left w:w="108" w:type="dxa"/>
            <w:bottom w:w="0" w:type="dxa"/>
            <w:right w:w="108" w:type="dxa"/>
          </w:tblCellMar>
        </w:tblPrEx>
        <w:trPr>
          <w:trHeight w:val="128" w:hRule="atLeast"/>
          <w:jc w:val="center"/>
        </w:trPr>
        <w:tc>
          <w:tcPr>
            <w:tcW w:w="151" w:type="pct"/>
            <w:vMerge w:val="restart"/>
            <w:tcBorders>
              <w:top w:val="single" w:color="auto" w:sz="4" w:space="0"/>
              <w:left w:val="single" w:color="auto" w:sz="4" w:space="0"/>
              <w:right w:val="single" w:color="auto" w:sz="4" w:space="0"/>
            </w:tcBorders>
            <w:vAlign w:val="center"/>
          </w:tcPr>
          <w:p>
            <w:pPr>
              <w:pStyle w:val="55"/>
              <w:snapToGrid w:val="0"/>
              <w:spacing w:line="320" w:lineRule="exact"/>
              <w:jc w:val="both"/>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移</w:t>
            </w:r>
          </w:p>
          <w:p>
            <w:pPr>
              <w:pStyle w:val="55"/>
              <w:snapToGrid w:val="0"/>
              <w:spacing w:line="320" w:lineRule="exact"/>
              <w:jc w:val="both"/>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动</w:t>
            </w:r>
          </w:p>
          <w:p>
            <w:pPr>
              <w:pStyle w:val="55"/>
              <w:snapToGrid w:val="0"/>
              <w:spacing w:line="320" w:lineRule="exact"/>
              <w:jc w:val="both"/>
              <w:rPr>
                <w:rFonts w:ascii="Times New Roman" w:hAnsi="Times New Roman" w:cs="Times New Roman"/>
                <w:color w:val="auto"/>
                <w:sz w:val="18"/>
                <w:szCs w:val="18"/>
                <w:lang w:eastAsia="zh-CN"/>
              </w:rPr>
            </w:pPr>
            <w:r>
              <w:rPr>
                <w:rFonts w:hint="eastAsia" w:ascii="Times New Roman" w:hAnsi="Times New Roman" w:cs="Times New Roman"/>
                <w:b/>
                <w:color w:val="auto"/>
                <w:sz w:val="18"/>
                <w:szCs w:val="18"/>
                <w:lang w:eastAsia="zh-CN"/>
              </w:rPr>
              <w:t>源</w:t>
            </w:r>
          </w:p>
        </w:tc>
        <w:tc>
          <w:tcPr>
            <w:tcW w:w="253"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w:t>
            </w:r>
          </w:p>
        </w:tc>
        <w:tc>
          <w:tcPr>
            <w:tcW w:w="40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eastAsia="zh-CN"/>
              </w:rPr>
              <w:t>航空</w:t>
            </w:r>
            <w:r>
              <w:rPr>
                <w:rFonts w:hint="eastAsia" w:ascii="Times New Roman" w:hAnsi="Times New Roman" w:cs="Times New Roman"/>
                <w:color w:val="auto"/>
                <w:sz w:val="18"/>
                <w:szCs w:val="18"/>
              </w:rPr>
              <w:t>煤油</w:t>
            </w:r>
          </w:p>
        </w:tc>
        <w:tc>
          <w:tcPr>
            <w:tcW w:w="4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5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r>
              <w:rPr>
                <w:rFonts w:hint="eastAsia" w:ascii="Times New Roman" w:hAnsi="Times New Roman"/>
                <w:color w:val="000000"/>
                <w:sz w:val="18"/>
                <w:szCs w:val="18"/>
              </w:rPr>
              <w:t>4</w:t>
            </w:r>
            <w:r>
              <w:rPr>
                <w:rFonts w:ascii="Times New Roman" w:hAnsi="Times New Roman"/>
                <w:color w:val="000000"/>
                <w:sz w:val="18"/>
                <w:szCs w:val="18"/>
              </w:rPr>
              <w:t>4.1</w:t>
            </w:r>
          </w:p>
        </w:tc>
        <w:tc>
          <w:tcPr>
            <w:tcW w:w="4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4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610"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19.5</w:t>
            </w:r>
          </w:p>
        </w:tc>
        <w:tc>
          <w:tcPr>
            <w:tcW w:w="407"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100%</w:t>
            </w:r>
          </w:p>
        </w:tc>
        <w:tc>
          <w:tcPr>
            <w:tcW w:w="406" w:type="pct"/>
            <w:tcBorders>
              <w:top w:val="single" w:color="auto" w:sz="4" w:space="0"/>
              <w:left w:val="single" w:color="auto" w:sz="4" w:space="0"/>
              <w:bottom w:val="single" w:color="auto" w:sz="4" w:space="0"/>
              <w:right w:val="single" w:color="auto" w:sz="4" w:space="0"/>
            </w:tcBorders>
          </w:tcPr>
          <w:p>
            <w:pPr>
              <w:ind w:firstLine="268"/>
            </w:pPr>
            <w:r>
              <w:rPr>
                <w:rFonts w:ascii="Times New Roman" w:hAnsi="Times New Roman"/>
                <w:sz w:val="18"/>
                <w:szCs w:val="18"/>
              </w:rPr>
              <w:t>44/12</w:t>
            </w:r>
          </w:p>
        </w:tc>
        <w:tc>
          <w:tcPr>
            <w:tcW w:w="509"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42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jc w:val="center"/>
        </w:trPr>
        <w:tc>
          <w:tcPr>
            <w:tcW w:w="151" w:type="pct"/>
            <w:vMerge w:val="continue"/>
            <w:tcBorders>
              <w:left w:val="single" w:color="auto" w:sz="4" w:space="0"/>
              <w:right w:val="single" w:color="auto" w:sz="4" w:space="0"/>
            </w:tcBorders>
            <w:vAlign w:val="center"/>
          </w:tcPr>
          <w:p>
            <w:pPr>
              <w:pStyle w:val="55"/>
              <w:snapToGrid w:val="0"/>
              <w:spacing w:line="320" w:lineRule="exact"/>
              <w:ind w:firstLine="268"/>
              <w:jc w:val="both"/>
              <w:rPr>
                <w:rFonts w:ascii="Times New Roman" w:hAnsi="Times New Roman" w:cs="Times New Roman"/>
                <w:color w:val="auto"/>
                <w:sz w:val="18"/>
                <w:szCs w:val="18"/>
                <w:lang w:eastAsia="zh-CN"/>
              </w:rPr>
            </w:pPr>
          </w:p>
        </w:tc>
        <w:tc>
          <w:tcPr>
            <w:tcW w:w="253"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40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其他</w:t>
            </w:r>
          </w:p>
        </w:tc>
        <w:tc>
          <w:tcPr>
            <w:tcW w:w="4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5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4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4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610"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407"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406" w:type="pct"/>
            <w:tcBorders>
              <w:top w:val="single" w:color="auto" w:sz="4" w:space="0"/>
              <w:left w:val="single" w:color="auto" w:sz="4" w:space="0"/>
              <w:bottom w:val="single" w:color="auto" w:sz="4" w:space="0"/>
              <w:right w:val="single" w:color="auto" w:sz="4" w:space="0"/>
            </w:tcBorders>
          </w:tcPr>
          <w:p>
            <w:pPr>
              <w:ind w:firstLine="268"/>
            </w:pPr>
            <w:r>
              <w:rPr>
                <w:rFonts w:ascii="Times New Roman" w:hAnsi="Times New Roman"/>
                <w:sz w:val="18"/>
                <w:szCs w:val="18"/>
              </w:rPr>
              <w:t>44/12</w:t>
            </w:r>
          </w:p>
        </w:tc>
        <w:tc>
          <w:tcPr>
            <w:tcW w:w="509"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42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jc w:val="center"/>
        </w:trPr>
        <w:tc>
          <w:tcPr>
            <w:tcW w:w="151" w:type="pct"/>
            <w:vMerge w:val="continue"/>
            <w:tcBorders>
              <w:left w:val="single" w:color="auto" w:sz="4" w:space="0"/>
              <w:right w:val="single" w:color="auto" w:sz="4" w:space="0"/>
            </w:tcBorders>
            <w:vAlign w:val="center"/>
          </w:tcPr>
          <w:p>
            <w:pPr>
              <w:pStyle w:val="55"/>
              <w:snapToGrid w:val="0"/>
              <w:spacing w:line="320" w:lineRule="exact"/>
              <w:ind w:firstLine="268"/>
              <w:jc w:val="both"/>
              <w:rPr>
                <w:rFonts w:ascii="Times New Roman" w:hAnsi="Times New Roman" w:cs="Times New Roman"/>
                <w:color w:val="auto"/>
                <w:sz w:val="18"/>
                <w:szCs w:val="18"/>
                <w:lang w:eastAsia="zh-CN"/>
              </w:rPr>
            </w:pPr>
          </w:p>
        </w:tc>
        <w:tc>
          <w:tcPr>
            <w:tcW w:w="253"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40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4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5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4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4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610"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407"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406" w:type="pct"/>
            <w:tcBorders>
              <w:top w:val="single" w:color="auto" w:sz="4" w:space="0"/>
              <w:left w:val="single" w:color="auto" w:sz="4" w:space="0"/>
              <w:bottom w:val="single" w:color="auto" w:sz="4" w:space="0"/>
              <w:right w:val="single" w:color="auto" w:sz="4" w:space="0"/>
            </w:tcBorders>
          </w:tcPr>
          <w:p>
            <w:pPr>
              <w:ind w:firstLine="268"/>
            </w:pPr>
            <w:r>
              <w:rPr>
                <w:rFonts w:ascii="Times New Roman" w:hAnsi="Times New Roman"/>
                <w:sz w:val="18"/>
                <w:szCs w:val="18"/>
              </w:rPr>
              <w:t>44/12</w:t>
            </w:r>
          </w:p>
        </w:tc>
        <w:tc>
          <w:tcPr>
            <w:tcW w:w="509"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42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jc w:val="center"/>
        </w:trPr>
        <w:tc>
          <w:tcPr>
            <w:tcW w:w="151" w:type="pct"/>
            <w:tcBorders>
              <w:left w:val="single" w:color="auto" w:sz="4" w:space="0"/>
              <w:right w:val="single" w:color="auto" w:sz="4" w:space="0"/>
            </w:tcBorders>
            <w:vAlign w:val="center"/>
          </w:tcPr>
          <w:p>
            <w:pPr>
              <w:pStyle w:val="55"/>
              <w:snapToGrid w:val="0"/>
              <w:spacing w:line="320" w:lineRule="exact"/>
              <w:jc w:val="both"/>
              <w:rPr>
                <w:rFonts w:ascii="Times New Roman" w:hAnsi="Times New Roman" w:cs="Times New Roman"/>
                <w:color w:val="auto"/>
                <w:sz w:val="18"/>
                <w:szCs w:val="18"/>
                <w:lang w:eastAsia="zh-CN"/>
              </w:rPr>
            </w:pPr>
          </w:p>
        </w:tc>
        <w:tc>
          <w:tcPr>
            <w:tcW w:w="253"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40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4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5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45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40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610"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407"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406"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509"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42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r>
      <w:tr>
        <w:tblPrEx>
          <w:tblCellMar>
            <w:top w:w="0" w:type="dxa"/>
            <w:left w:w="108" w:type="dxa"/>
            <w:bottom w:w="0" w:type="dxa"/>
            <w:right w:w="108" w:type="dxa"/>
          </w:tblCellMar>
        </w:tblPrEx>
        <w:trPr>
          <w:trHeight w:val="70" w:hRule="atLeast"/>
          <w:jc w:val="center"/>
        </w:trPr>
        <w:tc>
          <w:tcPr>
            <w:tcW w:w="4572" w:type="pct"/>
            <w:gridSpan w:val="11"/>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bCs/>
                <w:color w:val="auto"/>
                <w:kern w:val="2"/>
                <w:sz w:val="18"/>
                <w:szCs w:val="18"/>
              </w:rPr>
            </w:pPr>
            <w:r>
              <w:rPr>
                <w:rFonts w:hint="eastAsia" w:ascii="Times New Roman" w:hAnsi="Times New Roman" w:cs="Times New Roman"/>
                <w:bCs/>
                <w:color w:val="auto"/>
                <w:sz w:val="18"/>
                <w:szCs w:val="18"/>
                <w:lang w:eastAsia="zh-CN"/>
              </w:rPr>
              <w:t>年排放量</w:t>
            </w:r>
          </w:p>
        </w:tc>
        <w:tc>
          <w:tcPr>
            <w:tcW w:w="428" w:type="pct"/>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both"/>
              <w:rPr>
                <w:rFonts w:ascii="Times New Roman" w:hAnsi="Times New Roman" w:cs="Times New Roman"/>
                <w:color w:val="auto"/>
                <w:sz w:val="18"/>
                <w:szCs w:val="18"/>
              </w:rPr>
            </w:pPr>
          </w:p>
        </w:tc>
      </w:tr>
    </w:tbl>
    <w:p>
      <w:pPr>
        <w:adjustRightInd w:val="0"/>
        <w:snapToGrid w:val="0"/>
        <w:ind w:firstLine="0" w:firstLineChars="0"/>
        <w:rPr>
          <w:rFonts w:ascii="Times New Roman" w:hAnsi="Times New Roman"/>
          <w:sz w:val="18"/>
          <w:szCs w:val="18"/>
        </w:rPr>
      </w:pPr>
      <w:r>
        <w:rPr>
          <w:rFonts w:hint="eastAsia" w:ascii="Times New Roman" w:hAnsi="Times New Roman"/>
          <w:sz w:val="18"/>
          <w:szCs w:val="18"/>
        </w:rPr>
        <w:t>注：1）其他能源请注明是什么能源品种；</w:t>
      </w:r>
      <w:r>
        <w:rPr>
          <w:rFonts w:ascii="Times New Roman" w:hAnsi="Times New Roman"/>
          <w:sz w:val="18"/>
          <w:szCs w:val="18"/>
        </w:rPr>
        <w:t>2</w:t>
      </w:r>
      <w:r>
        <w:rPr>
          <w:rFonts w:hint="eastAsia" w:ascii="Times New Roman" w:hAnsi="Times New Roman"/>
          <w:sz w:val="18"/>
          <w:szCs w:val="18"/>
        </w:rPr>
        <w:t>）小数点后保留</w:t>
      </w:r>
      <w:r>
        <w:rPr>
          <w:rFonts w:ascii="Times New Roman" w:hAnsi="Times New Roman"/>
          <w:sz w:val="18"/>
          <w:szCs w:val="18"/>
        </w:rPr>
        <w:t>2</w:t>
      </w:r>
      <w:r>
        <w:rPr>
          <w:rFonts w:hint="eastAsia" w:ascii="Times New Roman" w:hAnsi="Times New Roman"/>
          <w:sz w:val="18"/>
          <w:szCs w:val="18"/>
        </w:rPr>
        <w:t>位。</w:t>
      </w:r>
    </w:p>
    <w:p>
      <w:pPr>
        <w:adjustRightInd w:val="0"/>
        <w:snapToGrid w:val="0"/>
        <w:ind w:firstLine="480" w:firstLineChars="200"/>
        <w:rPr>
          <w:rFonts w:ascii="Times New Roman" w:hAnsi="Times New Roman"/>
        </w:rPr>
      </w:pPr>
    </w:p>
    <w:p>
      <w:pPr>
        <w:adjustRightInd w:val="0"/>
        <w:snapToGrid w:val="0"/>
        <w:ind w:firstLine="0" w:firstLineChars="0"/>
        <w:rPr>
          <w:rFonts w:ascii="Times New Roman" w:hAnsi="Times New Roman"/>
        </w:rPr>
      </w:pPr>
    </w:p>
    <w:p>
      <w:pPr>
        <w:adjustRightInd w:val="0"/>
        <w:snapToGrid w:val="0"/>
        <w:ind w:firstLine="268"/>
        <w:rPr>
          <w:rFonts w:ascii="Times New Roman" w:hAnsi="Times New Roman"/>
          <w:sz w:val="18"/>
          <w:szCs w:val="18"/>
        </w:rPr>
        <w:sectPr>
          <w:footerReference r:id="rId21" w:type="default"/>
          <w:pgSz w:w="16838" w:h="11906" w:orient="landscape"/>
          <w:pgMar w:top="1587" w:right="1440" w:bottom="1474" w:left="1440" w:header="851" w:footer="1134" w:gutter="0"/>
          <w:paperSrc/>
          <w:pgNumType w:fmt="decimal"/>
          <w:cols w:space="0" w:num="1"/>
          <w:rtlGutter w:val="0"/>
          <w:docGrid w:linePitch="326" w:charSpace="0"/>
        </w:sectPr>
      </w:pPr>
    </w:p>
    <w:p>
      <w:pPr>
        <w:pStyle w:val="4"/>
        <w:numPr>
          <w:ilvl w:val="0"/>
          <w:numId w:val="3"/>
        </w:numPr>
        <w:spacing w:before="0" w:after="0" w:line="415" w:lineRule="auto"/>
        <w:ind w:left="0" w:firstLine="426" w:firstLineChars="0"/>
      </w:pPr>
      <w:r>
        <w:rPr>
          <w:rFonts w:hint="eastAsia"/>
        </w:rPr>
        <w:t>二氧化碳间接排放</w:t>
      </w:r>
    </w:p>
    <w:p>
      <w:pPr>
        <w:adjustRightInd w:val="0"/>
        <w:snapToGrid w:val="0"/>
        <w:ind w:firstLine="480" w:firstLineChars="200"/>
        <w:rPr>
          <w:rFonts w:ascii="Times New Roman" w:hAnsi="Times New Roman"/>
        </w:rPr>
      </w:pPr>
      <w:r>
        <w:rPr>
          <w:rFonts w:ascii="Times New Roman" w:hAnsi="Times New Roman"/>
        </w:rPr>
        <w:t>报告单位应按照表BG-3-</w:t>
      </w:r>
      <w:r>
        <w:rPr>
          <w:rFonts w:hint="eastAsia" w:ascii="Times New Roman" w:hAnsi="Times New Roman"/>
        </w:rPr>
        <w:t>H</w:t>
      </w:r>
      <w:r>
        <w:rPr>
          <w:rFonts w:ascii="Times New Roman" w:hAnsi="Times New Roman"/>
        </w:rPr>
        <w:t>a格式填写企业在本市行政辖区内固定设施电力消耗量，利用公式（TY-2）计算二氧化碳间接排放量</w:t>
      </w:r>
      <w:r>
        <w:rPr>
          <w:rFonts w:hint="eastAsia" w:ascii="Times New Roman" w:hAnsi="Times New Roman"/>
        </w:rPr>
        <w:t>，并</w:t>
      </w:r>
      <w:r>
        <w:rPr>
          <w:rFonts w:ascii="Times New Roman" w:hAnsi="Times New Roman"/>
        </w:rPr>
        <w:t>在报告中简要说明二氧化碳间接排放量情况。</w:t>
      </w:r>
    </w:p>
    <w:p>
      <w:pPr>
        <w:widowControl/>
        <w:adjustRightInd w:val="0"/>
        <w:snapToGrid w:val="0"/>
        <w:spacing w:line="420" w:lineRule="exact"/>
        <w:ind w:firstLine="0" w:firstLineChars="0"/>
        <w:jc w:val="center"/>
        <w:rPr>
          <w:rFonts w:ascii="Times New Roman" w:hAnsi="Times New Roman"/>
          <w:b/>
          <w:sz w:val="21"/>
          <w:szCs w:val="21"/>
        </w:rPr>
      </w:pPr>
      <w:r>
        <w:rPr>
          <w:rFonts w:ascii="Times New Roman" w:hAnsi="Times New Roman"/>
          <w:b/>
          <w:sz w:val="21"/>
          <w:szCs w:val="21"/>
        </w:rPr>
        <w:t>表BG-3</w:t>
      </w:r>
      <w:r>
        <w:rPr>
          <w:rFonts w:hint="eastAsia" w:ascii="Times New Roman" w:hAnsi="Times New Roman"/>
          <w:b/>
          <w:sz w:val="21"/>
          <w:szCs w:val="21"/>
        </w:rPr>
        <w:t>-H</w:t>
      </w:r>
      <w:r>
        <w:rPr>
          <w:rFonts w:ascii="Times New Roman" w:hAnsi="Times New Roman"/>
          <w:b/>
          <w:sz w:val="21"/>
          <w:szCs w:val="21"/>
        </w:rPr>
        <w:t>a报告单位</w:t>
      </w:r>
      <w:r>
        <w:rPr>
          <w:rFonts w:hint="eastAsia" w:ascii="Times New Roman" w:hAnsi="Times New Roman"/>
          <w:b/>
          <w:sz w:val="21"/>
          <w:szCs w:val="21"/>
        </w:rPr>
        <w:t>固定设施</w:t>
      </w:r>
      <w:r>
        <w:rPr>
          <w:rFonts w:ascii="Times New Roman" w:hAnsi="Times New Roman"/>
          <w:b/>
          <w:sz w:val="21"/>
          <w:szCs w:val="21"/>
        </w:rPr>
        <w:t>电力消耗的二氧化碳间接排放</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1"/>
        <w:gridCol w:w="2772"/>
        <w:gridCol w:w="2748"/>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年度</w:t>
            </w: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企业电力消耗量</w:t>
            </w:r>
          </w:p>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（MWh）</w:t>
            </w: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间接排放系数</w:t>
            </w:r>
          </w:p>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/MWh）</w:t>
            </w: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间接排放量</w:t>
            </w:r>
          </w:p>
          <w:p>
            <w:pPr>
              <w:pStyle w:val="55"/>
              <w:snapToGrid w:val="0"/>
              <w:spacing w:line="320" w:lineRule="exac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ascii="Times New Roman" w:hAnsi="Times New Roman" w:cs="Times New Roman"/>
                <w:b/>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r>
    </w:tbl>
    <w:p>
      <w:pPr>
        <w:pStyle w:val="51"/>
        <w:ind w:firstLine="480"/>
        <w:rPr>
          <w:rFonts w:ascii="Times New Roman" w:hAnsi="Times New Roman"/>
        </w:rPr>
      </w:pPr>
      <w:r>
        <w:rPr>
          <w:rFonts w:hint="eastAsia" w:ascii="Times New Roman" w:hAnsi="Times New Roman"/>
        </w:rPr>
        <w:t>重点碳排放单位还应按照表</w:t>
      </w:r>
      <w:r>
        <w:rPr>
          <w:rFonts w:ascii="Times New Roman" w:hAnsi="Times New Roman"/>
        </w:rPr>
        <w:t>ZD-2</w:t>
      </w:r>
      <w:r>
        <w:rPr>
          <w:rFonts w:hint="eastAsia" w:ascii="Times New Roman" w:hAnsi="Times New Roman"/>
        </w:rPr>
        <w:t>的格式，报告所查读电表的详细情况，报告内容包括电表的序列号、规定的和实际的校准频次、校准的标准等。</w:t>
      </w:r>
    </w:p>
    <w:p>
      <w:pPr>
        <w:widowControl/>
        <w:adjustRightInd w:val="0"/>
        <w:snapToGrid w:val="0"/>
        <w:spacing w:line="420" w:lineRule="exact"/>
        <w:ind w:firstLine="0" w:firstLineChars="0"/>
        <w:jc w:val="center"/>
        <w:rPr>
          <w:rFonts w:ascii="Times New Roman" w:hAnsi="Times New Roman"/>
          <w:b/>
          <w:sz w:val="21"/>
          <w:szCs w:val="21"/>
        </w:rPr>
      </w:pPr>
      <w:r>
        <w:rPr>
          <w:rFonts w:hint="eastAsia" w:ascii="Times New Roman" w:hAnsi="Times New Roman"/>
          <w:b/>
          <w:sz w:val="21"/>
          <w:szCs w:val="21"/>
        </w:rPr>
        <w:t>表</w:t>
      </w:r>
      <w:r>
        <w:rPr>
          <w:rFonts w:ascii="Times New Roman" w:hAnsi="Times New Roman"/>
          <w:b/>
          <w:sz w:val="21"/>
          <w:szCs w:val="21"/>
        </w:rPr>
        <w:t xml:space="preserve">ZD-2  </w:t>
      </w:r>
      <w:r>
        <w:rPr>
          <w:rFonts w:hint="eastAsia" w:ascii="Times New Roman" w:hAnsi="Times New Roman"/>
          <w:b/>
          <w:sz w:val="21"/>
          <w:szCs w:val="21"/>
        </w:rPr>
        <w:t>重点碳排放单位电表信息</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6"/>
        <w:gridCol w:w="1156"/>
        <w:gridCol w:w="1320"/>
        <w:gridCol w:w="1973"/>
        <w:gridCol w:w="1973"/>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b/>
                <w:sz w:val="18"/>
                <w:szCs w:val="18"/>
                <w:lang w:eastAsia="zh-CN"/>
              </w:rPr>
              <w:t>电表</w:t>
            </w:r>
            <w:r>
              <w:rPr>
                <w:rFonts w:hint="eastAsia" w:ascii="Times New Roman" w:hAnsi="Times New Roman"/>
                <w:b/>
                <w:sz w:val="18"/>
                <w:szCs w:val="18"/>
              </w:rPr>
              <w:t>型号</w:t>
            </w: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b/>
                <w:sz w:val="18"/>
                <w:szCs w:val="18"/>
                <w:lang w:eastAsia="zh-CN"/>
              </w:rPr>
              <w:t>电表</w:t>
            </w:r>
            <w:r>
              <w:rPr>
                <w:rFonts w:hint="eastAsia" w:ascii="Times New Roman" w:hAnsi="Times New Roman"/>
                <w:b/>
                <w:sz w:val="18"/>
                <w:szCs w:val="18"/>
              </w:rPr>
              <w:t>精度</w:t>
            </w: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b/>
                <w:sz w:val="18"/>
                <w:szCs w:val="18"/>
                <w:lang w:eastAsia="zh-CN"/>
              </w:rPr>
              <w:t>电表</w:t>
            </w:r>
            <w:r>
              <w:rPr>
                <w:rFonts w:hint="eastAsia" w:ascii="Times New Roman" w:hAnsi="Times New Roman"/>
                <w:b/>
                <w:sz w:val="18"/>
                <w:szCs w:val="18"/>
              </w:rPr>
              <w:t>序列号</w:t>
            </w: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b/>
                <w:sz w:val="18"/>
                <w:szCs w:val="18"/>
                <w:lang w:eastAsia="zh-CN"/>
              </w:rPr>
              <w:t>规定的电表校准频次</w:t>
            </w: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b/>
                <w:sz w:val="18"/>
                <w:szCs w:val="18"/>
                <w:lang w:eastAsia="zh-CN"/>
              </w:rPr>
              <w:t>实际的电表校准频次</w:t>
            </w: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b/>
                <w:sz w:val="18"/>
                <w:szCs w:val="18"/>
                <w:lang w:eastAsia="zh-CN"/>
              </w:rPr>
              <w:t>电表</w:t>
            </w:r>
            <w:r>
              <w:rPr>
                <w:rFonts w:hint="eastAsia" w:ascii="Times New Roman" w:hAnsi="Times New Roman"/>
                <w:b/>
                <w:sz w:val="18"/>
                <w:szCs w:val="18"/>
              </w:rPr>
              <w:t>更换情况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0" w:type="auto"/>
            <w:tcBorders>
              <w:top w:val="single" w:color="auto" w:sz="4" w:space="0"/>
              <w:left w:val="single" w:color="auto" w:sz="4" w:space="0"/>
              <w:bottom w:val="single" w:color="auto" w:sz="4" w:space="0"/>
              <w:right w:val="single" w:color="auto" w:sz="4" w:space="0"/>
            </w:tcBorders>
          </w:tcPr>
          <w:p>
            <w:pPr>
              <w:pStyle w:val="55"/>
              <w:snapToGrid w:val="0"/>
              <w:spacing w:line="320" w:lineRule="exact"/>
              <w:ind w:firstLine="268"/>
              <w:jc w:val="center"/>
              <w:rPr>
                <w:rFonts w:ascii="Times New Roman" w:hAnsi="Times New Roman" w:cs="Times New Roman"/>
                <w:color w:val="auto"/>
                <w:sz w:val="18"/>
                <w:szCs w:val="18"/>
                <w:lang w:eastAsia="zh-CN"/>
              </w:rPr>
            </w:pPr>
          </w:p>
        </w:tc>
      </w:tr>
    </w:tbl>
    <w:p>
      <w:pPr>
        <w:pStyle w:val="4"/>
        <w:numPr>
          <w:ilvl w:val="0"/>
          <w:numId w:val="3"/>
        </w:numPr>
        <w:adjustRightInd w:val="0"/>
        <w:snapToGrid w:val="0"/>
        <w:spacing w:before="0" w:after="0" w:line="420" w:lineRule="exact"/>
        <w:ind w:left="0" w:firstLine="426" w:firstLineChars="0"/>
        <w:rPr>
          <w:rFonts w:ascii="Times New Roman" w:hAnsi="Times New Roman"/>
        </w:rPr>
      </w:pPr>
      <w:r>
        <w:rPr>
          <w:rFonts w:hint="eastAsia" w:ascii="Times New Roman" w:hAnsi="Times New Roman"/>
        </w:rPr>
        <w:t>核算结果</w:t>
      </w:r>
    </w:p>
    <w:p>
      <w:pPr>
        <w:adjustRightInd w:val="0"/>
        <w:snapToGrid w:val="0"/>
        <w:ind w:firstLine="480" w:firstLineChars="200"/>
        <w:rPr>
          <w:rFonts w:ascii="Times New Roman" w:hAnsi="Times New Roman"/>
          <w:szCs w:val="21"/>
        </w:rPr>
      </w:pPr>
      <w:r>
        <w:rPr>
          <w:rFonts w:hint="eastAsia" w:ascii="Times New Roman" w:hAnsi="Times New Roman"/>
          <w:szCs w:val="21"/>
        </w:rPr>
        <w:t>报告单位应按照表HK</w:t>
      </w:r>
      <w:r>
        <w:rPr>
          <w:rFonts w:ascii="Times New Roman" w:hAnsi="Times New Roman"/>
          <w:szCs w:val="21"/>
        </w:rPr>
        <w:t>-2</w:t>
      </w:r>
      <w:r>
        <w:rPr>
          <w:rFonts w:hint="eastAsia" w:ascii="Times New Roman" w:hAnsi="Times New Roman"/>
          <w:szCs w:val="21"/>
        </w:rPr>
        <w:t>的格式报告民用航空运输企业年度二氧化碳排放核算结果，并做简要说明。</w:t>
      </w:r>
    </w:p>
    <w:p>
      <w:pPr>
        <w:widowControl/>
        <w:adjustRightInd w:val="0"/>
        <w:snapToGrid w:val="0"/>
        <w:spacing w:line="420" w:lineRule="exact"/>
        <w:ind w:firstLine="0" w:firstLineChars="0"/>
        <w:jc w:val="center"/>
        <w:rPr>
          <w:rFonts w:ascii="Times New Roman" w:hAnsi="Times New Roman"/>
          <w:b/>
          <w:sz w:val="21"/>
          <w:szCs w:val="21"/>
        </w:rPr>
      </w:pPr>
      <w:r>
        <w:rPr>
          <w:rFonts w:hint="eastAsia" w:ascii="Times New Roman" w:hAnsi="Times New Roman"/>
          <w:b/>
          <w:sz w:val="21"/>
          <w:szCs w:val="21"/>
        </w:rPr>
        <w:t>表HK</w:t>
      </w:r>
      <w:r>
        <w:rPr>
          <w:rFonts w:ascii="Times New Roman" w:hAnsi="Times New Roman"/>
          <w:b/>
          <w:sz w:val="21"/>
          <w:szCs w:val="21"/>
        </w:rPr>
        <w:t>-2</w:t>
      </w:r>
      <w:r>
        <w:rPr>
          <w:rFonts w:hint="eastAsia" w:ascii="Times New Roman" w:hAnsi="Times New Roman"/>
          <w:b/>
          <w:sz w:val="21"/>
          <w:szCs w:val="21"/>
        </w:rPr>
        <w:t>民用航空运输企业</w:t>
      </w:r>
      <w:r>
        <w:rPr>
          <w:rFonts w:ascii="Times New Roman" w:hAnsi="Times New Roman"/>
          <w:b/>
          <w:sz w:val="21"/>
          <w:szCs w:val="21"/>
          <w:u w:val="single"/>
        </w:rPr>
        <w:t xml:space="preserve">20   </w:t>
      </w:r>
      <w:r>
        <w:rPr>
          <w:rFonts w:hint="eastAsia" w:ascii="Times New Roman" w:hAnsi="Times New Roman"/>
          <w:b/>
          <w:sz w:val="21"/>
          <w:szCs w:val="21"/>
        </w:rPr>
        <w:t>年排放核算结果</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0"/>
        <w:gridCol w:w="1549"/>
        <w:gridCol w:w="1392"/>
        <w:gridCol w:w="4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4" w:type="pct"/>
            <w:gridSpan w:val="3"/>
            <w:shd w:val="clear" w:color="auto" w:fill="auto"/>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核算项目</w:t>
            </w:r>
          </w:p>
        </w:tc>
        <w:tc>
          <w:tcPr>
            <w:tcW w:w="2356" w:type="pct"/>
            <w:shd w:val="clear" w:color="auto" w:fill="auto"/>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排放量（</w:t>
            </w:r>
            <w:r>
              <w:rPr>
                <w:rFonts w:ascii="Times New Roman" w:hAnsi="Times New Roman" w:cs="Times New Roman"/>
                <w:b/>
                <w:color w:val="auto"/>
                <w:sz w:val="18"/>
                <w:szCs w:val="18"/>
                <w:lang w:eastAsia="zh-CN"/>
              </w:rPr>
              <w:t>tCO</w:t>
            </w:r>
            <w:r>
              <w:rPr>
                <w:rFonts w:ascii="Times New Roman" w:hAnsi="Times New Roman" w:cs="Times New Roman"/>
                <w:b/>
                <w:color w:val="auto"/>
                <w:sz w:val="18"/>
                <w:szCs w:val="18"/>
                <w:vertAlign w:val="subscript"/>
                <w:lang w:eastAsia="zh-CN"/>
              </w:rPr>
              <w:t>2</w:t>
            </w:r>
            <w:r>
              <w:rPr>
                <w:rFonts w:hint="eastAsia" w:ascii="Times New Roman" w:hAnsi="Times New Roman" w:cs="Times New Roman"/>
                <w:b/>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pct"/>
            <w:vMerge w:val="restart"/>
            <w:shd w:val="clear" w:color="auto" w:fill="auto"/>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直接排放</w:t>
            </w:r>
          </w:p>
        </w:tc>
        <w:tc>
          <w:tcPr>
            <w:tcW w:w="855" w:type="pct"/>
            <w:shd w:val="clear" w:color="auto" w:fill="auto"/>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移动设施</w:t>
            </w:r>
          </w:p>
        </w:tc>
        <w:tc>
          <w:tcPr>
            <w:tcW w:w="768" w:type="pct"/>
            <w:shd w:val="clear" w:color="auto" w:fill="auto"/>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A</w:t>
            </w:r>
          </w:p>
        </w:tc>
        <w:tc>
          <w:tcPr>
            <w:tcW w:w="2356" w:type="pct"/>
            <w:shd w:val="clear" w:color="auto" w:fill="auto"/>
          </w:tcPr>
          <w:p>
            <w:pPr>
              <w:pStyle w:val="55"/>
              <w:snapToGrid w:val="0"/>
              <w:spacing w:line="320" w:lineRule="exact"/>
              <w:ind w:firstLine="269"/>
              <w:jc w:val="center"/>
              <w:rPr>
                <w:rFonts w:ascii="Times New Roman" w:hAnsi="Times New Roman" w:cs="Times New Roman"/>
                <w:b/>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pct"/>
            <w:vMerge w:val="continue"/>
            <w:shd w:val="clear" w:color="auto" w:fill="auto"/>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p>
        </w:tc>
        <w:tc>
          <w:tcPr>
            <w:tcW w:w="855" w:type="pct"/>
            <w:shd w:val="clear" w:color="auto" w:fill="auto"/>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固定设施</w:t>
            </w:r>
          </w:p>
        </w:tc>
        <w:tc>
          <w:tcPr>
            <w:tcW w:w="768" w:type="pct"/>
            <w:shd w:val="clear" w:color="auto" w:fill="auto"/>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B</w:t>
            </w:r>
          </w:p>
        </w:tc>
        <w:tc>
          <w:tcPr>
            <w:tcW w:w="2356" w:type="pct"/>
            <w:shd w:val="clear" w:color="auto" w:fill="auto"/>
          </w:tcPr>
          <w:p>
            <w:pPr>
              <w:pStyle w:val="55"/>
              <w:snapToGrid w:val="0"/>
              <w:spacing w:line="320" w:lineRule="exact"/>
              <w:ind w:firstLine="269"/>
              <w:jc w:val="center"/>
              <w:rPr>
                <w:rFonts w:ascii="Times New Roman" w:hAnsi="Times New Roman" w:cs="Times New Roman"/>
                <w:b/>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pct"/>
            <w:vMerge w:val="continue"/>
            <w:shd w:val="clear" w:color="auto" w:fill="auto"/>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p>
        </w:tc>
        <w:tc>
          <w:tcPr>
            <w:tcW w:w="855" w:type="pct"/>
            <w:shd w:val="clear" w:color="auto" w:fill="auto"/>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小计</w:t>
            </w:r>
          </w:p>
        </w:tc>
        <w:tc>
          <w:tcPr>
            <w:tcW w:w="768" w:type="pct"/>
            <w:shd w:val="clear" w:color="auto" w:fill="auto"/>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C=A+B</w:t>
            </w:r>
          </w:p>
        </w:tc>
        <w:tc>
          <w:tcPr>
            <w:tcW w:w="2356" w:type="pct"/>
            <w:shd w:val="clear" w:color="auto" w:fill="auto"/>
          </w:tcPr>
          <w:p>
            <w:pPr>
              <w:pStyle w:val="55"/>
              <w:snapToGrid w:val="0"/>
              <w:spacing w:line="320" w:lineRule="exact"/>
              <w:ind w:firstLine="269"/>
              <w:jc w:val="center"/>
              <w:rPr>
                <w:rFonts w:ascii="Times New Roman" w:hAnsi="Times New Roman" w:cs="Times New Roman"/>
                <w:b/>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021" w:type="pct"/>
            <w:shd w:val="clear" w:color="auto" w:fill="auto"/>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间接排放</w:t>
            </w:r>
          </w:p>
        </w:tc>
        <w:tc>
          <w:tcPr>
            <w:tcW w:w="855" w:type="pct"/>
            <w:shd w:val="clear" w:color="auto" w:fill="auto"/>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固定设施</w:t>
            </w:r>
          </w:p>
        </w:tc>
        <w:tc>
          <w:tcPr>
            <w:tcW w:w="768" w:type="pct"/>
            <w:shd w:val="clear" w:color="auto" w:fill="auto"/>
          </w:tcPr>
          <w:p>
            <w:pPr>
              <w:pStyle w:val="55"/>
              <w:snapToGrid w:val="0"/>
              <w:spacing w:line="320" w:lineRule="exact"/>
              <w:ind w:firstLine="268"/>
              <w:jc w:val="center"/>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D</w:t>
            </w:r>
          </w:p>
        </w:tc>
        <w:tc>
          <w:tcPr>
            <w:tcW w:w="2356" w:type="pct"/>
            <w:shd w:val="clear" w:color="auto" w:fill="auto"/>
          </w:tcPr>
          <w:p>
            <w:pPr>
              <w:pStyle w:val="55"/>
              <w:snapToGrid w:val="0"/>
              <w:spacing w:line="320" w:lineRule="exact"/>
              <w:ind w:firstLine="269"/>
              <w:jc w:val="center"/>
              <w:rPr>
                <w:rFonts w:ascii="Times New Roman" w:hAnsi="Times New Roman" w:cs="Times New Roman"/>
                <w:b/>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pct"/>
            <w:vMerge w:val="restart"/>
            <w:shd w:val="clear" w:color="auto" w:fill="auto"/>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总排放量</w:t>
            </w:r>
          </w:p>
        </w:tc>
        <w:tc>
          <w:tcPr>
            <w:tcW w:w="855" w:type="pct"/>
            <w:shd w:val="clear" w:color="auto" w:fill="auto"/>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移动设施合计</w:t>
            </w:r>
          </w:p>
        </w:tc>
        <w:tc>
          <w:tcPr>
            <w:tcW w:w="768" w:type="pct"/>
            <w:shd w:val="clear" w:color="auto" w:fill="auto"/>
          </w:tcPr>
          <w:p>
            <w:pPr>
              <w:pStyle w:val="55"/>
              <w:snapToGrid w:val="0"/>
              <w:spacing w:line="320" w:lineRule="exact"/>
              <w:ind w:firstLine="268"/>
              <w:jc w:val="center"/>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A</w:t>
            </w:r>
          </w:p>
        </w:tc>
        <w:tc>
          <w:tcPr>
            <w:tcW w:w="2356" w:type="pct"/>
            <w:shd w:val="clear" w:color="auto" w:fill="auto"/>
          </w:tcPr>
          <w:p>
            <w:pPr>
              <w:pStyle w:val="55"/>
              <w:snapToGrid w:val="0"/>
              <w:spacing w:line="320" w:lineRule="exact"/>
              <w:ind w:firstLine="269"/>
              <w:jc w:val="center"/>
              <w:rPr>
                <w:rFonts w:ascii="Times New Roman" w:hAnsi="Times New Roman" w:cs="Times New Roman"/>
                <w:b/>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pct"/>
            <w:vMerge w:val="continue"/>
            <w:shd w:val="clear" w:color="auto" w:fill="auto"/>
          </w:tcPr>
          <w:p>
            <w:pPr>
              <w:pStyle w:val="55"/>
              <w:snapToGrid w:val="0"/>
              <w:spacing w:line="320" w:lineRule="exact"/>
              <w:ind w:firstLine="269"/>
              <w:jc w:val="center"/>
              <w:rPr>
                <w:rFonts w:ascii="Times New Roman" w:hAnsi="Times New Roman" w:cs="Times New Roman"/>
                <w:b/>
                <w:color w:val="auto"/>
                <w:sz w:val="18"/>
                <w:szCs w:val="18"/>
                <w:lang w:eastAsia="zh-CN"/>
              </w:rPr>
            </w:pPr>
          </w:p>
        </w:tc>
        <w:tc>
          <w:tcPr>
            <w:tcW w:w="855" w:type="pct"/>
            <w:shd w:val="clear" w:color="auto" w:fill="auto"/>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固定设施合计</w:t>
            </w:r>
          </w:p>
        </w:tc>
        <w:tc>
          <w:tcPr>
            <w:tcW w:w="768" w:type="pct"/>
            <w:shd w:val="clear" w:color="auto" w:fill="auto"/>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E=B+D</w:t>
            </w:r>
          </w:p>
        </w:tc>
        <w:tc>
          <w:tcPr>
            <w:tcW w:w="2356" w:type="pct"/>
            <w:shd w:val="clear" w:color="auto" w:fill="auto"/>
          </w:tcPr>
          <w:p>
            <w:pPr>
              <w:pStyle w:val="55"/>
              <w:snapToGrid w:val="0"/>
              <w:spacing w:line="320" w:lineRule="exact"/>
              <w:ind w:firstLine="269"/>
              <w:jc w:val="center"/>
              <w:rPr>
                <w:rFonts w:ascii="Times New Roman" w:hAnsi="Times New Roman" w:cs="Times New Roman"/>
                <w:b/>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pct"/>
            <w:vMerge w:val="continue"/>
            <w:shd w:val="clear" w:color="auto" w:fill="auto"/>
          </w:tcPr>
          <w:p>
            <w:pPr>
              <w:pStyle w:val="55"/>
              <w:snapToGrid w:val="0"/>
              <w:spacing w:line="320" w:lineRule="exact"/>
              <w:ind w:firstLine="269"/>
              <w:jc w:val="center"/>
              <w:rPr>
                <w:rFonts w:ascii="Times New Roman" w:hAnsi="Times New Roman" w:cs="Times New Roman"/>
                <w:b/>
                <w:color w:val="auto"/>
                <w:sz w:val="18"/>
                <w:szCs w:val="18"/>
                <w:lang w:eastAsia="zh-CN"/>
              </w:rPr>
            </w:pPr>
          </w:p>
        </w:tc>
        <w:tc>
          <w:tcPr>
            <w:tcW w:w="855" w:type="pct"/>
            <w:shd w:val="clear" w:color="auto" w:fill="auto"/>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全部合计</w:t>
            </w:r>
          </w:p>
        </w:tc>
        <w:tc>
          <w:tcPr>
            <w:tcW w:w="768" w:type="pct"/>
            <w:shd w:val="clear" w:color="auto" w:fill="auto"/>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F=A+E</w:t>
            </w:r>
          </w:p>
        </w:tc>
        <w:tc>
          <w:tcPr>
            <w:tcW w:w="2356" w:type="pct"/>
            <w:shd w:val="clear" w:color="auto" w:fill="auto"/>
          </w:tcPr>
          <w:p>
            <w:pPr>
              <w:pStyle w:val="55"/>
              <w:snapToGrid w:val="0"/>
              <w:spacing w:line="320" w:lineRule="exact"/>
              <w:ind w:firstLine="269"/>
              <w:jc w:val="center"/>
              <w:rPr>
                <w:rFonts w:ascii="Times New Roman" w:hAnsi="Times New Roman" w:cs="Times New Roman"/>
                <w:b/>
                <w:color w:val="auto"/>
                <w:sz w:val="18"/>
                <w:szCs w:val="18"/>
                <w:lang w:eastAsia="zh-CN"/>
              </w:rPr>
            </w:pPr>
          </w:p>
        </w:tc>
      </w:tr>
    </w:tbl>
    <w:p>
      <w:pPr>
        <w:pStyle w:val="4"/>
        <w:numPr>
          <w:ilvl w:val="0"/>
          <w:numId w:val="3"/>
        </w:numPr>
        <w:adjustRightInd w:val="0"/>
        <w:snapToGrid w:val="0"/>
        <w:spacing w:before="0" w:after="0" w:line="420" w:lineRule="exact"/>
        <w:ind w:left="0" w:firstLine="426" w:firstLineChars="0"/>
        <w:rPr>
          <w:rFonts w:ascii="Times New Roman" w:hAnsi="Times New Roman"/>
        </w:rPr>
      </w:pPr>
      <w:r>
        <w:rPr>
          <w:rFonts w:hint="eastAsia" w:ascii="Times New Roman" w:hAnsi="Times New Roman"/>
        </w:rPr>
        <w:t>不确定性分析</w:t>
      </w:r>
    </w:p>
    <w:p>
      <w:pPr>
        <w:adjustRightInd w:val="0"/>
        <w:snapToGrid w:val="0"/>
        <w:ind w:firstLine="480" w:firstLineChars="200"/>
        <w:rPr>
          <w:rFonts w:ascii="Times New Roman" w:hAnsi="Times New Roman"/>
          <w:szCs w:val="21"/>
        </w:rPr>
      </w:pPr>
      <w:r>
        <w:rPr>
          <w:rFonts w:hint="eastAsia" w:ascii="Times New Roman" w:hAnsi="Times New Roman"/>
          <w:szCs w:val="21"/>
        </w:rPr>
        <w:t>重点碳排放单位应简要说明影响</w:t>
      </w:r>
      <w:r>
        <w:rPr>
          <w:rFonts w:hint="eastAsia" w:ascii="Times New Roman" w:hAnsi="Times New Roman"/>
        </w:rPr>
        <w:t>直接</w:t>
      </w:r>
      <w:r>
        <w:rPr>
          <w:rFonts w:hint="eastAsia" w:ascii="Times New Roman" w:hAnsi="Times New Roman"/>
          <w:szCs w:val="21"/>
        </w:rPr>
        <w:t>排放量的最主要的</w:t>
      </w:r>
      <w:r>
        <w:rPr>
          <w:rFonts w:ascii="Times New Roman" w:hAnsi="Times New Roman"/>
          <w:szCs w:val="21"/>
        </w:rPr>
        <w:t>5</w:t>
      </w:r>
      <w:r>
        <w:rPr>
          <w:rFonts w:hint="eastAsia" w:ascii="Times New Roman" w:hAnsi="Times New Roman"/>
          <w:szCs w:val="21"/>
        </w:rPr>
        <w:t>个因素。</w:t>
      </w:r>
    </w:p>
    <w:p>
      <w:pPr>
        <w:adjustRightInd w:val="0"/>
        <w:snapToGrid w:val="0"/>
        <w:ind w:firstLine="480" w:firstLineChars="200"/>
        <w:rPr>
          <w:rFonts w:ascii="Times New Roman" w:hAnsi="Times New Roman"/>
          <w:szCs w:val="21"/>
        </w:rPr>
      </w:pPr>
      <w:r>
        <w:rPr>
          <w:rFonts w:hint="eastAsia" w:ascii="Times New Roman" w:hAnsi="Times New Roman"/>
          <w:szCs w:val="21"/>
        </w:rPr>
        <w:t>在年度报告中，重点碳排放单位还应计算二氧化碳直接排放量的不确定性。按照表HK</w:t>
      </w:r>
      <w:r>
        <w:rPr>
          <w:rFonts w:ascii="Times New Roman" w:hAnsi="Times New Roman"/>
          <w:szCs w:val="21"/>
        </w:rPr>
        <w:t>-3</w:t>
      </w:r>
      <w:r>
        <w:rPr>
          <w:rFonts w:hint="eastAsia" w:ascii="Times New Roman" w:hAnsi="Times New Roman"/>
          <w:szCs w:val="21"/>
        </w:rPr>
        <w:t>的格式填写不确定性分析结果。能源品种名称可自行修改，其他能源品种请自行填写，消费的化石燃料多于</w:t>
      </w:r>
      <w:r>
        <w:rPr>
          <w:rFonts w:ascii="Times New Roman" w:hAnsi="Times New Roman"/>
          <w:szCs w:val="21"/>
        </w:rPr>
        <w:t>4</w:t>
      </w:r>
      <w:r>
        <w:rPr>
          <w:rFonts w:hint="eastAsia" w:ascii="Times New Roman" w:hAnsi="Times New Roman"/>
          <w:szCs w:val="21"/>
        </w:rPr>
        <w:t>个品种的，请自行添加。</w:t>
      </w:r>
    </w:p>
    <w:p>
      <w:pPr>
        <w:widowControl/>
        <w:adjustRightInd w:val="0"/>
        <w:snapToGrid w:val="0"/>
        <w:spacing w:line="420" w:lineRule="exact"/>
        <w:ind w:firstLine="0" w:firstLineChars="0"/>
        <w:jc w:val="center"/>
        <w:rPr>
          <w:rFonts w:hint="eastAsia" w:ascii="Times New Roman" w:hAnsi="Times New Roman"/>
          <w:b/>
          <w:sz w:val="21"/>
          <w:szCs w:val="21"/>
        </w:rPr>
      </w:pPr>
    </w:p>
    <w:p>
      <w:pPr>
        <w:widowControl/>
        <w:adjustRightInd w:val="0"/>
        <w:snapToGrid w:val="0"/>
        <w:spacing w:line="420" w:lineRule="exact"/>
        <w:ind w:firstLine="0" w:firstLineChars="0"/>
        <w:jc w:val="center"/>
        <w:rPr>
          <w:rFonts w:hint="eastAsia" w:ascii="Times New Roman" w:hAnsi="Times New Roman"/>
          <w:b/>
          <w:sz w:val="21"/>
          <w:szCs w:val="21"/>
        </w:rPr>
      </w:pPr>
    </w:p>
    <w:p>
      <w:pPr>
        <w:widowControl/>
        <w:adjustRightInd w:val="0"/>
        <w:snapToGrid w:val="0"/>
        <w:spacing w:line="420" w:lineRule="exact"/>
        <w:ind w:firstLine="0" w:firstLineChars="0"/>
        <w:jc w:val="center"/>
        <w:rPr>
          <w:rFonts w:ascii="Times New Roman" w:hAnsi="Times New Roman"/>
          <w:b/>
          <w:sz w:val="21"/>
          <w:szCs w:val="21"/>
        </w:rPr>
      </w:pPr>
      <w:r>
        <w:rPr>
          <w:rFonts w:hint="eastAsia" w:ascii="Times New Roman" w:hAnsi="Times New Roman"/>
          <w:b/>
          <w:sz w:val="21"/>
          <w:szCs w:val="21"/>
        </w:rPr>
        <w:t>表HK</w:t>
      </w:r>
      <w:r>
        <w:rPr>
          <w:rFonts w:ascii="Times New Roman" w:hAnsi="Times New Roman"/>
          <w:b/>
          <w:sz w:val="21"/>
          <w:szCs w:val="21"/>
        </w:rPr>
        <w:t>-3</w:t>
      </w:r>
      <w:r>
        <w:rPr>
          <w:rFonts w:ascii="Times New Roman" w:hAnsi="Times New Roman"/>
          <w:b/>
          <w:sz w:val="21"/>
          <w:szCs w:val="21"/>
          <w:u w:val="single"/>
        </w:rPr>
        <w:t xml:space="preserve">20   </w:t>
      </w:r>
      <w:r>
        <w:rPr>
          <w:rFonts w:hint="eastAsia" w:ascii="Times New Roman" w:hAnsi="Times New Roman"/>
          <w:b/>
          <w:sz w:val="21"/>
          <w:szCs w:val="21"/>
        </w:rPr>
        <w:t>年直接排放不确定性计算</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4"/>
        <w:gridCol w:w="2265"/>
        <w:gridCol w:w="2266"/>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shd w:val="clear" w:color="auto" w:fill="auto"/>
            <w:vAlign w:val="center"/>
          </w:tcPr>
          <w:p>
            <w:pPr>
              <w:pStyle w:val="51"/>
              <w:adjustRightInd w:val="0"/>
              <w:snapToGrid w:val="0"/>
              <w:spacing w:line="320" w:lineRule="exact"/>
              <w:ind w:firstLine="0" w:firstLineChars="0"/>
              <w:jc w:val="center"/>
              <w:rPr>
                <w:rFonts w:ascii="Times New Roman" w:hAnsi="Times New Roman"/>
                <w:b/>
                <w:sz w:val="18"/>
                <w:szCs w:val="18"/>
              </w:rPr>
            </w:pPr>
            <w:r>
              <w:rPr>
                <w:rFonts w:hint="eastAsia" w:ascii="Times New Roman" w:hAnsi="Times New Roman"/>
                <w:b/>
                <w:sz w:val="18"/>
                <w:szCs w:val="18"/>
              </w:rPr>
              <w:t>能源品种</w:t>
            </w:r>
          </w:p>
        </w:tc>
        <w:tc>
          <w:tcPr>
            <w:tcW w:w="2130" w:type="dxa"/>
            <w:shd w:val="clear" w:color="auto" w:fill="auto"/>
            <w:vAlign w:val="center"/>
          </w:tcPr>
          <w:p>
            <w:pPr>
              <w:pStyle w:val="51"/>
              <w:adjustRightInd w:val="0"/>
              <w:snapToGrid w:val="0"/>
              <w:spacing w:line="320" w:lineRule="exact"/>
              <w:ind w:firstLine="0" w:firstLineChars="0"/>
              <w:jc w:val="center"/>
              <w:rPr>
                <w:rFonts w:ascii="Times New Roman" w:hAnsi="Times New Roman"/>
                <w:b/>
                <w:sz w:val="18"/>
                <w:szCs w:val="18"/>
              </w:rPr>
            </w:pPr>
            <w:r>
              <w:rPr>
                <w:rFonts w:hint="eastAsia" w:ascii="Times New Roman" w:hAnsi="Times New Roman"/>
                <w:b/>
                <w:sz w:val="18"/>
                <w:szCs w:val="18"/>
              </w:rPr>
              <w:t>活动水平不确定性</w:t>
            </w:r>
          </w:p>
        </w:tc>
        <w:tc>
          <w:tcPr>
            <w:tcW w:w="2131" w:type="dxa"/>
            <w:shd w:val="clear" w:color="auto" w:fill="auto"/>
            <w:vAlign w:val="center"/>
          </w:tcPr>
          <w:p>
            <w:pPr>
              <w:pStyle w:val="51"/>
              <w:adjustRightInd w:val="0"/>
              <w:snapToGrid w:val="0"/>
              <w:spacing w:line="320" w:lineRule="exact"/>
              <w:ind w:firstLine="0" w:firstLineChars="0"/>
              <w:jc w:val="center"/>
              <w:rPr>
                <w:rFonts w:ascii="Times New Roman" w:hAnsi="Times New Roman"/>
                <w:b/>
                <w:sz w:val="18"/>
                <w:szCs w:val="18"/>
              </w:rPr>
            </w:pPr>
            <w:r>
              <w:rPr>
                <w:rFonts w:hint="eastAsia" w:ascii="Times New Roman" w:hAnsi="Times New Roman"/>
                <w:b/>
                <w:sz w:val="18"/>
                <w:szCs w:val="18"/>
              </w:rPr>
              <w:t>排放因子不确定性</w:t>
            </w:r>
          </w:p>
        </w:tc>
        <w:tc>
          <w:tcPr>
            <w:tcW w:w="2131" w:type="dxa"/>
            <w:shd w:val="clear" w:color="auto" w:fill="auto"/>
            <w:vAlign w:val="center"/>
          </w:tcPr>
          <w:p>
            <w:pPr>
              <w:pStyle w:val="51"/>
              <w:adjustRightInd w:val="0"/>
              <w:snapToGrid w:val="0"/>
              <w:spacing w:line="320" w:lineRule="exact"/>
              <w:ind w:firstLine="0" w:firstLineChars="0"/>
              <w:jc w:val="center"/>
              <w:rPr>
                <w:rFonts w:ascii="Times New Roman" w:hAnsi="Times New Roman"/>
                <w:b/>
                <w:sz w:val="18"/>
                <w:szCs w:val="18"/>
              </w:rPr>
            </w:pPr>
            <w:r>
              <w:rPr>
                <w:rFonts w:hint="eastAsia" w:ascii="Times New Roman" w:hAnsi="Times New Roman"/>
                <w:b/>
                <w:sz w:val="18"/>
                <w:szCs w:val="18"/>
              </w:rPr>
              <w:t>排放量不确定性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航空煤油</w:t>
            </w:r>
          </w:p>
        </w:tc>
        <w:tc>
          <w:tcPr>
            <w:tcW w:w="2130"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2131"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2131"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天然气</w:t>
            </w:r>
          </w:p>
        </w:tc>
        <w:tc>
          <w:tcPr>
            <w:tcW w:w="2130"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2131"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2131"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r>
              <w:rPr>
                <w:rFonts w:ascii="Times New Roman" w:hAnsi="Times New Roman"/>
                <w:sz w:val="18"/>
                <w:szCs w:val="18"/>
              </w:rPr>
              <w:t>柴油</w:t>
            </w:r>
          </w:p>
        </w:tc>
        <w:tc>
          <w:tcPr>
            <w:tcW w:w="2130"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2131"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2131"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2130"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2131"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2131"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91" w:type="dxa"/>
            <w:gridSpan w:val="3"/>
            <w:shd w:val="clear" w:color="auto" w:fill="auto"/>
            <w:vAlign w:val="center"/>
          </w:tcPr>
          <w:p>
            <w:pPr>
              <w:pStyle w:val="51"/>
              <w:adjustRightInd w:val="0"/>
              <w:snapToGrid w:val="0"/>
              <w:spacing w:line="320" w:lineRule="exact"/>
              <w:ind w:firstLine="0" w:firstLineChars="0"/>
              <w:jc w:val="left"/>
              <w:rPr>
                <w:rFonts w:ascii="Times New Roman" w:hAnsi="Times New Roman"/>
                <w:sz w:val="18"/>
                <w:szCs w:val="18"/>
              </w:rPr>
            </w:pPr>
            <w:r>
              <w:rPr>
                <w:rFonts w:hint="eastAsia" w:ascii="Times New Roman" w:hAnsi="Times New Roman"/>
                <w:sz w:val="18"/>
                <w:szCs w:val="18"/>
              </w:rPr>
              <w:t>综合不确定性</w:t>
            </w:r>
          </w:p>
        </w:tc>
        <w:tc>
          <w:tcPr>
            <w:tcW w:w="2131"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r>
    </w:tbl>
    <w:p>
      <w:pPr>
        <w:pStyle w:val="4"/>
        <w:numPr>
          <w:ilvl w:val="0"/>
          <w:numId w:val="3"/>
        </w:numPr>
        <w:adjustRightInd w:val="0"/>
        <w:snapToGrid w:val="0"/>
        <w:spacing w:before="0" w:after="0" w:line="420" w:lineRule="exact"/>
        <w:ind w:left="0" w:firstLine="426" w:firstLineChars="0"/>
        <w:rPr>
          <w:rFonts w:ascii="Times New Roman" w:hAnsi="Times New Roman"/>
        </w:rPr>
      </w:pPr>
      <w:r>
        <w:rPr>
          <w:rFonts w:hint="eastAsia" w:ascii="Times New Roman" w:hAnsi="Times New Roman"/>
        </w:rPr>
        <w:t>监测计划</w:t>
      </w:r>
    </w:p>
    <w:p>
      <w:pPr>
        <w:ind w:firstLine="480" w:firstLineChars="200"/>
      </w:pPr>
      <w:r>
        <w:t>企业应按照</w:t>
      </w:r>
      <w:r>
        <w:rPr>
          <w:rFonts w:hint="eastAsia"/>
        </w:rPr>
        <w:t>“排放</w:t>
      </w:r>
      <w:r>
        <w:t>核算方法”</w:t>
      </w:r>
      <w:r>
        <w:rPr>
          <w:rFonts w:hint="eastAsia"/>
        </w:rPr>
        <w:t>部分</w:t>
      </w:r>
      <w:r>
        <w:t>对</w:t>
      </w:r>
      <w:r>
        <w:rPr>
          <w:rFonts w:hint="eastAsia"/>
        </w:rPr>
        <w:t>获取</w:t>
      </w:r>
      <w:r>
        <w:t>活动水平及排放因子数据的规定制定监测计划，并</w:t>
      </w:r>
      <w:r>
        <w:rPr>
          <w:rFonts w:hint="eastAsia"/>
        </w:rPr>
        <w:t>按制定</w:t>
      </w:r>
      <w:r>
        <w:t>的计划</w:t>
      </w:r>
      <w:r>
        <w:rPr>
          <w:rFonts w:hint="eastAsia"/>
        </w:rPr>
        <w:t>开展相关</w:t>
      </w:r>
      <w:r>
        <w:t>参数的监测工作。</w:t>
      </w:r>
      <w:r>
        <w:rPr>
          <w:rFonts w:hint="eastAsia"/>
        </w:rPr>
        <w:t>其中</w:t>
      </w:r>
      <w:r>
        <w:t>移动源部分</w:t>
      </w:r>
      <w:r>
        <w:rPr>
          <w:rFonts w:hint="eastAsia"/>
        </w:rPr>
        <w:t>可</w:t>
      </w:r>
      <w:r>
        <w:t>参照民航局</w:t>
      </w:r>
      <w:r>
        <w:rPr>
          <w:rFonts w:hint="eastAsia"/>
        </w:rPr>
        <w:t>制定</w:t>
      </w:r>
      <w:r>
        <w:t>的监测计划方法执行。</w:t>
      </w:r>
    </w:p>
    <w:p>
      <w:pPr>
        <w:ind w:firstLine="480" w:firstLineChars="200"/>
      </w:pPr>
      <w:r>
        <w:rPr>
          <w:rFonts w:hint="eastAsia"/>
        </w:rPr>
        <w:t>在</w:t>
      </w:r>
      <w:r>
        <w:t>年度报告中，</w:t>
      </w:r>
      <w:r>
        <w:rPr>
          <w:rFonts w:hint="eastAsia"/>
        </w:rPr>
        <w:t>重点碳排放单位</w:t>
      </w:r>
      <w:r>
        <w:t>应</w:t>
      </w:r>
      <w:r>
        <w:rPr>
          <w:rFonts w:hint="eastAsia"/>
        </w:rPr>
        <w:t>按照</w:t>
      </w:r>
      <w:r>
        <w:t>表</w:t>
      </w:r>
      <w:r>
        <w:rPr>
          <w:rFonts w:ascii="Times New Roman" w:hAnsi="Times New Roman"/>
          <w:szCs w:val="21"/>
        </w:rPr>
        <w:t>ZD-5</w:t>
      </w:r>
      <w:r>
        <w:rPr>
          <w:rFonts w:hint="eastAsia"/>
        </w:rPr>
        <w:t>的</w:t>
      </w:r>
      <w:r>
        <w:t>格式</w:t>
      </w:r>
      <w:r>
        <w:rPr>
          <w:rFonts w:hint="eastAsia"/>
        </w:rPr>
        <w:t>，</w:t>
      </w:r>
      <w:r>
        <w:t>报告本年度</w:t>
      </w:r>
      <w:r>
        <w:rPr>
          <w:rFonts w:hint="eastAsia"/>
        </w:rPr>
        <w:t>监测</w:t>
      </w:r>
      <w:r>
        <w:t>计划的落实情况及下一年度计划实测的相关参数。</w:t>
      </w:r>
    </w:p>
    <w:p>
      <w:pPr>
        <w:widowControl/>
        <w:adjustRightInd w:val="0"/>
        <w:snapToGrid w:val="0"/>
        <w:spacing w:line="420" w:lineRule="exact"/>
        <w:ind w:firstLine="0" w:firstLineChars="0"/>
        <w:jc w:val="center"/>
        <w:rPr>
          <w:rFonts w:ascii="Times New Roman" w:hAnsi="Times New Roman"/>
          <w:b/>
          <w:sz w:val="21"/>
          <w:szCs w:val="21"/>
        </w:rPr>
      </w:pPr>
      <w:r>
        <w:rPr>
          <w:rFonts w:hint="eastAsia" w:ascii="Times New Roman" w:hAnsi="Times New Roman"/>
          <w:b/>
          <w:sz w:val="21"/>
          <w:szCs w:val="21"/>
        </w:rPr>
        <w:t>表</w:t>
      </w:r>
      <w:r>
        <w:rPr>
          <w:rFonts w:ascii="Times New Roman" w:hAnsi="Times New Roman"/>
          <w:b/>
          <w:sz w:val="21"/>
          <w:szCs w:val="21"/>
        </w:rPr>
        <w:t>ZD-5</w:t>
      </w:r>
      <w:r>
        <w:rPr>
          <w:rFonts w:hint="eastAsia" w:ascii="Times New Roman" w:hAnsi="Times New Roman"/>
          <w:b/>
          <w:sz w:val="21"/>
          <w:szCs w:val="21"/>
        </w:rPr>
        <w:t>企业监测工作及监测计划</w:t>
      </w:r>
    </w:p>
    <w:tbl>
      <w:tblPr>
        <w:tblStyle w:val="27"/>
        <w:tblW w:w="5264" w:type="pct"/>
        <w:jc w:val="center"/>
        <w:tblLayout w:type="autofit"/>
        <w:tblCellMar>
          <w:top w:w="0" w:type="dxa"/>
          <w:left w:w="108" w:type="dxa"/>
          <w:bottom w:w="0" w:type="dxa"/>
          <w:right w:w="108" w:type="dxa"/>
        </w:tblCellMar>
      </w:tblPr>
      <w:tblGrid>
        <w:gridCol w:w="1292"/>
        <w:gridCol w:w="671"/>
        <w:gridCol w:w="1108"/>
        <w:gridCol w:w="1077"/>
        <w:gridCol w:w="1078"/>
        <w:gridCol w:w="1077"/>
        <w:gridCol w:w="1079"/>
        <w:gridCol w:w="1078"/>
        <w:gridCol w:w="1079"/>
      </w:tblGrid>
      <w:tr>
        <w:tblPrEx>
          <w:tblCellMar>
            <w:top w:w="0" w:type="dxa"/>
            <w:left w:w="108" w:type="dxa"/>
            <w:bottom w:w="0" w:type="dxa"/>
            <w:right w:w="108" w:type="dxa"/>
          </w:tblCellMar>
        </w:tblPrEx>
        <w:trPr>
          <w:jc w:val="center"/>
        </w:trPr>
        <w:tc>
          <w:tcPr>
            <w:tcW w:w="2891" w:type="dxa"/>
            <w:gridSpan w:val="3"/>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lang w:eastAsia="zh-CN"/>
              </w:rPr>
            </w:pPr>
            <w:r>
              <w:rPr>
                <w:rFonts w:hint="eastAsia" w:ascii="Times New Roman" w:hAnsi="Times New Roman"/>
                <w:b/>
                <w:sz w:val="18"/>
                <w:szCs w:val="18"/>
                <w:lang w:eastAsia="zh-CN"/>
              </w:rPr>
              <w:t>相关参数</w:t>
            </w:r>
          </w:p>
        </w:tc>
        <w:tc>
          <w:tcPr>
            <w:tcW w:w="30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b/>
                <w:color w:val="000000"/>
                <w:sz w:val="18"/>
                <w:szCs w:val="18"/>
              </w:rPr>
            </w:pPr>
            <w:r>
              <w:rPr>
                <w:rFonts w:hint="eastAsia" w:ascii="Times New Roman" w:hAnsi="Times New Roman"/>
                <w:b/>
                <w:sz w:val="18"/>
                <w:szCs w:val="18"/>
              </w:rPr>
              <w:t>本年度开展的监测工作</w:t>
            </w:r>
          </w:p>
        </w:tc>
        <w:tc>
          <w:tcPr>
            <w:tcW w:w="304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b/>
                <w:color w:val="000000"/>
                <w:sz w:val="18"/>
                <w:szCs w:val="18"/>
              </w:rPr>
            </w:pPr>
            <w:r>
              <w:rPr>
                <w:rFonts w:hint="eastAsia" w:ascii="Times New Roman" w:hAnsi="Times New Roman"/>
                <w:b/>
                <w:sz w:val="18"/>
                <w:szCs w:val="18"/>
              </w:rPr>
              <w:t>下年度监测计划</w:t>
            </w:r>
          </w:p>
        </w:tc>
      </w:tr>
      <w:tr>
        <w:tblPrEx>
          <w:tblCellMar>
            <w:top w:w="0" w:type="dxa"/>
            <w:left w:w="108" w:type="dxa"/>
            <w:bottom w:w="0" w:type="dxa"/>
            <w:right w:w="108" w:type="dxa"/>
          </w:tblCellMar>
        </w:tblPrEx>
        <w:trPr>
          <w:jc w:val="center"/>
        </w:trPr>
        <w:tc>
          <w:tcPr>
            <w:tcW w:w="1216" w:type="dxa"/>
            <w:vMerge w:val="restart"/>
            <w:tcBorders>
              <w:top w:val="single" w:color="auto" w:sz="4" w:space="0"/>
              <w:left w:val="single" w:color="auto" w:sz="4" w:space="0"/>
              <w:right w:val="single" w:color="auto" w:sz="4" w:space="0"/>
            </w:tcBorders>
            <w:vAlign w:val="center"/>
          </w:tcPr>
          <w:p>
            <w:pPr>
              <w:pStyle w:val="55"/>
              <w:snapToGrid w:val="0"/>
              <w:spacing w:line="320" w:lineRule="exact"/>
              <w:rPr>
                <w:rFonts w:ascii="Times New Roman" w:hAnsi="Times New Roman" w:cs="Times New Roman"/>
                <w:b/>
                <w:color w:val="auto"/>
                <w:kern w:val="2"/>
                <w:sz w:val="18"/>
                <w:szCs w:val="18"/>
                <w:lang w:eastAsia="zh-CN"/>
              </w:rPr>
            </w:pPr>
            <w:r>
              <w:rPr>
                <w:rFonts w:hint="eastAsia" w:ascii="Times New Roman" w:hAnsi="Times New Roman" w:cs="Times New Roman"/>
                <w:b/>
                <w:color w:val="auto"/>
                <w:sz w:val="18"/>
                <w:szCs w:val="18"/>
                <w:lang w:eastAsia="zh-CN"/>
              </w:rPr>
              <w:t>实测的</w:t>
            </w:r>
            <w:r>
              <w:rPr>
                <w:rFonts w:hint="eastAsia" w:ascii="Times New Roman" w:hAnsi="Times New Roman"/>
                <w:b/>
                <w:sz w:val="18"/>
                <w:szCs w:val="18"/>
                <w:lang w:eastAsia="zh-CN"/>
              </w:rPr>
              <w:t>化石燃料燃烧相关参数</w:t>
            </w:r>
          </w:p>
        </w:tc>
        <w:tc>
          <w:tcPr>
            <w:tcW w:w="63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序号</w:t>
            </w:r>
          </w:p>
        </w:tc>
        <w:tc>
          <w:tcPr>
            <w:tcW w:w="104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rPr>
            </w:pPr>
            <w:r>
              <w:rPr>
                <w:rFonts w:hint="eastAsia" w:ascii="Times New Roman" w:hAnsi="Times New Roman" w:cs="Times New Roman"/>
                <w:color w:val="auto"/>
                <w:sz w:val="18"/>
                <w:szCs w:val="18"/>
                <w:lang w:eastAsia="zh-CN"/>
              </w:rPr>
              <w:t>燃料品种</w:t>
            </w:r>
          </w:p>
        </w:tc>
        <w:tc>
          <w:tcPr>
            <w:tcW w:w="1014" w:type="dxa"/>
            <w:tcBorders>
              <w:top w:val="single" w:color="auto" w:sz="4" w:space="0"/>
              <w:left w:val="single" w:color="auto" w:sz="4" w:space="0"/>
              <w:bottom w:val="single" w:color="auto" w:sz="4" w:space="0"/>
              <w:right w:val="single" w:color="auto" w:sz="4" w:space="0"/>
            </w:tcBorders>
            <w:vAlign w:val="center"/>
          </w:tcPr>
          <w:p>
            <w:pPr>
              <w:pStyle w:val="51"/>
              <w:adjustRightInd w:val="0"/>
              <w:snapToGrid w:val="0"/>
              <w:spacing w:line="320" w:lineRule="exact"/>
              <w:ind w:firstLine="0" w:firstLineChars="0"/>
              <w:rPr>
                <w:rFonts w:ascii="Times New Roman" w:hAnsi="Times New Roman"/>
                <w:sz w:val="18"/>
                <w:szCs w:val="18"/>
              </w:rPr>
            </w:pPr>
            <w:r>
              <w:rPr>
                <w:rFonts w:hint="eastAsia" w:ascii="Times New Roman" w:hAnsi="Times New Roman"/>
                <w:sz w:val="18"/>
                <w:szCs w:val="18"/>
              </w:rPr>
              <w:t>热值</w:t>
            </w:r>
          </w:p>
        </w:tc>
        <w:tc>
          <w:tcPr>
            <w:tcW w:w="1015" w:type="dxa"/>
            <w:tcBorders>
              <w:top w:val="single" w:color="auto" w:sz="4" w:space="0"/>
              <w:left w:val="single" w:color="auto" w:sz="4" w:space="0"/>
              <w:bottom w:val="single" w:color="auto" w:sz="4" w:space="0"/>
              <w:right w:val="single" w:color="auto" w:sz="4" w:space="0"/>
            </w:tcBorders>
            <w:vAlign w:val="center"/>
          </w:tcPr>
          <w:p>
            <w:pPr>
              <w:pStyle w:val="51"/>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单位热值含碳量</w:t>
            </w:r>
          </w:p>
        </w:tc>
        <w:tc>
          <w:tcPr>
            <w:tcW w:w="1014" w:type="dxa"/>
            <w:tcBorders>
              <w:top w:val="single" w:color="auto" w:sz="4" w:space="0"/>
              <w:left w:val="single" w:color="auto" w:sz="4" w:space="0"/>
              <w:bottom w:val="single" w:color="auto" w:sz="4" w:space="0"/>
              <w:right w:val="single" w:color="auto" w:sz="4" w:space="0"/>
            </w:tcBorders>
            <w:vAlign w:val="center"/>
          </w:tcPr>
          <w:p>
            <w:pPr>
              <w:pStyle w:val="51"/>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碳氧化率</w:t>
            </w:r>
          </w:p>
        </w:tc>
        <w:tc>
          <w:tcPr>
            <w:tcW w:w="1015" w:type="dxa"/>
            <w:tcBorders>
              <w:top w:val="single" w:color="auto" w:sz="4" w:space="0"/>
              <w:left w:val="single" w:color="auto" w:sz="4" w:space="0"/>
              <w:bottom w:val="single" w:color="auto" w:sz="4" w:space="0"/>
              <w:right w:val="single" w:color="auto" w:sz="4" w:space="0"/>
            </w:tcBorders>
            <w:vAlign w:val="center"/>
          </w:tcPr>
          <w:p>
            <w:pPr>
              <w:pStyle w:val="51"/>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热值</w:t>
            </w:r>
          </w:p>
        </w:tc>
        <w:tc>
          <w:tcPr>
            <w:tcW w:w="1014" w:type="dxa"/>
            <w:tcBorders>
              <w:top w:val="single" w:color="auto" w:sz="4" w:space="0"/>
              <w:left w:val="single" w:color="auto" w:sz="4" w:space="0"/>
              <w:bottom w:val="single" w:color="auto" w:sz="4" w:space="0"/>
              <w:right w:val="single" w:color="auto" w:sz="4" w:space="0"/>
            </w:tcBorders>
            <w:vAlign w:val="center"/>
          </w:tcPr>
          <w:p>
            <w:pPr>
              <w:pStyle w:val="51"/>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单位热值含碳量</w:t>
            </w:r>
          </w:p>
        </w:tc>
        <w:tc>
          <w:tcPr>
            <w:tcW w:w="1015" w:type="dxa"/>
            <w:tcBorders>
              <w:top w:val="single" w:color="auto" w:sz="4" w:space="0"/>
              <w:left w:val="single" w:color="auto" w:sz="4" w:space="0"/>
              <w:bottom w:val="single" w:color="auto" w:sz="4" w:space="0"/>
              <w:right w:val="single" w:color="auto" w:sz="4" w:space="0"/>
            </w:tcBorders>
            <w:vAlign w:val="center"/>
          </w:tcPr>
          <w:p>
            <w:pPr>
              <w:pStyle w:val="51"/>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碳氧化率</w:t>
            </w:r>
          </w:p>
        </w:tc>
      </w:tr>
      <w:tr>
        <w:tblPrEx>
          <w:tblCellMar>
            <w:top w:w="0" w:type="dxa"/>
            <w:left w:w="108" w:type="dxa"/>
            <w:bottom w:w="0" w:type="dxa"/>
            <w:right w:w="108" w:type="dxa"/>
          </w:tblCellMar>
        </w:tblPrEx>
        <w:trPr>
          <w:jc w:val="center"/>
        </w:trPr>
        <w:tc>
          <w:tcPr>
            <w:tcW w:w="1216"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63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left"/>
              <w:rPr>
                <w:rFonts w:ascii="Times New Roman" w:hAnsi="Times New Roman" w:cs="Times New Roman"/>
                <w:color w:val="FF0000"/>
                <w:sz w:val="18"/>
                <w:szCs w:val="18"/>
              </w:rPr>
            </w:pPr>
            <w:r>
              <w:rPr>
                <w:rFonts w:ascii="Times New Roman" w:hAnsi="Times New Roman" w:cs="Times New Roman"/>
                <w:color w:val="auto"/>
                <w:sz w:val="18"/>
                <w:szCs w:val="18"/>
                <w:lang w:eastAsia="zh-CN"/>
              </w:rPr>
              <w:t>1</w:t>
            </w:r>
          </w:p>
        </w:tc>
        <w:tc>
          <w:tcPr>
            <w:tcW w:w="104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rPr>
            </w:pPr>
            <w:r>
              <w:rPr>
                <w:rFonts w:hint="eastAsia" w:ascii="Times New Roman" w:hAnsi="Times New Roman" w:cs="Times New Roman"/>
                <w:color w:val="auto"/>
                <w:sz w:val="18"/>
                <w:szCs w:val="18"/>
              </w:rPr>
              <w:t>汽油</w:t>
            </w:r>
          </w:p>
        </w:tc>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c>
          <w:tcPr>
            <w:tcW w:w="101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r>
      <w:tr>
        <w:tblPrEx>
          <w:tblCellMar>
            <w:top w:w="0" w:type="dxa"/>
            <w:left w:w="108" w:type="dxa"/>
            <w:bottom w:w="0" w:type="dxa"/>
            <w:right w:w="108" w:type="dxa"/>
          </w:tblCellMar>
        </w:tblPrEx>
        <w:trPr>
          <w:jc w:val="center"/>
        </w:trPr>
        <w:tc>
          <w:tcPr>
            <w:tcW w:w="1216"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63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left"/>
              <w:rPr>
                <w:rFonts w:ascii="Times New Roman" w:hAnsi="Times New Roman" w:cs="Times New Roman"/>
                <w:color w:val="FF0000"/>
                <w:sz w:val="18"/>
                <w:szCs w:val="18"/>
              </w:rPr>
            </w:pPr>
            <w:r>
              <w:rPr>
                <w:rFonts w:ascii="Times New Roman" w:hAnsi="Times New Roman" w:cs="Times New Roman"/>
                <w:color w:val="auto"/>
                <w:sz w:val="18"/>
                <w:szCs w:val="18"/>
                <w:lang w:eastAsia="zh-CN"/>
              </w:rPr>
              <w:t>2</w:t>
            </w:r>
          </w:p>
        </w:tc>
        <w:tc>
          <w:tcPr>
            <w:tcW w:w="104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rPr>
              <w:t>柴油</w:t>
            </w:r>
          </w:p>
        </w:tc>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c>
          <w:tcPr>
            <w:tcW w:w="101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r>
      <w:tr>
        <w:tblPrEx>
          <w:tblCellMar>
            <w:top w:w="0" w:type="dxa"/>
            <w:left w:w="108" w:type="dxa"/>
            <w:bottom w:w="0" w:type="dxa"/>
            <w:right w:w="108" w:type="dxa"/>
          </w:tblCellMar>
        </w:tblPrEx>
        <w:trPr>
          <w:jc w:val="center"/>
        </w:trPr>
        <w:tc>
          <w:tcPr>
            <w:tcW w:w="1216"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63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left"/>
              <w:rPr>
                <w:rFonts w:ascii="Times New Roman" w:hAnsi="Times New Roman" w:cs="Times New Roman"/>
                <w:color w:val="FF0000"/>
                <w:sz w:val="18"/>
                <w:szCs w:val="18"/>
              </w:rPr>
            </w:pPr>
            <w:r>
              <w:rPr>
                <w:rFonts w:ascii="Times New Roman" w:hAnsi="Times New Roman" w:cs="Times New Roman"/>
                <w:color w:val="auto"/>
                <w:sz w:val="18"/>
                <w:szCs w:val="18"/>
                <w:lang w:eastAsia="zh-CN"/>
              </w:rPr>
              <w:t>3</w:t>
            </w:r>
          </w:p>
        </w:tc>
        <w:tc>
          <w:tcPr>
            <w:tcW w:w="104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rPr>
              <w:t>航空煤油</w:t>
            </w:r>
          </w:p>
        </w:tc>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c>
          <w:tcPr>
            <w:tcW w:w="101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r>
      <w:tr>
        <w:tblPrEx>
          <w:tblCellMar>
            <w:top w:w="0" w:type="dxa"/>
            <w:left w:w="108" w:type="dxa"/>
            <w:bottom w:w="0" w:type="dxa"/>
            <w:right w:w="108" w:type="dxa"/>
          </w:tblCellMar>
        </w:tblPrEx>
        <w:trPr>
          <w:jc w:val="center"/>
        </w:trPr>
        <w:tc>
          <w:tcPr>
            <w:tcW w:w="1216"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63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left"/>
              <w:rPr>
                <w:rFonts w:ascii="Times New Roman" w:hAnsi="Times New Roman" w:cs="Times New Roman"/>
                <w:color w:val="FF0000"/>
                <w:sz w:val="18"/>
                <w:szCs w:val="18"/>
              </w:rPr>
            </w:pPr>
            <w:r>
              <w:rPr>
                <w:rFonts w:ascii="Times New Roman" w:hAnsi="Times New Roman" w:cs="Times New Roman"/>
                <w:color w:val="auto"/>
                <w:sz w:val="18"/>
                <w:szCs w:val="18"/>
                <w:lang w:eastAsia="zh-CN"/>
              </w:rPr>
              <w:t>4</w:t>
            </w:r>
          </w:p>
        </w:tc>
        <w:tc>
          <w:tcPr>
            <w:tcW w:w="104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rPr>
              <w:t>燃料油</w:t>
            </w:r>
          </w:p>
        </w:tc>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c>
          <w:tcPr>
            <w:tcW w:w="101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r>
      <w:tr>
        <w:tblPrEx>
          <w:tblCellMar>
            <w:top w:w="0" w:type="dxa"/>
            <w:left w:w="108" w:type="dxa"/>
            <w:bottom w:w="0" w:type="dxa"/>
            <w:right w:w="108" w:type="dxa"/>
          </w:tblCellMar>
        </w:tblPrEx>
        <w:trPr>
          <w:jc w:val="center"/>
        </w:trPr>
        <w:tc>
          <w:tcPr>
            <w:tcW w:w="1216"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63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left"/>
              <w:rPr>
                <w:rFonts w:ascii="Times New Roman" w:hAnsi="Times New Roman" w:cs="Times New Roman"/>
                <w:color w:val="FF0000"/>
                <w:sz w:val="18"/>
                <w:szCs w:val="18"/>
                <w:lang w:eastAsia="zh-CN"/>
              </w:rPr>
            </w:pPr>
            <w:r>
              <w:rPr>
                <w:rFonts w:ascii="Times New Roman" w:hAnsi="Times New Roman" w:cs="Times New Roman"/>
                <w:color w:val="auto"/>
                <w:sz w:val="18"/>
                <w:szCs w:val="18"/>
                <w:lang w:eastAsia="zh-CN"/>
              </w:rPr>
              <w:t>5</w:t>
            </w:r>
          </w:p>
        </w:tc>
        <w:tc>
          <w:tcPr>
            <w:tcW w:w="104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液化石油气</w:t>
            </w:r>
          </w:p>
        </w:tc>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c>
          <w:tcPr>
            <w:tcW w:w="101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r>
      <w:tr>
        <w:tblPrEx>
          <w:tblCellMar>
            <w:top w:w="0" w:type="dxa"/>
            <w:left w:w="108" w:type="dxa"/>
            <w:bottom w:w="0" w:type="dxa"/>
            <w:right w:w="108" w:type="dxa"/>
          </w:tblCellMar>
        </w:tblPrEx>
        <w:trPr>
          <w:jc w:val="center"/>
        </w:trPr>
        <w:tc>
          <w:tcPr>
            <w:tcW w:w="1216"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63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left"/>
              <w:rPr>
                <w:rFonts w:ascii="Times New Roman" w:hAnsi="Times New Roman" w:cs="Times New Roman"/>
                <w:color w:val="FF0000"/>
                <w:sz w:val="18"/>
                <w:szCs w:val="18"/>
              </w:rPr>
            </w:pPr>
            <w:r>
              <w:rPr>
                <w:rFonts w:ascii="Times New Roman" w:hAnsi="Times New Roman" w:cs="Times New Roman"/>
                <w:color w:val="auto"/>
                <w:sz w:val="18"/>
                <w:szCs w:val="18"/>
                <w:lang w:eastAsia="zh-CN"/>
              </w:rPr>
              <w:t>6</w:t>
            </w:r>
          </w:p>
        </w:tc>
        <w:tc>
          <w:tcPr>
            <w:tcW w:w="104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rPr>
            </w:pPr>
            <w:r>
              <w:rPr>
                <w:rFonts w:hint="eastAsia" w:ascii="Times New Roman" w:hAnsi="Times New Roman" w:cs="Times New Roman"/>
                <w:sz w:val="18"/>
                <w:szCs w:val="18"/>
              </w:rPr>
              <w:t>其他油品</w:t>
            </w:r>
          </w:p>
        </w:tc>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c>
          <w:tcPr>
            <w:tcW w:w="101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r>
      <w:tr>
        <w:tblPrEx>
          <w:tblCellMar>
            <w:top w:w="0" w:type="dxa"/>
            <w:left w:w="108" w:type="dxa"/>
            <w:bottom w:w="0" w:type="dxa"/>
            <w:right w:w="108" w:type="dxa"/>
          </w:tblCellMar>
        </w:tblPrEx>
        <w:trPr>
          <w:jc w:val="center"/>
        </w:trPr>
        <w:tc>
          <w:tcPr>
            <w:tcW w:w="1216"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6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both"/>
              <w:rPr>
                <w:rFonts w:ascii="Times New Roman" w:hAnsi="Times New Roman"/>
                <w:color w:val="FF0000"/>
                <w:sz w:val="18"/>
                <w:szCs w:val="18"/>
              </w:rPr>
            </w:pPr>
            <w:r>
              <w:rPr>
                <w:rFonts w:ascii="Times New Roman" w:hAnsi="Times New Roman"/>
                <w:sz w:val="18"/>
                <w:szCs w:val="18"/>
              </w:rPr>
              <w:t>7</w:t>
            </w:r>
          </w:p>
        </w:tc>
        <w:tc>
          <w:tcPr>
            <w:tcW w:w="1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left"/>
              <w:rPr>
                <w:rFonts w:ascii="Times New Roman" w:hAnsi="Times New Roman"/>
                <w:sz w:val="18"/>
                <w:szCs w:val="18"/>
              </w:rPr>
            </w:pPr>
            <w:r>
              <w:rPr>
                <w:rFonts w:hint="eastAsia" w:ascii="Times New Roman" w:hAnsi="Times New Roman"/>
                <w:sz w:val="18"/>
                <w:szCs w:val="18"/>
              </w:rPr>
              <w:t>天然气</w:t>
            </w:r>
          </w:p>
        </w:tc>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c>
          <w:tcPr>
            <w:tcW w:w="101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FF0000"/>
                <w:sz w:val="18"/>
                <w:szCs w:val="18"/>
              </w:rPr>
            </w:pPr>
          </w:p>
        </w:tc>
      </w:tr>
      <w:tr>
        <w:tblPrEx>
          <w:tblCellMar>
            <w:top w:w="0" w:type="dxa"/>
            <w:left w:w="108" w:type="dxa"/>
            <w:bottom w:w="0" w:type="dxa"/>
            <w:right w:w="108" w:type="dxa"/>
          </w:tblCellMar>
        </w:tblPrEx>
        <w:trPr>
          <w:jc w:val="center"/>
        </w:trPr>
        <w:tc>
          <w:tcPr>
            <w:tcW w:w="1216"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63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0"/>
              <w:jc w:val="left"/>
              <w:rPr>
                <w:rFonts w:ascii="Times New Roman" w:hAnsi="Times New Roman" w:cs="Times New Roman"/>
                <w:sz w:val="18"/>
                <w:szCs w:val="18"/>
              </w:rPr>
            </w:pPr>
            <w:r>
              <w:rPr>
                <w:rFonts w:ascii="Times New Roman" w:hAnsi="Times New Roman" w:cs="Times New Roman"/>
                <w:color w:val="auto"/>
                <w:sz w:val="18"/>
                <w:szCs w:val="18"/>
                <w:lang w:eastAsia="zh-CN"/>
              </w:rPr>
              <w:t>8</w:t>
            </w:r>
          </w:p>
        </w:tc>
        <w:tc>
          <w:tcPr>
            <w:tcW w:w="1043"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rPr>
            </w:pPr>
            <w:r>
              <w:rPr>
                <w:rFonts w:hint="eastAsia" w:ascii="Times New Roman" w:hAnsi="Times New Roman" w:cs="Times New Roman"/>
                <w:color w:val="auto"/>
                <w:sz w:val="18"/>
                <w:szCs w:val="18"/>
                <w:lang w:eastAsia="zh-CN"/>
              </w:rPr>
              <w:t>其他</w:t>
            </w:r>
          </w:p>
        </w:tc>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101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c>
          <w:tcPr>
            <w:tcW w:w="1015"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jc w:val="center"/>
        </w:trPr>
        <w:tc>
          <w:tcPr>
            <w:tcW w:w="2891" w:type="dxa"/>
            <w:gridSpan w:val="3"/>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b/>
                <w:color w:val="auto"/>
                <w:sz w:val="18"/>
                <w:szCs w:val="18"/>
                <w:lang w:eastAsia="zh-CN"/>
              </w:rPr>
            </w:pPr>
            <w:r>
              <w:rPr>
                <w:rFonts w:hint="eastAsia" w:ascii="Times New Roman" w:hAnsi="Times New Roman"/>
                <w:b/>
                <w:sz w:val="18"/>
                <w:szCs w:val="18"/>
                <w:lang w:eastAsia="zh-CN"/>
              </w:rPr>
              <w:t>实测的其他参数和活动水平数据</w:t>
            </w:r>
          </w:p>
        </w:tc>
        <w:tc>
          <w:tcPr>
            <w:tcW w:w="30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c>
          <w:tcPr>
            <w:tcW w:w="3044"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320" w:lineRule="exact"/>
              <w:ind w:firstLine="0" w:firstLineChars="0"/>
              <w:jc w:val="center"/>
              <w:rPr>
                <w:rFonts w:ascii="Times New Roman" w:hAnsi="Times New Roman"/>
                <w:color w:val="000000"/>
                <w:sz w:val="18"/>
                <w:szCs w:val="18"/>
              </w:rPr>
            </w:pPr>
          </w:p>
        </w:tc>
      </w:tr>
    </w:tbl>
    <w:p>
      <w:pPr>
        <w:pStyle w:val="4"/>
        <w:numPr>
          <w:ilvl w:val="0"/>
          <w:numId w:val="3"/>
        </w:numPr>
        <w:spacing w:before="0" w:after="0" w:line="415" w:lineRule="auto"/>
        <w:ind w:left="0" w:firstLine="426" w:firstLineChars="0"/>
      </w:pPr>
      <w:r>
        <w:rPr>
          <w:rFonts w:hint="eastAsia" w:ascii="Times New Roman" w:hAnsi="Times New Roman"/>
        </w:rPr>
        <w:t>二氧化碳控制措施</w:t>
      </w:r>
    </w:p>
    <w:p>
      <w:pPr>
        <w:ind w:firstLine="480" w:firstLineChars="200"/>
        <w:rPr>
          <w:rFonts w:ascii="Times New Roman" w:hAnsi="Times New Roman"/>
          <w:szCs w:val="21"/>
        </w:rPr>
      </w:pPr>
      <w:r>
        <w:rPr>
          <w:rFonts w:hint="eastAsia" w:ascii="Times New Roman" w:hAnsi="Times New Roman"/>
          <w:szCs w:val="21"/>
        </w:rPr>
        <w:t>在年度报告中，重点碳排放单位应按照表</w:t>
      </w:r>
      <w:r>
        <w:rPr>
          <w:rFonts w:ascii="Times New Roman" w:hAnsi="Times New Roman"/>
          <w:szCs w:val="21"/>
        </w:rPr>
        <w:t>ZD-6</w:t>
      </w:r>
      <w:r>
        <w:rPr>
          <w:rFonts w:hint="eastAsia" w:ascii="Times New Roman" w:hAnsi="Times New Roman"/>
          <w:szCs w:val="21"/>
        </w:rPr>
        <w:t>的格式报告已经提交过的二氧化碳控制措施的落实情况及下一年度计划实施的二氧化碳控制措施。同时，重点碳排放单位应分别估算并报告采用了控制措施情况下</w:t>
      </w:r>
      <w:r>
        <w:rPr>
          <w:rFonts w:hint="eastAsia" w:ascii="Times New Roman" w:hAnsi="Times New Roman"/>
        </w:rPr>
        <w:t>未来</w:t>
      </w:r>
      <w:r>
        <w:rPr>
          <w:rFonts w:ascii="Times New Roman" w:hAnsi="Times New Roman"/>
          <w:szCs w:val="21"/>
        </w:rPr>
        <w:t>3~5</w:t>
      </w:r>
      <w:r>
        <w:rPr>
          <w:rFonts w:hint="eastAsia" w:ascii="Times New Roman" w:hAnsi="Times New Roman"/>
          <w:szCs w:val="21"/>
        </w:rPr>
        <w:t>年每年的二氧化碳排放量以及没有采用控制措施情况下未来</w:t>
      </w:r>
      <w:r>
        <w:rPr>
          <w:rFonts w:ascii="Times New Roman" w:hAnsi="Times New Roman"/>
          <w:szCs w:val="21"/>
        </w:rPr>
        <w:t>3~5</w:t>
      </w:r>
      <w:r>
        <w:rPr>
          <w:rFonts w:hint="eastAsia" w:ascii="Times New Roman" w:hAnsi="Times New Roman"/>
          <w:szCs w:val="21"/>
        </w:rPr>
        <w:t>年每年的二氧化碳排放量。</w:t>
      </w:r>
    </w:p>
    <w:p>
      <w:pPr>
        <w:widowControl/>
        <w:adjustRightInd w:val="0"/>
        <w:snapToGrid w:val="0"/>
        <w:spacing w:line="420" w:lineRule="exact"/>
        <w:ind w:firstLine="0" w:firstLineChars="0"/>
        <w:jc w:val="center"/>
        <w:rPr>
          <w:rFonts w:hint="eastAsia" w:ascii="Times New Roman" w:hAnsi="Times New Roman"/>
          <w:b/>
          <w:sz w:val="21"/>
          <w:szCs w:val="21"/>
        </w:rPr>
      </w:pPr>
    </w:p>
    <w:p>
      <w:pPr>
        <w:widowControl/>
        <w:adjustRightInd w:val="0"/>
        <w:snapToGrid w:val="0"/>
        <w:spacing w:line="420" w:lineRule="exact"/>
        <w:ind w:firstLine="0" w:firstLineChars="0"/>
        <w:jc w:val="center"/>
        <w:rPr>
          <w:rFonts w:hint="eastAsia" w:ascii="Times New Roman" w:hAnsi="Times New Roman"/>
          <w:b/>
          <w:sz w:val="21"/>
          <w:szCs w:val="21"/>
        </w:rPr>
      </w:pPr>
    </w:p>
    <w:p>
      <w:pPr>
        <w:widowControl/>
        <w:adjustRightInd w:val="0"/>
        <w:snapToGrid w:val="0"/>
        <w:spacing w:line="420" w:lineRule="exact"/>
        <w:ind w:firstLine="0" w:firstLineChars="0"/>
        <w:jc w:val="center"/>
        <w:rPr>
          <w:rFonts w:ascii="Times New Roman" w:hAnsi="Times New Roman"/>
          <w:b/>
          <w:sz w:val="21"/>
          <w:szCs w:val="21"/>
        </w:rPr>
      </w:pPr>
      <w:r>
        <w:rPr>
          <w:rFonts w:hint="eastAsia" w:ascii="Times New Roman" w:hAnsi="Times New Roman"/>
          <w:b/>
          <w:sz w:val="21"/>
          <w:szCs w:val="21"/>
        </w:rPr>
        <w:t>表</w:t>
      </w:r>
      <w:r>
        <w:rPr>
          <w:rFonts w:ascii="Times New Roman" w:hAnsi="Times New Roman"/>
          <w:b/>
          <w:sz w:val="21"/>
          <w:szCs w:val="21"/>
        </w:rPr>
        <w:t xml:space="preserve">ZD-6  </w:t>
      </w:r>
      <w:r>
        <w:rPr>
          <w:rFonts w:hint="eastAsia" w:ascii="Times New Roman" w:hAnsi="Times New Roman"/>
          <w:b/>
          <w:sz w:val="21"/>
          <w:szCs w:val="21"/>
        </w:rPr>
        <w:t>二氧化碳控制措施</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3577"/>
        <w:gridCol w:w="1658"/>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restart"/>
            <w:shd w:val="clear" w:color="auto" w:fill="auto"/>
            <w:vAlign w:val="center"/>
          </w:tcPr>
          <w:p>
            <w:pPr>
              <w:pStyle w:val="51"/>
              <w:adjustRightInd w:val="0"/>
              <w:snapToGrid w:val="0"/>
              <w:spacing w:line="320" w:lineRule="exact"/>
              <w:ind w:firstLine="0" w:firstLineChars="0"/>
              <w:jc w:val="center"/>
              <w:rPr>
                <w:rFonts w:ascii="Times New Roman" w:hAnsi="Times New Roman"/>
                <w:b/>
                <w:sz w:val="18"/>
                <w:szCs w:val="18"/>
              </w:rPr>
            </w:pPr>
            <w:r>
              <w:rPr>
                <w:rFonts w:hint="eastAsia" w:ascii="Times New Roman" w:hAnsi="Times New Roman"/>
                <w:b/>
                <w:sz w:val="18"/>
                <w:szCs w:val="18"/>
              </w:rPr>
              <w:t>年度</w:t>
            </w:r>
          </w:p>
        </w:tc>
        <w:tc>
          <w:tcPr>
            <w:tcW w:w="3367" w:type="dxa"/>
            <w:vMerge w:val="restart"/>
            <w:shd w:val="clear" w:color="auto" w:fill="auto"/>
            <w:vAlign w:val="center"/>
          </w:tcPr>
          <w:p>
            <w:pPr>
              <w:pStyle w:val="51"/>
              <w:adjustRightInd w:val="0"/>
              <w:snapToGrid w:val="0"/>
              <w:spacing w:line="320" w:lineRule="exact"/>
              <w:ind w:firstLine="0" w:firstLineChars="0"/>
              <w:jc w:val="center"/>
              <w:rPr>
                <w:rFonts w:ascii="Times New Roman" w:hAnsi="Times New Roman"/>
                <w:b/>
                <w:sz w:val="18"/>
                <w:szCs w:val="18"/>
              </w:rPr>
            </w:pPr>
            <w:r>
              <w:rPr>
                <w:rFonts w:hint="eastAsia" w:ascii="Times New Roman" w:hAnsi="Times New Roman"/>
                <w:b/>
                <w:sz w:val="18"/>
                <w:szCs w:val="18"/>
              </w:rPr>
              <w:t>报告年度采取的及下一年度计划实施的二氧化碳控制措施</w:t>
            </w:r>
          </w:p>
        </w:tc>
        <w:tc>
          <w:tcPr>
            <w:tcW w:w="3029" w:type="dxa"/>
            <w:gridSpan w:val="2"/>
            <w:shd w:val="clear" w:color="auto" w:fill="auto"/>
            <w:vAlign w:val="center"/>
          </w:tcPr>
          <w:p>
            <w:pPr>
              <w:pStyle w:val="51"/>
              <w:adjustRightInd w:val="0"/>
              <w:snapToGrid w:val="0"/>
              <w:spacing w:line="320" w:lineRule="exact"/>
              <w:ind w:firstLine="0" w:firstLineChars="0"/>
              <w:jc w:val="center"/>
              <w:rPr>
                <w:rFonts w:ascii="Times New Roman" w:hAnsi="Times New Roman"/>
                <w:b/>
                <w:sz w:val="18"/>
                <w:szCs w:val="18"/>
              </w:rPr>
            </w:pPr>
            <w:r>
              <w:rPr>
                <w:rFonts w:hint="eastAsia" w:ascii="Times New Roman" w:hAnsi="Times New Roman"/>
                <w:b/>
                <w:sz w:val="18"/>
                <w:szCs w:val="18"/>
              </w:rPr>
              <w:t>排放量估算（万吨）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shd w:val="clear" w:color="auto" w:fill="auto"/>
            <w:vAlign w:val="center"/>
          </w:tcPr>
          <w:p>
            <w:pPr>
              <w:pStyle w:val="51"/>
              <w:adjustRightInd w:val="0"/>
              <w:snapToGrid w:val="0"/>
              <w:spacing w:line="320" w:lineRule="exact"/>
              <w:ind w:firstLine="0" w:firstLineChars="0"/>
              <w:jc w:val="center"/>
              <w:rPr>
                <w:rFonts w:ascii="Times New Roman" w:hAnsi="Times New Roman"/>
                <w:b/>
                <w:sz w:val="18"/>
                <w:szCs w:val="18"/>
              </w:rPr>
            </w:pPr>
          </w:p>
        </w:tc>
        <w:tc>
          <w:tcPr>
            <w:tcW w:w="3367" w:type="dxa"/>
            <w:vMerge w:val="continue"/>
            <w:shd w:val="clear" w:color="auto" w:fill="auto"/>
            <w:vAlign w:val="center"/>
          </w:tcPr>
          <w:p>
            <w:pPr>
              <w:pStyle w:val="51"/>
              <w:adjustRightInd w:val="0"/>
              <w:snapToGrid w:val="0"/>
              <w:spacing w:line="320" w:lineRule="exact"/>
              <w:ind w:firstLine="0" w:firstLineChars="0"/>
              <w:jc w:val="center"/>
              <w:rPr>
                <w:rFonts w:ascii="Times New Roman" w:hAnsi="Times New Roman"/>
                <w:b/>
                <w:sz w:val="18"/>
                <w:szCs w:val="18"/>
              </w:rPr>
            </w:pPr>
          </w:p>
        </w:tc>
        <w:tc>
          <w:tcPr>
            <w:tcW w:w="1560" w:type="dxa"/>
            <w:shd w:val="clear" w:color="auto" w:fill="auto"/>
            <w:vAlign w:val="center"/>
          </w:tcPr>
          <w:p>
            <w:pPr>
              <w:pStyle w:val="51"/>
              <w:adjustRightInd w:val="0"/>
              <w:snapToGrid w:val="0"/>
              <w:spacing w:line="320" w:lineRule="exact"/>
              <w:ind w:firstLine="0" w:firstLineChars="0"/>
              <w:jc w:val="center"/>
              <w:rPr>
                <w:rFonts w:ascii="Times New Roman" w:hAnsi="Times New Roman"/>
                <w:b/>
                <w:sz w:val="18"/>
                <w:szCs w:val="18"/>
              </w:rPr>
            </w:pPr>
            <w:r>
              <w:rPr>
                <w:rFonts w:hint="eastAsia" w:ascii="Times New Roman" w:hAnsi="Times New Roman"/>
                <w:b/>
                <w:sz w:val="18"/>
                <w:szCs w:val="18"/>
              </w:rPr>
              <w:t>有控制措施</w:t>
            </w:r>
          </w:p>
        </w:tc>
        <w:tc>
          <w:tcPr>
            <w:tcW w:w="1469" w:type="dxa"/>
            <w:shd w:val="clear" w:color="auto" w:fill="auto"/>
            <w:vAlign w:val="center"/>
          </w:tcPr>
          <w:p>
            <w:pPr>
              <w:pStyle w:val="51"/>
              <w:adjustRightInd w:val="0"/>
              <w:snapToGrid w:val="0"/>
              <w:spacing w:line="320" w:lineRule="exact"/>
              <w:ind w:firstLine="0" w:firstLineChars="0"/>
              <w:jc w:val="center"/>
              <w:rPr>
                <w:rFonts w:ascii="Times New Roman" w:hAnsi="Times New Roman"/>
                <w:b/>
                <w:sz w:val="18"/>
                <w:szCs w:val="18"/>
              </w:rPr>
            </w:pPr>
            <w:r>
              <w:rPr>
                <w:rFonts w:hint="eastAsia" w:ascii="Times New Roman" w:hAnsi="Times New Roman"/>
                <w:b/>
                <w:sz w:val="18"/>
                <w:szCs w:val="18"/>
              </w:rPr>
              <w:t>无控制措施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报告年度</w:t>
            </w:r>
          </w:p>
        </w:tc>
        <w:tc>
          <w:tcPr>
            <w:tcW w:w="3367"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1560"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1469"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下一年度</w:t>
            </w:r>
          </w:p>
        </w:tc>
        <w:tc>
          <w:tcPr>
            <w:tcW w:w="3367"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1560"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1469"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未来3—5年</w:t>
            </w:r>
          </w:p>
        </w:tc>
        <w:tc>
          <w:tcPr>
            <w:tcW w:w="3367"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1560"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c>
          <w:tcPr>
            <w:tcW w:w="1469" w:type="dxa"/>
            <w:shd w:val="clear" w:color="auto" w:fill="auto"/>
            <w:vAlign w:val="center"/>
          </w:tcPr>
          <w:p>
            <w:pPr>
              <w:pStyle w:val="51"/>
              <w:adjustRightInd w:val="0"/>
              <w:snapToGrid w:val="0"/>
              <w:spacing w:line="320" w:lineRule="exact"/>
              <w:ind w:firstLine="0" w:firstLineChars="0"/>
              <w:jc w:val="center"/>
              <w:rPr>
                <w:rFonts w:ascii="Times New Roman" w:hAnsi="Times New Roman"/>
                <w:sz w:val="18"/>
                <w:szCs w:val="18"/>
              </w:rPr>
            </w:pPr>
          </w:p>
        </w:tc>
      </w:tr>
    </w:tbl>
    <w:p>
      <w:pPr>
        <w:pStyle w:val="4"/>
        <w:numPr>
          <w:ilvl w:val="0"/>
          <w:numId w:val="3"/>
        </w:numPr>
        <w:adjustRightInd w:val="0"/>
        <w:snapToGrid w:val="0"/>
        <w:spacing w:before="0" w:after="0" w:line="420" w:lineRule="exact"/>
        <w:ind w:left="0" w:firstLine="426" w:firstLineChars="0"/>
        <w:rPr>
          <w:rFonts w:ascii="Times New Roman" w:hAnsi="Times New Roman"/>
        </w:rPr>
      </w:pPr>
      <w:r>
        <w:rPr>
          <w:rFonts w:hint="eastAsia" w:ascii="Times New Roman" w:hAnsi="Times New Roman"/>
        </w:rPr>
        <w:t>附录</w:t>
      </w:r>
    </w:p>
    <w:p>
      <w:pPr>
        <w:adjustRightInd w:val="0"/>
        <w:snapToGrid w:val="0"/>
        <w:ind w:firstLine="480" w:firstLineChars="200"/>
        <w:rPr>
          <w:rFonts w:ascii="Times New Roman" w:hAnsi="Times New Roman"/>
          <w:szCs w:val="21"/>
        </w:rPr>
      </w:pPr>
      <w:r>
        <w:rPr>
          <w:rFonts w:hint="eastAsia" w:ascii="Times New Roman" w:hAnsi="Times New Roman"/>
          <w:szCs w:val="21"/>
        </w:rPr>
        <w:t>民用航空运输企业报告单位应按表</w:t>
      </w:r>
      <w:r>
        <w:rPr>
          <w:rFonts w:ascii="Times New Roman" w:hAnsi="Times New Roman"/>
          <w:szCs w:val="21"/>
        </w:rPr>
        <w:t>BG-4</w:t>
      </w:r>
      <w:r>
        <w:rPr>
          <w:rFonts w:hint="eastAsia" w:ascii="Times New Roman" w:hAnsi="Times New Roman"/>
          <w:szCs w:val="21"/>
        </w:rPr>
        <w:t>的格式填写企业京外固定及移动设施消费量，不需填写京内除飞机以外</w:t>
      </w:r>
      <w:r>
        <w:rPr>
          <w:rFonts w:ascii="Times New Roman" w:hAnsi="Times New Roman"/>
          <w:szCs w:val="21"/>
        </w:rPr>
        <w:t>的其他</w:t>
      </w:r>
      <w:r>
        <w:rPr>
          <w:rFonts w:hint="eastAsia" w:ascii="Times New Roman" w:hAnsi="Times New Roman"/>
          <w:szCs w:val="21"/>
        </w:rPr>
        <w:t>移动设施消费量信息。</w:t>
      </w:r>
    </w:p>
    <w:p>
      <w:pPr>
        <w:adjustRightInd w:val="0"/>
        <w:snapToGrid w:val="0"/>
        <w:ind w:firstLine="480" w:firstLineChars="200"/>
        <w:rPr>
          <w:rFonts w:ascii="Times New Roman" w:hAnsi="Times New Roman"/>
          <w:szCs w:val="21"/>
        </w:rPr>
      </w:pPr>
      <w:r>
        <w:rPr>
          <w:rFonts w:hint="eastAsia" w:ascii="Times New Roman" w:hAnsi="Times New Roman"/>
          <w:szCs w:val="21"/>
        </w:rPr>
        <w:t>重点碳排放单位应提供活动水平数据的支持材料，</w:t>
      </w:r>
      <w:r>
        <w:rPr>
          <w:rFonts w:ascii="Times New Roman" w:hAnsi="Times New Roman"/>
          <w:szCs w:val="21"/>
        </w:rPr>
        <w:t>按照</w:t>
      </w:r>
      <w:r>
        <w:rPr>
          <w:rFonts w:hint="eastAsia" w:ascii="Times New Roman" w:hAnsi="Times New Roman"/>
        </w:rPr>
        <w:t>表</w:t>
      </w:r>
      <w:r>
        <w:rPr>
          <w:rFonts w:ascii="Times New Roman" w:hAnsi="Times New Roman"/>
        </w:rPr>
        <w:t>ZD-3</w:t>
      </w:r>
      <w:r>
        <w:rPr>
          <w:rFonts w:hint="eastAsia" w:ascii="Times New Roman" w:hAnsi="Times New Roman"/>
        </w:rPr>
        <w:t>-H</w:t>
      </w:r>
      <w:r>
        <w:rPr>
          <w:rFonts w:ascii="Times New Roman" w:hAnsi="Times New Roman"/>
        </w:rPr>
        <w:t>a</w:t>
      </w:r>
      <w:r>
        <w:rPr>
          <w:rFonts w:hint="eastAsia" w:ascii="Times New Roman" w:hAnsi="Times New Roman"/>
          <w:szCs w:val="21"/>
        </w:rPr>
        <w:t>填写分化石燃料品种月度化石燃料消费量。</w:t>
      </w:r>
    </w:p>
    <w:p>
      <w:pPr>
        <w:widowControl/>
        <w:adjustRightInd w:val="0"/>
        <w:snapToGrid w:val="0"/>
        <w:spacing w:line="420" w:lineRule="exact"/>
        <w:ind w:firstLine="0" w:firstLineChars="0"/>
        <w:jc w:val="center"/>
        <w:rPr>
          <w:rFonts w:ascii="Times New Roman" w:hAnsi="Times New Roman"/>
          <w:b/>
          <w:sz w:val="21"/>
          <w:szCs w:val="21"/>
        </w:rPr>
      </w:pPr>
      <w:r>
        <w:rPr>
          <w:rFonts w:hint="eastAsia" w:ascii="Times New Roman" w:hAnsi="Times New Roman"/>
          <w:b/>
          <w:sz w:val="21"/>
          <w:szCs w:val="21"/>
        </w:rPr>
        <w:t>表</w:t>
      </w:r>
      <w:r>
        <w:rPr>
          <w:rFonts w:ascii="Times New Roman" w:hAnsi="Times New Roman"/>
          <w:b/>
          <w:sz w:val="21"/>
          <w:szCs w:val="21"/>
        </w:rPr>
        <w:t xml:space="preserve">BG-4  </w:t>
      </w:r>
      <w:r>
        <w:rPr>
          <w:rFonts w:hint="eastAsia" w:ascii="Times New Roman" w:hAnsi="Times New Roman"/>
          <w:b/>
          <w:sz w:val="21"/>
          <w:szCs w:val="21"/>
        </w:rPr>
        <w:t>报告单位</w:t>
      </w:r>
      <w:r>
        <w:rPr>
          <w:rFonts w:ascii="Times New Roman" w:hAnsi="Times New Roman"/>
          <w:b/>
          <w:sz w:val="21"/>
          <w:szCs w:val="21"/>
          <w:u w:val="single"/>
        </w:rPr>
        <w:t xml:space="preserve">20   </w:t>
      </w:r>
      <w:r>
        <w:rPr>
          <w:rFonts w:hint="eastAsia" w:ascii="Times New Roman" w:hAnsi="Times New Roman"/>
          <w:b/>
          <w:sz w:val="21"/>
          <w:szCs w:val="21"/>
        </w:rPr>
        <w:t>年其他能源消费信息</w:t>
      </w:r>
    </w:p>
    <w:tbl>
      <w:tblPr>
        <w:tblStyle w:val="27"/>
        <w:tblW w:w="4991" w:type="pct"/>
        <w:jc w:val="center"/>
        <w:tblLayout w:type="autofit"/>
        <w:tblCellMar>
          <w:top w:w="0" w:type="dxa"/>
          <w:left w:w="108" w:type="dxa"/>
          <w:bottom w:w="0" w:type="dxa"/>
          <w:right w:w="108" w:type="dxa"/>
        </w:tblCellMar>
      </w:tblPr>
      <w:tblGrid>
        <w:gridCol w:w="704"/>
        <w:gridCol w:w="773"/>
        <w:gridCol w:w="1954"/>
        <w:gridCol w:w="1052"/>
        <w:gridCol w:w="2104"/>
        <w:gridCol w:w="2458"/>
      </w:tblGrid>
      <w:tr>
        <w:tblPrEx>
          <w:tblCellMar>
            <w:top w:w="0" w:type="dxa"/>
            <w:left w:w="108" w:type="dxa"/>
            <w:bottom w:w="0" w:type="dxa"/>
            <w:right w:w="108" w:type="dxa"/>
          </w:tblCellMar>
        </w:tblPrEx>
        <w:trPr>
          <w:trHeight w:val="605"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b/>
                <w:color w:val="auto"/>
                <w:kern w:val="2"/>
                <w:sz w:val="18"/>
                <w:szCs w:val="18"/>
                <w:lang w:eastAsia="zh-CN"/>
              </w:rPr>
            </w:pPr>
            <w:r>
              <w:rPr>
                <w:rFonts w:hint="eastAsia" w:ascii="Times New Roman" w:hAnsi="Times New Roman" w:cs="Times New Roman"/>
                <w:b/>
                <w:color w:val="auto"/>
                <w:kern w:val="2"/>
                <w:sz w:val="18"/>
                <w:szCs w:val="18"/>
                <w:lang w:eastAsia="zh-CN"/>
              </w:rPr>
              <w:t>能源品种</w:t>
            </w: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b/>
                <w:color w:val="auto"/>
                <w:sz w:val="18"/>
                <w:szCs w:val="18"/>
                <w:lang w:eastAsia="zh-CN"/>
              </w:rPr>
            </w:pPr>
            <w:r>
              <w:rPr>
                <w:rFonts w:hint="eastAsia" w:ascii="Times New Roman" w:hAnsi="Times New Roman" w:cs="Times New Roman"/>
                <w:b/>
                <w:color w:val="auto"/>
                <w:sz w:val="18"/>
                <w:szCs w:val="18"/>
                <w:lang w:eastAsia="zh-CN"/>
              </w:rPr>
              <w:t>序号</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9"/>
              <w:jc w:val="center"/>
              <w:rPr>
                <w:rFonts w:ascii="Times New Roman" w:hAnsi="Times New Roman" w:cs="Times New Roman"/>
                <w:b/>
                <w:color w:val="auto"/>
                <w:sz w:val="18"/>
                <w:szCs w:val="18"/>
              </w:rPr>
            </w:pPr>
            <w:r>
              <w:rPr>
                <w:rFonts w:hint="eastAsia" w:ascii="Times New Roman" w:hAnsi="Times New Roman" w:cs="Times New Roman"/>
                <w:b/>
                <w:color w:val="auto"/>
                <w:sz w:val="18"/>
                <w:szCs w:val="18"/>
                <w:lang w:eastAsia="zh-CN"/>
              </w:rPr>
              <w:t>燃料品种</w:t>
            </w:r>
          </w:p>
        </w:tc>
        <w:tc>
          <w:tcPr>
            <w:tcW w:w="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b/>
                <w:sz w:val="18"/>
                <w:szCs w:val="18"/>
              </w:rPr>
            </w:pPr>
            <w:r>
              <w:rPr>
                <w:rFonts w:hint="eastAsia" w:ascii="Times New Roman" w:hAnsi="Times New Roman"/>
                <w:b/>
                <w:sz w:val="18"/>
                <w:szCs w:val="18"/>
              </w:rPr>
              <w:t>单位</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b/>
                <w:sz w:val="18"/>
                <w:szCs w:val="18"/>
              </w:rPr>
            </w:pPr>
            <w:r>
              <w:rPr>
                <w:rFonts w:hint="eastAsia" w:ascii="Times New Roman" w:hAnsi="Times New Roman"/>
                <w:b/>
                <w:sz w:val="18"/>
                <w:szCs w:val="18"/>
              </w:rPr>
              <w:t>京内移动设施消费</w:t>
            </w: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b/>
                <w:color w:val="000000"/>
                <w:sz w:val="18"/>
                <w:szCs w:val="18"/>
              </w:rPr>
            </w:pPr>
            <w:r>
              <w:rPr>
                <w:rFonts w:hint="eastAsia" w:ascii="Times New Roman" w:hAnsi="Times New Roman"/>
                <w:b/>
                <w:sz w:val="18"/>
                <w:szCs w:val="18"/>
              </w:rPr>
              <w:t>京外固定及移动设施消费</w:t>
            </w:r>
          </w:p>
        </w:tc>
      </w:tr>
      <w:tr>
        <w:tblPrEx>
          <w:tblCellMar>
            <w:top w:w="0" w:type="dxa"/>
            <w:left w:w="108" w:type="dxa"/>
            <w:bottom w:w="0" w:type="dxa"/>
            <w:right w:w="108" w:type="dxa"/>
          </w:tblCellMar>
        </w:tblPrEx>
        <w:trPr>
          <w:trHeight w:val="303" w:hRule="atLeast"/>
          <w:jc w:val="center"/>
        </w:trPr>
        <w:tc>
          <w:tcPr>
            <w:tcW w:w="655" w:type="dxa"/>
            <w:vMerge w:val="restart"/>
            <w:tcBorders>
              <w:top w:val="single" w:color="auto" w:sz="4" w:space="0"/>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化</w:t>
            </w:r>
          </w:p>
          <w:p>
            <w:pPr>
              <w:pStyle w:val="55"/>
              <w:snapToGrid w:val="0"/>
              <w:spacing w:line="320" w:lineRule="exact"/>
              <w:ind w:firstLine="268"/>
              <w:jc w:val="center"/>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石</w:t>
            </w:r>
          </w:p>
          <w:p>
            <w:pPr>
              <w:pStyle w:val="55"/>
              <w:snapToGrid w:val="0"/>
              <w:spacing w:line="320" w:lineRule="exact"/>
              <w:ind w:firstLine="268"/>
              <w:jc w:val="center"/>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燃</w:t>
            </w:r>
          </w:p>
          <w:p>
            <w:pPr>
              <w:pStyle w:val="55"/>
              <w:snapToGrid w:val="0"/>
              <w:spacing w:line="320" w:lineRule="exact"/>
              <w:ind w:firstLine="268"/>
              <w:jc w:val="center"/>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料</w:t>
            </w: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1</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r>
              <w:rPr>
                <w:rFonts w:hint="eastAsia" w:ascii="Times New Roman" w:hAnsi="Times New Roman" w:cs="Times New Roman"/>
                <w:color w:val="auto"/>
                <w:sz w:val="18"/>
                <w:szCs w:val="18"/>
              </w:rPr>
              <w:t>汽油</w:t>
            </w:r>
          </w:p>
        </w:tc>
        <w:tc>
          <w:tcPr>
            <w:tcW w:w="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r>
              <w:rPr>
                <w:rFonts w:hint="eastAsia" w:ascii="Times New Roman" w:hAnsi="Times New Roman"/>
                <w:sz w:val="18"/>
                <w:szCs w:val="18"/>
              </w:rPr>
              <w:t>吨</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r>
              <w:rPr>
                <w:rFonts w:hint="eastAsia" w:ascii="Times New Roman" w:hAnsi="Times New Roman" w:cs="Times New Roman"/>
                <w:color w:val="auto"/>
                <w:sz w:val="18"/>
                <w:szCs w:val="18"/>
              </w:rPr>
              <w:t>柴油</w:t>
            </w:r>
          </w:p>
        </w:tc>
        <w:tc>
          <w:tcPr>
            <w:tcW w:w="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r>
              <w:rPr>
                <w:rFonts w:hint="eastAsia" w:ascii="Times New Roman" w:hAnsi="Times New Roman"/>
                <w:sz w:val="18"/>
                <w:szCs w:val="18"/>
              </w:rPr>
              <w:t>吨</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3</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r>
              <w:rPr>
                <w:rFonts w:hint="eastAsia" w:ascii="Times New Roman" w:hAnsi="Times New Roman" w:cs="Times New Roman"/>
                <w:sz w:val="18"/>
                <w:szCs w:val="18"/>
              </w:rPr>
              <w:t>煤油</w:t>
            </w:r>
          </w:p>
        </w:tc>
        <w:tc>
          <w:tcPr>
            <w:tcW w:w="99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rPr>
                <w:rFonts w:ascii="Times New Roman" w:hAnsi="Times New Roman" w:cs="Times New Roman"/>
                <w:color w:val="FF0000"/>
                <w:sz w:val="18"/>
                <w:szCs w:val="18"/>
              </w:rPr>
            </w:pPr>
            <w:r>
              <w:rPr>
                <w:rFonts w:hint="eastAsia" w:ascii="Times New Roman" w:hAnsi="Times New Roman"/>
                <w:sz w:val="18"/>
                <w:szCs w:val="18"/>
              </w:rPr>
              <w:t>吨</w:t>
            </w:r>
          </w:p>
        </w:tc>
        <w:tc>
          <w:tcPr>
            <w:tcW w:w="198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4</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r>
              <w:rPr>
                <w:rFonts w:hint="eastAsia" w:ascii="Times New Roman" w:hAnsi="Times New Roman" w:cs="Times New Roman"/>
                <w:color w:val="auto"/>
                <w:sz w:val="18"/>
                <w:szCs w:val="18"/>
              </w:rPr>
              <w:t>燃料油</w:t>
            </w:r>
          </w:p>
        </w:tc>
        <w:tc>
          <w:tcPr>
            <w:tcW w:w="99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rPr>
                <w:rFonts w:ascii="Times New Roman" w:hAnsi="Times New Roman" w:cs="Times New Roman"/>
                <w:color w:val="FF0000"/>
                <w:sz w:val="18"/>
                <w:szCs w:val="18"/>
                <w:lang w:eastAsia="zh-CN"/>
              </w:rPr>
            </w:pPr>
            <w:r>
              <w:rPr>
                <w:rFonts w:hint="eastAsia" w:ascii="Times New Roman" w:hAnsi="Times New Roman"/>
                <w:sz w:val="18"/>
                <w:szCs w:val="18"/>
              </w:rPr>
              <w:t>吨</w:t>
            </w:r>
          </w:p>
        </w:tc>
        <w:tc>
          <w:tcPr>
            <w:tcW w:w="198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5</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r>
              <w:rPr>
                <w:rFonts w:hint="eastAsia" w:ascii="Times New Roman" w:hAnsi="Times New Roman" w:cs="Times New Roman"/>
                <w:color w:val="auto"/>
                <w:sz w:val="18"/>
                <w:szCs w:val="18"/>
                <w:lang w:eastAsia="zh-CN"/>
              </w:rPr>
              <w:t>液化石油气</w:t>
            </w:r>
          </w:p>
        </w:tc>
        <w:tc>
          <w:tcPr>
            <w:tcW w:w="99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rPr>
                <w:rFonts w:ascii="Times New Roman" w:hAnsi="Times New Roman" w:cs="Times New Roman"/>
                <w:color w:val="FF0000"/>
                <w:sz w:val="18"/>
                <w:szCs w:val="18"/>
                <w:lang w:eastAsia="zh-CN"/>
              </w:rPr>
            </w:pPr>
            <w:r>
              <w:rPr>
                <w:rFonts w:hint="eastAsia" w:ascii="Times New Roman" w:hAnsi="Times New Roman" w:cs="Times New Roman"/>
                <w:sz w:val="18"/>
                <w:szCs w:val="18"/>
              </w:rPr>
              <w:t>吨</w:t>
            </w:r>
          </w:p>
        </w:tc>
        <w:tc>
          <w:tcPr>
            <w:tcW w:w="198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6</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r>
              <w:rPr>
                <w:rFonts w:hint="eastAsia" w:ascii="Times New Roman" w:hAnsi="Times New Roman" w:cs="Times New Roman"/>
                <w:sz w:val="18"/>
                <w:szCs w:val="18"/>
              </w:rPr>
              <w:t>其他油品</w:t>
            </w:r>
          </w:p>
        </w:tc>
        <w:tc>
          <w:tcPr>
            <w:tcW w:w="99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rPr>
                <w:rFonts w:ascii="Times New Roman" w:hAnsi="Times New Roman" w:cs="Times New Roman"/>
                <w:color w:val="FF0000"/>
                <w:sz w:val="18"/>
                <w:szCs w:val="18"/>
                <w:lang w:eastAsia="zh-CN"/>
              </w:rPr>
            </w:pPr>
            <w:r>
              <w:rPr>
                <w:rFonts w:hint="eastAsia" w:ascii="Times New Roman" w:hAnsi="Times New Roman"/>
                <w:sz w:val="18"/>
                <w:szCs w:val="18"/>
              </w:rPr>
              <w:t>吨</w:t>
            </w:r>
          </w:p>
        </w:tc>
        <w:tc>
          <w:tcPr>
            <w:tcW w:w="198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lang w:eastAsia="zh-CN"/>
              </w:rPr>
              <w:t>7</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rPr>
            </w:pPr>
            <w:r>
              <w:rPr>
                <w:rFonts w:hint="eastAsia" w:ascii="Times New Roman" w:hAnsi="Times New Roman" w:cs="Times New Roman"/>
                <w:color w:val="auto"/>
                <w:sz w:val="18"/>
                <w:szCs w:val="18"/>
              </w:rPr>
              <w:t>天然气</w:t>
            </w:r>
          </w:p>
        </w:tc>
        <w:tc>
          <w:tcPr>
            <w:tcW w:w="99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rPr>
                <w:rFonts w:ascii="Times New Roman" w:hAnsi="Times New Roman" w:cs="Times New Roman"/>
                <w:color w:val="FF0000"/>
                <w:sz w:val="18"/>
                <w:szCs w:val="18"/>
                <w:lang w:eastAsia="zh-CN"/>
              </w:rPr>
            </w:pPr>
            <w:r>
              <w:rPr>
                <w:rFonts w:hint="eastAsia" w:ascii="Times New Roman" w:hAnsi="Times New Roman" w:cs="Times New Roman"/>
                <w:sz w:val="18"/>
                <w:szCs w:val="18"/>
              </w:rPr>
              <w:t>万</w:t>
            </w:r>
            <w:r>
              <w:rPr>
                <w:rFonts w:ascii="Times New Roman" w:hAnsi="Times New Roman" w:cs="Times New Roman"/>
                <w:sz w:val="18"/>
                <w:szCs w:val="18"/>
                <w:lang w:eastAsia="zh-CN"/>
              </w:rPr>
              <w:t>N</w:t>
            </w:r>
            <w:r>
              <w:rPr>
                <w:rFonts w:ascii="Times New Roman" w:hAnsi="Times New Roman" w:cs="Times New Roman"/>
                <w:sz w:val="18"/>
                <w:szCs w:val="18"/>
              </w:rPr>
              <w:t>m</w:t>
            </w:r>
            <w:r>
              <w:rPr>
                <w:rFonts w:ascii="Times New Roman" w:hAnsi="Times New Roman" w:cs="Times New Roman"/>
                <w:sz w:val="18"/>
                <w:szCs w:val="18"/>
                <w:vertAlign w:val="superscript"/>
              </w:rPr>
              <w:t>3</w:t>
            </w:r>
          </w:p>
        </w:tc>
        <w:tc>
          <w:tcPr>
            <w:tcW w:w="198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FF0000"/>
                <w:sz w:val="18"/>
                <w:szCs w:val="18"/>
                <w:lang w:eastAsia="zh-CN"/>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FF0000"/>
                <w:sz w:val="18"/>
                <w:szCs w:val="18"/>
              </w:rPr>
            </w:pPr>
          </w:p>
        </w:tc>
      </w:tr>
      <w:tr>
        <w:tblPrEx>
          <w:tblCellMar>
            <w:top w:w="0" w:type="dxa"/>
            <w:left w:w="108" w:type="dxa"/>
            <w:bottom w:w="0" w:type="dxa"/>
            <w:right w:w="108" w:type="dxa"/>
          </w:tblCellMar>
        </w:tblPrEx>
        <w:trPr>
          <w:trHeight w:val="317" w:hRule="atLeast"/>
          <w:jc w:val="center"/>
        </w:trPr>
        <w:tc>
          <w:tcPr>
            <w:tcW w:w="655" w:type="dxa"/>
            <w:vMerge w:val="continue"/>
            <w:tcBorders>
              <w:left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8</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r>
              <w:rPr>
                <w:rFonts w:hint="eastAsia" w:ascii="Times New Roman" w:hAnsi="Times New Roman" w:cs="Times New Roman"/>
                <w:color w:val="auto"/>
                <w:sz w:val="18"/>
                <w:szCs w:val="18"/>
                <w:lang w:eastAsia="zh-CN"/>
              </w:rPr>
              <w:t>其他</w:t>
            </w:r>
          </w:p>
        </w:tc>
        <w:tc>
          <w:tcPr>
            <w:tcW w:w="99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rPr>
            </w:pPr>
            <w:r>
              <w:rPr>
                <w:rFonts w:hint="eastAsia" w:ascii="Times New Roman" w:hAnsi="Times New Roman"/>
                <w:sz w:val="18"/>
                <w:szCs w:val="18"/>
              </w:rPr>
              <w:t>吨标煤</w:t>
            </w:r>
          </w:p>
        </w:tc>
        <w:tc>
          <w:tcPr>
            <w:tcW w:w="198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电力</w:t>
            </w:r>
          </w:p>
        </w:tc>
        <w:tc>
          <w:tcPr>
            <w:tcW w:w="728"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9</w:t>
            </w:r>
          </w:p>
        </w:tc>
        <w:tc>
          <w:tcPr>
            <w:tcW w:w="1841"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exact"/>
              <w:ind w:firstLine="268"/>
              <w:jc w:val="center"/>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电力</w:t>
            </w:r>
          </w:p>
        </w:tc>
        <w:tc>
          <w:tcPr>
            <w:tcW w:w="9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r>
              <w:rPr>
                <w:rFonts w:hint="eastAsia" w:ascii="Times New Roman" w:hAnsi="Times New Roman"/>
                <w:sz w:val="18"/>
                <w:szCs w:val="18"/>
              </w:rPr>
              <w:t>兆瓦时</w:t>
            </w: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sz w:val="18"/>
                <w:szCs w:val="18"/>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0" w:firstLineChars="0"/>
              <w:jc w:val="center"/>
              <w:rPr>
                <w:rFonts w:ascii="Times New Roman" w:hAnsi="Times New Roman"/>
                <w:color w:val="000000"/>
                <w:sz w:val="18"/>
                <w:szCs w:val="18"/>
              </w:rPr>
            </w:pPr>
            <w:r>
              <w:rPr>
                <w:rFonts w:ascii="Times New Roman" w:hAnsi="Times New Roman"/>
                <w:color w:val="000000"/>
                <w:sz w:val="18"/>
                <w:szCs w:val="18"/>
              </w:rPr>
              <w:t>/</w:t>
            </w:r>
          </w:p>
        </w:tc>
      </w:tr>
    </w:tbl>
    <w:p>
      <w:pPr>
        <w:pStyle w:val="55"/>
        <w:snapToGrid w:val="0"/>
        <w:spacing w:line="320" w:lineRule="exact"/>
        <w:ind w:firstLine="268"/>
        <w:rPr>
          <w:rFonts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注：对于民用航空运输企业不需填写京内移动设施消费信息。</w:t>
      </w:r>
    </w:p>
    <w:p>
      <w:pPr>
        <w:widowControl/>
        <w:adjustRightInd w:val="0"/>
        <w:snapToGrid w:val="0"/>
        <w:spacing w:line="420" w:lineRule="exact"/>
        <w:ind w:firstLine="0" w:firstLineChars="0"/>
        <w:jc w:val="center"/>
        <w:rPr>
          <w:rFonts w:ascii="Times New Roman" w:hAnsi="Times New Roman"/>
          <w:b/>
          <w:sz w:val="21"/>
          <w:szCs w:val="21"/>
        </w:rPr>
        <w:sectPr>
          <w:headerReference r:id="rId23" w:type="first"/>
          <w:footerReference r:id="rId26" w:type="first"/>
          <w:footerReference r:id="rId24" w:type="default"/>
          <w:headerReference r:id="rId22" w:type="even"/>
          <w:footerReference r:id="rId25" w:type="even"/>
          <w:pgSz w:w="11906" w:h="16838"/>
          <w:pgMar w:top="2098" w:right="1474" w:bottom="1984" w:left="1587" w:header="851" w:footer="1587" w:gutter="0"/>
          <w:paperSrc/>
          <w:pgNumType w:fmt="decimal"/>
          <w:cols w:space="0" w:num="1"/>
          <w:rtlGutter w:val="0"/>
          <w:docGrid w:linePitch="326" w:charSpace="0"/>
        </w:sectPr>
      </w:pPr>
    </w:p>
    <w:p>
      <w:pPr>
        <w:widowControl/>
        <w:adjustRightInd w:val="0"/>
        <w:snapToGrid w:val="0"/>
        <w:spacing w:line="420" w:lineRule="exact"/>
        <w:ind w:firstLine="0" w:firstLineChars="0"/>
        <w:jc w:val="center"/>
        <w:rPr>
          <w:rFonts w:ascii="Times New Roman" w:hAnsi="Times New Roman"/>
          <w:b/>
          <w:sz w:val="21"/>
          <w:szCs w:val="21"/>
        </w:rPr>
      </w:pPr>
      <w:r>
        <w:rPr>
          <w:rFonts w:hint="eastAsia" w:ascii="Times New Roman" w:hAnsi="Times New Roman"/>
          <w:b/>
          <w:sz w:val="21"/>
          <w:szCs w:val="21"/>
        </w:rPr>
        <w:t>表</w:t>
      </w:r>
      <w:r>
        <w:rPr>
          <w:rFonts w:ascii="Times New Roman" w:hAnsi="Times New Roman"/>
          <w:b/>
          <w:sz w:val="21"/>
          <w:szCs w:val="21"/>
        </w:rPr>
        <w:t>ZD-3</w:t>
      </w:r>
      <w:r>
        <w:rPr>
          <w:rFonts w:hint="eastAsia" w:ascii="Times New Roman" w:hAnsi="Times New Roman"/>
          <w:b/>
          <w:sz w:val="21"/>
          <w:szCs w:val="21"/>
        </w:rPr>
        <w:t>-H</w:t>
      </w:r>
      <w:r>
        <w:rPr>
          <w:rFonts w:ascii="Times New Roman" w:hAnsi="Times New Roman"/>
          <w:b/>
          <w:sz w:val="21"/>
          <w:szCs w:val="21"/>
        </w:rPr>
        <w:t xml:space="preserve">a </w:t>
      </w:r>
      <w:r>
        <w:rPr>
          <w:rFonts w:hint="eastAsia" w:ascii="Times New Roman" w:hAnsi="Times New Roman"/>
          <w:b/>
          <w:sz w:val="21"/>
          <w:szCs w:val="21"/>
        </w:rPr>
        <w:t>重点碳排放单位飞机航空煤油消耗量及</w:t>
      </w:r>
      <w:r>
        <w:rPr>
          <w:rFonts w:hint="eastAsia"/>
          <w:b/>
          <w:sz w:val="18"/>
          <w:szCs w:val="18"/>
        </w:rPr>
        <w:t>大圆总周转量</w:t>
      </w:r>
      <w:r>
        <w:rPr>
          <w:rFonts w:hint="eastAsia" w:ascii="Times New Roman" w:hAnsi="Times New Roman"/>
          <w:b/>
          <w:sz w:val="21"/>
          <w:szCs w:val="21"/>
        </w:rPr>
        <w:t>月度汇总表（</w:t>
      </w:r>
      <w:r>
        <w:rPr>
          <w:rFonts w:ascii="Times New Roman" w:hAnsi="Times New Roman"/>
          <w:b/>
          <w:sz w:val="21"/>
          <w:szCs w:val="21"/>
        </w:rPr>
        <w:t>5611和5612</w:t>
      </w:r>
      <w:r>
        <w:rPr>
          <w:rFonts w:hint="eastAsia" w:ascii="Times New Roman" w:hAnsi="Times New Roman"/>
          <w:b/>
          <w:sz w:val="21"/>
          <w:szCs w:val="21"/>
        </w:rPr>
        <w:t>）</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3"/>
        <w:gridCol w:w="935"/>
        <w:gridCol w:w="768"/>
        <w:gridCol w:w="1004"/>
        <w:gridCol w:w="1004"/>
        <w:gridCol w:w="1004"/>
        <w:gridCol w:w="859"/>
        <w:gridCol w:w="1060"/>
        <w:gridCol w:w="1091"/>
        <w:gridCol w:w="1004"/>
        <w:gridCol w:w="1004"/>
        <w:gridCol w:w="1004"/>
        <w:gridCol w:w="802"/>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13"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330"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1</w:t>
            </w:r>
            <w:r>
              <w:rPr>
                <w:rFonts w:hint="eastAsia" w:ascii="Times New Roman" w:hAnsi="Times New Roman"/>
                <w:b/>
                <w:bCs/>
                <w:sz w:val="18"/>
                <w:szCs w:val="18"/>
              </w:rPr>
              <w:t>月</w:t>
            </w:r>
          </w:p>
        </w:tc>
        <w:tc>
          <w:tcPr>
            <w:tcW w:w="271"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2</w:t>
            </w:r>
            <w:r>
              <w:rPr>
                <w:rFonts w:hint="eastAsia" w:ascii="Times New Roman" w:hAnsi="Times New Roman"/>
                <w:b/>
                <w:bCs/>
                <w:sz w:val="18"/>
                <w:szCs w:val="18"/>
              </w:rPr>
              <w:t>月</w:t>
            </w: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3</w:t>
            </w:r>
            <w:r>
              <w:rPr>
                <w:rFonts w:hint="eastAsia" w:ascii="Times New Roman" w:hAnsi="Times New Roman"/>
                <w:b/>
                <w:bCs/>
                <w:sz w:val="18"/>
                <w:szCs w:val="18"/>
              </w:rPr>
              <w:t>月</w:t>
            </w: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4</w:t>
            </w:r>
            <w:r>
              <w:rPr>
                <w:rFonts w:hint="eastAsia" w:ascii="Times New Roman" w:hAnsi="Times New Roman"/>
                <w:b/>
                <w:bCs/>
                <w:sz w:val="18"/>
                <w:szCs w:val="18"/>
              </w:rPr>
              <w:t>月</w:t>
            </w: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5</w:t>
            </w:r>
            <w:r>
              <w:rPr>
                <w:rFonts w:hint="eastAsia" w:ascii="Times New Roman" w:hAnsi="Times New Roman"/>
                <w:b/>
                <w:bCs/>
                <w:sz w:val="18"/>
                <w:szCs w:val="18"/>
              </w:rPr>
              <w:t>月</w:t>
            </w:r>
          </w:p>
        </w:tc>
        <w:tc>
          <w:tcPr>
            <w:tcW w:w="303"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6</w:t>
            </w:r>
            <w:r>
              <w:rPr>
                <w:rFonts w:hint="eastAsia" w:ascii="Times New Roman" w:hAnsi="Times New Roman"/>
                <w:b/>
                <w:bCs/>
                <w:sz w:val="18"/>
                <w:szCs w:val="18"/>
              </w:rPr>
              <w:t>月</w:t>
            </w:r>
          </w:p>
        </w:tc>
        <w:tc>
          <w:tcPr>
            <w:tcW w:w="37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7</w:t>
            </w:r>
            <w:r>
              <w:rPr>
                <w:rFonts w:hint="eastAsia" w:ascii="Times New Roman" w:hAnsi="Times New Roman"/>
                <w:b/>
                <w:bCs/>
                <w:sz w:val="18"/>
                <w:szCs w:val="18"/>
              </w:rPr>
              <w:t>月</w:t>
            </w:r>
          </w:p>
        </w:tc>
        <w:tc>
          <w:tcPr>
            <w:tcW w:w="385"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8</w:t>
            </w:r>
            <w:r>
              <w:rPr>
                <w:rFonts w:hint="eastAsia" w:ascii="Times New Roman" w:hAnsi="Times New Roman"/>
                <w:b/>
                <w:bCs/>
                <w:sz w:val="18"/>
                <w:szCs w:val="18"/>
              </w:rPr>
              <w:t>月</w:t>
            </w: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9</w:t>
            </w:r>
            <w:r>
              <w:rPr>
                <w:rFonts w:hint="eastAsia" w:ascii="Times New Roman" w:hAnsi="Times New Roman"/>
                <w:b/>
                <w:bCs/>
                <w:sz w:val="18"/>
                <w:szCs w:val="18"/>
              </w:rPr>
              <w:t>月</w:t>
            </w: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10</w:t>
            </w:r>
            <w:r>
              <w:rPr>
                <w:rFonts w:hint="eastAsia" w:ascii="Times New Roman" w:hAnsi="Times New Roman"/>
                <w:b/>
                <w:bCs/>
                <w:sz w:val="18"/>
                <w:szCs w:val="18"/>
              </w:rPr>
              <w:t>月</w:t>
            </w: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11</w:t>
            </w:r>
            <w:r>
              <w:rPr>
                <w:rFonts w:hint="eastAsia" w:ascii="Times New Roman" w:hAnsi="Times New Roman"/>
                <w:b/>
                <w:bCs/>
                <w:sz w:val="18"/>
                <w:szCs w:val="18"/>
              </w:rPr>
              <w:t>月</w:t>
            </w:r>
          </w:p>
        </w:tc>
        <w:tc>
          <w:tcPr>
            <w:tcW w:w="283"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12</w:t>
            </w:r>
            <w:r>
              <w:rPr>
                <w:rFonts w:hint="eastAsia" w:ascii="Times New Roman" w:hAnsi="Times New Roman"/>
                <w:b/>
                <w:bCs/>
                <w:sz w:val="18"/>
                <w:szCs w:val="18"/>
              </w:rPr>
              <w:t>月</w:t>
            </w:r>
          </w:p>
        </w:tc>
        <w:tc>
          <w:tcPr>
            <w:tcW w:w="417"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hint="eastAsia" w:ascii="Times New Roman" w:hAnsi="Times New Roman"/>
                <w:b/>
                <w:bCs/>
                <w:sz w:val="18"/>
                <w:szCs w:val="18"/>
              </w:rPr>
              <w:t>年消耗量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000" w:type="pct"/>
            <w:gridSpan w:val="14"/>
            <w:shd w:val="clear" w:color="auto" w:fill="auto"/>
          </w:tcPr>
          <w:p>
            <w:pPr>
              <w:pStyle w:val="51"/>
              <w:adjustRightInd w:val="0"/>
              <w:snapToGrid w:val="0"/>
              <w:spacing w:line="320" w:lineRule="atLeast"/>
              <w:ind w:firstLine="0" w:firstLineChars="0"/>
              <w:jc w:val="left"/>
              <w:rPr>
                <w:rFonts w:ascii="Times New Roman" w:hAnsi="Times New Roman"/>
                <w:b/>
                <w:bCs/>
                <w:sz w:val="18"/>
                <w:szCs w:val="18"/>
              </w:rPr>
            </w:pPr>
            <w:r>
              <w:rPr>
                <w:rFonts w:hint="eastAsia" w:ascii="Times New Roman" w:hAnsi="Times New Roman"/>
                <w:b/>
                <w:bCs/>
                <w:sz w:val="18"/>
                <w:szCs w:val="18"/>
              </w:rPr>
              <w:t>第一类飞行活动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13"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航空煤油</w:t>
            </w:r>
            <w:r>
              <w:rPr>
                <w:rFonts w:hint="eastAsia" w:ascii="Times New Roman" w:hAnsi="Times New Roman"/>
                <w:b/>
                <w:bCs/>
                <w:sz w:val="18"/>
                <w:szCs w:val="18"/>
              </w:rPr>
              <w:t>（t）</w:t>
            </w:r>
          </w:p>
        </w:tc>
        <w:tc>
          <w:tcPr>
            <w:tcW w:w="330"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71"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0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7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85"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8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417"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13"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大圆总周转量</w:t>
            </w:r>
            <w:r>
              <w:rPr>
                <w:rFonts w:hint="eastAsia" w:ascii="Times New Roman" w:hAnsi="Times New Roman"/>
                <w:b/>
                <w:bCs/>
                <w:sz w:val="18"/>
                <w:szCs w:val="18"/>
              </w:rPr>
              <w:t>（万吨公里）</w:t>
            </w:r>
          </w:p>
        </w:tc>
        <w:tc>
          <w:tcPr>
            <w:tcW w:w="330"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71"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0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7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85"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8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417"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000" w:type="pct"/>
            <w:gridSpan w:val="14"/>
            <w:shd w:val="clear" w:color="auto" w:fill="auto"/>
          </w:tcPr>
          <w:p>
            <w:pPr>
              <w:pStyle w:val="51"/>
              <w:adjustRightInd w:val="0"/>
              <w:snapToGrid w:val="0"/>
              <w:spacing w:line="320" w:lineRule="atLeast"/>
              <w:ind w:firstLine="0" w:firstLineChars="0"/>
              <w:jc w:val="left"/>
              <w:rPr>
                <w:rFonts w:ascii="Times New Roman" w:hAnsi="Times New Roman"/>
                <w:b/>
                <w:bCs/>
                <w:sz w:val="18"/>
                <w:szCs w:val="18"/>
              </w:rPr>
            </w:pPr>
            <w:r>
              <w:rPr>
                <w:rFonts w:hint="eastAsia" w:ascii="Times New Roman" w:hAnsi="Times New Roman"/>
                <w:b/>
                <w:bCs/>
                <w:sz w:val="18"/>
                <w:szCs w:val="18"/>
              </w:rPr>
              <w:t>第二类飞行活动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13" w:type="pct"/>
            <w:shd w:val="clear" w:color="auto" w:fill="auto"/>
            <w:vAlign w:val="center"/>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航空煤油</w:t>
            </w:r>
            <w:r>
              <w:rPr>
                <w:rFonts w:hint="eastAsia" w:ascii="Times New Roman" w:hAnsi="Times New Roman"/>
                <w:b/>
                <w:bCs/>
                <w:sz w:val="18"/>
                <w:szCs w:val="18"/>
              </w:rPr>
              <w:t>（t）</w:t>
            </w:r>
          </w:p>
        </w:tc>
        <w:tc>
          <w:tcPr>
            <w:tcW w:w="330"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71"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0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7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85"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8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417"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13" w:type="pct"/>
            <w:shd w:val="clear" w:color="auto" w:fill="auto"/>
            <w:vAlign w:val="center"/>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大圆总周转量</w:t>
            </w:r>
            <w:r>
              <w:rPr>
                <w:rFonts w:hint="eastAsia" w:ascii="Times New Roman" w:hAnsi="Times New Roman"/>
                <w:b/>
                <w:bCs/>
                <w:sz w:val="18"/>
                <w:szCs w:val="18"/>
              </w:rPr>
              <w:t>（万吨公里）</w:t>
            </w:r>
          </w:p>
        </w:tc>
        <w:tc>
          <w:tcPr>
            <w:tcW w:w="330"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71"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0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7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85"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8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417"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000" w:type="pct"/>
            <w:gridSpan w:val="14"/>
            <w:shd w:val="clear" w:color="auto" w:fill="auto"/>
          </w:tcPr>
          <w:p>
            <w:pPr>
              <w:pStyle w:val="51"/>
              <w:adjustRightInd w:val="0"/>
              <w:snapToGrid w:val="0"/>
              <w:spacing w:line="320" w:lineRule="atLeast"/>
              <w:ind w:firstLine="0" w:firstLineChars="0"/>
              <w:jc w:val="left"/>
              <w:rPr>
                <w:rFonts w:ascii="Times New Roman" w:hAnsi="Times New Roman"/>
                <w:b/>
                <w:bCs/>
                <w:sz w:val="18"/>
                <w:szCs w:val="18"/>
              </w:rPr>
            </w:pPr>
            <w:r>
              <w:rPr>
                <w:rFonts w:hint="eastAsia" w:ascii="Times New Roman" w:hAnsi="Times New Roman"/>
                <w:b/>
                <w:bCs/>
                <w:sz w:val="18"/>
                <w:szCs w:val="18"/>
              </w:rPr>
              <w:t>第三类飞行活动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13" w:type="pct"/>
            <w:shd w:val="clear" w:color="auto" w:fill="auto"/>
            <w:vAlign w:val="center"/>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航空煤油</w:t>
            </w:r>
            <w:r>
              <w:rPr>
                <w:rFonts w:hint="eastAsia" w:ascii="Times New Roman" w:hAnsi="Times New Roman"/>
                <w:b/>
                <w:bCs/>
                <w:sz w:val="18"/>
                <w:szCs w:val="18"/>
              </w:rPr>
              <w:t>（t）</w:t>
            </w:r>
          </w:p>
        </w:tc>
        <w:tc>
          <w:tcPr>
            <w:tcW w:w="330"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71"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0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7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85"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8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417"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13" w:type="pct"/>
            <w:shd w:val="clear" w:color="auto" w:fill="auto"/>
            <w:vAlign w:val="center"/>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大圆总周转量</w:t>
            </w:r>
            <w:r>
              <w:rPr>
                <w:rFonts w:hint="eastAsia" w:ascii="Times New Roman" w:hAnsi="Times New Roman"/>
                <w:b/>
                <w:bCs/>
                <w:sz w:val="18"/>
                <w:szCs w:val="18"/>
              </w:rPr>
              <w:t>（万吨公里）</w:t>
            </w:r>
          </w:p>
        </w:tc>
        <w:tc>
          <w:tcPr>
            <w:tcW w:w="330"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71"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0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7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85"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8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417"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000" w:type="pct"/>
            <w:gridSpan w:val="14"/>
            <w:shd w:val="clear" w:color="auto" w:fill="auto"/>
          </w:tcPr>
          <w:p>
            <w:pPr>
              <w:pStyle w:val="51"/>
              <w:adjustRightInd w:val="0"/>
              <w:snapToGrid w:val="0"/>
              <w:spacing w:line="320" w:lineRule="atLeast"/>
              <w:ind w:firstLine="0" w:firstLineChars="0"/>
              <w:jc w:val="left"/>
              <w:rPr>
                <w:rFonts w:ascii="Times New Roman" w:hAnsi="Times New Roman"/>
                <w:b/>
                <w:bCs/>
                <w:sz w:val="18"/>
                <w:szCs w:val="18"/>
              </w:rPr>
            </w:pPr>
            <w:r>
              <w:rPr>
                <w:rFonts w:hint="eastAsia" w:ascii="Times New Roman" w:hAnsi="Times New Roman"/>
                <w:b/>
                <w:bCs/>
                <w:sz w:val="18"/>
                <w:szCs w:val="18"/>
              </w:rPr>
              <w:t>第四类飞行活动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13" w:type="pct"/>
            <w:shd w:val="clear" w:color="auto" w:fill="auto"/>
            <w:vAlign w:val="center"/>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航空煤油</w:t>
            </w:r>
            <w:r>
              <w:rPr>
                <w:rFonts w:hint="eastAsia" w:ascii="Times New Roman" w:hAnsi="Times New Roman"/>
                <w:b/>
                <w:bCs/>
                <w:sz w:val="18"/>
                <w:szCs w:val="18"/>
              </w:rPr>
              <w:t>（t）</w:t>
            </w:r>
          </w:p>
        </w:tc>
        <w:tc>
          <w:tcPr>
            <w:tcW w:w="330"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71"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0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7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85"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8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417"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13" w:type="pct"/>
            <w:shd w:val="clear" w:color="auto" w:fill="auto"/>
            <w:vAlign w:val="center"/>
          </w:tcPr>
          <w:p>
            <w:pPr>
              <w:pStyle w:val="51"/>
              <w:adjustRightInd w:val="0"/>
              <w:snapToGrid w:val="0"/>
              <w:spacing w:line="320" w:lineRule="atLeast"/>
              <w:ind w:firstLine="0" w:firstLineChars="0"/>
              <w:jc w:val="center"/>
              <w:rPr>
                <w:rFonts w:ascii="Times New Roman" w:hAnsi="Times New Roman"/>
                <w:b/>
                <w:bCs/>
                <w:sz w:val="18"/>
                <w:szCs w:val="18"/>
              </w:rPr>
            </w:pPr>
            <w:r>
              <w:rPr>
                <w:rFonts w:ascii="Times New Roman" w:hAnsi="Times New Roman"/>
                <w:b/>
                <w:bCs/>
                <w:sz w:val="18"/>
                <w:szCs w:val="18"/>
              </w:rPr>
              <w:t>大圆总周转量</w:t>
            </w:r>
            <w:r>
              <w:rPr>
                <w:rFonts w:hint="eastAsia" w:ascii="Times New Roman" w:hAnsi="Times New Roman"/>
                <w:b/>
                <w:bCs/>
                <w:sz w:val="18"/>
                <w:szCs w:val="18"/>
              </w:rPr>
              <w:t>（万吨公里）</w:t>
            </w:r>
          </w:p>
        </w:tc>
        <w:tc>
          <w:tcPr>
            <w:tcW w:w="330"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71"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0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7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85"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283"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c>
          <w:tcPr>
            <w:tcW w:w="417" w:type="pct"/>
            <w:shd w:val="clear" w:color="auto" w:fill="auto"/>
          </w:tcPr>
          <w:p>
            <w:pPr>
              <w:pStyle w:val="51"/>
              <w:adjustRightInd w:val="0"/>
              <w:snapToGrid w:val="0"/>
              <w:spacing w:line="320" w:lineRule="atLeast"/>
              <w:ind w:firstLine="0" w:firstLineChars="0"/>
              <w:jc w:val="center"/>
              <w:rPr>
                <w:rFonts w:ascii="Times New Roman" w:hAnsi="Times New Roman"/>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513" w:type="pct"/>
            <w:shd w:val="clear" w:color="auto" w:fill="auto"/>
          </w:tcPr>
          <w:p>
            <w:pPr>
              <w:pStyle w:val="51"/>
              <w:adjustRightInd w:val="0"/>
              <w:snapToGrid w:val="0"/>
              <w:spacing w:line="320" w:lineRule="atLeast"/>
              <w:ind w:firstLine="0" w:firstLineChars="0"/>
              <w:rPr>
                <w:rFonts w:ascii="Times New Roman" w:hAnsi="Times New Roman"/>
                <w:b/>
                <w:bCs/>
                <w:sz w:val="18"/>
                <w:szCs w:val="18"/>
              </w:rPr>
            </w:pPr>
            <w:r>
              <w:rPr>
                <w:rFonts w:hint="eastAsia" w:ascii="Times New Roman" w:hAnsi="Times New Roman"/>
                <w:b/>
                <w:bCs/>
                <w:sz w:val="18"/>
                <w:szCs w:val="18"/>
              </w:rPr>
              <w:t>其他</w:t>
            </w:r>
          </w:p>
        </w:tc>
        <w:tc>
          <w:tcPr>
            <w:tcW w:w="330"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271"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303"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37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385"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354"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283"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c>
          <w:tcPr>
            <w:tcW w:w="417" w:type="pct"/>
            <w:shd w:val="clear" w:color="auto" w:fill="auto"/>
          </w:tcPr>
          <w:p>
            <w:pPr>
              <w:pStyle w:val="51"/>
              <w:adjustRightInd w:val="0"/>
              <w:snapToGrid w:val="0"/>
              <w:spacing w:line="320" w:lineRule="atLeast"/>
              <w:ind w:firstLine="0" w:firstLineChars="0"/>
              <w:jc w:val="center"/>
              <w:rPr>
                <w:rFonts w:ascii="Times New Roman" w:hAnsi="Times New Roman"/>
                <w:b/>
                <w:bCs/>
                <w:sz w:val="18"/>
                <w:szCs w:val="18"/>
              </w:rPr>
            </w:pPr>
          </w:p>
        </w:tc>
      </w:tr>
    </w:tbl>
    <w:p>
      <w:pPr>
        <w:sectPr>
          <w:footerReference r:id="rId27" w:type="default"/>
          <w:pgSz w:w="16838" w:h="11906" w:orient="landscape"/>
          <w:pgMar w:top="1587" w:right="1440" w:bottom="1474" w:left="1440" w:header="851" w:footer="1134" w:gutter="0"/>
          <w:paperSrc/>
          <w:pgNumType w:fmt="decimal"/>
          <w:cols w:space="0" w:num="1"/>
          <w:rtlGutter w:val="0"/>
          <w:docGrid w:linePitch="326" w:charSpace="0"/>
        </w:sectPr>
      </w:pPr>
    </w:p>
    <w:p>
      <w:pPr>
        <w:adjustRightInd w:val="0"/>
        <w:snapToGrid w:val="0"/>
        <w:ind w:firstLine="480" w:firstLineChars="200"/>
        <w:rPr>
          <w:rFonts w:ascii="Times New Roman" w:hAnsi="Times New Roman"/>
          <w:b/>
          <w:sz w:val="21"/>
          <w:szCs w:val="21"/>
        </w:rPr>
      </w:pPr>
      <w:r>
        <w:rPr>
          <w:rFonts w:hint="eastAsia" w:ascii="Times New Roman" w:hAnsi="Times New Roman"/>
          <w:szCs w:val="21"/>
        </w:rPr>
        <w:t>在年度排放报告中，重点碳排放单位应按表HK</w:t>
      </w:r>
      <w:r>
        <w:rPr>
          <w:rFonts w:ascii="Times New Roman" w:hAnsi="Times New Roman"/>
          <w:szCs w:val="21"/>
        </w:rPr>
        <w:t>-4</w:t>
      </w:r>
      <w:r>
        <w:rPr>
          <w:rFonts w:hint="eastAsia" w:ascii="Times New Roman" w:hAnsi="Times New Roman"/>
          <w:szCs w:val="21"/>
        </w:rPr>
        <w:t>、</w:t>
      </w:r>
      <w:r>
        <w:rPr>
          <w:rFonts w:ascii="Times New Roman" w:hAnsi="Times New Roman"/>
          <w:szCs w:val="21"/>
        </w:rPr>
        <w:t>H5</w:t>
      </w:r>
      <w:r>
        <w:rPr>
          <w:rFonts w:hint="eastAsia" w:ascii="Times New Roman" w:hAnsi="Times New Roman"/>
          <w:szCs w:val="21"/>
        </w:rPr>
        <w:t>的格式填写企业新增固定设施和既有固定设施退出信息。包括设施物理属性和设施用能统计信息。</w:t>
      </w:r>
    </w:p>
    <w:p>
      <w:pPr>
        <w:adjustRightInd w:val="0"/>
        <w:snapToGrid w:val="0"/>
        <w:spacing w:line="420" w:lineRule="exact"/>
        <w:ind w:firstLine="422" w:firstLineChars="0"/>
        <w:jc w:val="center"/>
        <w:rPr>
          <w:rFonts w:ascii="Times New Roman" w:hAnsi="Times New Roman"/>
          <w:b/>
          <w:sz w:val="21"/>
          <w:szCs w:val="21"/>
        </w:rPr>
      </w:pPr>
      <w:r>
        <w:rPr>
          <w:rFonts w:hint="eastAsia" w:ascii="Times New Roman" w:hAnsi="Times New Roman"/>
          <w:b/>
          <w:sz w:val="21"/>
          <w:szCs w:val="21"/>
        </w:rPr>
        <w:t>表HK</w:t>
      </w:r>
      <w:r>
        <w:rPr>
          <w:rFonts w:ascii="Times New Roman" w:hAnsi="Times New Roman"/>
          <w:b/>
          <w:sz w:val="21"/>
          <w:szCs w:val="21"/>
        </w:rPr>
        <w:t>-4</w:t>
      </w:r>
      <w:r>
        <w:rPr>
          <w:rFonts w:hint="eastAsia" w:ascii="Times New Roman" w:hAnsi="Times New Roman"/>
          <w:b/>
          <w:sz w:val="21"/>
          <w:szCs w:val="21"/>
        </w:rPr>
        <w:t>企业新增固定排放设施表</w:t>
      </w:r>
    </w:p>
    <w:tbl>
      <w:tblPr>
        <w:tblStyle w:val="27"/>
        <w:tblW w:w="5490"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719"/>
        <w:gridCol w:w="639"/>
        <w:gridCol w:w="842"/>
        <w:gridCol w:w="1572"/>
        <w:gridCol w:w="1509"/>
        <w:gridCol w:w="1206"/>
        <w:gridCol w:w="1204"/>
        <w:gridCol w:w="1055"/>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8" w:type="pct"/>
            <w:vMerge w:val="restart"/>
            <w:shd w:val="clear" w:color="auto" w:fill="auto"/>
            <w:noWrap/>
            <w:vAlign w:val="bottom"/>
          </w:tcPr>
          <w:p>
            <w:pPr>
              <w:widowControl/>
              <w:spacing w:line="240" w:lineRule="auto"/>
              <w:ind w:firstLine="0" w:firstLineChars="0"/>
              <w:jc w:val="center"/>
              <w:rPr>
                <w:rFonts w:ascii="Times New Roman" w:hAnsi="Times New Roman"/>
                <w:sz w:val="18"/>
                <w:szCs w:val="18"/>
              </w:rPr>
            </w:pPr>
            <w:r>
              <w:rPr>
                <w:rFonts w:hint="eastAsia" w:ascii="Times New Roman" w:hAnsi="Times New Roman"/>
                <w:sz w:val="18"/>
                <w:szCs w:val="18"/>
              </w:rPr>
              <w:t>序号</w:t>
            </w:r>
          </w:p>
        </w:tc>
        <w:tc>
          <w:tcPr>
            <w:tcW w:w="361" w:type="pct"/>
            <w:vMerge w:val="restart"/>
            <w:shd w:val="clear" w:color="auto" w:fill="auto"/>
            <w:noWrap/>
            <w:vAlign w:val="bottom"/>
          </w:tcPr>
          <w:p>
            <w:pPr>
              <w:widowControl/>
              <w:spacing w:line="240" w:lineRule="auto"/>
              <w:ind w:firstLine="0" w:firstLineChars="0"/>
              <w:jc w:val="center"/>
              <w:rPr>
                <w:rFonts w:ascii="Times New Roman" w:hAnsi="Times New Roman"/>
                <w:sz w:val="18"/>
                <w:szCs w:val="18"/>
              </w:rPr>
            </w:pPr>
            <w:r>
              <w:rPr>
                <w:rFonts w:hint="eastAsia" w:ascii="Times New Roman" w:hAnsi="Times New Roman"/>
                <w:sz w:val="18"/>
                <w:szCs w:val="18"/>
              </w:rPr>
              <w:t>新增设施名称</w:t>
            </w:r>
          </w:p>
        </w:tc>
        <w:tc>
          <w:tcPr>
            <w:tcW w:w="321" w:type="pct"/>
            <w:vMerge w:val="restart"/>
            <w:shd w:val="clear" w:color="auto" w:fill="auto"/>
            <w:noWrap/>
            <w:vAlign w:val="bottom"/>
          </w:tcPr>
          <w:p>
            <w:pPr>
              <w:widowControl/>
              <w:spacing w:line="240" w:lineRule="auto"/>
              <w:ind w:firstLine="0" w:firstLineChars="0"/>
              <w:jc w:val="center"/>
              <w:rPr>
                <w:rFonts w:ascii="Times New Roman" w:hAnsi="Times New Roman"/>
                <w:sz w:val="18"/>
                <w:szCs w:val="18"/>
              </w:rPr>
            </w:pPr>
            <w:r>
              <w:rPr>
                <w:rFonts w:hint="eastAsia" w:ascii="Times New Roman" w:hAnsi="Times New Roman"/>
                <w:sz w:val="18"/>
                <w:szCs w:val="18"/>
              </w:rPr>
              <w:t>设施型号</w:t>
            </w:r>
          </w:p>
        </w:tc>
        <w:tc>
          <w:tcPr>
            <w:tcW w:w="423" w:type="pct"/>
            <w:vMerge w:val="restart"/>
            <w:shd w:val="clear" w:color="auto" w:fill="auto"/>
            <w:noWrap/>
            <w:vAlign w:val="bottom"/>
          </w:tcPr>
          <w:p>
            <w:pPr>
              <w:widowControl/>
              <w:spacing w:line="240" w:lineRule="auto"/>
              <w:ind w:firstLine="0" w:firstLineChars="0"/>
              <w:jc w:val="center"/>
              <w:rPr>
                <w:rFonts w:ascii="Times New Roman" w:hAnsi="Times New Roman"/>
                <w:sz w:val="18"/>
                <w:szCs w:val="18"/>
              </w:rPr>
            </w:pPr>
            <w:r>
              <w:rPr>
                <w:rFonts w:hint="eastAsia" w:ascii="Times New Roman" w:hAnsi="Times New Roman"/>
                <w:sz w:val="18"/>
                <w:szCs w:val="18"/>
              </w:rPr>
              <w:t>设施物理位置</w:t>
            </w:r>
          </w:p>
        </w:tc>
        <w:tc>
          <w:tcPr>
            <w:tcW w:w="1548" w:type="pct"/>
            <w:gridSpan w:val="2"/>
            <w:shd w:val="clear" w:color="auto" w:fill="auto"/>
            <w:noWrap/>
            <w:vAlign w:val="bottom"/>
          </w:tcPr>
          <w:p>
            <w:pPr>
              <w:widowControl/>
              <w:spacing w:line="240" w:lineRule="auto"/>
              <w:ind w:firstLine="0" w:firstLineChars="0"/>
              <w:jc w:val="center"/>
              <w:rPr>
                <w:rFonts w:ascii="Times New Roman" w:hAnsi="Times New Roman"/>
                <w:sz w:val="18"/>
                <w:szCs w:val="18"/>
              </w:rPr>
            </w:pPr>
            <w:r>
              <w:rPr>
                <w:rFonts w:hint="eastAsia" w:ascii="Times New Roman" w:hAnsi="Times New Roman"/>
                <w:sz w:val="18"/>
                <w:szCs w:val="18"/>
              </w:rPr>
              <w:t>设施用能情况</w:t>
            </w:r>
          </w:p>
        </w:tc>
        <w:tc>
          <w:tcPr>
            <w:tcW w:w="1211" w:type="pct"/>
            <w:gridSpan w:val="2"/>
            <w:shd w:val="clear" w:color="auto" w:fill="auto"/>
            <w:noWrap/>
            <w:vAlign w:val="bottom"/>
          </w:tcPr>
          <w:p>
            <w:pPr>
              <w:widowControl/>
              <w:spacing w:line="240" w:lineRule="auto"/>
              <w:ind w:firstLine="0" w:firstLineChars="0"/>
              <w:jc w:val="center"/>
              <w:rPr>
                <w:rFonts w:ascii="Times New Roman" w:hAnsi="Times New Roman"/>
                <w:sz w:val="18"/>
                <w:szCs w:val="18"/>
              </w:rPr>
            </w:pPr>
            <w:r>
              <w:rPr>
                <w:rFonts w:hint="eastAsia" w:ascii="Times New Roman" w:hAnsi="Times New Roman"/>
                <w:sz w:val="18"/>
                <w:szCs w:val="18"/>
              </w:rPr>
              <w:t>设施排放情况</w:t>
            </w:r>
          </w:p>
        </w:tc>
        <w:tc>
          <w:tcPr>
            <w:tcW w:w="530" w:type="pct"/>
            <w:vMerge w:val="restart"/>
            <w:shd w:val="clear" w:color="auto" w:fill="auto"/>
            <w:noWrap/>
            <w:vAlign w:val="bottom"/>
          </w:tcPr>
          <w:p>
            <w:pPr>
              <w:widowControl/>
              <w:spacing w:line="240" w:lineRule="auto"/>
              <w:ind w:firstLine="0" w:firstLineChars="0"/>
              <w:jc w:val="center"/>
              <w:rPr>
                <w:rFonts w:ascii="Times New Roman" w:hAnsi="Times New Roman"/>
                <w:sz w:val="18"/>
                <w:szCs w:val="18"/>
              </w:rPr>
            </w:pPr>
            <w:r>
              <w:rPr>
                <w:rFonts w:hint="eastAsia" w:ascii="Times New Roman" w:hAnsi="Times New Roman"/>
                <w:sz w:val="18"/>
                <w:szCs w:val="18"/>
              </w:rPr>
              <w:t>是否替代既有设施</w:t>
            </w:r>
          </w:p>
        </w:tc>
        <w:tc>
          <w:tcPr>
            <w:tcW w:w="228" w:type="pct"/>
            <w:vMerge w:val="restart"/>
            <w:shd w:val="clear" w:color="auto" w:fill="auto"/>
            <w:noWrap/>
            <w:vAlign w:val="bottom"/>
          </w:tcPr>
          <w:p>
            <w:pPr>
              <w:widowControl/>
              <w:spacing w:line="240" w:lineRule="auto"/>
              <w:ind w:firstLine="0" w:firstLineChars="0"/>
              <w:jc w:val="left"/>
              <w:rPr>
                <w:rFonts w:ascii="Times New Roman" w:hAnsi="Times New Roman"/>
                <w:sz w:val="18"/>
                <w:szCs w:val="18"/>
              </w:rPr>
            </w:pPr>
            <w:r>
              <w:rPr>
                <w:rFonts w:hint="eastAsia" w:ascii="Times New Roman" w:hAnsi="Times New Roman"/>
                <w:sz w:val="18"/>
                <w:szCs w:val="18"/>
              </w:rPr>
              <w:t>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8" w:type="pct"/>
            <w:vMerge w:val="continue"/>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361" w:type="pct"/>
            <w:vMerge w:val="continue"/>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321" w:type="pct"/>
            <w:vMerge w:val="continue"/>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423" w:type="pct"/>
            <w:vMerge w:val="continue"/>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790" w:type="pct"/>
            <w:shd w:val="clear" w:color="auto" w:fill="auto"/>
            <w:noWrap/>
            <w:vAlign w:val="bottom"/>
          </w:tcPr>
          <w:p>
            <w:pPr>
              <w:widowControl/>
              <w:spacing w:line="240" w:lineRule="auto"/>
              <w:ind w:firstLine="0" w:firstLineChars="0"/>
              <w:jc w:val="center"/>
              <w:rPr>
                <w:rFonts w:ascii="Times New Roman" w:hAnsi="Times New Roman"/>
                <w:sz w:val="18"/>
                <w:szCs w:val="18"/>
              </w:rPr>
            </w:pPr>
            <w:r>
              <w:rPr>
                <w:rFonts w:hint="eastAsia" w:ascii="Times New Roman" w:hAnsi="Times New Roman"/>
                <w:sz w:val="18"/>
                <w:szCs w:val="18"/>
              </w:rPr>
              <w:t>燃料年消费量（吨标煤）</w:t>
            </w:r>
          </w:p>
        </w:tc>
        <w:tc>
          <w:tcPr>
            <w:tcW w:w="758" w:type="pct"/>
            <w:shd w:val="clear" w:color="auto" w:fill="auto"/>
            <w:noWrap/>
            <w:vAlign w:val="bottom"/>
          </w:tcPr>
          <w:p>
            <w:pPr>
              <w:widowControl/>
              <w:spacing w:line="240" w:lineRule="auto"/>
              <w:ind w:firstLine="0" w:firstLineChars="0"/>
              <w:jc w:val="center"/>
              <w:rPr>
                <w:rFonts w:ascii="Times New Roman" w:hAnsi="Times New Roman"/>
                <w:sz w:val="18"/>
                <w:szCs w:val="18"/>
              </w:rPr>
            </w:pPr>
            <w:r>
              <w:rPr>
                <w:rFonts w:hint="eastAsia" w:ascii="Times New Roman" w:hAnsi="Times New Roman"/>
                <w:sz w:val="18"/>
                <w:szCs w:val="18"/>
              </w:rPr>
              <w:t>电力年消费量（</w:t>
            </w:r>
            <w:r>
              <w:rPr>
                <w:rFonts w:ascii="Times New Roman" w:hAnsi="Times New Roman"/>
                <w:sz w:val="18"/>
                <w:szCs w:val="18"/>
              </w:rPr>
              <w:t>MWh</w:t>
            </w:r>
            <w:r>
              <w:rPr>
                <w:rFonts w:hint="eastAsia" w:ascii="Times New Roman" w:hAnsi="Times New Roman"/>
                <w:sz w:val="18"/>
                <w:szCs w:val="18"/>
              </w:rPr>
              <w:t>）</w:t>
            </w:r>
          </w:p>
        </w:tc>
        <w:tc>
          <w:tcPr>
            <w:tcW w:w="606" w:type="pct"/>
            <w:shd w:val="clear" w:color="auto" w:fill="auto"/>
            <w:noWrap/>
            <w:vAlign w:val="bottom"/>
          </w:tcPr>
          <w:p>
            <w:pPr>
              <w:widowControl/>
              <w:spacing w:line="240" w:lineRule="auto"/>
              <w:ind w:firstLine="0" w:firstLineChars="0"/>
              <w:jc w:val="center"/>
              <w:rPr>
                <w:rFonts w:ascii="Times New Roman" w:hAnsi="Times New Roman"/>
                <w:sz w:val="18"/>
                <w:szCs w:val="18"/>
              </w:rPr>
            </w:pPr>
            <w:r>
              <w:rPr>
                <w:rFonts w:hint="eastAsia" w:ascii="Times New Roman" w:hAnsi="Times New Roman"/>
                <w:sz w:val="18"/>
                <w:szCs w:val="18"/>
              </w:rPr>
              <w:t>直接排放量（</w:t>
            </w:r>
            <w:r>
              <w:rPr>
                <w:rFonts w:ascii="Times New Roman" w:hAnsi="Times New Roman"/>
                <w:sz w:val="18"/>
                <w:szCs w:val="18"/>
              </w:rPr>
              <w:t>tCO2</w:t>
            </w:r>
            <w:r>
              <w:rPr>
                <w:rFonts w:hint="eastAsia" w:ascii="Times New Roman" w:hAnsi="Times New Roman"/>
                <w:sz w:val="18"/>
                <w:szCs w:val="18"/>
              </w:rPr>
              <w:t>）</w:t>
            </w:r>
          </w:p>
        </w:tc>
        <w:tc>
          <w:tcPr>
            <w:tcW w:w="605" w:type="pct"/>
            <w:shd w:val="clear" w:color="auto" w:fill="auto"/>
            <w:noWrap/>
            <w:vAlign w:val="bottom"/>
          </w:tcPr>
          <w:p>
            <w:pPr>
              <w:widowControl/>
              <w:spacing w:line="240" w:lineRule="auto"/>
              <w:ind w:firstLine="0" w:firstLineChars="0"/>
              <w:jc w:val="center"/>
              <w:rPr>
                <w:rFonts w:ascii="Times New Roman" w:hAnsi="Times New Roman"/>
                <w:sz w:val="18"/>
                <w:szCs w:val="18"/>
              </w:rPr>
            </w:pPr>
            <w:r>
              <w:rPr>
                <w:rFonts w:hint="eastAsia" w:ascii="Times New Roman" w:hAnsi="Times New Roman"/>
                <w:sz w:val="18"/>
                <w:szCs w:val="18"/>
              </w:rPr>
              <w:t>间接排放量（</w:t>
            </w:r>
            <w:r>
              <w:rPr>
                <w:rFonts w:ascii="Times New Roman" w:hAnsi="Times New Roman"/>
                <w:sz w:val="18"/>
                <w:szCs w:val="18"/>
              </w:rPr>
              <w:t>tCO2</w:t>
            </w:r>
            <w:r>
              <w:rPr>
                <w:rFonts w:hint="eastAsia" w:ascii="Times New Roman" w:hAnsi="Times New Roman"/>
                <w:sz w:val="18"/>
                <w:szCs w:val="18"/>
              </w:rPr>
              <w:t>）</w:t>
            </w:r>
          </w:p>
        </w:tc>
        <w:tc>
          <w:tcPr>
            <w:tcW w:w="530" w:type="pct"/>
            <w:vMerge w:val="continue"/>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228" w:type="pct"/>
            <w:vMerge w:val="continue"/>
            <w:shd w:val="clear" w:color="auto" w:fill="auto"/>
            <w:noWrap/>
            <w:vAlign w:val="bottom"/>
          </w:tcPr>
          <w:p>
            <w:pPr>
              <w:widowControl/>
              <w:spacing w:line="240" w:lineRule="auto"/>
              <w:ind w:firstLine="0" w:firstLineChars="0"/>
              <w:jc w:val="left"/>
              <w:rPr>
                <w:rFonts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8" w:type="pct"/>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361" w:type="pct"/>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321" w:type="pct"/>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423" w:type="pct"/>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790"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758"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606"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605"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530" w:type="pct"/>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228" w:type="pct"/>
            <w:shd w:val="clear" w:color="auto" w:fill="auto"/>
            <w:noWrap/>
            <w:vAlign w:val="bottom"/>
          </w:tcPr>
          <w:p>
            <w:pPr>
              <w:widowControl/>
              <w:spacing w:line="240" w:lineRule="auto"/>
              <w:ind w:firstLine="0" w:firstLineChars="0"/>
              <w:jc w:val="left"/>
              <w:rPr>
                <w:rFonts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8" w:type="pct"/>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361" w:type="pct"/>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321" w:type="pct"/>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423" w:type="pct"/>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790"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758"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606"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605"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530" w:type="pct"/>
            <w:vAlign w:val="center"/>
          </w:tcPr>
          <w:p>
            <w:pPr>
              <w:widowControl/>
              <w:spacing w:line="240" w:lineRule="auto"/>
              <w:ind w:firstLine="0" w:firstLineChars="0"/>
              <w:jc w:val="left"/>
              <w:rPr>
                <w:rFonts w:ascii="黑体" w:hAnsi="黑体" w:eastAsia="黑体" w:cs="宋体"/>
                <w:color w:val="000000"/>
                <w:kern w:val="0"/>
                <w:sz w:val="22"/>
                <w:szCs w:val="22"/>
              </w:rPr>
            </w:pPr>
          </w:p>
        </w:tc>
        <w:tc>
          <w:tcPr>
            <w:tcW w:w="228" w:type="pct"/>
            <w:shd w:val="clear" w:color="auto" w:fill="auto"/>
            <w:noWrap/>
            <w:vAlign w:val="bottom"/>
          </w:tcPr>
          <w:p>
            <w:pPr>
              <w:widowControl/>
              <w:spacing w:line="240" w:lineRule="auto"/>
              <w:ind w:firstLine="0" w:firstLineChars="0"/>
              <w:jc w:val="left"/>
              <w:rPr>
                <w:rFonts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8"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r>
              <w:rPr>
                <w:rFonts w:ascii="黑体" w:hAnsi="黑体" w:eastAsia="黑体" w:cs="宋体"/>
                <w:color w:val="000000"/>
                <w:kern w:val="0"/>
                <w:sz w:val="22"/>
                <w:szCs w:val="22"/>
              </w:rPr>
              <w:t>合计</w:t>
            </w:r>
          </w:p>
        </w:tc>
        <w:tc>
          <w:tcPr>
            <w:tcW w:w="361" w:type="pct"/>
            <w:shd w:val="clear" w:color="auto" w:fill="auto"/>
            <w:vAlign w:val="bottom"/>
          </w:tcPr>
          <w:p>
            <w:pPr>
              <w:spacing w:line="240" w:lineRule="auto"/>
              <w:ind w:firstLine="0" w:firstLineChars="0"/>
              <w:jc w:val="center"/>
              <w:rPr>
                <w:rFonts w:ascii="黑体" w:hAnsi="黑体" w:eastAsia="黑体" w:cs="宋体"/>
                <w:color w:val="000000"/>
                <w:kern w:val="0"/>
                <w:sz w:val="22"/>
                <w:szCs w:val="22"/>
              </w:rPr>
            </w:pPr>
          </w:p>
        </w:tc>
        <w:tc>
          <w:tcPr>
            <w:tcW w:w="321" w:type="pct"/>
            <w:shd w:val="clear" w:color="auto" w:fill="auto"/>
            <w:vAlign w:val="bottom"/>
          </w:tcPr>
          <w:p>
            <w:pPr>
              <w:spacing w:line="240" w:lineRule="auto"/>
              <w:ind w:firstLine="0" w:firstLineChars="0"/>
              <w:jc w:val="center"/>
              <w:rPr>
                <w:rFonts w:ascii="黑体" w:hAnsi="黑体" w:eastAsia="黑体" w:cs="宋体"/>
                <w:color w:val="000000"/>
                <w:kern w:val="0"/>
                <w:sz w:val="22"/>
                <w:szCs w:val="22"/>
              </w:rPr>
            </w:pPr>
          </w:p>
        </w:tc>
        <w:tc>
          <w:tcPr>
            <w:tcW w:w="423" w:type="pct"/>
            <w:shd w:val="clear" w:color="auto" w:fill="auto"/>
            <w:vAlign w:val="bottom"/>
          </w:tcPr>
          <w:p>
            <w:pPr>
              <w:spacing w:line="240" w:lineRule="auto"/>
              <w:ind w:firstLine="0" w:firstLineChars="0"/>
              <w:jc w:val="center"/>
              <w:rPr>
                <w:rFonts w:ascii="黑体" w:hAnsi="黑体" w:eastAsia="黑体" w:cs="宋体"/>
                <w:color w:val="000000"/>
                <w:kern w:val="0"/>
                <w:sz w:val="22"/>
                <w:szCs w:val="22"/>
              </w:rPr>
            </w:pPr>
          </w:p>
        </w:tc>
        <w:tc>
          <w:tcPr>
            <w:tcW w:w="790"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758"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606"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605"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530" w:type="pct"/>
            <w:shd w:val="clear" w:color="auto" w:fill="auto"/>
            <w:noWrap/>
            <w:vAlign w:val="bottom"/>
          </w:tcPr>
          <w:p>
            <w:pPr>
              <w:widowControl/>
              <w:spacing w:line="240" w:lineRule="auto"/>
              <w:ind w:firstLine="0" w:firstLineChars="0"/>
              <w:jc w:val="center"/>
              <w:rPr>
                <w:rFonts w:ascii="黑体" w:hAnsi="黑体" w:eastAsia="黑体" w:cs="宋体"/>
                <w:color w:val="000000"/>
                <w:kern w:val="0"/>
                <w:sz w:val="22"/>
                <w:szCs w:val="22"/>
              </w:rPr>
            </w:pPr>
          </w:p>
        </w:tc>
        <w:tc>
          <w:tcPr>
            <w:tcW w:w="228" w:type="pct"/>
            <w:shd w:val="clear" w:color="auto" w:fill="auto"/>
            <w:noWrap/>
            <w:vAlign w:val="bottom"/>
          </w:tcPr>
          <w:p>
            <w:pPr>
              <w:widowControl/>
              <w:spacing w:line="240" w:lineRule="auto"/>
              <w:ind w:firstLine="0" w:firstLineChars="0"/>
              <w:jc w:val="left"/>
              <w:rPr>
                <w:rFonts w:cs="宋体"/>
                <w:color w:val="000000"/>
                <w:kern w:val="0"/>
                <w:sz w:val="22"/>
                <w:szCs w:val="22"/>
              </w:rPr>
            </w:pPr>
          </w:p>
        </w:tc>
      </w:tr>
    </w:tbl>
    <w:p>
      <w:pPr>
        <w:adjustRightInd w:val="0"/>
        <w:snapToGrid w:val="0"/>
        <w:spacing w:line="420" w:lineRule="exact"/>
        <w:ind w:firstLine="422" w:firstLineChars="0"/>
        <w:jc w:val="center"/>
        <w:rPr>
          <w:b/>
          <w:color w:val="000000" w:themeColor="text1"/>
          <w:sz w:val="21"/>
          <w:szCs w:val="21"/>
        </w:rPr>
      </w:pPr>
      <w:r>
        <w:rPr>
          <w:rFonts w:hint="eastAsia"/>
          <w:b/>
          <w:color w:val="000000" w:themeColor="text1"/>
          <w:sz w:val="21"/>
          <w:szCs w:val="21"/>
        </w:rPr>
        <w:t>表HK-5  既有固定设施退出信息表</w:t>
      </w:r>
    </w:p>
    <w:tbl>
      <w:tblPr>
        <w:tblStyle w:val="28"/>
        <w:tblW w:w="9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823"/>
        <w:gridCol w:w="1555"/>
        <w:gridCol w:w="823"/>
        <w:gridCol w:w="1155"/>
        <w:gridCol w:w="1133"/>
        <w:gridCol w:w="1293"/>
        <w:gridCol w:w="127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restart"/>
            <w:vAlign w:val="center"/>
          </w:tcPr>
          <w:p>
            <w:pPr>
              <w:spacing w:line="240" w:lineRule="auto"/>
              <w:ind w:firstLine="0" w:firstLineChars="0"/>
              <w:rPr>
                <w:rFonts w:ascii="Times New Roman" w:hAnsi="Times New Roman" w:eastAsiaTheme="minorEastAsia"/>
                <w:color w:val="000000" w:themeColor="text1"/>
                <w:kern w:val="0"/>
                <w:sz w:val="18"/>
                <w:szCs w:val="18"/>
              </w:rPr>
            </w:pPr>
            <w:r>
              <w:rPr>
                <w:rFonts w:ascii="Times New Roman" w:hAnsiTheme="minorEastAsia" w:eastAsiaTheme="minorEastAsia"/>
                <w:color w:val="000000" w:themeColor="text1"/>
                <w:kern w:val="0"/>
                <w:sz w:val="18"/>
                <w:szCs w:val="18"/>
              </w:rPr>
              <w:t>序号</w:t>
            </w:r>
          </w:p>
        </w:tc>
        <w:tc>
          <w:tcPr>
            <w:tcW w:w="825" w:type="dxa"/>
            <w:vMerge w:val="restart"/>
            <w:vAlign w:val="center"/>
          </w:tcPr>
          <w:p>
            <w:pPr>
              <w:spacing w:line="240" w:lineRule="auto"/>
              <w:ind w:firstLine="0" w:firstLineChars="0"/>
              <w:jc w:val="left"/>
              <w:rPr>
                <w:rFonts w:ascii="Times New Roman" w:hAnsi="Times New Roman" w:eastAsiaTheme="minorEastAsia"/>
                <w:color w:val="000000" w:themeColor="text1"/>
                <w:kern w:val="0"/>
                <w:sz w:val="18"/>
                <w:szCs w:val="18"/>
              </w:rPr>
            </w:pPr>
            <w:r>
              <w:rPr>
                <w:rFonts w:ascii="Times New Roman" w:hAnsiTheme="minorEastAsia" w:eastAsiaTheme="minorEastAsia"/>
                <w:color w:val="000000" w:themeColor="text1"/>
                <w:kern w:val="0"/>
                <w:sz w:val="18"/>
                <w:szCs w:val="18"/>
              </w:rPr>
              <w:t>既有设施名称</w:t>
            </w:r>
          </w:p>
        </w:tc>
        <w:tc>
          <w:tcPr>
            <w:tcW w:w="1560" w:type="dxa"/>
            <w:vMerge w:val="restart"/>
            <w:vAlign w:val="center"/>
          </w:tcPr>
          <w:p>
            <w:pPr>
              <w:spacing w:line="240" w:lineRule="auto"/>
              <w:ind w:firstLine="0" w:firstLineChars="0"/>
              <w:jc w:val="left"/>
              <w:rPr>
                <w:rFonts w:ascii="Times New Roman" w:hAnsi="Times New Roman" w:eastAsiaTheme="minorEastAsia"/>
                <w:color w:val="000000" w:themeColor="text1"/>
                <w:kern w:val="0"/>
                <w:sz w:val="18"/>
                <w:szCs w:val="18"/>
              </w:rPr>
            </w:pPr>
            <w:r>
              <w:rPr>
                <w:rFonts w:ascii="Times New Roman" w:hAnsiTheme="minorEastAsia" w:eastAsiaTheme="minorEastAsia"/>
                <w:color w:val="000000" w:themeColor="text1"/>
                <w:kern w:val="0"/>
                <w:sz w:val="18"/>
                <w:szCs w:val="18"/>
              </w:rPr>
              <w:t>既有设施对应其它生产信息（如适用）</w:t>
            </w:r>
          </w:p>
        </w:tc>
        <w:tc>
          <w:tcPr>
            <w:tcW w:w="825" w:type="dxa"/>
            <w:vMerge w:val="restart"/>
            <w:vAlign w:val="center"/>
          </w:tcPr>
          <w:p>
            <w:pPr>
              <w:spacing w:line="240" w:lineRule="auto"/>
              <w:ind w:firstLine="0" w:firstLineChars="0"/>
              <w:jc w:val="left"/>
              <w:rPr>
                <w:rFonts w:ascii="Times New Roman" w:hAnsi="Times New Roman" w:eastAsiaTheme="minorEastAsia"/>
                <w:color w:val="000000" w:themeColor="text1"/>
                <w:kern w:val="0"/>
                <w:sz w:val="18"/>
                <w:szCs w:val="18"/>
              </w:rPr>
            </w:pPr>
            <w:r>
              <w:rPr>
                <w:rFonts w:ascii="Times New Roman" w:hAnsiTheme="minorEastAsia" w:eastAsiaTheme="minorEastAsia"/>
                <w:color w:val="000000" w:themeColor="text1"/>
                <w:kern w:val="0"/>
                <w:sz w:val="18"/>
                <w:szCs w:val="18"/>
              </w:rPr>
              <w:t>退出时间</w:t>
            </w:r>
          </w:p>
        </w:tc>
        <w:tc>
          <w:tcPr>
            <w:tcW w:w="1159" w:type="dxa"/>
            <w:vMerge w:val="restart"/>
            <w:vAlign w:val="center"/>
          </w:tcPr>
          <w:p>
            <w:pPr>
              <w:spacing w:line="240" w:lineRule="auto"/>
              <w:ind w:firstLine="0" w:firstLineChars="0"/>
              <w:jc w:val="left"/>
              <w:rPr>
                <w:rFonts w:ascii="Times New Roman" w:hAnsi="Times New Roman" w:eastAsiaTheme="minorEastAsia"/>
                <w:color w:val="000000" w:themeColor="text1"/>
                <w:kern w:val="0"/>
                <w:sz w:val="18"/>
                <w:szCs w:val="18"/>
              </w:rPr>
            </w:pPr>
            <w:r>
              <w:rPr>
                <w:rFonts w:ascii="Times New Roman" w:hAnsiTheme="minorEastAsia" w:eastAsiaTheme="minorEastAsia"/>
                <w:color w:val="000000" w:themeColor="text1"/>
                <w:kern w:val="0"/>
                <w:sz w:val="18"/>
                <w:szCs w:val="18"/>
              </w:rPr>
              <w:t>是否由新增设施替代</w:t>
            </w:r>
          </w:p>
        </w:tc>
        <w:tc>
          <w:tcPr>
            <w:tcW w:w="1134" w:type="dxa"/>
            <w:vMerge w:val="restart"/>
            <w:tcBorders>
              <w:right w:val="single" w:color="auto" w:sz="4" w:space="0"/>
            </w:tcBorders>
            <w:vAlign w:val="center"/>
          </w:tcPr>
          <w:p>
            <w:pPr>
              <w:spacing w:line="240" w:lineRule="auto"/>
              <w:ind w:firstLine="268"/>
              <w:jc w:val="left"/>
              <w:rPr>
                <w:rFonts w:ascii="Times New Roman" w:hAnsi="Times New Roman" w:eastAsiaTheme="minorEastAsia"/>
                <w:color w:val="000000" w:themeColor="text1"/>
                <w:kern w:val="0"/>
                <w:sz w:val="18"/>
                <w:szCs w:val="18"/>
              </w:rPr>
            </w:pPr>
            <w:r>
              <w:rPr>
                <w:rFonts w:ascii="Times New Roman" w:hAnsiTheme="minorEastAsia" w:eastAsiaTheme="minorEastAsia"/>
                <w:color w:val="000000" w:themeColor="text1"/>
                <w:kern w:val="0"/>
                <w:sz w:val="18"/>
                <w:szCs w:val="18"/>
              </w:rPr>
              <w:t>年度</w:t>
            </w:r>
          </w:p>
        </w:tc>
        <w:tc>
          <w:tcPr>
            <w:tcW w:w="3595" w:type="dxa"/>
            <w:gridSpan w:val="3"/>
            <w:tcBorders>
              <w:left w:val="single" w:color="auto" w:sz="4" w:space="0"/>
            </w:tcBorders>
            <w:vAlign w:val="center"/>
          </w:tcPr>
          <w:p>
            <w:pPr>
              <w:spacing w:line="240" w:lineRule="auto"/>
              <w:ind w:firstLine="0" w:firstLineChars="0"/>
              <w:jc w:val="center"/>
              <w:rPr>
                <w:rFonts w:ascii="Times New Roman" w:hAnsi="Times New Roman" w:eastAsiaTheme="minorEastAsia"/>
                <w:color w:val="000000" w:themeColor="text1"/>
                <w:kern w:val="0"/>
                <w:sz w:val="18"/>
                <w:szCs w:val="18"/>
              </w:rPr>
            </w:pPr>
            <w:r>
              <w:rPr>
                <w:rFonts w:ascii="Times New Roman" w:hAnsiTheme="minorEastAsia" w:eastAsiaTheme="minorEastAsia"/>
                <w:color w:val="000000" w:themeColor="text1"/>
                <w:kern w:val="0"/>
                <w:sz w:val="18"/>
                <w:szCs w:val="18"/>
              </w:rPr>
              <w:t>历史年度排放量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vAlign w:val="center"/>
          </w:tcPr>
          <w:p>
            <w:pPr>
              <w:spacing w:line="240" w:lineRule="auto"/>
              <w:ind w:firstLine="268"/>
              <w:jc w:val="center"/>
              <w:rPr>
                <w:rFonts w:ascii="Times New Roman" w:hAnsi="Times New Roman" w:eastAsiaTheme="minorEastAsia"/>
                <w:color w:val="000000" w:themeColor="text1"/>
                <w:kern w:val="0"/>
                <w:sz w:val="18"/>
                <w:szCs w:val="18"/>
              </w:rPr>
            </w:pPr>
          </w:p>
        </w:tc>
        <w:tc>
          <w:tcPr>
            <w:tcW w:w="825" w:type="dxa"/>
            <w:vMerge w:val="continue"/>
            <w:vAlign w:val="center"/>
          </w:tcPr>
          <w:p>
            <w:pPr>
              <w:spacing w:line="240" w:lineRule="auto"/>
              <w:ind w:firstLine="268"/>
              <w:jc w:val="left"/>
              <w:rPr>
                <w:rFonts w:ascii="Times New Roman" w:hAnsi="Times New Roman" w:eastAsiaTheme="minorEastAsia"/>
                <w:color w:val="000000" w:themeColor="text1"/>
                <w:kern w:val="0"/>
                <w:sz w:val="18"/>
                <w:szCs w:val="18"/>
              </w:rPr>
            </w:pPr>
          </w:p>
        </w:tc>
        <w:tc>
          <w:tcPr>
            <w:tcW w:w="1560" w:type="dxa"/>
            <w:vMerge w:val="continue"/>
            <w:vAlign w:val="center"/>
          </w:tcPr>
          <w:p>
            <w:pPr>
              <w:spacing w:line="240" w:lineRule="auto"/>
              <w:ind w:firstLine="268"/>
              <w:jc w:val="left"/>
              <w:rPr>
                <w:rFonts w:ascii="Times New Roman" w:hAnsi="Times New Roman" w:eastAsiaTheme="minorEastAsia"/>
                <w:color w:val="000000" w:themeColor="text1"/>
                <w:kern w:val="0"/>
                <w:sz w:val="18"/>
                <w:szCs w:val="18"/>
              </w:rPr>
            </w:pPr>
          </w:p>
        </w:tc>
        <w:tc>
          <w:tcPr>
            <w:tcW w:w="825" w:type="dxa"/>
            <w:vMerge w:val="continue"/>
            <w:vAlign w:val="center"/>
          </w:tcPr>
          <w:p>
            <w:pPr>
              <w:spacing w:line="240" w:lineRule="auto"/>
              <w:ind w:firstLine="268"/>
              <w:jc w:val="left"/>
              <w:rPr>
                <w:rFonts w:ascii="Times New Roman" w:hAnsi="Times New Roman" w:eastAsiaTheme="minorEastAsia"/>
                <w:color w:val="000000" w:themeColor="text1"/>
                <w:kern w:val="0"/>
                <w:sz w:val="18"/>
                <w:szCs w:val="18"/>
              </w:rPr>
            </w:pPr>
          </w:p>
        </w:tc>
        <w:tc>
          <w:tcPr>
            <w:tcW w:w="1159" w:type="dxa"/>
            <w:vMerge w:val="continue"/>
            <w:vAlign w:val="center"/>
          </w:tcPr>
          <w:p>
            <w:pPr>
              <w:spacing w:line="240" w:lineRule="auto"/>
              <w:ind w:firstLine="268"/>
              <w:jc w:val="left"/>
              <w:rPr>
                <w:rFonts w:ascii="Times New Roman" w:hAnsi="Times New Roman" w:eastAsiaTheme="minorEastAsia"/>
                <w:color w:val="000000" w:themeColor="text1"/>
                <w:kern w:val="0"/>
                <w:sz w:val="18"/>
                <w:szCs w:val="18"/>
              </w:rPr>
            </w:pPr>
          </w:p>
        </w:tc>
        <w:tc>
          <w:tcPr>
            <w:tcW w:w="1134" w:type="dxa"/>
            <w:vMerge w:val="continue"/>
            <w:tcBorders>
              <w:right w:val="single" w:color="auto" w:sz="4" w:space="0"/>
            </w:tcBorders>
            <w:vAlign w:val="center"/>
          </w:tcPr>
          <w:p>
            <w:pPr>
              <w:spacing w:line="240" w:lineRule="auto"/>
              <w:ind w:firstLine="268"/>
              <w:jc w:val="left"/>
              <w:rPr>
                <w:rFonts w:ascii="Times New Roman" w:hAnsi="Times New Roman" w:eastAsiaTheme="minorEastAsia"/>
                <w:color w:val="000000" w:themeColor="text1"/>
                <w:kern w:val="0"/>
                <w:sz w:val="18"/>
                <w:szCs w:val="18"/>
              </w:rPr>
            </w:pPr>
          </w:p>
        </w:tc>
        <w:tc>
          <w:tcPr>
            <w:tcW w:w="1276" w:type="dxa"/>
            <w:tcBorders>
              <w:left w:val="single" w:color="auto" w:sz="4" w:space="0"/>
            </w:tcBorders>
            <w:vAlign w:val="center"/>
          </w:tcPr>
          <w:p>
            <w:pPr>
              <w:spacing w:line="240" w:lineRule="auto"/>
              <w:ind w:firstLine="0" w:firstLineChars="0"/>
              <w:jc w:val="center"/>
              <w:rPr>
                <w:rFonts w:ascii="Times New Roman" w:hAnsi="Times New Roman" w:eastAsiaTheme="minorEastAsia"/>
                <w:color w:val="000000" w:themeColor="text1"/>
                <w:kern w:val="0"/>
                <w:sz w:val="18"/>
                <w:szCs w:val="18"/>
              </w:rPr>
            </w:pPr>
            <w:r>
              <w:rPr>
                <w:rFonts w:ascii="Times New Roman" w:hAnsiTheme="minorEastAsia" w:eastAsiaTheme="minorEastAsia"/>
                <w:color w:val="000000" w:themeColor="text1"/>
                <w:kern w:val="0"/>
                <w:sz w:val="18"/>
                <w:szCs w:val="18"/>
              </w:rPr>
              <w:t>直接排放量</w:t>
            </w:r>
          </w:p>
          <w:p>
            <w:pPr>
              <w:spacing w:line="240" w:lineRule="auto"/>
              <w:ind w:firstLine="268"/>
              <w:jc w:val="center"/>
              <w:rPr>
                <w:rFonts w:ascii="Times New Roman" w:hAnsi="Times New Roman" w:eastAsiaTheme="minorEastAsia"/>
                <w:color w:val="000000" w:themeColor="text1"/>
                <w:kern w:val="0"/>
                <w:sz w:val="18"/>
                <w:szCs w:val="18"/>
              </w:rPr>
            </w:pPr>
            <w:r>
              <w:rPr>
                <w:rFonts w:ascii="Times New Roman" w:hAnsiTheme="minorEastAsia" w:eastAsiaTheme="minorEastAsia"/>
                <w:color w:val="000000" w:themeColor="text1"/>
                <w:kern w:val="0"/>
                <w:sz w:val="18"/>
                <w:szCs w:val="18"/>
              </w:rPr>
              <w:t>（</w:t>
            </w:r>
            <w:r>
              <w:rPr>
                <w:rFonts w:ascii="Times New Roman" w:hAnsi="Times New Roman" w:eastAsiaTheme="minorEastAsia"/>
                <w:color w:val="000000" w:themeColor="text1"/>
                <w:kern w:val="0"/>
                <w:sz w:val="18"/>
                <w:szCs w:val="18"/>
              </w:rPr>
              <w:t>tCO</w:t>
            </w:r>
            <w:r>
              <w:rPr>
                <w:rFonts w:ascii="Times New Roman" w:hAnsi="Times New Roman" w:eastAsiaTheme="minorEastAsia"/>
                <w:color w:val="000000" w:themeColor="text1"/>
                <w:kern w:val="0"/>
                <w:sz w:val="18"/>
                <w:szCs w:val="18"/>
                <w:vertAlign w:val="subscript"/>
              </w:rPr>
              <w:t>2</w:t>
            </w:r>
            <w:r>
              <w:rPr>
                <w:rFonts w:ascii="Times New Roman" w:hAnsiTheme="minorEastAsia" w:eastAsiaTheme="minorEastAsia"/>
                <w:color w:val="000000" w:themeColor="text1"/>
                <w:kern w:val="0"/>
                <w:sz w:val="18"/>
                <w:szCs w:val="18"/>
              </w:rPr>
              <w:t>）</w:t>
            </w:r>
          </w:p>
        </w:tc>
        <w:tc>
          <w:tcPr>
            <w:tcW w:w="1276" w:type="dxa"/>
            <w:vAlign w:val="center"/>
          </w:tcPr>
          <w:p>
            <w:pPr>
              <w:spacing w:line="240" w:lineRule="auto"/>
              <w:ind w:firstLine="0" w:firstLineChars="0"/>
              <w:jc w:val="center"/>
              <w:rPr>
                <w:rFonts w:ascii="Times New Roman" w:hAnsi="Times New Roman" w:eastAsiaTheme="minorEastAsia"/>
                <w:color w:val="000000" w:themeColor="text1"/>
                <w:kern w:val="0"/>
                <w:sz w:val="18"/>
                <w:szCs w:val="18"/>
              </w:rPr>
            </w:pPr>
            <w:r>
              <w:rPr>
                <w:rFonts w:ascii="Times New Roman" w:hAnsiTheme="minorEastAsia" w:eastAsiaTheme="minorEastAsia"/>
                <w:color w:val="000000" w:themeColor="text1"/>
                <w:kern w:val="0"/>
                <w:sz w:val="18"/>
                <w:szCs w:val="18"/>
              </w:rPr>
              <w:t>间接排放量（</w:t>
            </w:r>
            <w:r>
              <w:rPr>
                <w:rFonts w:ascii="Times New Roman" w:hAnsi="Times New Roman" w:eastAsiaTheme="minorEastAsia"/>
                <w:color w:val="000000" w:themeColor="text1"/>
                <w:kern w:val="0"/>
                <w:sz w:val="18"/>
                <w:szCs w:val="18"/>
              </w:rPr>
              <w:t>tCO</w:t>
            </w:r>
            <w:r>
              <w:rPr>
                <w:rFonts w:ascii="Times New Roman" w:hAnsi="Times New Roman" w:eastAsiaTheme="minorEastAsia"/>
                <w:color w:val="000000" w:themeColor="text1"/>
                <w:kern w:val="0"/>
                <w:sz w:val="18"/>
                <w:szCs w:val="18"/>
                <w:vertAlign w:val="subscript"/>
              </w:rPr>
              <w:t>2</w:t>
            </w:r>
            <w:r>
              <w:rPr>
                <w:rFonts w:ascii="Times New Roman" w:hAnsiTheme="minorEastAsia" w:eastAsiaTheme="minorEastAsia"/>
                <w:color w:val="000000" w:themeColor="text1"/>
                <w:kern w:val="0"/>
                <w:sz w:val="18"/>
                <w:szCs w:val="18"/>
              </w:rPr>
              <w:t>）</w:t>
            </w:r>
          </w:p>
        </w:tc>
        <w:tc>
          <w:tcPr>
            <w:tcW w:w="1043" w:type="dxa"/>
            <w:vAlign w:val="center"/>
          </w:tcPr>
          <w:p>
            <w:pPr>
              <w:spacing w:line="240" w:lineRule="auto"/>
              <w:ind w:firstLine="0" w:firstLineChars="0"/>
              <w:jc w:val="center"/>
              <w:rPr>
                <w:rFonts w:ascii="Times New Roman" w:hAnsi="Times New Roman" w:eastAsiaTheme="minorEastAsia"/>
                <w:color w:val="000000" w:themeColor="text1"/>
                <w:kern w:val="0"/>
                <w:sz w:val="18"/>
                <w:szCs w:val="18"/>
              </w:rPr>
            </w:pPr>
            <w:r>
              <w:rPr>
                <w:rFonts w:ascii="Times New Roman" w:hAnsiTheme="minorEastAsia" w:eastAsiaTheme="minorEastAsia"/>
                <w:color w:val="000000" w:themeColor="text1"/>
                <w:kern w:val="0"/>
                <w:sz w:val="18"/>
                <w:szCs w:val="18"/>
              </w:rPr>
              <w:t>总排放量（</w:t>
            </w:r>
            <w:r>
              <w:rPr>
                <w:rFonts w:ascii="Times New Roman" w:hAnsi="Times New Roman" w:eastAsiaTheme="minorEastAsia"/>
                <w:color w:val="000000" w:themeColor="text1"/>
                <w:kern w:val="0"/>
                <w:sz w:val="18"/>
                <w:szCs w:val="18"/>
              </w:rPr>
              <w:t>tCO</w:t>
            </w:r>
            <w:r>
              <w:rPr>
                <w:rFonts w:ascii="Times New Roman" w:hAnsi="Times New Roman" w:eastAsiaTheme="minorEastAsia"/>
                <w:color w:val="000000" w:themeColor="text1"/>
                <w:kern w:val="0"/>
                <w:sz w:val="18"/>
                <w:szCs w:val="18"/>
                <w:vertAlign w:val="subscript"/>
              </w:rPr>
              <w:t>2</w:t>
            </w:r>
            <w:r>
              <w:rPr>
                <w:rFonts w:ascii="Times New Roman" w:hAnsiTheme="minorEastAsia" w:eastAsiaTheme="minorEastAsia"/>
                <w:color w:val="000000" w:themeColor="text1"/>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restart"/>
            <w:vAlign w:val="center"/>
          </w:tcPr>
          <w:p>
            <w:pPr>
              <w:spacing w:line="240" w:lineRule="auto"/>
              <w:ind w:firstLine="0" w:firstLineChars="0"/>
              <w:rPr>
                <w:rFonts w:ascii="Times New Roman" w:hAnsi="Times New Roman" w:eastAsiaTheme="minorEastAsia"/>
                <w:color w:val="000000" w:themeColor="text1"/>
                <w:kern w:val="0"/>
                <w:sz w:val="18"/>
                <w:szCs w:val="18"/>
              </w:rPr>
            </w:pPr>
            <w:r>
              <w:rPr>
                <w:rFonts w:ascii="Times New Roman" w:hAnsi="Times New Roman" w:eastAsiaTheme="minorEastAsia"/>
                <w:color w:val="000000" w:themeColor="text1"/>
                <w:kern w:val="0"/>
                <w:sz w:val="18"/>
                <w:szCs w:val="18"/>
              </w:rPr>
              <w:t>1</w:t>
            </w:r>
            <w:r>
              <w:rPr>
                <w:rFonts w:ascii="Times New Roman" w:hAnsi="Times New Roman" w:eastAsiaTheme="minorEastAsia"/>
                <w:color w:val="000000" w:themeColor="text1"/>
                <w:kern w:val="0"/>
                <w:sz w:val="18"/>
                <w:szCs w:val="18"/>
                <w:vertAlign w:val="superscript"/>
              </w:rPr>
              <w:t>※</w:t>
            </w:r>
          </w:p>
        </w:tc>
        <w:tc>
          <w:tcPr>
            <w:tcW w:w="825" w:type="dxa"/>
            <w:vMerge w:val="restart"/>
            <w:vAlign w:val="center"/>
          </w:tcPr>
          <w:p>
            <w:pPr>
              <w:spacing w:line="240" w:lineRule="auto"/>
              <w:ind w:firstLine="268"/>
              <w:jc w:val="left"/>
              <w:rPr>
                <w:rFonts w:ascii="Times New Roman" w:hAnsi="Times New Roman" w:eastAsiaTheme="minorEastAsia"/>
                <w:color w:val="000000" w:themeColor="text1"/>
                <w:kern w:val="0"/>
                <w:sz w:val="18"/>
                <w:szCs w:val="18"/>
              </w:rPr>
            </w:pPr>
          </w:p>
        </w:tc>
        <w:tc>
          <w:tcPr>
            <w:tcW w:w="1560" w:type="dxa"/>
            <w:vMerge w:val="restart"/>
            <w:vAlign w:val="center"/>
          </w:tcPr>
          <w:p>
            <w:pPr>
              <w:spacing w:line="240" w:lineRule="auto"/>
              <w:ind w:firstLine="268"/>
              <w:jc w:val="left"/>
              <w:rPr>
                <w:rFonts w:ascii="Times New Roman" w:hAnsi="Times New Roman" w:eastAsiaTheme="minorEastAsia"/>
                <w:color w:val="000000" w:themeColor="text1"/>
                <w:kern w:val="0"/>
                <w:sz w:val="18"/>
                <w:szCs w:val="18"/>
              </w:rPr>
            </w:pPr>
          </w:p>
        </w:tc>
        <w:tc>
          <w:tcPr>
            <w:tcW w:w="825" w:type="dxa"/>
            <w:vMerge w:val="restart"/>
            <w:vAlign w:val="center"/>
          </w:tcPr>
          <w:p>
            <w:pPr>
              <w:spacing w:line="240" w:lineRule="auto"/>
              <w:ind w:firstLine="268"/>
              <w:jc w:val="left"/>
              <w:rPr>
                <w:rFonts w:ascii="Times New Roman" w:hAnsi="Times New Roman" w:eastAsiaTheme="minorEastAsia"/>
                <w:color w:val="000000" w:themeColor="text1"/>
                <w:kern w:val="0"/>
                <w:sz w:val="18"/>
                <w:szCs w:val="18"/>
              </w:rPr>
            </w:pPr>
          </w:p>
        </w:tc>
        <w:tc>
          <w:tcPr>
            <w:tcW w:w="1159" w:type="dxa"/>
            <w:vMerge w:val="restart"/>
          </w:tcPr>
          <w:p>
            <w:pPr>
              <w:spacing w:line="240" w:lineRule="auto"/>
              <w:ind w:firstLine="268"/>
              <w:jc w:val="left"/>
              <w:rPr>
                <w:rFonts w:ascii="Times New Roman" w:hAnsi="Times New Roman" w:eastAsiaTheme="minorEastAsia"/>
                <w:color w:val="000000" w:themeColor="text1"/>
                <w:kern w:val="0"/>
                <w:sz w:val="18"/>
                <w:szCs w:val="18"/>
              </w:rPr>
            </w:pPr>
          </w:p>
        </w:tc>
        <w:tc>
          <w:tcPr>
            <w:tcW w:w="1134" w:type="dxa"/>
            <w:tcBorders>
              <w:right w:val="single" w:color="auto" w:sz="4" w:space="0"/>
            </w:tcBorders>
          </w:tcPr>
          <w:p>
            <w:pPr>
              <w:spacing w:line="240" w:lineRule="auto"/>
              <w:ind w:firstLine="268"/>
              <w:jc w:val="left"/>
              <w:rPr>
                <w:rFonts w:ascii="Times New Roman" w:hAnsi="Times New Roman" w:eastAsiaTheme="minorEastAsia"/>
                <w:color w:val="000000" w:themeColor="text1"/>
                <w:kern w:val="0"/>
                <w:sz w:val="18"/>
                <w:szCs w:val="18"/>
              </w:rPr>
            </w:pPr>
            <w:r>
              <w:rPr>
                <w:rFonts w:ascii="Times New Roman" w:hAnsi="Times New Roman" w:eastAsiaTheme="minorEastAsia"/>
                <w:color w:val="000000" w:themeColor="text1"/>
                <w:kern w:val="0"/>
                <w:sz w:val="18"/>
                <w:szCs w:val="18"/>
              </w:rPr>
              <w:t>2016</w:t>
            </w:r>
            <w:r>
              <w:rPr>
                <w:rFonts w:ascii="Times New Roman" w:hAnsiTheme="minorEastAsia" w:eastAsiaTheme="minorEastAsia"/>
                <w:color w:val="000000" w:themeColor="text1"/>
                <w:kern w:val="0"/>
                <w:sz w:val="18"/>
                <w:szCs w:val="18"/>
              </w:rPr>
              <w:t>年</w:t>
            </w:r>
          </w:p>
        </w:tc>
        <w:tc>
          <w:tcPr>
            <w:tcW w:w="1276" w:type="dxa"/>
            <w:tcBorders>
              <w:left w:val="single" w:color="auto" w:sz="4" w:space="0"/>
            </w:tcBorders>
          </w:tcPr>
          <w:p>
            <w:pPr>
              <w:spacing w:line="240" w:lineRule="auto"/>
              <w:ind w:firstLine="268"/>
              <w:jc w:val="center"/>
              <w:rPr>
                <w:rFonts w:ascii="Times New Roman" w:hAnsi="Times New Roman" w:eastAsiaTheme="minorEastAsia"/>
                <w:color w:val="000000" w:themeColor="text1"/>
                <w:kern w:val="0"/>
                <w:sz w:val="18"/>
                <w:szCs w:val="18"/>
              </w:rPr>
            </w:pPr>
          </w:p>
        </w:tc>
        <w:tc>
          <w:tcPr>
            <w:tcW w:w="1276" w:type="dxa"/>
          </w:tcPr>
          <w:p>
            <w:pPr>
              <w:spacing w:line="240" w:lineRule="auto"/>
              <w:ind w:firstLine="268"/>
              <w:jc w:val="center"/>
              <w:rPr>
                <w:rFonts w:ascii="Times New Roman" w:hAnsi="Times New Roman" w:eastAsiaTheme="minorEastAsia"/>
                <w:color w:val="000000" w:themeColor="text1"/>
                <w:kern w:val="0"/>
                <w:sz w:val="18"/>
                <w:szCs w:val="18"/>
              </w:rPr>
            </w:pPr>
          </w:p>
        </w:tc>
        <w:tc>
          <w:tcPr>
            <w:tcW w:w="1043" w:type="dxa"/>
          </w:tcPr>
          <w:p>
            <w:pPr>
              <w:spacing w:line="240" w:lineRule="auto"/>
              <w:ind w:firstLine="268"/>
              <w:jc w:val="center"/>
              <w:rPr>
                <w:rFonts w:ascii="Times New Roman" w:hAnsi="Times New Roman" w:eastAsiaTheme="minorEastAsia"/>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spacing w:line="240" w:lineRule="auto"/>
              <w:ind w:firstLine="268"/>
              <w:rPr>
                <w:rFonts w:ascii="Times New Roman" w:hAnsi="Times New Roman" w:eastAsiaTheme="minorEastAsia"/>
                <w:color w:val="000000" w:themeColor="text1"/>
                <w:kern w:val="0"/>
                <w:sz w:val="18"/>
                <w:szCs w:val="18"/>
              </w:rPr>
            </w:pPr>
          </w:p>
        </w:tc>
        <w:tc>
          <w:tcPr>
            <w:tcW w:w="825"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560"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825"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159"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134" w:type="dxa"/>
            <w:tcBorders>
              <w:right w:val="single" w:color="auto" w:sz="4" w:space="0"/>
            </w:tcBorders>
          </w:tcPr>
          <w:p>
            <w:pPr>
              <w:spacing w:line="240" w:lineRule="auto"/>
              <w:ind w:firstLine="268"/>
              <w:jc w:val="left"/>
              <w:rPr>
                <w:rFonts w:ascii="Times New Roman" w:hAnsi="Times New Roman" w:eastAsiaTheme="minorEastAsia"/>
                <w:color w:val="000000" w:themeColor="text1"/>
                <w:kern w:val="0"/>
                <w:sz w:val="18"/>
                <w:szCs w:val="18"/>
              </w:rPr>
            </w:pPr>
            <w:r>
              <w:rPr>
                <w:rFonts w:ascii="Times New Roman" w:hAnsi="Times New Roman" w:eastAsiaTheme="minorEastAsia"/>
                <w:color w:val="000000" w:themeColor="text1"/>
                <w:kern w:val="0"/>
                <w:sz w:val="18"/>
                <w:szCs w:val="18"/>
              </w:rPr>
              <w:t>2017</w:t>
            </w:r>
            <w:r>
              <w:rPr>
                <w:rFonts w:ascii="Times New Roman" w:hAnsiTheme="minorEastAsia" w:eastAsiaTheme="minorEastAsia"/>
                <w:color w:val="000000" w:themeColor="text1"/>
                <w:kern w:val="0"/>
                <w:sz w:val="18"/>
                <w:szCs w:val="18"/>
              </w:rPr>
              <w:t>年</w:t>
            </w:r>
          </w:p>
        </w:tc>
        <w:tc>
          <w:tcPr>
            <w:tcW w:w="1276" w:type="dxa"/>
            <w:tcBorders>
              <w:left w:val="single" w:color="auto" w:sz="4" w:space="0"/>
            </w:tcBorders>
          </w:tcPr>
          <w:p>
            <w:pPr>
              <w:spacing w:line="240" w:lineRule="auto"/>
              <w:ind w:firstLine="268"/>
              <w:jc w:val="center"/>
              <w:rPr>
                <w:rFonts w:ascii="Times New Roman" w:hAnsi="Times New Roman" w:eastAsiaTheme="minorEastAsia"/>
                <w:color w:val="000000" w:themeColor="text1"/>
                <w:kern w:val="0"/>
                <w:sz w:val="18"/>
                <w:szCs w:val="18"/>
              </w:rPr>
            </w:pPr>
          </w:p>
        </w:tc>
        <w:tc>
          <w:tcPr>
            <w:tcW w:w="1276" w:type="dxa"/>
          </w:tcPr>
          <w:p>
            <w:pPr>
              <w:spacing w:line="240" w:lineRule="auto"/>
              <w:ind w:firstLine="268"/>
              <w:jc w:val="center"/>
              <w:rPr>
                <w:rFonts w:ascii="Times New Roman" w:hAnsi="Times New Roman" w:eastAsiaTheme="minorEastAsia"/>
                <w:color w:val="000000" w:themeColor="text1"/>
                <w:kern w:val="0"/>
                <w:sz w:val="18"/>
                <w:szCs w:val="18"/>
              </w:rPr>
            </w:pPr>
          </w:p>
        </w:tc>
        <w:tc>
          <w:tcPr>
            <w:tcW w:w="1043" w:type="dxa"/>
          </w:tcPr>
          <w:p>
            <w:pPr>
              <w:spacing w:line="240" w:lineRule="auto"/>
              <w:ind w:firstLine="268"/>
              <w:jc w:val="center"/>
              <w:rPr>
                <w:rFonts w:ascii="Times New Roman" w:hAnsi="Times New Roman" w:eastAsiaTheme="minorEastAsia"/>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spacing w:line="240" w:lineRule="auto"/>
              <w:ind w:firstLine="268"/>
              <w:rPr>
                <w:rFonts w:ascii="Times New Roman" w:hAnsi="Times New Roman" w:eastAsiaTheme="minorEastAsia"/>
                <w:color w:val="000000" w:themeColor="text1"/>
                <w:kern w:val="0"/>
                <w:sz w:val="18"/>
                <w:szCs w:val="18"/>
              </w:rPr>
            </w:pPr>
          </w:p>
        </w:tc>
        <w:tc>
          <w:tcPr>
            <w:tcW w:w="825"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560"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825"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159"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134" w:type="dxa"/>
            <w:tcBorders>
              <w:right w:val="single" w:color="auto" w:sz="4" w:space="0"/>
            </w:tcBorders>
          </w:tcPr>
          <w:p>
            <w:pPr>
              <w:spacing w:line="240" w:lineRule="auto"/>
              <w:ind w:firstLine="268"/>
              <w:jc w:val="left"/>
              <w:rPr>
                <w:rFonts w:ascii="Times New Roman" w:hAnsi="Times New Roman" w:eastAsiaTheme="minorEastAsia"/>
                <w:color w:val="000000" w:themeColor="text1"/>
                <w:kern w:val="0"/>
                <w:sz w:val="18"/>
                <w:szCs w:val="18"/>
              </w:rPr>
            </w:pPr>
            <w:r>
              <w:rPr>
                <w:rFonts w:ascii="Times New Roman" w:hAnsi="Times New Roman" w:eastAsiaTheme="minorEastAsia"/>
                <w:color w:val="000000" w:themeColor="text1"/>
                <w:kern w:val="0"/>
                <w:sz w:val="18"/>
                <w:szCs w:val="18"/>
              </w:rPr>
              <w:t>2018</w:t>
            </w:r>
            <w:r>
              <w:rPr>
                <w:rFonts w:ascii="Times New Roman" w:hAnsiTheme="minorEastAsia" w:eastAsiaTheme="minorEastAsia"/>
                <w:color w:val="000000" w:themeColor="text1"/>
                <w:kern w:val="0"/>
                <w:sz w:val="18"/>
                <w:szCs w:val="18"/>
              </w:rPr>
              <w:t>年</w:t>
            </w:r>
          </w:p>
        </w:tc>
        <w:tc>
          <w:tcPr>
            <w:tcW w:w="1276" w:type="dxa"/>
            <w:tcBorders>
              <w:left w:val="single" w:color="auto" w:sz="4" w:space="0"/>
            </w:tcBorders>
          </w:tcPr>
          <w:p>
            <w:pPr>
              <w:spacing w:line="240" w:lineRule="auto"/>
              <w:ind w:firstLine="268"/>
              <w:jc w:val="center"/>
              <w:rPr>
                <w:rFonts w:ascii="Times New Roman" w:hAnsi="Times New Roman" w:eastAsiaTheme="minorEastAsia"/>
                <w:color w:val="000000" w:themeColor="text1"/>
                <w:kern w:val="0"/>
                <w:sz w:val="18"/>
                <w:szCs w:val="18"/>
              </w:rPr>
            </w:pPr>
          </w:p>
        </w:tc>
        <w:tc>
          <w:tcPr>
            <w:tcW w:w="1276" w:type="dxa"/>
          </w:tcPr>
          <w:p>
            <w:pPr>
              <w:spacing w:line="240" w:lineRule="auto"/>
              <w:ind w:firstLine="268"/>
              <w:jc w:val="center"/>
              <w:rPr>
                <w:rFonts w:ascii="Times New Roman" w:hAnsi="Times New Roman" w:eastAsiaTheme="minorEastAsia"/>
                <w:color w:val="000000" w:themeColor="text1"/>
                <w:kern w:val="0"/>
                <w:sz w:val="18"/>
                <w:szCs w:val="18"/>
              </w:rPr>
            </w:pPr>
          </w:p>
        </w:tc>
        <w:tc>
          <w:tcPr>
            <w:tcW w:w="1043" w:type="dxa"/>
          </w:tcPr>
          <w:p>
            <w:pPr>
              <w:spacing w:line="240" w:lineRule="auto"/>
              <w:ind w:firstLine="268"/>
              <w:jc w:val="center"/>
              <w:rPr>
                <w:rFonts w:ascii="Times New Roman" w:hAnsi="Times New Roman" w:eastAsiaTheme="minorEastAsia"/>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restart"/>
            <w:vAlign w:val="center"/>
          </w:tcPr>
          <w:p>
            <w:pPr>
              <w:spacing w:line="240" w:lineRule="auto"/>
              <w:ind w:firstLine="0" w:firstLineChars="0"/>
              <w:rPr>
                <w:rFonts w:ascii="Times New Roman" w:hAnsi="Times New Roman" w:eastAsiaTheme="minorEastAsia"/>
                <w:color w:val="000000" w:themeColor="text1"/>
                <w:kern w:val="0"/>
                <w:sz w:val="18"/>
                <w:szCs w:val="18"/>
              </w:rPr>
            </w:pPr>
            <w:r>
              <w:rPr>
                <w:rFonts w:ascii="Times New Roman" w:hAnsi="Times New Roman" w:eastAsiaTheme="minorEastAsia"/>
                <w:color w:val="000000" w:themeColor="text1"/>
                <w:kern w:val="0"/>
                <w:sz w:val="18"/>
                <w:szCs w:val="18"/>
              </w:rPr>
              <w:t>2</w:t>
            </w:r>
          </w:p>
        </w:tc>
        <w:tc>
          <w:tcPr>
            <w:tcW w:w="825" w:type="dxa"/>
            <w:vMerge w:val="restart"/>
            <w:vAlign w:val="center"/>
          </w:tcPr>
          <w:p>
            <w:pPr>
              <w:spacing w:line="240" w:lineRule="auto"/>
              <w:ind w:firstLine="268"/>
              <w:jc w:val="left"/>
              <w:rPr>
                <w:rFonts w:ascii="Times New Roman" w:hAnsi="Times New Roman" w:eastAsiaTheme="minorEastAsia"/>
                <w:color w:val="000000" w:themeColor="text1"/>
                <w:kern w:val="0"/>
                <w:sz w:val="18"/>
                <w:szCs w:val="18"/>
              </w:rPr>
            </w:pPr>
          </w:p>
        </w:tc>
        <w:tc>
          <w:tcPr>
            <w:tcW w:w="1560" w:type="dxa"/>
            <w:vMerge w:val="restart"/>
            <w:vAlign w:val="center"/>
          </w:tcPr>
          <w:p>
            <w:pPr>
              <w:spacing w:line="240" w:lineRule="auto"/>
              <w:ind w:firstLine="268"/>
              <w:jc w:val="left"/>
              <w:rPr>
                <w:rFonts w:ascii="Times New Roman" w:hAnsi="Times New Roman" w:eastAsiaTheme="minorEastAsia"/>
                <w:color w:val="000000" w:themeColor="text1"/>
                <w:kern w:val="0"/>
                <w:sz w:val="18"/>
                <w:szCs w:val="18"/>
              </w:rPr>
            </w:pPr>
          </w:p>
        </w:tc>
        <w:tc>
          <w:tcPr>
            <w:tcW w:w="825" w:type="dxa"/>
            <w:vMerge w:val="restart"/>
            <w:vAlign w:val="center"/>
          </w:tcPr>
          <w:p>
            <w:pPr>
              <w:spacing w:line="240" w:lineRule="auto"/>
              <w:ind w:firstLine="268"/>
              <w:jc w:val="left"/>
              <w:rPr>
                <w:rFonts w:ascii="Times New Roman" w:hAnsi="Times New Roman" w:eastAsiaTheme="minorEastAsia"/>
                <w:color w:val="000000" w:themeColor="text1"/>
                <w:kern w:val="0"/>
                <w:sz w:val="18"/>
                <w:szCs w:val="18"/>
              </w:rPr>
            </w:pPr>
          </w:p>
        </w:tc>
        <w:tc>
          <w:tcPr>
            <w:tcW w:w="1159" w:type="dxa"/>
            <w:vMerge w:val="restart"/>
          </w:tcPr>
          <w:p>
            <w:pPr>
              <w:spacing w:line="240" w:lineRule="auto"/>
              <w:ind w:firstLine="268"/>
              <w:jc w:val="left"/>
              <w:rPr>
                <w:rFonts w:ascii="Times New Roman" w:hAnsi="Times New Roman" w:eastAsiaTheme="minorEastAsia"/>
                <w:color w:val="000000" w:themeColor="text1"/>
                <w:kern w:val="0"/>
                <w:sz w:val="18"/>
                <w:szCs w:val="18"/>
              </w:rPr>
            </w:pPr>
          </w:p>
        </w:tc>
        <w:tc>
          <w:tcPr>
            <w:tcW w:w="1134" w:type="dxa"/>
            <w:tcBorders>
              <w:right w:val="single" w:color="auto" w:sz="4" w:space="0"/>
            </w:tcBorders>
          </w:tcPr>
          <w:p>
            <w:pPr>
              <w:spacing w:line="240" w:lineRule="auto"/>
              <w:ind w:firstLine="268"/>
              <w:jc w:val="left"/>
              <w:rPr>
                <w:rFonts w:ascii="Times New Roman" w:hAnsi="Times New Roman" w:eastAsiaTheme="minorEastAsia"/>
                <w:color w:val="000000" w:themeColor="text1"/>
                <w:kern w:val="0"/>
                <w:sz w:val="18"/>
                <w:szCs w:val="18"/>
              </w:rPr>
            </w:pPr>
            <w:r>
              <w:rPr>
                <w:rFonts w:ascii="Times New Roman" w:hAnsi="Times New Roman" w:eastAsiaTheme="minorEastAsia"/>
                <w:color w:val="000000" w:themeColor="text1"/>
                <w:kern w:val="0"/>
                <w:sz w:val="18"/>
                <w:szCs w:val="18"/>
              </w:rPr>
              <w:t>2016</w:t>
            </w:r>
            <w:r>
              <w:rPr>
                <w:rFonts w:ascii="Times New Roman" w:hAnsiTheme="minorEastAsia" w:eastAsiaTheme="minorEastAsia"/>
                <w:color w:val="000000" w:themeColor="text1"/>
                <w:kern w:val="0"/>
                <w:sz w:val="18"/>
                <w:szCs w:val="18"/>
              </w:rPr>
              <w:t>年</w:t>
            </w:r>
          </w:p>
        </w:tc>
        <w:tc>
          <w:tcPr>
            <w:tcW w:w="1276" w:type="dxa"/>
            <w:tcBorders>
              <w:left w:val="single" w:color="auto" w:sz="4" w:space="0"/>
            </w:tcBorders>
          </w:tcPr>
          <w:p>
            <w:pPr>
              <w:spacing w:line="240" w:lineRule="auto"/>
              <w:ind w:firstLine="268"/>
              <w:jc w:val="center"/>
              <w:rPr>
                <w:rFonts w:ascii="Times New Roman" w:hAnsi="Times New Roman" w:eastAsiaTheme="minorEastAsia"/>
                <w:color w:val="000000" w:themeColor="text1"/>
                <w:kern w:val="0"/>
                <w:sz w:val="18"/>
                <w:szCs w:val="18"/>
              </w:rPr>
            </w:pPr>
          </w:p>
        </w:tc>
        <w:tc>
          <w:tcPr>
            <w:tcW w:w="1276" w:type="dxa"/>
          </w:tcPr>
          <w:p>
            <w:pPr>
              <w:spacing w:line="240" w:lineRule="auto"/>
              <w:ind w:firstLine="268"/>
              <w:jc w:val="center"/>
              <w:rPr>
                <w:rFonts w:ascii="Times New Roman" w:hAnsi="Times New Roman" w:eastAsiaTheme="minorEastAsia"/>
                <w:color w:val="000000" w:themeColor="text1"/>
                <w:kern w:val="0"/>
                <w:sz w:val="18"/>
                <w:szCs w:val="18"/>
              </w:rPr>
            </w:pPr>
          </w:p>
        </w:tc>
        <w:tc>
          <w:tcPr>
            <w:tcW w:w="1043" w:type="dxa"/>
          </w:tcPr>
          <w:p>
            <w:pPr>
              <w:spacing w:line="240" w:lineRule="auto"/>
              <w:ind w:firstLine="268"/>
              <w:jc w:val="center"/>
              <w:rPr>
                <w:rFonts w:ascii="Times New Roman" w:hAnsi="Times New Roman" w:eastAsiaTheme="minorEastAsia"/>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spacing w:line="240" w:lineRule="auto"/>
              <w:ind w:firstLine="268"/>
              <w:rPr>
                <w:rFonts w:ascii="Times New Roman" w:hAnsi="Times New Roman" w:eastAsiaTheme="minorEastAsia"/>
                <w:color w:val="000000" w:themeColor="text1"/>
                <w:kern w:val="0"/>
                <w:sz w:val="18"/>
                <w:szCs w:val="18"/>
              </w:rPr>
            </w:pPr>
          </w:p>
        </w:tc>
        <w:tc>
          <w:tcPr>
            <w:tcW w:w="825"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560"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825"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159"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134" w:type="dxa"/>
            <w:tcBorders>
              <w:right w:val="single" w:color="auto" w:sz="4" w:space="0"/>
            </w:tcBorders>
          </w:tcPr>
          <w:p>
            <w:pPr>
              <w:spacing w:line="240" w:lineRule="auto"/>
              <w:ind w:firstLine="268"/>
              <w:jc w:val="left"/>
              <w:rPr>
                <w:rFonts w:ascii="Times New Roman" w:hAnsi="Times New Roman" w:eastAsiaTheme="minorEastAsia"/>
                <w:color w:val="000000" w:themeColor="text1"/>
                <w:kern w:val="0"/>
                <w:sz w:val="18"/>
                <w:szCs w:val="18"/>
              </w:rPr>
            </w:pPr>
            <w:r>
              <w:rPr>
                <w:rFonts w:ascii="Times New Roman" w:hAnsi="Times New Roman" w:eastAsiaTheme="minorEastAsia"/>
                <w:color w:val="000000" w:themeColor="text1"/>
                <w:kern w:val="0"/>
                <w:sz w:val="18"/>
                <w:szCs w:val="18"/>
              </w:rPr>
              <w:t>2017</w:t>
            </w:r>
            <w:r>
              <w:rPr>
                <w:rFonts w:ascii="Times New Roman" w:hAnsiTheme="minorEastAsia" w:eastAsiaTheme="minorEastAsia"/>
                <w:color w:val="000000" w:themeColor="text1"/>
                <w:kern w:val="0"/>
                <w:sz w:val="18"/>
                <w:szCs w:val="18"/>
              </w:rPr>
              <w:t>年</w:t>
            </w:r>
          </w:p>
        </w:tc>
        <w:tc>
          <w:tcPr>
            <w:tcW w:w="1276" w:type="dxa"/>
            <w:tcBorders>
              <w:left w:val="single" w:color="auto" w:sz="4" w:space="0"/>
            </w:tcBorders>
          </w:tcPr>
          <w:p>
            <w:pPr>
              <w:spacing w:line="240" w:lineRule="auto"/>
              <w:ind w:firstLine="268"/>
              <w:jc w:val="center"/>
              <w:rPr>
                <w:rFonts w:ascii="Times New Roman" w:hAnsi="Times New Roman" w:eastAsiaTheme="minorEastAsia"/>
                <w:color w:val="000000" w:themeColor="text1"/>
                <w:kern w:val="0"/>
                <w:sz w:val="18"/>
                <w:szCs w:val="18"/>
              </w:rPr>
            </w:pPr>
          </w:p>
        </w:tc>
        <w:tc>
          <w:tcPr>
            <w:tcW w:w="1276" w:type="dxa"/>
          </w:tcPr>
          <w:p>
            <w:pPr>
              <w:spacing w:line="240" w:lineRule="auto"/>
              <w:ind w:firstLine="268"/>
              <w:jc w:val="center"/>
              <w:rPr>
                <w:rFonts w:ascii="Times New Roman" w:hAnsi="Times New Roman" w:eastAsiaTheme="minorEastAsia"/>
                <w:color w:val="000000" w:themeColor="text1"/>
                <w:kern w:val="0"/>
                <w:sz w:val="18"/>
                <w:szCs w:val="18"/>
              </w:rPr>
            </w:pPr>
          </w:p>
        </w:tc>
        <w:tc>
          <w:tcPr>
            <w:tcW w:w="1043" w:type="dxa"/>
          </w:tcPr>
          <w:p>
            <w:pPr>
              <w:spacing w:line="240" w:lineRule="auto"/>
              <w:ind w:firstLine="268"/>
              <w:jc w:val="center"/>
              <w:rPr>
                <w:rFonts w:ascii="Times New Roman" w:hAnsi="Times New Roman" w:eastAsiaTheme="minorEastAsia"/>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Pr>
          <w:p>
            <w:pPr>
              <w:spacing w:line="240" w:lineRule="auto"/>
              <w:ind w:firstLine="268"/>
              <w:rPr>
                <w:rFonts w:ascii="Times New Roman" w:hAnsi="Times New Roman" w:eastAsiaTheme="minorEastAsia"/>
                <w:color w:val="000000" w:themeColor="text1"/>
                <w:kern w:val="0"/>
                <w:sz w:val="18"/>
                <w:szCs w:val="18"/>
              </w:rPr>
            </w:pPr>
          </w:p>
        </w:tc>
        <w:tc>
          <w:tcPr>
            <w:tcW w:w="825"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560"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825"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159" w:type="dxa"/>
            <w:vMerge w:val="continue"/>
          </w:tcPr>
          <w:p>
            <w:pPr>
              <w:spacing w:line="240" w:lineRule="auto"/>
              <w:ind w:firstLine="268"/>
              <w:jc w:val="left"/>
              <w:rPr>
                <w:rFonts w:ascii="Times New Roman" w:hAnsi="Times New Roman" w:eastAsiaTheme="minorEastAsia"/>
                <w:color w:val="000000" w:themeColor="text1"/>
                <w:kern w:val="0"/>
                <w:sz w:val="18"/>
                <w:szCs w:val="18"/>
              </w:rPr>
            </w:pPr>
          </w:p>
        </w:tc>
        <w:tc>
          <w:tcPr>
            <w:tcW w:w="1134" w:type="dxa"/>
            <w:tcBorders>
              <w:right w:val="single" w:color="auto" w:sz="4" w:space="0"/>
            </w:tcBorders>
          </w:tcPr>
          <w:p>
            <w:pPr>
              <w:spacing w:line="240" w:lineRule="auto"/>
              <w:ind w:firstLine="268"/>
              <w:jc w:val="left"/>
              <w:rPr>
                <w:rFonts w:ascii="Times New Roman" w:hAnsi="Times New Roman" w:eastAsiaTheme="minorEastAsia"/>
                <w:color w:val="000000" w:themeColor="text1"/>
                <w:kern w:val="0"/>
                <w:sz w:val="18"/>
                <w:szCs w:val="18"/>
              </w:rPr>
            </w:pPr>
            <w:r>
              <w:rPr>
                <w:rFonts w:ascii="Times New Roman" w:hAnsi="Times New Roman" w:eastAsiaTheme="minorEastAsia"/>
                <w:color w:val="000000" w:themeColor="text1"/>
                <w:kern w:val="0"/>
                <w:sz w:val="18"/>
                <w:szCs w:val="18"/>
              </w:rPr>
              <w:t>2018</w:t>
            </w:r>
            <w:r>
              <w:rPr>
                <w:rFonts w:ascii="Times New Roman" w:hAnsiTheme="minorEastAsia" w:eastAsiaTheme="minorEastAsia"/>
                <w:color w:val="000000" w:themeColor="text1"/>
                <w:kern w:val="0"/>
                <w:sz w:val="18"/>
                <w:szCs w:val="18"/>
              </w:rPr>
              <w:t>年</w:t>
            </w:r>
          </w:p>
        </w:tc>
        <w:tc>
          <w:tcPr>
            <w:tcW w:w="1276" w:type="dxa"/>
            <w:tcBorders>
              <w:left w:val="single" w:color="auto" w:sz="4" w:space="0"/>
            </w:tcBorders>
          </w:tcPr>
          <w:p>
            <w:pPr>
              <w:spacing w:line="240" w:lineRule="auto"/>
              <w:ind w:firstLine="268"/>
              <w:jc w:val="center"/>
              <w:rPr>
                <w:rFonts w:ascii="Times New Roman" w:hAnsi="Times New Roman" w:eastAsiaTheme="minorEastAsia"/>
                <w:color w:val="000000" w:themeColor="text1"/>
                <w:kern w:val="0"/>
                <w:sz w:val="18"/>
                <w:szCs w:val="18"/>
              </w:rPr>
            </w:pPr>
          </w:p>
        </w:tc>
        <w:tc>
          <w:tcPr>
            <w:tcW w:w="1276" w:type="dxa"/>
          </w:tcPr>
          <w:p>
            <w:pPr>
              <w:spacing w:line="240" w:lineRule="auto"/>
              <w:ind w:firstLine="268"/>
              <w:jc w:val="center"/>
              <w:rPr>
                <w:rFonts w:ascii="Times New Roman" w:hAnsi="Times New Roman" w:eastAsiaTheme="minorEastAsia"/>
                <w:color w:val="000000" w:themeColor="text1"/>
                <w:kern w:val="0"/>
                <w:sz w:val="18"/>
                <w:szCs w:val="18"/>
              </w:rPr>
            </w:pPr>
          </w:p>
        </w:tc>
        <w:tc>
          <w:tcPr>
            <w:tcW w:w="1043" w:type="dxa"/>
          </w:tcPr>
          <w:p>
            <w:pPr>
              <w:spacing w:line="240" w:lineRule="auto"/>
              <w:ind w:firstLine="268"/>
              <w:jc w:val="center"/>
              <w:rPr>
                <w:rFonts w:ascii="Times New Roman" w:hAnsi="Times New Roman" w:eastAsiaTheme="minorEastAsia"/>
                <w:color w:val="000000" w:themeColor="text1"/>
                <w:kern w:val="0"/>
                <w:sz w:val="18"/>
                <w:szCs w:val="18"/>
              </w:rPr>
            </w:pPr>
          </w:p>
        </w:tc>
      </w:tr>
    </w:tbl>
    <w:p>
      <w:pPr>
        <w:ind w:firstLine="268"/>
        <w:rPr>
          <w:color w:val="000000" w:themeColor="text1"/>
          <w:sz w:val="18"/>
          <w:szCs w:val="18"/>
        </w:rPr>
      </w:pPr>
      <w:r>
        <w:rPr>
          <w:rFonts w:hint="eastAsia" w:asciiTheme="minorEastAsia" w:hAnsiTheme="minorEastAsia"/>
          <w:color w:val="000000" w:themeColor="text1"/>
          <w:sz w:val="18"/>
          <w:szCs w:val="18"/>
          <w:vertAlign w:val="superscript"/>
        </w:rPr>
        <w:t>※</w:t>
      </w:r>
      <w:r>
        <w:rPr>
          <w:rFonts w:hint="eastAsia"/>
          <w:color w:val="000000" w:themeColor="text1"/>
          <w:sz w:val="18"/>
          <w:szCs w:val="18"/>
        </w:rPr>
        <w:t>注1：若有多个既有设施退出，请自行添加。</w:t>
      </w:r>
    </w:p>
    <w:p>
      <w:pPr>
        <w:adjustRightInd w:val="0"/>
        <w:snapToGrid w:val="0"/>
        <w:ind w:firstLine="480" w:firstLineChars="200"/>
        <w:rPr>
          <w:rFonts w:ascii="Times New Roman" w:hAnsi="Times New Roman"/>
          <w:szCs w:val="21"/>
        </w:rPr>
      </w:pPr>
      <w:r>
        <w:rPr>
          <w:rFonts w:hint="eastAsia" w:ascii="Times New Roman" w:hAnsi="Times New Roman"/>
          <w:szCs w:val="21"/>
        </w:rPr>
        <w:t>在年度排放报告中，重点碳排放单位应按表HK</w:t>
      </w:r>
      <w:r>
        <w:rPr>
          <w:rFonts w:ascii="Times New Roman" w:hAnsi="Times New Roman"/>
          <w:szCs w:val="21"/>
        </w:rPr>
        <w:t>-6</w:t>
      </w:r>
      <w:r>
        <w:rPr>
          <w:rFonts w:hint="eastAsia" w:ascii="Times New Roman" w:hAnsi="Times New Roman"/>
          <w:szCs w:val="21"/>
        </w:rPr>
        <w:t>的格式填写企业其他生产信息。企业应优先考虑填写供热量的实测值，没有实测能力的企业，可以考虑采用缺省值计算供热量。</w:t>
      </w:r>
    </w:p>
    <w:p>
      <w:pPr>
        <w:adjustRightInd w:val="0"/>
        <w:snapToGrid w:val="0"/>
        <w:spacing w:line="420" w:lineRule="exact"/>
        <w:ind w:firstLine="357" w:firstLineChars="0"/>
        <w:jc w:val="center"/>
        <w:rPr>
          <w:rFonts w:ascii="Times New Roman" w:hAnsi="Times New Roman"/>
          <w:b/>
          <w:sz w:val="21"/>
          <w:szCs w:val="21"/>
        </w:rPr>
      </w:pPr>
      <w:r>
        <w:rPr>
          <w:rFonts w:hint="eastAsia" w:ascii="Times New Roman" w:hAnsi="Times New Roman"/>
          <w:b/>
          <w:sz w:val="21"/>
          <w:szCs w:val="21"/>
        </w:rPr>
        <w:t>表</w:t>
      </w:r>
      <w:r>
        <w:rPr>
          <w:rFonts w:ascii="Times New Roman" w:hAnsi="Times New Roman"/>
          <w:b/>
          <w:sz w:val="21"/>
          <w:szCs w:val="21"/>
        </w:rPr>
        <w:t>HK-6</w:t>
      </w:r>
      <w:r>
        <w:rPr>
          <w:rFonts w:hint="eastAsia" w:ascii="Times New Roman" w:hAnsi="Times New Roman"/>
          <w:b/>
          <w:sz w:val="21"/>
          <w:szCs w:val="21"/>
        </w:rPr>
        <w:t>其他生产信息</w:t>
      </w:r>
    </w:p>
    <w:tbl>
      <w:tblPr>
        <w:tblStyle w:val="27"/>
        <w:tblW w:w="49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64"/>
        <w:gridCol w:w="1005"/>
        <w:gridCol w:w="1004"/>
        <w:gridCol w:w="1976"/>
        <w:gridCol w:w="1564"/>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26" w:type="dxa"/>
            <w:gridSpan w:val="7"/>
            <w:shd w:val="clear" w:color="auto" w:fill="auto"/>
            <w:noWrap/>
            <w:vAlign w:val="bottom"/>
          </w:tcPr>
          <w:p>
            <w:pPr>
              <w:pStyle w:val="55"/>
              <w:snapToGrid w:val="0"/>
              <w:spacing w:line="320" w:lineRule="exact"/>
              <w:ind w:firstLine="269"/>
              <w:jc w:val="left"/>
              <w:rPr>
                <w:rFonts w:ascii="Times New Roman" w:hAnsi="Times New Roman" w:cs="Times New Roman"/>
                <w:b/>
                <w:bCs/>
                <w:color w:val="000000" w:themeColor="text1"/>
                <w:sz w:val="18"/>
                <w:szCs w:val="18"/>
                <w:lang w:eastAsia="zh-CN"/>
              </w:rPr>
            </w:pPr>
            <w:r>
              <w:rPr>
                <w:rFonts w:hint="eastAsia" w:ascii="Times New Roman" w:hAnsi="Times New Roman" w:cs="Times New Roman"/>
                <w:b/>
                <w:bCs/>
                <w:color w:val="000000" w:themeColor="text1"/>
                <w:sz w:val="18"/>
                <w:szCs w:val="18"/>
                <w:lang w:eastAsia="zh-CN"/>
              </w:rPr>
              <w:t>年度生产数据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03" w:type="dxa"/>
            <w:gridSpan w:val="5"/>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r>
              <w:rPr>
                <w:color w:val="000000" w:themeColor="text1"/>
                <w:sz w:val="18"/>
                <w:szCs w:val="18"/>
              </w:rPr>
              <w:t>年产值（万元）</w:t>
            </w:r>
          </w:p>
        </w:tc>
        <w:tc>
          <w:tcPr>
            <w:tcW w:w="3123" w:type="dxa"/>
            <w:gridSpan w:val="2"/>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r>
              <w:rPr>
                <w:rFonts w:hint="eastAsia" w:ascii="Times New Roman" w:hAnsi="Times New Roman" w:cs="Times New Roman"/>
                <w:color w:val="000000" w:themeColor="text1"/>
                <w:sz w:val="18"/>
                <w:szCs w:val="18"/>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237" w:type="dxa"/>
            <w:gridSpan w:val="5"/>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r>
              <w:rPr>
                <w:color w:val="000000" w:themeColor="text1"/>
                <w:sz w:val="18"/>
                <w:szCs w:val="18"/>
                <w:lang w:eastAsia="zh-CN"/>
              </w:rPr>
              <w:t>供热面积（万平方米）</w:t>
            </w:r>
          </w:p>
        </w:tc>
        <w:tc>
          <w:tcPr>
            <w:tcW w:w="3213" w:type="dxa"/>
            <w:gridSpan w:val="2"/>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r>
              <w:rPr>
                <w:rFonts w:hint="eastAsia" w:ascii="Times New Roman" w:hAnsi="Times New Roman" w:cs="Times New Roman"/>
                <w:color w:val="000000" w:themeColor="text1"/>
                <w:sz w:val="18"/>
                <w:szCs w:val="18"/>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237" w:type="dxa"/>
            <w:gridSpan w:val="5"/>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r>
              <w:rPr>
                <w:color w:val="000000" w:themeColor="text1"/>
                <w:sz w:val="18"/>
                <w:szCs w:val="18"/>
              </w:rPr>
              <w:t>供热量（太焦）</w:t>
            </w:r>
          </w:p>
        </w:tc>
        <w:tc>
          <w:tcPr>
            <w:tcW w:w="3213" w:type="dxa"/>
            <w:gridSpan w:val="2"/>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r>
              <w:rPr>
                <w:rFonts w:hint="eastAsia" w:ascii="Times New Roman" w:hAnsi="Times New Roman" w:cs="Times New Roman"/>
                <w:color w:val="000000" w:themeColor="text1"/>
                <w:sz w:val="18"/>
                <w:szCs w:val="18"/>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237" w:type="dxa"/>
            <w:gridSpan w:val="5"/>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r>
              <w:rPr>
                <w:color w:val="000000" w:themeColor="text1"/>
                <w:sz w:val="18"/>
                <w:szCs w:val="18"/>
              </w:rPr>
              <w:t>建筑面积（平方米）</w:t>
            </w:r>
          </w:p>
        </w:tc>
        <w:tc>
          <w:tcPr>
            <w:tcW w:w="3213" w:type="dxa"/>
            <w:gridSpan w:val="2"/>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r>
              <w:rPr>
                <w:rFonts w:hint="eastAsia" w:ascii="Times New Roman" w:hAnsi="Times New Roman" w:cs="Times New Roman"/>
                <w:color w:val="000000" w:themeColor="text1"/>
                <w:sz w:val="18"/>
                <w:szCs w:val="18"/>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237" w:type="dxa"/>
            <w:gridSpan w:val="5"/>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r>
              <w:rPr>
                <w:color w:val="000000" w:themeColor="text1"/>
                <w:sz w:val="18"/>
                <w:szCs w:val="18"/>
                <w:lang w:eastAsia="zh-CN"/>
              </w:rPr>
              <w:t>新增建筑面积（平方米）</w:t>
            </w:r>
          </w:p>
        </w:tc>
        <w:tc>
          <w:tcPr>
            <w:tcW w:w="3213" w:type="dxa"/>
            <w:gridSpan w:val="2"/>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r>
              <w:rPr>
                <w:rFonts w:hint="eastAsia" w:ascii="Times New Roman" w:hAnsi="Times New Roman" w:cs="Times New Roman"/>
                <w:color w:val="000000" w:themeColor="text1"/>
                <w:sz w:val="18"/>
                <w:szCs w:val="18"/>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103" w:type="dxa"/>
            <w:gridSpan w:val="5"/>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r>
              <w:rPr>
                <w:color w:val="000000" w:themeColor="text1"/>
                <w:sz w:val="18"/>
                <w:szCs w:val="18"/>
                <w:lang w:eastAsia="zh-CN"/>
              </w:rPr>
              <w:t>新增供热面积（平方米）</w:t>
            </w:r>
          </w:p>
        </w:tc>
        <w:tc>
          <w:tcPr>
            <w:tcW w:w="3123" w:type="dxa"/>
            <w:gridSpan w:val="2"/>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r>
              <w:rPr>
                <w:rFonts w:hint="eastAsia" w:ascii="Times New Roman" w:hAnsi="Times New Roman" w:cs="Times New Roman"/>
                <w:color w:val="000000" w:themeColor="text1"/>
                <w:sz w:val="18"/>
                <w:szCs w:val="18"/>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103" w:type="dxa"/>
            <w:gridSpan w:val="5"/>
            <w:shd w:val="clear" w:color="auto" w:fill="auto"/>
            <w:noWrap/>
            <w:vAlign w:val="bottom"/>
          </w:tcPr>
          <w:p>
            <w:pPr>
              <w:pStyle w:val="55"/>
              <w:snapToGrid w:val="0"/>
              <w:spacing w:line="320" w:lineRule="exact"/>
              <w:ind w:firstLine="268"/>
              <w:jc w:val="left"/>
              <w:rPr>
                <w:color w:val="000000" w:themeColor="text1"/>
                <w:sz w:val="18"/>
                <w:szCs w:val="18"/>
                <w:lang w:eastAsia="zh-CN"/>
              </w:rPr>
            </w:pPr>
            <w:r>
              <w:rPr>
                <w:color w:val="000000" w:themeColor="text1"/>
                <w:sz w:val="18"/>
                <w:szCs w:val="18"/>
                <w:lang w:eastAsia="zh-CN"/>
              </w:rPr>
              <w:t>向新增建筑供热量（太焦）</w:t>
            </w:r>
          </w:p>
        </w:tc>
        <w:tc>
          <w:tcPr>
            <w:tcW w:w="3123" w:type="dxa"/>
            <w:gridSpan w:val="2"/>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103" w:type="dxa"/>
            <w:gridSpan w:val="5"/>
            <w:shd w:val="clear" w:color="auto" w:fill="auto"/>
            <w:noWrap/>
            <w:vAlign w:val="bottom"/>
          </w:tcPr>
          <w:p>
            <w:pPr>
              <w:pStyle w:val="55"/>
              <w:snapToGrid w:val="0"/>
              <w:spacing w:line="320" w:lineRule="exact"/>
              <w:ind w:firstLine="268"/>
              <w:jc w:val="left"/>
              <w:rPr>
                <w:color w:val="000000" w:themeColor="text1"/>
                <w:sz w:val="18"/>
                <w:szCs w:val="18"/>
                <w:lang w:eastAsia="zh-CN"/>
              </w:rPr>
            </w:pPr>
            <w:r>
              <w:rPr>
                <w:color w:val="000000" w:themeColor="text1"/>
                <w:sz w:val="18"/>
                <w:szCs w:val="18"/>
                <w:lang w:eastAsia="zh-CN"/>
              </w:rPr>
              <w:t>企业京内消费的外购热力（GJ）</w:t>
            </w:r>
          </w:p>
        </w:tc>
        <w:tc>
          <w:tcPr>
            <w:tcW w:w="3123" w:type="dxa"/>
            <w:gridSpan w:val="2"/>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5103" w:type="dxa"/>
            <w:gridSpan w:val="5"/>
            <w:shd w:val="clear" w:color="auto" w:fill="auto"/>
            <w:noWrap/>
            <w:vAlign w:val="bottom"/>
          </w:tcPr>
          <w:p>
            <w:pPr>
              <w:pStyle w:val="55"/>
              <w:snapToGrid w:val="0"/>
              <w:spacing w:line="320" w:lineRule="exact"/>
              <w:ind w:firstLine="268"/>
              <w:jc w:val="left"/>
              <w:rPr>
                <w:color w:val="000000" w:themeColor="text1"/>
                <w:sz w:val="18"/>
                <w:szCs w:val="18"/>
                <w:lang w:eastAsia="zh-CN"/>
              </w:rPr>
            </w:pPr>
            <w:r>
              <w:rPr>
                <w:color w:val="000000" w:themeColor="text1"/>
                <w:sz w:val="18"/>
                <w:szCs w:val="18"/>
                <w:lang w:eastAsia="zh-CN"/>
              </w:rPr>
              <w:t>企业的京内发电量（kWh）</w:t>
            </w:r>
          </w:p>
        </w:tc>
        <w:tc>
          <w:tcPr>
            <w:tcW w:w="3123" w:type="dxa"/>
            <w:gridSpan w:val="2"/>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03" w:type="dxa"/>
            <w:gridSpan w:val="5"/>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r>
              <w:rPr>
                <w:rFonts w:hint="eastAsia" w:ascii="Times New Roman" w:hAnsi="Times New Roman" w:cs="Times New Roman"/>
                <w:color w:val="000000" w:themeColor="text1"/>
                <w:sz w:val="18"/>
                <w:szCs w:val="18"/>
                <w:lang w:eastAsia="zh-CN"/>
              </w:rPr>
              <w:t>国民经济行业分类代码（四位）</w:t>
            </w:r>
          </w:p>
        </w:tc>
        <w:tc>
          <w:tcPr>
            <w:tcW w:w="3123" w:type="dxa"/>
            <w:gridSpan w:val="2"/>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r>
              <w:rPr>
                <w:rFonts w:hint="eastAsia" w:ascii="Times New Roman" w:hAnsi="Times New Roman" w:cs="Times New Roman"/>
                <w:color w:val="000000" w:themeColor="text1"/>
                <w:sz w:val="18"/>
                <w:szCs w:val="18"/>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04" w:type="dxa"/>
            <w:gridSpan w:val="5"/>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r>
              <w:rPr>
                <w:color w:val="000000" w:themeColor="text1"/>
                <w:sz w:val="18"/>
                <w:szCs w:val="18"/>
              </w:rPr>
              <w:t>主要服务名称</w:t>
            </w:r>
          </w:p>
        </w:tc>
        <w:tc>
          <w:tcPr>
            <w:tcW w:w="3122" w:type="dxa"/>
            <w:gridSpan w:val="2"/>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03" w:type="dxa"/>
            <w:gridSpan w:val="5"/>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r>
              <w:rPr>
                <w:color w:val="000000" w:themeColor="text1"/>
                <w:sz w:val="18"/>
                <w:szCs w:val="18"/>
              </w:rPr>
              <w:t>主要服务服务量</w:t>
            </w:r>
          </w:p>
        </w:tc>
        <w:tc>
          <w:tcPr>
            <w:tcW w:w="3123" w:type="dxa"/>
            <w:gridSpan w:val="2"/>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03" w:type="dxa"/>
            <w:gridSpan w:val="5"/>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r>
              <w:rPr>
                <w:color w:val="000000" w:themeColor="text1"/>
                <w:sz w:val="18"/>
                <w:szCs w:val="18"/>
              </w:rPr>
              <w:t>主要服务服务量单位</w:t>
            </w:r>
          </w:p>
        </w:tc>
        <w:tc>
          <w:tcPr>
            <w:tcW w:w="3123" w:type="dxa"/>
            <w:gridSpan w:val="2"/>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03" w:type="dxa"/>
            <w:gridSpan w:val="5"/>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r>
              <w:rPr>
                <w:color w:val="000000" w:themeColor="text1"/>
                <w:sz w:val="18"/>
                <w:szCs w:val="18"/>
                <w:lang w:eastAsia="zh-CN"/>
              </w:rPr>
              <w:t>主要服务业务量（万元）</w:t>
            </w:r>
          </w:p>
        </w:tc>
        <w:tc>
          <w:tcPr>
            <w:tcW w:w="3123" w:type="dxa"/>
            <w:gridSpan w:val="2"/>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103" w:type="dxa"/>
            <w:gridSpan w:val="5"/>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r>
              <w:rPr>
                <w:color w:val="000000" w:themeColor="text1"/>
                <w:sz w:val="18"/>
                <w:szCs w:val="18"/>
              </w:rPr>
              <w:t>主要服务新增服务量</w:t>
            </w:r>
          </w:p>
        </w:tc>
        <w:tc>
          <w:tcPr>
            <w:tcW w:w="3123" w:type="dxa"/>
            <w:gridSpan w:val="2"/>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03" w:type="dxa"/>
            <w:gridSpan w:val="5"/>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r>
              <w:rPr>
                <w:color w:val="000000" w:themeColor="text1"/>
                <w:sz w:val="18"/>
                <w:szCs w:val="18"/>
                <w:lang w:eastAsia="zh-CN"/>
              </w:rPr>
              <w:t>主要服务新增业务量（万元）</w:t>
            </w:r>
          </w:p>
        </w:tc>
        <w:tc>
          <w:tcPr>
            <w:tcW w:w="3123" w:type="dxa"/>
            <w:gridSpan w:val="2"/>
            <w:shd w:val="clear" w:color="auto" w:fill="auto"/>
            <w:noWrap/>
            <w:vAlign w:val="bottom"/>
          </w:tcPr>
          <w:p>
            <w:pPr>
              <w:pStyle w:val="55"/>
              <w:snapToGrid w:val="0"/>
              <w:spacing w:line="320" w:lineRule="exact"/>
              <w:ind w:firstLine="268"/>
              <w:jc w:val="left"/>
              <w:rPr>
                <w:rFonts w:ascii="Times New Roman" w:hAnsi="Times New Roman" w:cs="Times New Roman"/>
                <w:color w:val="000000" w:themeColor="text1"/>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226" w:type="dxa"/>
            <w:gridSpan w:val="7"/>
            <w:shd w:val="clear" w:color="auto" w:fill="auto"/>
            <w:noWrap/>
            <w:vAlign w:val="bottom"/>
          </w:tcPr>
          <w:p>
            <w:pPr>
              <w:pStyle w:val="55"/>
              <w:snapToGrid w:val="0"/>
              <w:spacing w:line="320" w:lineRule="exact"/>
              <w:ind w:firstLine="269"/>
              <w:jc w:val="left"/>
              <w:rPr>
                <w:rFonts w:ascii="Times New Roman" w:hAnsi="Times New Roman" w:cs="Times New Roman"/>
                <w:color w:val="000000" w:themeColor="text1"/>
                <w:sz w:val="18"/>
                <w:szCs w:val="18"/>
                <w:lang w:eastAsia="zh-CN"/>
              </w:rPr>
            </w:pPr>
            <w:r>
              <w:rPr>
                <w:b/>
                <w:bCs/>
                <w:color w:val="000000" w:themeColor="text1"/>
                <w:sz w:val="18"/>
                <w:szCs w:val="18"/>
                <w:lang w:eastAsia="zh-CN"/>
              </w:rPr>
              <w:t>计划生产数据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77" w:type="dxa"/>
            <w:shd w:val="clear" w:color="auto" w:fill="auto"/>
            <w:noWrap/>
            <w:vAlign w:val="center"/>
          </w:tcPr>
          <w:p>
            <w:pPr>
              <w:pStyle w:val="55"/>
              <w:snapToGrid w:val="0"/>
              <w:spacing w:line="320" w:lineRule="exact"/>
              <w:rPr>
                <w:color w:val="000000" w:themeColor="text1"/>
                <w:sz w:val="18"/>
                <w:szCs w:val="18"/>
                <w:lang w:eastAsia="zh-CN"/>
              </w:rPr>
            </w:pPr>
            <w:r>
              <w:rPr>
                <w:color w:val="000000" w:themeColor="text1"/>
                <w:sz w:val="18"/>
                <w:szCs w:val="18"/>
              </w:rPr>
              <w:t>年度</w:t>
            </w:r>
          </w:p>
        </w:tc>
        <w:tc>
          <w:tcPr>
            <w:tcW w:w="813" w:type="dxa"/>
            <w:shd w:val="clear" w:color="auto" w:fill="auto"/>
            <w:vAlign w:val="center"/>
          </w:tcPr>
          <w:p>
            <w:pPr>
              <w:pStyle w:val="55"/>
              <w:snapToGrid w:val="0"/>
              <w:spacing w:line="320" w:lineRule="exact"/>
              <w:rPr>
                <w:color w:val="000000" w:themeColor="text1"/>
                <w:sz w:val="18"/>
                <w:szCs w:val="18"/>
                <w:lang w:eastAsia="zh-CN"/>
              </w:rPr>
            </w:pPr>
            <w:r>
              <w:rPr>
                <w:color w:val="000000" w:themeColor="text1"/>
                <w:sz w:val="18"/>
                <w:szCs w:val="18"/>
              </w:rPr>
              <w:t>预期年产值</w:t>
            </w:r>
          </w:p>
        </w:tc>
        <w:tc>
          <w:tcPr>
            <w:tcW w:w="945" w:type="dxa"/>
            <w:shd w:val="clear" w:color="auto" w:fill="auto"/>
            <w:vAlign w:val="center"/>
          </w:tcPr>
          <w:p>
            <w:pPr>
              <w:pStyle w:val="55"/>
              <w:snapToGrid w:val="0"/>
              <w:spacing w:line="320" w:lineRule="exact"/>
              <w:rPr>
                <w:color w:val="000000" w:themeColor="text1"/>
                <w:sz w:val="18"/>
                <w:szCs w:val="18"/>
                <w:lang w:eastAsia="zh-CN"/>
              </w:rPr>
            </w:pPr>
            <w:r>
              <w:rPr>
                <w:color w:val="000000" w:themeColor="text1"/>
                <w:sz w:val="18"/>
                <w:szCs w:val="18"/>
              </w:rPr>
              <w:t>新增建筑面积</w:t>
            </w:r>
          </w:p>
        </w:tc>
        <w:tc>
          <w:tcPr>
            <w:tcW w:w="944" w:type="dxa"/>
            <w:shd w:val="clear" w:color="auto" w:fill="auto"/>
            <w:vAlign w:val="center"/>
          </w:tcPr>
          <w:p>
            <w:pPr>
              <w:pStyle w:val="55"/>
              <w:snapToGrid w:val="0"/>
              <w:spacing w:line="320" w:lineRule="exact"/>
              <w:rPr>
                <w:color w:val="000000" w:themeColor="text1"/>
                <w:sz w:val="18"/>
                <w:szCs w:val="18"/>
                <w:lang w:eastAsia="zh-CN"/>
              </w:rPr>
            </w:pPr>
            <w:r>
              <w:rPr>
                <w:color w:val="000000" w:themeColor="text1"/>
                <w:sz w:val="18"/>
                <w:szCs w:val="18"/>
              </w:rPr>
              <w:t>新增设施类型</w:t>
            </w:r>
          </w:p>
        </w:tc>
        <w:tc>
          <w:tcPr>
            <w:tcW w:w="1724" w:type="dxa"/>
            <w:shd w:val="clear" w:color="auto" w:fill="auto"/>
            <w:vAlign w:val="center"/>
          </w:tcPr>
          <w:p>
            <w:pPr>
              <w:pStyle w:val="55"/>
              <w:snapToGrid w:val="0"/>
              <w:spacing w:line="320" w:lineRule="exact"/>
              <w:rPr>
                <w:color w:val="000000" w:themeColor="text1"/>
                <w:sz w:val="18"/>
                <w:szCs w:val="18"/>
                <w:lang w:eastAsia="zh-CN"/>
              </w:rPr>
            </w:pPr>
            <w:r>
              <w:rPr>
                <w:color w:val="000000" w:themeColor="text1"/>
                <w:sz w:val="18"/>
                <w:szCs w:val="18"/>
                <w:lang w:eastAsia="zh-CN"/>
              </w:rPr>
              <w:t>新增主要产品名称</w:t>
            </w:r>
          </w:p>
        </w:tc>
        <w:tc>
          <w:tcPr>
            <w:tcW w:w="1471" w:type="dxa"/>
            <w:tcBorders>
              <w:bottom w:val="nil"/>
            </w:tcBorders>
            <w:shd w:val="clear" w:color="auto" w:fill="auto"/>
            <w:vAlign w:val="center"/>
          </w:tcPr>
          <w:p>
            <w:pPr>
              <w:pStyle w:val="55"/>
              <w:snapToGrid w:val="0"/>
              <w:spacing w:line="320" w:lineRule="exact"/>
              <w:jc w:val="center"/>
              <w:rPr>
                <w:color w:val="000000" w:themeColor="text1"/>
                <w:sz w:val="18"/>
                <w:szCs w:val="18"/>
                <w:lang w:eastAsia="zh-CN"/>
              </w:rPr>
            </w:pPr>
            <w:r>
              <w:rPr>
                <w:color w:val="000000" w:themeColor="text1"/>
                <w:sz w:val="18"/>
                <w:szCs w:val="18"/>
                <w:lang w:eastAsia="zh-CN"/>
              </w:rPr>
              <w:t>新增主要产品产量</w:t>
            </w:r>
          </w:p>
        </w:tc>
        <w:tc>
          <w:tcPr>
            <w:tcW w:w="1652" w:type="dxa"/>
            <w:shd w:val="clear" w:color="auto" w:fill="auto"/>
            <w:noWrap/>
            <w:vAlign w:val="center"/>
          </w:tcPr>
          <w:p>
            <w:pPr>
              <w:pStyle w:val="55"/>
              <w:snapToGrid w:val="0"/>
              <w:spacing w:line="320" w:lineRule="exact"/>
              <w:jc w:val="center"/>
              <w:rPr>
                <w:rFonts w:ascii="Times New Roman" w:hAnsi="Times New Roman" w:cs="Times New Roman"/>
                <w:color w:val="000000" w:themeColor="text1"/>
                <w:sz w:val="18"/>
                <w:szCs w:val="18"/>
                <w:lang w:eastAsia="zh-CN"/>
              </w:rPr>
            </w:pPr>
            <w:r>
              <w:rPr>
                <w:color w:val="000000" w:themeColor="text1"/>
                <w:sz w:val="18"/>
                <w:szCs w:val="18"/>
                <w:lang w:eastAsia="zh-CN"/>
              </w:rPr>
              <w:t>新增主要产品产量单位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77" w:type="dxa"/>
            <w:shd w:val="clear" w:color="auto" w:fill="auto"/>
            <w:noWrap/>
            <w:vAlign w:val="center"/>
          </w:tcPr>
          <w:p>
            <w:pPr>
              <w:pStyle w:val="55"/>
              <w:snapToGrid w:val="0"/>
              <w:spacing w:line="320" w:lineRule="exact"/>
              <w:ind w:firstLine="268"/>
              <w:jc w:val="left"/>
              <w:rPr>
                <w:color w:val="000000" w:themeColor="text1"/>
                <w:sz w:val="18"/>
                <w:szCs w:val="18"/>
                <w:lang w:eastAsia="zh-CN"/>
              </w:rPr>
            </w:pPr>
          </w:p>
        </w:tc>
        <w:tc>
          <w:tcPr>
            <w:tcW w:w="813"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945"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944"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1724"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1471"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1652" w:type="dxa"/>
            <w:shd w:val="clear" w:color="auto" w:fill="auto"/>
            <w:noWrap/>
            <w:vAlign w:val="center"/>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677" w:type="dxa"/>
            <w:shd w:val="clear" w:color="auto" w:fill="auto"/>
            <w:noWrap/>
            <w:vAlign w:val="center"/>
          </w:tcPr>
          <w:p>
            <w:pPr>
              <w:pStyle w:val="55"/>
              <w:snapToGrid w:val="0"/>
              <w:spacing w:line="320" w:lineRule="exact"/>
              <w:ind w:firstLine="268"/>
              <w:jc w:val="left"/>
              <w:rPr>
                <w:color w:val="000000" w:themeColor="text1"/>
                <w:sz w:val="18"/>
                <w:szCs w:val="18"/>
                <w:lang w:eastAsia="zh-CN"/>
              </w:rPr>
            </w:pPr>
          </w:p>
        </w:tc>
        <w:tc>
          <w:tcPr>
            <w:tcW w:w="813"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945"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944"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1724"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1471"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1652" w:type="dxa"/>
            <w:shd w:val="clear" w:color="auto" w:fill="auto"/>
            <w:noWrap/>
            <w:vAlign w:val="center"/>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77" w:type="dxa"/>
            <w:shd w:val="clear" w:color="auto" w:fill="auto"/>
            <w:noWrap/>
            <w:vAlign w:val="center"/>
          </w:tcPr>
          <w:p>
            <w:pPr>
              <w:pStyle w:val="55"/>
              <w:snapToGrid w:val="0"/>
              <w:spacing w:line="320" w:lineRule="exact"/>
              <w:ind w:firstLine="269"/>
              <w:jc w:val="left"/>
              <w:rPr>
                <w:b/>
                <w:bCs/>
                <w:color w:val="000000" w:themeColor="text1"/>
                <w:sz w:val="18"/>
                <w:szCs w:val="18"/>
                <w:lang w:eastAsia="zh-CN"/>
              </w:rPr>
            </w:pPr>
          </w:p>
        </w:tc>
        <w:tc>
          <w:tcPr>
            <w:tcW w:w="813"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945"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944"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1724"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1471" w:type="dxa"/>
            <w:shd w:val="clear" w:color="auto" w:fill="auto"/>
            <w:vAlign w:val="center"/>
          </w:tcPr>
          <w:p>
            <w:pPr>
              <w:pStyle w:val="55"/>
              <w:snapToGrid w:val="0"/>
              <w:spacing w:line="320" w:lineRule="exact"/>
              <w:ind w:firstLine="269"/>
              <w:jc w:val="center"/>
              <w:rPr>
                <w:b/>
                <w:bCs/>
                <w:color w:val="000000" w:themeColor="text1"/>
                <w:sz w:val="18"/>
                <w:szCs w:val="18"/>
                <w:lang w:eastAsia="zh-CN"/>
              </w:rPr>
            </w:pPr>
          </w:p>
        </w:tc>
        <w:tc>
          <w:tcPr>
            <w:tcW w:w="1652" w:type="dxa"/>
            <w:shd w:val="clear" w:color="auto" w:fill="auto"/>
            <w:noWrap/>
            <w:vAlign w:val="center"/>
          </w:tcPr>
          <w:p>
            <w:pPr>
              <w:pStyle w:val="55"/>
              <w:snapToGrid w:val="0"/>
              <w:spacing w:line="320" w:lineRule="exact"/>
              <w:ind w:firstLine="268"/>
              <w:jc w:val="center"/>
              <w:rPr>
                <w:rFonts w:ascii="Times New Roman" w:hAnsi="Times New Roman" w:cs="Times New Roman"/>
                <w:color w:val="000000" w:themeColor="text1"/>
                <w:sz w:val="18"/>
                <w:szCs w:val="18"/>
                <w:lang w:eastAsia="zh-CN"/>
              </w:rPr>
            </w:pPr>
          </w:p>
        </w:tc>
      </w:tr>
    </w:tbl>
    <w:p>
      <w:pPr>
        <w:adjustRightInd w:val="0"/>
        <w:snapToGrid w:val="0"/>
        <w:ind w:firstLine="480" w:firstLineChars="200"/>
        <w:rPr>
          <w:rFonts w:ascii="Times New Roman" w:hAnsi="Times New Roman"/>
        </w:rPr>
      </w:pPr>
      <w:r>
        <w:rPr>
          <w:rFonts w:hint="eastAsia" w:ascii="Times New Roman" w:hAnsi="Times New Roman"/>
        </w:rPr>
        <w:t>报告单位可自制表格</w:t>
      </w:r>
      <w:r>
        <w:rPr>
          <w:rFonts w:hint="eastAsia" w:ascii="Times New Roman" w:hAnsi="Times New Roman"/>
          <w:szCs w:val="21"/>
        </w:rPr>
        <w:t>报告</w:t>
      </w:r>
      <w:r>
        <w:rPr>
          <w:rFonts w:hint="eastAsia" w:ascii="Times New Roman" w:hAnsi="Times New Roman"/>
        </w:rPr>
        <w:t>其他支持材料，并做简要说明。可用表HK</w:t>
      </w:r>
      <w:r>
        <w:rPr>
          <w:rFonts w:ascii="Times New Roman" w:hAnsi="Times New Roman"/>
        </w:rPr>
        <w:t>-7</w:t>
      </w:r>
      <w:r>
        <w:rPr>
          <w:rFonts w:hint="eastAsia" w:ascii="Times New Roman" w:hAnsi="Times New Roman"/>
        </w:rPr>
        <w:t>，表HK-</w:t>
      </w:r>
      <w:r>
        <w:rPr>
          <w:rFonts w:ascii="Times New Roman" w:hAnsi="Times New Roman"/>
        </w:rPr>
        <w:t>8</w:t>
      </w:r>
      <w:r>
        <w:rPr>
          <w:rFonts w:hint="eastAsia" w:ascii="Times New Roman" w:hAnsi="Times New Roman"/>
        </w:rPr>
        <w:t>，表HK</w:t>
      </w:r>
      <w:r>
        <w:rPr>
          <w:rFonts w:ascii="Times New Roman" w:hAnsi="Times New Roman"/>
        </w:rPr>
        <w:t>-9</w:t>
      </w:r>
      <w:r>
        <w:rPr>
          <w:rFonts w:hint="eastAsia" w:ascii="Times New Roman" w:hAnsi="Times New Roman"/>
        </w:rPr>
        <w:t>等表号。根据需要，可附上相应的测试报告的复印件。</w:t>
      </w:r>
    </w:p>
    <w:p>
      <w:pPr>
        <w:pStyle w:val="4"/>
        <w:numPr>
          <w:ilvl w:val="0"/>
          <w:numId w:val="3"/>
        </w:numPr>
        <w:adjustRightInd w:val="0"/>
        <w:snapToGrid w:val="0"/>
        <w:spacing w:before="0" w:after="0" w:line="420" w:lineRule="exact"/>
        <w:ind w:left="0" w:firstLine="479" w:firstLineChars="0"/>
        <w:rPr>
          <w:rFonts w:ascii="Times New Roman" w:hAnsi="Times New Roman"/>
        </w:rPr>
      </w:pPr>
      <w:r>
        <w:rPr>
          <w:rFonts w:hint="eastAsia" w:ascii="Times New Roman" w:hAnsi="Times New Roman"/>
        </w:rPr>
        <w:t>真实性声明</w:t>
      </w:r>
    </w:p>
    <w:p>
      <w:pPr>
        <w:adjustRightInd w:val="0"/>
        <w:snapToGrid w:val="0"/>
        <w:ind w:firstLine="480" w:firstLineChars="200"/>
        <w:rPr>
          <w:rFonts w:ascii="Times New Roman" w:hAnsi="Times New Roman"/>
        </w:rPr>
      </w:pPr>
      <w:r>
        <w:rPr>
          <w:rFonts w:hint="eastAsia" w:ascii="Times New Roman" w:hAnsi="Times New Roman"/>
        </w:rPr>
        <w:t>企业应按照表</w:t>
      </w:r>
      <w:r>
        <w:rPr>
          <w:rFonts w:ascii="Times New Roman" w:hAnsi="Times New Roman"/>
        </w:rPr>
        <w:t>BG-5</w:t>
      </w:r>
      <w:r>
        <w:rPr>
          <w:rFonts w:hint="eastAsia" w:ascii="Times New Roman" w:hAnsi="Times New Roman"/>
        </w:rPr>
        <w:t>的格式就报告真实性做书面声明。</w:t>
      </w:r>
    </w:p>
    <w:p>
      <w:pPr>
        <w:widowControl/>
        <w:adjustRightInd w:val="0"/>
        <w:snapToGrid w:val="0"/>
        <w:spacing w:line="420" w:lineRule="exact"/>
        <w:ind w:firstLine="0" w:firstLineChars="0"/>
        <w:jc w:val="center"/>
        <w:rPr>
          <w:rFonts w:ascii="Times New Roman" w:hAnsi="Times New Roman"/>
          <w:b/>
          <w:sz w:val="21"/>
          <w:szCs w:val="21"/>
        </w:rPr>
      </w:pPr>
      <w:r>
        <w:rPr>
          <w:rFonts w:hint="eastAsia" w:ascii="Times New Roman" w:hAnsi="Times New Roman"/>
          <w:b/>
          <w:sz w:val="21"/>
          <w:szCs w:val="21"/>
        </w:rPr>
        <w:t>表</w:t>
      </w:r>
      <w:r>
        <w:rPr>
          <w:rFonts w:ascii="Times New Roman" w:hAnsi="Times New Roman"/>
          <w:b/>
          <w:sz w:val="21"/>
          <w:szCs w:val="21"/>
        </w:rPr>
        <w:t xml:space="preserve">BG-5  </w:t>
      </w:r>
      <w:r>
        <w:rPr>
          <w:rFonts w:hint="eastAsia" w:ascii="Times New Roman" w:hAnsi="Times New Roman"/>
          <w:b/>
          <w:sz w:val="21"/>
          <w:szCs w:val="21"/>
        </w:rPr>
        <w:t>报告真实性声明</w:t>
      </w:r>
    </w:p>
    <w:tbl>
      <w:tblPr>
        <w:tblStyle w:val="27"/>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578"/>
        <w:gridCol w:w="44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522" w:type="dxa"/>
            <w:gridSpan w:val="2"/>
            <w:shd w:val="clear" w:color="auto" w:fill="auto"/>
            <w:vAlign w:val="center"/>
          </w:tcPr>
          <w:p>
            <w:pPr>
              <w:ind w:firstLine="0" w:firstLineChars="0"/>
              <w:jc w:val="center"/>
              <w:rPr>
                <w:rFonts w:ascii="Times New Roman" w:hAnsi="Times New Roman"/>
                <w:sz w:val="18"/>
                <w:szCs w:val="18"/>
              </w:rPr>
            </w:pPr>
            <w:r>
              <w:rPr>
                <w:rFonts w:hint="eastAsia" w:ascii="Times New Roman" w:hAnsi="Times New Roman"/>
                <w:sz w:val="18"/>
                <w:szCs w:val="18"/>
              </w:rPr>
              <w:t>声明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522" w:type="dxa"/>
            <w:gridSpan w:val="2"/>
            <w:shd w:val="clear" w:color="auto" w:fill="auto"/>
            <w:vAlign w:val="center"/>
          </w:tcPr>
          <w:p>
            <w:pPr>
              <w:ind w:firstLine="360" w:firstLineChars="200"/>
              <w:jc w:val="left"/>
              <w:rPr>
                <w:rFonts w:ascii="Times New Roman" w:hAnsi="Times New Roman"/>
                <w:sz w:val="18"/>
                <w:szCs w:val="18"/>
              </w:rPr>
            </w:pPr>
            <w:r>
              <w:rPr>
                <w:rFonts w:hint="eastAsia" w:ascii="Times New Roman" w:hAnsi="Times New Roman"/>
                <w:sz w:val="18"/>
                <w:szCs w:val="18"/>
              </w:rPr>
              <w:t>本排放报告完整和真实。报告中的信息与实际情况不符的，本单位愿负相应的法律责任，并承担由此产生的一切后果。特此声明。</w:t>
            </w:r>
          </w:p>
          <w:p>
            <w:pPr>
              <w:ind w:firstLine="360" w:firstLineChars="200"/>
              <w:jc w:val="lef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06" w:type="dxa"/>
            <w:shd w:val="clear" w:color="auto" w:fill="auto"/>
          </w:tcPr>
          <w:p>
            <w:pPr>
              <w:ind w:firstLine="0" w:firstLineChars="0"/>
              <w:jc w:val="right"/>
              <w:rPr>
                <w:rFonts w:ascii="Times New Roman" w:hAnsi="Times New Roman"/>
                <w:sz w:val="18"/>
                <w:szCs w:val="18"/>
              </w:rPr>
            </w:pPr>
            <w:r>
              <w:rPr>
                <w:rFonts w:hint="eastAsia" w:ascii="Times New Roman" w:hAnsi="Times New Roman"/>
                <w:sz w:val="18"/>
                <w:szCs w:val="18"/>
              </w:rPr>
              <w:t>法定代表人（或授权代表）：</w:t>
            </w:r>
          </w:p>
        </w:tc>
        <w:tc>
          <w:tcPr>
            <w:tcW w:w="4216" w:type="dxa"/>
            <w:shd w:val="clear" w:color="auto" w:fill="auto"/>
          </w:tcPr>
          <w:p>
            <w:pPr>
              <w:ind w:firstLine="1710" w:firstLineChars="950"/>
              <w:rPr>
                <w:rFonts w:ascii="Times New Roman" w:hAnsi="Times New Roman"/>
                <w:sz w:val="18"/>
                <w:szCs w:val="18"/>
              </w:rPr>
            </w:pPr>
            <w:r>
              <w:rPr>
                <w:rFonts w:hint="eastAsia" w:ascii="Times New Roman" w:hAnsi="Times New Roman"/>
                <w:sz w:val="18"/>
                <w:szCs w:val="18"/>
              </w:rPr>
              <w:t>（签字）</w:t>
            </w:r>
          </w:p>
          <w:p>
            <w:pPr>
              <w:ind w:firstLine="0" w:firstLineChars="0"/>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306" w:type="dxa"/>
            <w:shd w:val="clear" w:color="auto" w:fill="auto"/>
          </w:tcPr>
          <w:p>
            <w:pPr>
              <w:ind w:firstLine="268"/>
              <w:jc w:val="right"/>
              <w:rPr>
                <w:rFonts w:ascii="Times New Roman" w:hAnsi="Times New Roman"/>
                <w:sz w:val="18"/>
                <w:szCs w:val="18"/>
              </w:rPr>
            </w:pPr>
            <w:r>
              <w:rPr>
                <w:rFonts w:hint="eastAsia" w:ascii="Times New Roman" w:hAnsi="Times New Roman"/>
                <w:sz w:val="18"/>
                <w:szCs w:val="18"/>
              </w:rPr>
              <w:t>（企业盖章）</w:t>
            </w:r>
          </w:p>
          <w:p>
            <w:pPr>
              <w:ind w:firstLine="0" w:firstLineChars="0"/>
              <w:rPr>
                <w:rFonts w:ascii="Times New Roman" w:hAnsi="Times New Roman"/>
                <w:sz w:val="18"/>
                <w:szCs w:val="18"/>
              </w:rPr>
            </w:pPr>
          </w:p>
        </w:tc>
        <w:tc>
          <w:tcPr>
            <w:tcW w:w="4216" w:type="dxa"/>
            <w:shd w:val="clear" w:color="auto" w:fill="auto"/>
          </w:tcPr>
          <w:p>
            <w:pPr>
              <w:ind w:firstLine="268"/>
              <w:jc w:val="center"/>
              <w:rPr>
                <w:rFonts w:ascii="Times New Roman" w:hAnsi="Times New Roman"/>
                <w:sz w:val="18"/>
                <w:szCs w:val="18"/>
              </w:rPr>
            </w:pPr>
            <w:r>
              <w:rPr>
                <w:rFonts w:hint="eastAsia" w:ascii="Times New Roman" w:hAnsi="Times New Roman"/>
                <w:sz w:val="18"/>
                <w:szCs w:val="18"/>
              </w:rPr>
              <w:t>年月日</w:t>
            </w:r>
          </w:p>
          <w:p>
            <w:pPr>
              <w:ind w:firstLine="0" w:firstLineChars="0"/>
              <w:rPr>
                <w:rFonts w:ascii="Times New Roman" w:hAnsi="Times New Roman"/>
                <w:sz w:val="18"/>
                <w:szCs w:val="18"/>
              </w:rPr>
            </w:pPr>
          </w:p>
        </w:tc>
      </w:tr>
    </w:tbl>
    <w:p>
      <w:pPr>
        <w:widowControl/>
        <w:spacing w:line="240" w:lineRule="auto"/>
        <w:ind w:firstLine="0" w:firstLineChars="0"/>
        <w:jc w:val="left"/>
      </w:pPr>
      <w:r>
        <w:br w:type="page"/>
      </w:r>
    </w:p>
    <w:bookmarkEnd w:id="18"/>
    <w:bookmarkEnd w:id="19"/>
    <w:p>
      <w:pPr>
        <w:widowControl/>
        <w:spacing w:line="240" w:lineRule="auto"/>
        <w:ind w:firstLine="0" w:firstLineChars="0"/>
        <w:jc w:val="center"/>
        <w:rPr>
          <w:rFonts w:ascii="Times New Roman" w:hAnsi="Times New Roman"/>
          <w:b/>
          <w:sz w:val="21"/>
          <w:szCs w:val="21"/>
        </w:rPr>
      </w:pPr>
      <w:r>
        <w:rPr>
          <w:rFonts w:ascii="Times New Roman" w:hAnsi="Times New Roman"/>
          <w:b/>
          <w:sz w:val="21"/>
          <w:szCs w:val="21"/>
        </w:rPr>
        <w:t>附表</w:t>
      </w:r>
      <w:r>
        <w:rPr>
          <w:rFonts w:hint="eastAsia" w:ascii="Times New Roman" w:hAnsi="Times New Roman"/>
          <w:b/>
          <w:sz w:val="21"/>
          <w:szCs w:val="21"/>
        </w:rPr>
        <w:t xml:space="preserve">  </w:t>
      </w:r>
      <w:r>
        <w:rPr>
          <w:rFonts w:ascii="Times New Roman" w:hAnsi="Times New Roman"/>
          <w:b/>
          <w:sz w:val="21"/>
          <w:szCs w:val="21"/>
        </w:rPr>
        <w:t>其他化石燃料热值、单位热值含碳量与碳氧化率缺省值</w:t>
      </w:r>
    </w:p>
    <w:tbl>
      <w:tblPr>
        <w:tblStyle w:val="27"/>
        <w:tblW w:w="5000" w:type="pct"/>
        <w:jc w:val="center"/>
        <w:tblLayout w:type="autofit"/>
        <w:tblCellMar>
          <w:top w:w="0" w:type="dxa"/>
          <w:left w:w="108" w:type="dxa"/>
          <w:bottom w:w="0" w:type="dxa"/>
          <w:right w:w="108" w:type="dxa"/>
        </w:tblCellMar>
      </w:tblPr>
      <w:tblGrid>
        <w:gridCol w:w="1756"/>
        <w:gridCol w:w="2857"/>
        <w:gridCol w:w="2569"/>
        <w:gridCol w:w="1879"/>
      </w:tblGrid>
      <w:tr>
        <w:tblPrEx>
          <w:tblCellMar>
            <w:top w:w="0" w:type="dxa"/>
            <w:left w:w="108" w:type="dxa"/>
            <w:bottom w:w="0" w:type="dxa"/>
            <w:right w:w="108" w:type="dxa"/>
          </w:tblCellMar>
        </w:tblPrEx>
        <w:trPr>
          <w:jc w:val="center"/>
        </w:trPr>
        <w:tc>
          <w:tcPr>
            <w:tcW w:w="16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9"/>
              <w:jc w:val="center"/>
              <w:rPr>
                <w:rFonts w:ascii="Times New Roman" w:hAnsi="Times New Roman" w:cs="Times New Roman"/>
                <w:b/>
                <w:color w:val="auto"/>
                <w:sz w:val="18"/>
                <w:szCs w:val="18"/>
                <w:lang w:eastAsia="zh-CN"/>
              </w:rPr>
            </w:pPr>
          </w:p>
        </w:tc>
        <w:tc>
          <w:tcPr>
            <w:tcW w:w="268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低位热值</w:t>
            </w:r>
          </w:p>
          <w:p>
            <w:pPr>
              <w:pStyle w:val="55"/>
              <w:snapToGrid w:val="0"/>
              <w:spacing w:line="320" w:lineRule="atLeas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（GJ/t，GJ/万Nm</w:t>
            </w:r>
            <w:r>
              <w:rPr>
                <w:rFonts w:ascii="Times New Roman" w:hAnsi="Times New Roman" w:cs="Times New Roman"/>
                <w:b/>
                <w:color w:val="auto"/>
                <w:sz w:val="18"/>
                <w:szCs w:val="18"/>
                <w:vertAlign w:val="superscript"/>
                <w:lang w:eastAsia="zh-CN"/>
              </w:rPr>
              <w:t>3</w:t>
            </w:r>
            <w:r>
              <w:rPr>
                <w:rFonts w:ascii="Times New Roman" w:hAnsi="Times New Roman" w:cs="Times New Roman"/>
                <w:b/>
                <w:color w:val="auto"/>
                <w:sz w:val="18"/>
                <w:szCs w:val="18"/>
                <w:lang w:eastAsia="zh-CN"/>
              </w:rPr>
              <w:t>）</w:t>
            </w:r>
          </w:p>
        </w:tc>
        <w:tc>
          <w:tcPr>
            <w:tcW w:w="241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单位热值含碳量</w:t>
            </w:r>
          </w:p>
          <w:p>
            <w:pPr>
              <w:pStyle w:val="55"/>
              <w:snapToGrid w:val="0"/>
              <w:spacing w:line="320" w:lineRule="atLeast"/>
              <w:ind w:firstLine="269"/>
              <w:jc w:val="center"/>
              <w:rPr>
                <w:rFonts w:ascii="Times New Roman" w:hAnsi="Times New Roman" w:cs="Times New Roman"/>
                <w:b/>
                <w:color w:val="auto"/>
                <w:sz w:val="18"/>
                <w:szCs w:val="18"/>
                <w:lang w:eastAsia="zh-CN"/>
              </w:rPr>
            </w:pPr>
            <w:r>
              <w:rPr>
                <w:rFonts w:ascii="Times New Roman" w:hAnsi="Times New Roman" w:cs="Times New Roman"/>
                <w:b/>
                <w:color w:val="auto"/>
                <w:sz w:val="18"/>
                <w:szCs w:val="18"/>
                <w:lang w:eastAsia="zh-CN"/>
              </w:rPr>
              <w:t>（tC/TJ）</w:t>
            </w:r>
          </w:p>
        </w:tc>
        <w:tc>
          <w:tcPr>
            <w:tcW w:w="176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9"/>
              <w:jc w:val="center"/>
              <w:rPr>
                <w:rFonts w:ascii="Times New Roman" w:hAnsi="Times New Roman" w:cs="Times New Roman"/>
                <w:b/>
                <w:color w:val="auto"/>
                <w:sz w:val="18"/>
                <w:szCs w:val="18"/>
              </w:rPr>
            </w:pPr>
            <w:r>
              <w:rPr>
                <w:rFonts w:ascii="Times New Roman" w:hAnsi="Times New Roman" w:cs="Times New Roman"/>
                <w:b/>
                <w:color w:val="auto"/>
                <w:sz w:val="18"/>
                <w:szCs w:val="18"/>
                <w:lang w:eastAsia="zh-CN"/>
              </w:rPr>
              <w:t>燃料</w:t>
            </w:r>
            <w:r>
              <w:rPr>
                <w:rFonts w:ascii="Times New Roman" w:hAnsi="Times New Roman" w:cs="Times New Roman"/>
                <w:b/>
                <w:color w:val="auto"/>
                <w:sz w:val="18"/>
                <w:szCs w:val="18"/>
              </w:rPr>
              <w:t>碳氧化率</w:t>
            </w:r>
          </w:p>
        </w:tc>
      </w:tr>
      <w:tr>
        <w:tblPrEx>
          <w:tblCellMar>
            <w:top w:w="0" w:type="dxa"/>
            <w:left w:w="108" w:type="dxa"/>
            <w:bottom w:w="0" w:type="dxa"/>
            <w:right w:w="108" w:type="dxa"/>
          </w:tblCellMar>
        </w:tblPrEx>
        <w:trPr>
          <w:jc w:val="center"/>
        </w:trPr>
        <w:tc>
          <w:tcPr>
            <w:tcW w:w="16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原油</w:t>
            </w:r>
          </w:p>
        </w:tc>
        <w:tc>
          <w:tcPr>
            <w:tcW w:w="268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42</w:t>
            </w:r>
            <w:r>
              <w:rPr>
                <w:rFonts w:ascii="Times New Roman" w:hAnsi="Times New Roman" w:cs="Times New Roman"/>
                <w:color w:val="auto"/>
                <w:sz w:val="18"/>
                <w:szCs w:val="18"/>
                <w:lang w:eastAsia="zh-CN"/>
              </w:rPr>
              <w:t>.62</w:t>
            </w:r>
            <w:r>
              <w:rPr>
                <w:rFonts w:ascii="Times New Roman" w:hAnsi="Times New Roman" w:cs="Times New Roman"/>
                <w:color w:val="auto"/>
                <w:sz w:val="18"/>
                <w:szCs w:val="18"/>
              </w:rPr>
              <w:t>0</w:t>
            </w:r>
          </w:p>
        </w:tc>
        <w:tc>
          <w:tcPr>
            <w:tcW w:w="241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20.1</w:t>
            </w:r>
          </w:p>
        </w:tc>
        <w:tc>
          <w:tcPr>
            <w:tcW w:w="176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98</w:t>
            </w:r>
            <w:r>
              <w:rPr>
                <w:rFonts w:ascii="Times New Roman" w:hAnsi="Times New Roman" w:cs="Times New Roman"/>
                <w:color w:val="auto"/>
                <w:sz w:val="18"/>
                <w:szCs w:val="18"/>
                <w:lang w:eastAsia="zh-CN"/>
              </w:rPr>
              <w:t>%</w:t>
            </w:r>
          </w:p>
        </w:tc>
      </w:tr>
      <w:tr>
        <w:tblPrEx>
          <w:tblCellMar>
            <w:top w:w="0" w:type="dxa"/>
            <w:left w:w="108" w:type="dxa"/>
            <w:bottom w:w="0" w:type="dxa"/>
            <w:right w:w="108" w:type="dxa"/>
          </w:tblCellMar>
        </w:tblPrEx>
        <w:trPr>
          <w:jc w:val="center"/>
        </w:trPr>
        <w:tc>
          <w:tcPr>
            <w:tcW w:w="16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燃料油</w:t>
            </w:r>
          </w:p>
        </w:tc>
        <w:tc>
          <w:tcPr>
            <w:tcW w:w="268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4</w:t>
            </w:r>
            <w:r>
              <w:rPr>
                <w:rFonts w:ascii="Times New Roman" w:hAnsi="Times New Roman" w:cs="Times New Roman"/>
                <w:color w:val="auto"/>
                <w:sz w:val="18"/>
                <w:szCs w:val="18"/>
                <w:lang w:eastAsia="zh-CN"/>
              </w:rPr>
              <w:t>0.19</w:t>
            </w:r>
            <w:r>
              <w:rPr>
                <w:rFonts w:ascii="Times New Roman" w:hAnsi="Times New Roman" w:cs="Times New Roman"/>
                <w:color w:val="auto"/>
                <w:sz w:val="18"/>
                <w:szCs w:val="18"/>
              </w:rPr>
              <w:t>0</w:t>
            </w:r>
          </w:p>
        </w:tc>
        <w:tc>
          <w:tcPr>
            <w:tcW w:w="241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21.1</w:t>
            </w:r>
          </w:p>
        </w:tc>
        <w:tc>
          <w:tcPr>
            <w:tcW w:w="176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98</w:t>
            </w:r>
            <w:r>
              <w:rPr>
                <w:rFonts w:ascii="Times New Roman" w:hAnsi="Times New Roman" w:cs="Times New Roman"/>
                <w:color w:val="auto"/>
                <w:sz w:val="18"/>
                <w:szCs w:val="18"/>
                <w:lang w:eastAsia="zh-CN"/>
              </w:rPr>
              <w:t>%</w:t>
            </w:r>
          </w:p>
        </w:tc>
      </w:tr>
      <w:tr>
        <w:tblPrEx>
          <w:tblCellMar>
            <w:top w:w="0" w:type="dxa"/>
            <w:left w:w="108" w:type="dxa"/>
            <w:bottom w:w="0" w:type="dxa"/>
            <w:right w:w="108" w:type="dxa"/>
          </w:tblCellMar>
        </w:tblPrEx>
        <w:trPr>
          <w:jc w:val="center"/>
        </w:trPr>
        <w:tc>
          <w:tcPr>
            <w:tcW w:w="16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汽油</w:t>
            </w:r>
          </w:p>
        </w:tc>
        <w:tc>
          <w:tcPr>
            <w:tcW w:w="268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4</w:t>
            </w:r>
            <w:r>
              <w:rPr>
                <w:rFonts w:ascii="Times New Roman" w:hAnsi="Times New Roman" w:cs="Times New Roman"/>
                <w:color w:val="auto"/>
                <w:sz w:val="18"/>
                <w:szCs w:val="18"/>
                <w:lang w:eastAsia="zh-CN"/>
              </w:rPr>
              <w:t>4.80</w:t>
            </w:r>
            <w:r>
              <w:rPr>
                <w:rFonts w:ascii="Times New Roman" w:hAnsi="Times New Roman" w:cs="Times New Roman"/>
                <w:color w:val="auto"/>
                <w:sz w:val="18"/>
                <w:szCs w:val="18"/>
              </w:rPr>
              <w:t>0</w:t>
            </w:r>
          </w:p>
        </w:tc>
        <w:tc>
          <w:tcPr>
            <w:tcW w:w="241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18.9</w:t>
            </w:r>
          </w:p>
        </w:tc>
        <w:tc>
          <w:tcPr>
            <w:tcW w:w="176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98</w:t>
            </w:r>
            <w:r>
              <w:rPr>
                <w:rFonts w:ascii="Times New Roman" w:hAnsi="Times New Roman" w:cs="Times New Roman"/>
                <w:color w:val="auto"/>
                <w:sz w:val="18"/>
                <w:szCs w:val="18"/>
                <w:lang w:eastAsia="zh-CN"/>
              </w:rPr>
              <w:t>%</w:t>
            </w:r>
          </w:p>
        </w:tc>
      </w:tr>
      <w:tr>
        <w:tblPrEx>
          <w:tblCellMar>
            <w:top w:w="0" w:type="dxa"/>
            <w:left w:w="108" w:type="dxa"/>
            <w:bottom w:w="0" w:type="dxa"/>
            <w:right w:w="108" w:type="dxa"/>
          </w:tblCellMar>
        </w:tblPrEx>
        <w:trPr>
          <w:jc w:val="center"/>
        </w:trPr>
        <w:tc>
          <w:tcPr>
            <w:tcW w:w="16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柴油</w:t>
            </w:r>
          </w:p>
        </w:tc>
        <w:tc>
          <w:tcPr>
            <w:tcW w:w="268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43</w:t>
            </w:r>
            <w:r>
              <w:rPr>
                <w:rFonts w:ascii="Times New Roman" w:hAnsi="Times New Roman" w:cs="Times New Roman"/>
                <w:color w:val="auto"/>
                <w:sz w:val="18"/>
                <w:szCs w:val="18"/>
                <w:lang w:eastAsia="zh-CN"/>
              </w:rPr>
              <w:t>.</w:t>
            </w:r>
            <w:r>
              <w:rPr>
                <w:rFonts w:ascii="Times New Roman" w:hAnsi="Times New Roman" w:cs="Times New Roman"/>
                <w:color w:val="auto"/>
                <w:sz w:val="18"/>
                <w:szCs w:val="18"/>
              </w:rPr>
              <w:t>330</w:t>
            </w:r>
          </w:p>
        </w:tc>
        <w:tc>
          <w:tcPr>
            <w:tcW w:w="241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20.2</w:t>
            </w:r>
          </w:p>
        </w:tc>
        <w:tc>
          <w:tcPr>
            <w:tcW w:w="176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98</w:t>
            </w:r>
            <w:r>
              <w:rPr>
                <w:rFonts w:ascii="Times New Roman" w:hAnsi="Times New Roman" w:cs="Times New Roman"/>
                <w:color w:val="auto"/>
                <w:sz w:val="18"/>
                <w:szCs w:val="18"/>
                <w:lang w:eastAsia="zh-CN"/>
              </w:rPr>
              <w:t>%</w:t>
            </w:r>
          </w:p>
        </w:tc>
      </w:tr>
      <w:tr>
        <w:tblPrEx>
          <w:tblCellMar>
            <w:top w:w="0" w:type="dxa"/>
            <w:left w:w="108" w:type="dxa"/>
            <w:bottom w:w="0" w:type="dxa"/>
            <w:right w:w="108" w:type="dxa"/>
          </w:tblCellMar>
        </w:tblPrEx>
        <w:trPr>
          <w:jc w:val="center"/>
        </w:trPr>
        <w:tc>
          <w:tcPr>
            <w:tcW w:w="16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航空煤油</w:t>
            </w:r>
          </w:p>
        </w:tc>
        <w:tc>
          <w:tcPr>
            <w:tcW w:w="268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44.100</w:t>
            </w:r>
          </w:p>
        </w:tc>
        <w:tc>
          <w:tcPr>
            <w:tcW w:w="241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19.5</w:t>
            </w:r>
          </w:p>
        </w:tc>
        <w:tc>
          <w:tcPr>
            <w:tcW w:w="176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100</w:t>
            </w:r>
            <w:r>
              <w:rPr>
                <w:rFonts w:ascii="Times New Roman" w:hAnsi="Times New Roman" w:cs="Times New Roman"/>
                <w:color w:val="auto"/>
                <w:sz w:val="18"/>
                <w:szCs w:val="18"/>
                <w:lang w:eastAsia="zh-CN"/>
              </w:rPr>
              <w:t>%</w:t>
            </w:r>
          </w:p>
        </w:tc>
      </w:tr>
      <w:tr>
        <w:tblPrEx>
          <w:tblCellMar>
            <w:top w:w="0" w:type="dxa"/>
            <w:left w:w="108" w:type="dxa"/>
            <w:bottom w:w="0" w:type="dxa"/>
            <w:right w:w="108" w:type="dxa"/>
          </w:tblCellMar>
        </w:tblPrEx>
        <w:trPr>
          <w:jc w:val="center"/>
        </w:trPr>
        <w:tc>
          <w:tcPr>
            <w:tcW w:w="16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一般煤油</w:t>
            </w:r>
          </w:p>
        </w:tc>
        <w:tc>
          <w:tcPr>
            <w:tcW w:w="268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4</w:t>
            </w:r>
            <w:r>
              <w:rPr>
                <w:rFonts w:ascii="Times New Roman" w:hAnsi="Times New Roman" w:cs="Times New Roman"/>
                <w:color w:val="auto"/>
                <w:sz w:val="18"/>
                <w:szCs w:val="18"/>
                <w:lang w:eastAsia="zh-CN"/>
              </w:rPr>
              <w:t>4.75</w:t>
            </w:r>
            <w:r>
              <w:rPr>
                <w:rFonts w:ascii="Times New Roman" w:hAnsi="Times New Roman" w:cs="Times New Roman"/>
                <w:color w:val="auto"/>
                <w:sz w:val="18"/>
                <w:szCs w:val="18"/>
              </w:rPr>
              <w:t>0</w:t>
            </w:r>
          </w:p>
        </w:tc>
        <w:tc>
          <w:tcPr>
            <w:tcW w:w="241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19.6</w:t>
            </w:r>
          </w:p>
        </w:tc>
        <w:tc>
          <w:tcPr>
            <w:tcW w:w="176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98</w:t>
            </w:r>
            <w:r>
              <w:rPr>
                <w:rFonts w:ascii="Times New Roman" w:hAnsi="Times New Roman" w:cs="Times New Roman"/>
                <w:color w:val="auto"/>
                <w:sz w:val="18"/>
                <w:szCs w:val="18"/>
                <w:lang w:eastAsia="zh-CN"/>
              </w:rPr>
              <w:t>%</w:t>
            </w:r>
          </w:p>
        </w:tc>
      </w:tr>
      <w:tr>
        <w:tblPrEx>
          <w:tblCellMar>
            <w:top w:w="0" w:type="dxa"/>
            <w:left w:w="108" w:type="dxa"/>
            <w:bottom w:w="0" w:type="dxa"/>
            <w:right w:w="108" w:type="dxa"/>
          </w:tblCellMar>
        </w:tblPrEx>
        <w:trPr>
          <w:jc w:val="center"/>
        </w:trPr>
        <w:tc>
          <w:tcPr>
            <w:tcW w:w="16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lang w:eastAsia="zh-CN"/>
              </w:rPr>
            </w:pPr>
            <w:r>
              <w:rPr>
                <w:rFonts w:ascii="Times New Roman" w:hAnsi="Times New Roman" w:cs="Times New Roman"/>
                <w:color w:val="auto"/>
                <w:sz w:val="18"/>
                <w:szCs w:val="18"/>
                <w:lang w:eastAsia="zh-CN"/>
              </w:rPr>
              <w:t>液化石油气</w:t>
            </w:r>
          </w:p>
        </w:tc>
        <w:tc>
          <w:tcPr>
            <w:tcW w:w="268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47</w:t>
            </w:r>
            <w:r>
              <w:rPr>
                <w:rFonts w:ascii="Times New Roman" w:hAnsi="Times New Roman" w:cs="Times New Roman"/>
                <w:color w:val="auto"/>
                <w:sz w:val="18"/>
                <w:szCs w:val="18"/>
                <w:lang w:eastAsia="zh-CN"/>
              </w:rPr>
              <w:t>.</w:t>
            </w:r>
            <w:r>
              <w:rPr>
                <w:rFonts w:ascii="Times New Roman" w:hAnsi="Times New Roman" w:cs="Times New Roman"/>
                <w:color w:val="auto"/>
                <w:sz w:val="18"/>
                <w:szCs w:val="18"/>
              </w:rPr>
              <w:t>310</w:t>
            </w:r>
          </w:p>
        </w:tc>
        <w:tc>
          <w:tcPr>
            <w:tcW w:w="241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17.2</w:t>
            </w:r>
          </w:p>
        </w:tc>
        <w:tc>
          <w:tcPr>
            <w:tcW w:w="176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98</w:t>
            </w:r>
            <w:r>
              <w:rPr>
                <w:rFonts w:ascii="Times New Roman" w:hAnsi="Times New Roman" w:cs="Times New Roman"/>
                <w:color w:val="auto"/>
                <w:sz w:val="18"/>
                <w:szCs w:val="18"/>
                <w:lang w:eastAsia="zh-CN"/>
              </w:rPr>
              <w:t>%</w:t>
            </w:r>
          </w:p>
        </w:tc>
      </w:tr>
      <w:tr>
        <w:tblPrEx>
          <w:tblCellMar>
            <w:top w:w="0" w:type="dxa"/>
            <w:left w:w="108" w:type="dxa"/>
            <w:bottom w:w="0" w:type="dxa"/>
            <w:right w:w="108" w:type="dxa"/>
          </w:tblCellMar>
        </w:tblPrEx>
        <w:trPr>
          <w:jc w:val="center"/>
        </w:trPr>
        <w:tc>
          <w:tcPr>
            <w:tcW w:w="16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石脑</w:t>
            </w:r>
            <w:r>
              <w:rPr>
                <w:rFonts w:ascii="Times New Roman" w:hAnsi="Times New Roman" w:cs="Times New Roman"/>
                <w:color w:val="auto"/>
                <w:sz w:val="18"/>
                <w:szCs w:val="18"/>
              </w:rPr>
              <w:t>油</w:t>
            </w:r>
          </w:p>
        </w:tc>
        <w:tc>
          <w:tcPr>
            <w:tcW w:w="268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45</w:t>
            </w:r>
            <w:r>
              <w:rPr>
                <w:rFonts w:ascii="Times New Roman" w:hAnsi="Times New Roman" w:cs="Times New Roman"/>
                <w:color w:val="auto"/>
                <w:sz w:val="18"/>
                <w:szCs w:val="18"/>
                <w:lang w:eastAsia="zh-CN"/>
              </w:rPr>
              <w:t>.</w:t>
            </w:r>
            <w:r>
              <w:rPr>
                <w:rFonts w:ascii="Times New Roman" w:hAnsi="Times New Roman" w:cs="Times New Roman"/>
                <w:color w:val="auto"/>
                <w:sz w:val="18"/>
                <w:szCs w:val="18"/>
              </w:rPr>
              <w:t>010</w:t>
            </w:r>
          </w:p>
        </w:tc>
        <w:tc>
          <w:tcPr>
            <w:tcW w:w="241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20.0</w:t>
            </w:r>
          </w:p>
        </w:tc>
        <w:tc>
          <w:tcPr>
            <w:tcW w:w="176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98</w:t>
            </w:r>
            <w:r>
              <w:rPr>
                <w:rFonts w:ascii="Times New Roman" w:hAnsi="Times New Roman" w:cs="Times New Roman"/>
                <w:color w:val="auto"/>
                <w:sz w:val="18"/>
                <w:szCs w:val="18"/>
                <w:lang w:eastAsia="zh-CN"/>
              </w:rPr>
              <w:t>%</w:t>
            </w:r>
          </w:p>
        </w:tc>
      </w:tr>
      <w:tr>
        <w:tblPrEx>
          <w:tblCellMar>
            <w:top w:w="0" w:type="dxa"/>
            <w:left w:w="108" w:type="dxa"/>
            <w:bottom w:w="0" w:type="dxa"/>
            <w:right w:w="108" w:type="dxa"/>
          </w:tblCellMar>
        </w:tblPrEx>
        <w:trPr>
          <w:jc w:val="center"/>
        </w:trPr>
        <w:tc>
          <w:tcPr>
            <w:tcW w:w="16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其他油品</w:t>
            </w:r>
          </w:p>
        </w:tc>
        <w:tc>
          <w:tcPr>
            <w:tcW w:w="268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lang w:eastAsia="zh-CN"/>
              </w:rPr>
            </w:pPr>
            <w:r>
              <w:rPr>
                <w:rFonts w:ascii="Times New Roman" w:hAnsi="Times New Roman" w:cs="Times New Roman"/>
                <w:color w:val="auto"/>
                <w:sz w:val="18"/>
                <w:szCs w:val="18"/>
              </w:rPr>
              <w:t>4</w:t>
            </w:r>
            <w:r>
              <w:rPr>
                <w:rFonts w:ascii="Times New Roman" w:hAnsi="Times New Roman" w:cs="Times New Roman"/>
                <w:color w:val="auto"/>
                <w:sz w:val="18"/>
                <w:szCs w:val="18"/>
                <w:lang w:eastAsia="zh-CN"/>
              </w:rPr>
              <w:t>1.</w:t>
            </w:r>
            <w:r>
              <w:rPr>
                <w:rFonts w:ascii="Times New Roman" w:hAnsi="Times New Roman" w:cs="Times New Roman"/>
                <w:color w:val="auto"/>
                <w:sz w:val="18"/>
                <w:szCs w:val="18"/>
              </w:rPr>
              <w:t>0</w:t>
            </w:r>
            <w:r>
              <w:rPr>
                <w:rFonts w:ascii="Times New Roman" w:hAnsi="Times New Roman" w:cs="Times New Roman"/>
                <w:color w:val="auto"/>
                <w:sz w:val="18"/>
                <w:szCs w:val="18"/>
                <w:lang w:eastAsia="zh-CN"/>
              </w:rPr>
              <w:t>3</w:t>
            </w:r>
            <w:r>
              <w:rPr>
                <w:rFonts w:ascii="Times New Roman" w:hAnsi="Times New Roman" w:cs="Times New Roman"/>
                <w:color w:val="auto"/>
                <w:sz w:val="18"/>
                <w:szCs w:val="18"/>
              </w:rPr>
              <w:t>1</w:t>
            </w:r>
          </w:p>
        </w:tc>
        <w:tc>
          <w:tcPr>
            <w:tcW w:w="241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20.0</w:t>
            </w:r>
          </w:p>
        </w:tc>
        <w:tc>
          <w:tcPr>
            <w:tcW w:w="176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98</w:t>
            </w:r>
            <w:r>
              <w:rPr>
                <w:rFonts w:ascii="Times New Roman" w:hAnsi="Times New Roman" w:cs="Times New Roman"/>
                <w:color w:val="auto"/>
                <w:sz w:val="18"/>
                <w:szCs w:val="18"/>
                <w:lang w:eastAsia="zh-CN"/>
              </w:rPr>
              <w:t>%</w:t>
            </w:r>
          </w:p>
        </w:tc>
      </w:tr>
      <w:tr>
        <w:tblPrEx>
          <w:tblCellMar>
            <w:top w:w="0" w:type="dxa"/>
            <w:left w:w="108" w:type="dxa"/>
            <w:bottom w:w="0" w:type="dxa"/>
            <w:right w:w="108" w:type="dxa"/>
          </w:tblCellMar>
        </w:tblPrEx>
        <w:trPr>
          <w:jc w:val="center"/>
        </w:trPr>
        <w:tc>
          <w:tcPr>
            <w:tcW w:w="16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天然气</w:t>
            </w:r>
          </w:p>
        </w:tc>
        <w:tc>
          <w:tcPr>
            <w:tcW w:w="268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kern w:val="2"/>
                <w:sz w:val="18"/>
                <w:szCs w:val="18"/>
              </w:rPr>
            </w:pPr>
            <w:r>
              <w:rPr>
                <w:rFonts w:ascii="Times New Roman" w:hAnsi="Times New Roman" w:cs="Times New Roman"/>
                <w:color w:val="auto"/>
                <w:sz w:val="18"/>
                <w:szCs w:val="18"/>
              </w:rPr>
              <w:t>3</w:t>
            </w:r>
            <w:r>
              <w:rPr>
                <w:rFonts w:ascii="Times New Roman" w:hAnsi="Times New Roman" w:cs="Times New Roman"/>
                <w:color w:val="auto"/>
                <w:sz w:val="18"/>
                <w:szCs w:val="18"/>
                <w:lang w:eastAsia="zh-CN"/>
              </w:rPr>
              <w:t>89</w:t>
            </w:r>
            <w:r>
              <w:rPr>
                <w:rFonts w:ascii="Times New Roman" w:hAnsi="Times New Roman" w:cs="Times New Roman"/>
                <w:color w:val="auto"/>
                <w:sz w:val="18"/>
                <w:szCs w:val="18"/>
              </w:rPr>
              <w:t>.</w:t>
            </w:r>
            <w:r>
              <w:rPr>
                <w:rFonts w:ascii="Times New Roman" w:hAnsi="Times New Roman" w:cs="Times New Roman"/>
                <w:color w:val="auto"/>
                <w:sz w:val="18"/>
                <w:szCs w:val="18"/>
                <w:lang w:eastAsia="zh-CN"/>
              </w:rPr>
              <w:t>31</w:t>
            </w:r>
          </w:p>
        </w:tc>
        <w:tc>
          <w:tcPr>
            <w:tcW w:w="241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15.3</w:t>
            </w:r>
          </w:p>
        </w:tc>
        <w:tc>
          <w:tcPr>
            <w:tcW w:w="176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rPr>
            </w:pPr>
            <w:r>
              <w:rPr>
                <w:rFonts w:ascii="Times New Roman" w:hAnsi="Times New Roman" w:cs="Times New Roman"/>
                <w:color w:val="auto"/>
                <w:sz w:val="18"/>
                <w:szCs w:val="18"/>
              </w:rPr>
              <w:t>9</w:t>
            </w:r>
            <w:r>
              <w:rPr>
                <w:rFonts w:ascii="Times New Roman" w:hAnsi="Times New Roman" w:cs="Times New Roman"/>
                <w:color w:val="auto"/>
                <w:sz w:val="18"/>
                <w:szCs w:val="18"/>
                <w:lang w:eastAsia="zh-CN"/>
              </w:rPr>
              <w:t>9%</w:t>
            </w:r>
          </w:p>
        </w:tc>
      </w:tr>
      <w:tr>
        <w:tblPrEx>
          <w:tblCellMar>
            <w:top w:w="0" w:type="dxa"/>
            <w:left w:w="108" w:type="dxa"/>
            <w:bottom w:w="0" w:type="dxa"/>
            <w:right w:w="108" w:type="dxa"/>
          </w:tblCellMar>
        </w:tblPrEx>
        <w:trPr>
          <w:jc w:val="center"/>
        </w:trPr>
        <w:tc>
          <w:tcPr>
            <w:tcW w:w="1652"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其他</w:t>
            </w:r>
          </w:p>
        </w:tc>
        <w:tc>
          <w:tcPr>
            <w:tcW w:w="268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p>
        </w:tc>
        <w:tc>
          <w:tcPr>
            <w:tcW w:w="2416"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lang w:eastAsia="zh-CN"/>
              </w:rPr>
              <w:t>12.2</w:t>
            </w:r>
          </w:p>
        </w:tc>
        <w:tc>
          <w:tcPr>
            <w:tcW w:w="1767" w:type="dxa"/>
            <w:tcBorders>
              <w:top w:val="single" w:color="auto" w:sz="4" w:space="0"/>
              <w:left w:val="single" w:color="auto" w:sz="4" w:space="0"/>
              <w:bottom w:val="single" w:color="auto" w:sz="4" w:space="0"/>
              <w:right w:val="single" w:color="auto" w:sz="4" w:space="0"/>
            </w:tcBorders>
            <w:vAlign w:val="center"/>
          </w:tcPr>
          <w:p>
            <w:pPr>
              <w:pStyle w:val="55"/>
              <w:snapToGrid w:val="0"/>
              <w:spacing w:line="320" w:lineRule="atLeast"/>
              <w:ind w:firstLine="268"/>
              <w:jc w:val="center"/>
              <w:rPr>
                <w:rFonts w:ascii="Times New Roman" w:hAnsi="Times New Roman" w:cs="Times New Roman"/>
                <w:color w:val="auto"/>
                <w:sz w:val="18"/>
                <w:szCs w:val="18"/>
                <w:lang w:eastAsia="zh-CN"/>
              </w:rPr>
            </w:pPr>
            <w:r>
              <w:rPr>
                <w:rFonts w:ascii="Times New Roman" w:hAnsi="Times New Roman" w:cs="Times New Roman"/>
                <w:color w:val="auto"/>
                <w:sz w:val="18"/>
                <w:szCs w:val="18"/>
              </w:rPr>
              <w:t>9</w:t>
            </w:r>
            <w:r>
              <w:rPr>
                <w:rFonts w:ascii="Times New Roman" w:hAnsi="Times New Roman" w:cs="Times New Roman"/>
                <w:color w:val="auto"/>
                <w:sz w:val="18"/>
                <w:szCs w:val="18"/>
                <w:lang w:eastAsia="zh-CN"/>
              </w:rPr>
              <w:t>9%</w:t>
            </w:r>
          </w:p>
        </w:tc>
      </w:tr>
    </w:tbl>
    <w:p>
      <w:pPr>
        <w:adjustRightInd w:val="0"/>
        <w:snapToGrid w:val="0"/>
        <w:ind w:left="420" w:firstLine="0" w:firstLineChars="0"/>
        <w:rPr>
          <w:rFonts w:ascii="Times New Roman" w:hAnsi="Times New Roman"/>
          <w:sz w:val="21"/>
          <w:szCs w:val="21"/>
        </w:rPr>
      </w:pPr>
      <w:r>
        <w:rPr>
          <w:rFonts w:ascii="Times New Roman" w:hAnsi="Times New Roman"/>
          <w:sz w:val="21"/>
          <w:szCs w:val="21"/>
        </w:rPr>
        <w:t>注：</w:t>
      </w:r>
      <w:r>
        <w:rPr>
          <w:rFonts w:hint="eastAsia" w:ascii="Times New Roman" w:hAnsi="Times New Roman"/>
          <w:sz w:val="21"/>
          <w:szCs w:val="21"/>
        </w:rPr>
        <w:t xml:space="preserve">1) </w:t>
      </w:r>
      <w:r>
        <w:rPr>
          <w:rFonts w:ascii="Times New Roman" w:hAnsi="Times New Roman"/>
          <w:sz w:val="21"/>
          <w:szCs w:val="21"/>
        </w:rPr>
        <w:t>石油焦和其他油品的低位热值来源于《万家企业能源利用状况》，其他燃料的低位热值来源于《中国温室气体清单研究》</w:t>
      </w:r>
      <w:r>
        <w:rPr>
          <w:rFonts w:hint="eastAsia" w:ascii="Times New Roman" w:hAnsi="Times New Roman"/>
          <w:sz w:val="21"/>
          <w:szCs w:val="21"/>
          <w:lang w:eastAsia="zh-CN"/>
        </w:rPr>
        <w:t>，</w:t>
      </w:r>
      <w:r>
        <w:rPr>
          <w:rFonts w:ascii="Times New Roman" w:hAnsi="Times New Roman"/>
          <w:sz w:val="21"/>
          <w:szCs w:val="21"/>
        </w:rPr>
        <w:t>焦炉煤气、其他煤气和天然气的单位为GJ/万Nm</w:t>
      </w:r>
      <w:r>
        <w:rPr>
          <w:rFonts w:ascii="Times New Roman" w:hAnsi="Times New Roman"/>
          <w:sz w:val="21"/>
          <w:szCs w:val="21"/>
          <w:vertAlign w:val="superscript"/>
        </w:rPr>
        <w:t>3</w:t>
      </w:r>
      <w:r>
        <w:rPr>
          <w:rFonts w:ascii="Times New Roman" w:hAnsi="Times New Roman"/>
          <w:sz w:val="21"/>
          <w:szCs w:val="21"/>
        </w:rPr>
        <w:t>，其他热值单位为GJ/t；</w:t>
      </w:r>
    </w:p>
    <w:p>
      <w:pPr>
        <w:adjustRightInd w:val="0"/>
        <w:snapToGrid w:val="0"/>
        <w:ind w:left="420" w:firstLine="0" w:firstLineChars="0"/>
        <w:rPr>
          <w:rFonts w:ascii="Times New Roman" w:hAnsi="Times New Roman"/>
          <w:sz w:val="21"/>
          <w:szCs w:val="21"/>
        </w:rPr>
      </w:pPr>
      <w:r>
        <w:rPr>
          <w:rFonts w:hint="eastAsia" w:ascii="Times New Roman" w:hAnsi="Times New Roman"/>
          <w:sz w:val="21"/>
          <w:szCs w:val="21"/>
        </w:rPr>
        <w:t xml:space="preserve">2) </w:t>
      </w:r>
      <w:r>
        <w:rPr>
          <w:rFonts w:ascii="Times New Roman" w:hAnsi="Times New Roman"/>
          <w:sz w:val="21"/>
          <w:szCs w:val="21"/>
        </w:rPr>
        <w:t>单位热值含碳量缺省值和碳氧化率缺省值来源于《省级温室气体清单指南（试行）》</w:t>
      </w:r>
      <w:r>
        <w:rPr>
          <w:rFonts w:hint="eastAsia" w:ascii="Times New Roman" w:hAnsi="Times New Roman"/>
          <w:sz w:val="21"/>
          <w:szCs w:val="21"/>
        </w:rPr>
        <w:t>；3）以上缺省值将根据北京市实际抽样调查情况，由市生态环境</w:t>
      </w:r>
      <w:r>
        <w:rPr>
          <w:rFonts w:ascii="Times New Roman" w:hAnsi="Times New Roman"/>
          <w:sz w:val="21"/>
          <w:szCs w:val="21"/>
        </w:rPr>
        <w:t>局</w:t>
      </w:r>
      <w:r>
        <w:rPr>
          <w:rFonts w:hint="eastAsia" w:ascii="Times New Roman" w:hAnsi="Times New Roman"/>
          <w:sz w:val="21"/>
          <w:szCs w:val="21"/>
        </w:rPr>
        <w:t>定时发布更新。</w:t>
      </w:r>
    </w:p>
    <w:p>
      <w:pPr>
        <w:pStyle w:val="51"/>
        <w:adjustRightInd w:val="0"/>
        <w:snapToGrid w:val="0"/>
        <w:ind w:firstLine="0" w:firstLineChars="0"/>
        <w:jc w:val="center"/>
        <w:rPr>
          <w:rFonts w:ascii="Times New Roman" w:hAnsi="Times New Roman"/>
          <w:szCs w:val="21"/>
        </w:rPr>
      </w:pPr>
    </w:p>
    <w:p>
      <w:pPr>
        <w:bidi w:val="0"/>
      </w:pPr>
    </w:p>
    <w:p>
      <w:pPr>
        <w:bidi w:val="0"/>
      </w:pPr>
    </w:p>
    <w:p>
      <w:pPr>
        <w:bidi w:val="0"/>
      </w:pPr>
    </w:p>
    <w:p>
      <w:pPr>
        <w:bidi w:val="0"/>
      </w:pPr>
    </w:p>
    <w:p>
      <w:pPr>
        <w:bidi w:val="0"/>
      </w:pPr>
    </w:p>
    <w:p>
      <w:pPr>
        <w:bidi w:val="0"/>
      </w:pPr>
    </w:p>
    <w:p>
      <w:pPr>
        <w:bidi w:val="0"/>
      </w:pPr>
    </w:p>
    <w:p>
      <w:pPr>
        <w:bidi w:val="0"/>
      </w:pPr>
    </w:p>
    <w:p>
      <w:pPr>
        <w:tabs>
          <w:tab w:val="left" w:pos="6190"/>
        </w:tabs>
        <w:bidi w:val="0"/>
        <w:jc w:val="left"/>
        <w:rPr>
          <w:rFonts w:hint="eastAsia" w:eastAsia="宋体"/>
          <w:lang w:eastAsia="zh-CN"/>
        </w:rPr>
      </w:pPr>
      <w:r>
        <w:rPr>
          <w:rFonts w:hint="eastAsia"/>
          <w:lang w:eastAsia="zh-CN"/>
        </w:rPr>
        <w:tab/>
      </w:r>
    </w:p>
    <w:sectPr>
      <w:headerReference r:id="rId29" w:type="first"/>
      <w:footerReference r:id="rId32" w:type="first"/>
      <w:footerReference r:id="rId30" w:type="default"/>
      <w:headerReference r:id="rId28" w:type="even"/>
      <w:footerReference r:id="rId31" w:type="even"/>
      <w:pgSz w:w="11906" w:h="16838"/>
      <w:pgMar w:top="2098" w:right="1474" w:bottom="1984" w:left="1587" w:header="851" w:footer="1587" w:gutter="0"/>
      <w:paperSrc/>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357"/>
      </w:pPr>
      <w:r>
        <w:separator/>
      </w:r>
    </w:p>
  </w:endnote>
  <w:endnote w:type="continuationSeparator" w:id="1">
    <w:p>
      <w:pPr>
        <w:spacing w:line="240" w:lineRule="auto"/>
        <w:ind w:firstLin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jc w:val="center"/>
    </w:pPr>
    <w:r>
      <w:rPr>
        <w:sz w:val="18"/>
      </w:rPr>
      <w:pict>
        <v:shape id="_x0000_s2049" o:spid="_x0000_s2049" o:spt="202" type="#_x0000_t202" style="position:absolute;left:0pt;margin-top:0pt;height:144pt;width:77.5pt;mso-position-horizontal:outside;mso-position-horizontal-relative:margin;z-index:251659264;mso-width-relative:page;mso-height-relative:page;" filled="f" stroked="f" coordsize="21600,21600">
          <v:path/>
          <v:fill on="f" focussize="0,0"/>
          <v:stroke on="f"/>
          <v:imagedata o:title=""/>
          <o:lock v:ext="edit" aspectratio="f"/>
          <v:textbox inset="0mm,0mm,0mm,0mm" style="mso-fit-shape-to-text:t;">
            <w:txbxContent>
              <w:p>
                <w:pPr>
                  <w:pStyle w:val="15"/>
                  <w:ind w:left="0" w:leftChars="0" w:firstLine="0" w:firstLineChars="0"/>
                  <w:jc w:val="both"/>
                  <w:rPr>
                    <w:rFonts w:hint="eastAsia" w:ascii="宋体" w:hAnsi="宋体" w:eastAsia="宋体" w:cs="宋体"/>
                    <w:sz w:val="28"/>
                    <w:szCs w:val="28"/>
                    <w:lang w:val="en-US" w:eastAsia="zh-CN"/>
                  </w:rPr>
                </w:pPr>
                <w:r>
                  <w:rPr>
                    <w:rFonts w:hint="eastAsia" w:cs="宋体"/>
                    <w:sz w:val="28"/>
                    <w:szCs w:val="28"/>
                    <w:lang w:eastAsia="zh-CN"/>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jc w:val="center"/>
    </w:pPr>
    <w:r>
      <w:rPr>
        <w:sz w:val="18"/>
      </w:rPr>
      <w:pict>
        <v:shape id="_x0000_s2058" o:spid="_x0000_s2058" o:spt="202" type="#_x0000_t202" style="position:absolute;left:0pt;margin-top:0pt;height:144pt;width:62.55pt;mso-position-horizontal:outside;mso-position-horizontal-relative:margin;z-index:251668480;mso-width-relative:page;mso-height-relative:page;" filled="f" stroked="f" coordsize="21600,21600">
          <v:path/>
          <v:fill on="f" focussize="0,0"/>
          <v:stroke on="f"/>
          <v:imagedata o:title=""/>
          <o:lock v:ext="edit" aspectratio="f"/>
          <v:textbox inset="0mm,0mm,0mm,0mm" style="mso-fit-shape-to-text:t;">
            <w:txbxContent>
              <w:p>
                <w:pPr>
                  <w:pStyle w:val="15"/>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jc w:val="center"/>
    </w:pPr>
    <w:r>
      <w:rPr>
        <w:sz w:val="18"/>
      </w:rPr>
      <w:pict>
        <v:shape id="_x0000_s2057" o:spid="_x0000_s2057" o:spt="202" type="#_x0000_t202" style="position:absolute;left:0pt;margin-top:0pt;height:144pt;width:62.55pt;mso-position-horizontal:outside;mso-position-horizontal-relative:margin;z-index:251667456;mso-width-relative:page;mso-height-relative:page;" filled="f" stroked="f" coordsize="21600,21600">
          <v:path/>
          <v:fill on="f" focussize="0,0"/>
          <v:stroke on="f"/>
          <v:imagedata o:title=""/>
          <o:lock v:ext="edit" aspectratio="f"/>
          <v:textbox inset="0mm,0mm,0mm,0mm" style="mso-fit-shape-to-text:t;">
            <w:txbxContent>
              <w:p>
                <w:pPr>
                  <w:pStyle w:val="15"/>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jc w:val="center"/>
    </w:pPr>
    <w:r>
      <w:rPr>
        <w:sz w:val="18"/>
      </w:rPr>
      <w:pict>
        <v:shape id="_x0000_s2056" o:spid="_x0000_s2056" o:spt="202" type="#_x0000_t202" style="position:absolute;left:0pt;margin-top:0pt;height:144pt;width:77.5pt;mso-position-horizontal:outside;mso-position-horizontal-relative:margin;z-index:251666432;mso-width-relative:page;mso-height-relative:page;" filled="f" stroked="f" coordsize="21600,21600">
          <v:path/>
          <v:fill on="f" focussize="0,0"/>
          <v:stroke on="f"/>
          <v:imagedata o:title=""/>
          <o:lock v:ext="edit" aspectratio="f"/>
          <v:textbox inset="0mm,0mm,0mm,0mm" style="mso-fit-shape-to-text:t;">
            <w:txbxContent>
              <w:p>
                <w:pPr>
                  <w:pStyle w:val="15"/>
                  <w:ind w:left="0" w:leftChars="0" w:firstLine="0" w:firstLineChars="0"/>
                  <w:jc w:val="both"/>
                  <w:rPr>
                    <w:rFonts w:hint="eastAsia" w:ascii="宋体" w:hAnsi="宋体" w:eastAsia="宋体" w:cs="宋体"/>
                    <w:sz w:val="28"/>
                    <w:szCs w:val="28"/>
                    <w:lang w:val="en-US" w:eastAsia="zh-CN"/>
                  </w:rPr>
                </w:pPr>
                <w:r>
                  <w:rPr>
                    <w:rFonts w:hint="eastAsia" w:cs="宋体"/>
                    <w:sz w:val="28"/>
                    <w:szCs w:val="28"/>
                    <w:lang w:eastAsia="zh-CN"/>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jc w:val="center"/>
    </w:pPr>
    <w:r>
      <w:rPr>
        <w:sz w:val="18"/>
      </w:rPr>
      <w:pict>
        <v:shape id="_x0000_s2062" o:spid="_x0000_s2062" o:spt="202" type="#_x0000_t202" style="position:absolute;left:0pt;margin-top:0pt;height:144pt;width:77.5pt;mso-position-horizontal:outside;mso-position-horizontal-relative:margin;z-index:251672576;mso-width-relative:page;mso-height-relative:page;" filled="f" stroked="f" coordsize="21600,21600">
          <v:path/>
          <v:fill on="f" focussize="0,0"/>
          <v:stroke on="f"/>
          <v:imagedata o:title=""/>
          <o:lock v:ext="edit" aspectratio="f"/>
          <v:textbox inset="0mm,0mm,0mm,0mm" style="mso-fit-shape-to-text:t;">
            <w:txbxContent>
              <w:p>
                <w:pPr>
                  <w:pStyle w:val="15"/>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jc w:val="center"/>
    </w:pPr>
    <w:r>
      <w:rPr>
        <w:sz w:val="18"/>
      </w:rPr>
      <w:pict>
        <v:shape id="_x0000_s2061" o:spid="_x0000_s2061" o:spt="202" type="#_x0000_t202" style="position:absolute;left:0pt;margin-top:0pt;height:21pt;width:61pt;mso-position-horizontal:outside;mso-position-horizontal-relative:margin;z-index:251671552;mso-width-relative:page;mso-height-relative:page;" filled="f" stroked="f" coordsize="21600,21600">
          <v:path/>
          <v:fill on="f" focussize="0,0"/>
          <v:stroke on="f"/>
          <v:imagedata o:title=""/>
          <o:lock v:ext="edit" aspectratio="f"/>
          <v:textbox inset="0mm,0mm,0mm,0mm">
            <w:txbxContent>
              <w:p>
                <w:pPr>
                  <w:pStyle w:val="15"/>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jc w:val="center"/>
    </w:pPr>
    <w:r>
      <w:rPr>
        <w:sz w:val="18"/>
      </w:rPr>
      <w:pict>
        <v:shape id="_x0000_s2050" o:spid="_x0000_s2050" o:spt="202" type="#_x0000_t202" style="position:absolute;left:0pt;margin-top:0pt;height:21pt;width:82.7pt;mso-position-horizontal:outside;mso-position-horizontal-relative:margin;z-index:251660288;mso-width-relative:page;mso-height-relative:page;" filled="f" stroked="f" coordsize="21600,21600">
          <v:path/>
          <v:fill on="f" focussize="0,0"/>
          <v:stroke on="f"/>
          <v:imagedata o:title=""/>
          <o:lock v:ext="edit" aspectratio="f"/>
          <v:textbox inset="0mm,0mm,0mm,0mm">
            <w:txbxContent>
              <w:p>
                <w:pPr>
                  <w:pStyle w:val="15"/>
                  <w:ind w:left="0" w:leftChars="0" w:firstLine="0" w:firstLineChars="0"/>
                  <w:jc w:val="both"/>
                  <w:rPr>
                    <w:rFonts w:hint="eastAsia" w:eastAsia="宋体"/>
                    <w:sz w:val="28"/>
                    <w:szCs w:val="28"/>
                    <w:lang w:val="en-US" w:eastAsia="zh-CN"/>
                  </w:rPr>
                </w:pPr>
                <w:r>
                  <w:rPr>
                    <w:rFonts w:hint="eastAsia"/>
                    <w:sz w:val="28"/>
                    <w:szCs w:val="28"/>
                    <w:lang w:eastAsia="zh-CN"/>
                  </w:rPr>
                  <w:t>　－</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32</w:t>
                </w:r>
                <w:r>
                  <w:rPr>
                    <w:sz w:val="28"/>
                    <w:szCs w:val="28"/>
                  </w:rPr>
                  <w:fldChar w:fldCharType="end"/>
                </w:r>
                <w:r>
                  <w:rPr>
                    <w:rFonts w:hint="eastAsia"/>
                    <w:sz w:val="28"/>
                    <w:szCs w:val="28"/>
                    <w:lang w:val="en-US" w:eastAsia="zh-CN"/>
                  </w:rPr>
                  <w:t xml:space="preserve"> －</w:t>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rPr>
        <w:rStyle w:val="30"/>
      </w:rPr>
    </w:pPr>
    <w:r>
      <w:fldChar w:fldCharType="begin"/>
    </w:r>
    <w:r>
      <w:rPr>
        <w:rStyle w:val="30"/>
      </w:rPr>
      <w:instrText xml:space="preserve">PAGE  </w:instrText>
    </w:r>
    <w:r>
      <w:fldChar w:fldCharType="end"/>
    </w:r>
  </w:p>
  <w:p>
    <w:pPr>
      <w:pStyle w:val="15"/>
      <w:ind w:firstLine="268"/>
    </w:pPr>
  </w:p>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jc w:val="center"/>
    </w:pPr>
    <w:r>
      <w:rPr>
        <w:sz w:val="18"/>
      </w:rPr>
      <w:pict>
        <v:shape id="_x0000_s2063" o:spid="_x0000_s2063" o:spt="202" type="#_x0000_t202" style="position:absolute;left:0pt;margin-top:0pt;height:21pt;width:82.7pt;mso-position-horizontal:outside;mso-position-horizontal-relative:margin;z-index:251673600;mso-width-relative:page;mso-height-relative:page;" filled="f" stroked="f" coordsize="21600,21600">
          <v:path/>
          <v:fill on="f" focussize="0,0"/>
          <v:stroke on="f"/>
          <v:imagedata o:title=""/>
          <o:lock v:ext="edit" aspectratio="f"/>
          <v:textbox inset="0mm,0mm,0mm,0mm">
            <w:txbxContent>
              <w:p>
                <w:pPr>
                  <w:pStyle w:val="15"/>
                  <w:ind w:left="0" w:leftChars="0" w:firstLine="0" w:firstLineChars="0"/>
                  <w:jc w:val="both"/>
                  <w:rPr>
                    <w:rFonts w:hint="eastAsia" w:eastAsia="宋体"/>
                    <w:sz w:val="28"/>
                    <w:szCs w:val="28"/>
                    <w:lang w:val="en-US" w:eastAsia="zh-CN"/>
                  </w:rPr>
                </w:pPr>
                <w:r>
                  <w:rPr>
                    <w:rFonts w:hint="eastAsia"/>
                    <w:sz w:val="28"/>
                    <w:szCs w:val="28"/>
                    <w:lang w:eastAsia="zh-CN"/>
                  </w:rPr>
                  <w:t>　－</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32</w:t>
                </w:r>
                <w:r>
                  <w:rPr>
                    <w:sz w:val="28"/>
                    <w:szCs w:val="28"/>
                  </w:rPr>
                  <w:fldChar w:fldCharType="end"/>
                </w:r>
                <w:r>
                  <w:rPr>
                    <w:rFonts w:hint="eastAsia"/>
                    <w:sz w:val="28"/>
                    <w:szCs w:val="28"/>
                    <w:lang w:val="en-US" w:eastAsia="zh-CN"/>
                  </w:rPr>
                  <w:t xml:space="preserve"> －</w:t>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jc w:val="center"/>
    </w:pPr>
    <w:r>
      <w:rPr>
        <w:sz w:val="18"/>
      </w:rPr>
      <w:pict>
        <v:shape id="_x0000_s2051" o:spid="_x0000_s2051" o:spt="202" type="#_x0000_t202" style="position:absolute;left:0pt;margin-top:0pt;height:21pt;width:84.3pt;mso-position-horizontal:outside;mso-position-horizontal-relative:margin;z-index:251661312;mso-width-relative:page;mso-height-relative:page;" filled="f" stroked="f" coordsize="21600,21600">
          <v:path/>
          <v:fill on="f" focussize="0,0"/>
          <v:stroke on="f"/>
          <v:imagedata o:title=""/>
          <o:lock v:ext="edit" aspectratio="f"/>
          <v:textbox inset="0mm,0mm,0mm,0mm">
            <w:txbxContent>
              <w:p>
                <w:pPr>
                  <w:pStyle w:val="15"/>
                  <w:ind w:firstLine="268"/>
                  <w:jc w:val="both"/>
                  <w:rPr>
                    <w:rFonts w:hint="default"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36</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rPr>
        <w:rStyle w:val="30"/>
      </w:rPr>
    </w:pPr>
    <w:r>
      <w:fldChar w:fldCharType="begin"/>
    </w:r>
    <w:r>
      <w:rPr>
        <w:rStyle w:val="30"/>
      </w:rPr>
      <w:instrText xml:space="preserve">PAGE  </w:instrText>
    </w:r>
    <w:r>
      <w:fldChar w:fldCharType="end"/>
    </w:r>
  </w:p>
  <w:p>
    <w:pPr>
      <w:pStyle w:val="15"/>
      <w:ind w:firstLine="268"/>
    </w:pPr>
  </w:p>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rPr>
        <w:rStyle w:val="30"/>
      </w:rPr>
    </w:pPr>
    <w:r>
      <w:fldChar w:fldCharType="begin"/>
    </w:r>
    <w:r>
      <w:rPr>
        <w:rStyle w:val="30"/>
      </w:rPr>
      <w:instrText xml:space="preserve">PAGE  </w:instrText>
    </w:r>
    <w:r>
      <w:fldChar w:fldCharType="end"/>
    </w:r>
  </w:p>
  <w:p>
    <w:pPr>
      <w:pStyle w:val="15"/>
      <w:ind w:firstLine="268"/>
    </w:pPr>
  </w:p>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jc w:val="center"/>
    </w:pPr>
    <w:r>
      <w:rPr>
        <w:sz w:val="18"/>
      </w:rPr>
      <w:pict>
        <v:shape id="_x0000_s2053" o:spid="_x0000_s2053" o:spt="202" type="#_x0000_t202" style="position:absolute;left:0pt;margin-top:0pt;height:144pt;width:53.5pt;mso-position-horizontal:outside;mso-position-horizontal-relative:margin;z-index:251663360;mso-width-relative:page;mso-height-relative:page;" filled="f" stroked="f" coordsize="21600,21600">
          <v:path/>
          <v:fill on="f" focussize="0,0"/>
          <v:stroke on="f"/>
          <v:imagedata o:title=""/>
          <o:lock v:ext="edit" aspectratio="f"/>
          <v:textbox inset="0mm,0mm,0mm,0mm" style="mso-fit-shape-to-text:t;">
            <w:txbxContent>
              <w:p>
                <w:pPr>
                  <w:pStyle w:val="15"/>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jc w:val="center"/>
    </w:pPr>
    <w:r>
      <w:rPr>
        <w:sz w:val="18"/>
      </w:rPr>
      <w:pict>
        <v:shape id="_x0000_s2052" o:spid="_x0000_s2052" o:spt="202" type="#_x0000_t202" style="position:absolute;left:0pt;margin-top:0pt;height:21.75pt;width:63.95pt;mso-position-horizontal:outside;mso-position-horizontal-relative:margin;z-index:251662336;mso-width-relative:page;mso-height-relative:page;" filled="f" stroked="f" coordsize="21600,21600">
          <v:path/>
          <v:fill on="f" focussize="0,0"/>
          <v:stroke on="f"/>
          <v:imagedata o:title=""/>
          <o:lock v:ext="edit" aspectratio="f"/>
          <v:textbox inset="0mm,0mm,0mm,0mm">
            <w:txbxContent>
              <w:p>
                <w:pPr>
                  <w:pStyle w:val="15"/>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jc w:val="center"/>
    </w:pPr>
    <w:r>
      <w:rPr>
        <w:sz w:val="18"/>
      </w:rPr>
      <w:pict>
        <v:shape id="_x0000_s2054" o:spid="_x0000_s2054" o:spt="202" type="#_x0000_t202" style="position:absolute;left:0pt;margin-top:0pt;height:21pt;width:62.55pt;mso-position-horizontal:outside;mso-position-horizontal-relative:margin;z-index:251664384;mso-width-relative:page;mso-height-relative:page;" filled="f" stroked="f" coordsize="21600,21600">
          <v:path/>
          <v:fill on="f" focussize="0,0"/>
          <v:stroke on="f"/>
          <v:imagedata o:title=""/>
          <o:lock v:ext="edit" aspectratio="f"/>
          <v:textbox inset="0mm,0mm,0mm,0mm">
            <w:txbxContent>
              <w:p>
                <w:pPr>
                  <w:pStyle w:val="15"/>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jc w:val="center"/>
    </w:pPr>
    <w:r>
      <w:rPr>
        <w:sz w:val="18"/>
      </w:rPr>
      <w:pict>
        <v:shape id="_x0000_s2055" o:spid="_x0000_s2055" o:spt="202" type="#_x0000_t202" style="position:absolute;left:0pt;margin-top:0pt;height:144pt;width:77.5pt;mso-position-horizontal:outside;mso-position-horizontal-relative:margin;z-index:251665408;mso-width-relative:page;mso-height-relative:page;" filled="f" stroked="f" coordsize="21600,21600">
          <v:path/>
          <v:fill on="f" focussize="0,0"/>
          <v:stroke on="f"/>
          <v:imagedata o:title=""/>
          <o:lock v:ext="edit" aspectratio="f"/>
          <v:textbox inset="0mm,0mm,0mm,0mm" style="mso-fit-shape-to-text:t;">
            <w:txbxContent>
              <w:p>
                <w:pPr>
                  <w:pStyle w:val="15"/>
                  <w:ind w:left="0" w:leftChars="0" w:firstLine="0" w:firstLineChars="0"/>
                  <w:jc w:val="both"/>
                  <w:rPr>
                    <w:rFonts w:hint="eastAsia" w:ascii="宋体" w:hAnsi="宋体" w:eastAsia="宋体" w:cs="宋体"/>
                    <w:sz w:val="28"/>
                    <w:szCs w:val="28"/>
                    <w:lang w:val="en-US" w:eastAsia="zh-CN"/>
                  </w:rPr>
                </w:pPr>
                <w:r>
                  <w:rPr>
                    <w:rFonts w:hint="eastAsia" w:cs="宋体"/>
                    <w:sz w:val="28"/>
                    <w:szCs w:val="28"/>
                    <w:lang w:eastAsia="zh-CN"/>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jc w:val="center"/>
    </w:pPr>
    <w:r>
      <w:rPr>
        <w:sz w:val="18"/>
      </w:rPr>
      <w:pict>
        <v:shape id="_x0000_s2060" o:spid="_x0000_s2060" o:spt="202" type="#_x0000_t202" style="position:absolute;left:0pt;margin-top:0pt;height:144pt;width:60.3pt;mso-position-horizontal:outside;mso-position-horizontal-relative:margin;z-index:251670528;mso-width-relative:page;mso-height-relative:page;" filled="f" stroked="f" coordsize="21600,21600">
          <v:path/>
          <v:fill on="f" focussize="0,0"/>
          <v:stroke on="f"/>
          <v:imagedata o:title=""/>
          <o:lock v:ext="edit" aspectratio="f"/>
          <v:textbox inset="0mm,0mm,0mm,0mm" style="mso-fit-shape-to-text:t;">
            <w:txbxContent>
              <w:p>
                <w:pPr>
                  <w:pStyle w:val="15"/>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68"/>
      <w:jc w:val="center"/>
    </w:pPr>
    <w:r>
      <w:rPr>
        <w:sz w:val="18"/>
      </w:rPr>
      <w:pict>
        <v:shape id="_x0000_s2059" o:spid="_x0000_s2059" o:spt="202" type="#_x0000_t202" style="position:absolute;left:0pt;margin-top:0pt;height:144pt;width:64.05pt;mso-position-horizontal:outside;mso-position-horizontal-relative:margin;z-index:251669504;mso-width-relative:page;mso-height-relative:page;" filled="f" stroked="f" coordsize="21600,21600">
          <v:path/>
          <v:fill on="f" focussize="0,0"/>
          <v:stroke on="f"/>
          <v:imagedata o:title=""/>
          <o:lock v:ext="edit" aspectratio="f"/>
          <v:textbox inset="0mm,0mm,0mm,0mm" style="mso-fit-shape-to-text:t;">
            <w:txbxContent>
              <w:p>
                <w:pPr>
                  <w:pStyle w:val="15"/>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357"/>
      </w:pPr>
      <w:r>
        <w:separator/>
      </w:r>
    </w:p>
  </w:footnote>
  <w:footnote w:type="continuationSeparator" w:id="1">
    <w:p>
      <w:pPr>
        <w:spacing w:line="240" w:lineRule="auto"/>
        <w:ind w:firstLine="35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ind w:firstLine="26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268"/>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ind w:firstLine="26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268"/>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26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268"/>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2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961783"/>
    <w:multiLevelType w:val="multilevel"/>
    <w:tmpl w:val="2D961783"/>
    <w:lvl w:ilvl="0" w:tentative="0">
      <w:start w:val="1"/>
      <w:numFmt w:val="decimal"/>
      <w:lvlText w:val="%1."/>
      <w:lvlJc w:val="left"/>
      <w:pPr>
        <w:ind w:left="1637"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0">
      <w:start w:val="1"/>
      <w:numFmt w:val="decimalEnclosedCircle"/>
      <w:lvlText w:val="%2"/>
      <w:lvlJc w:val="left"/>
      <w:pPr>
        <w:ind w:left="1260" w:hanging="360"/>
      </w:pPr>
      <w:rPr>
        <w:rFonts w:hint="default"/>
      </w:rPr>
    </w:lvl>
    <w:lvl w:ilvl="2" w:tentative="0">
      <w:start w:val="1"/>
      <w:numFmt w:val="bullet"/>
      <w:lvlText w:val="-"/>
      <w:lvlJc w:val="left"/>
      <w:pPr>
        <w:ind w:left="1680" w:hanging="360"/>
      </w:pPr>
      <w:rPr>
        <w:rFonts w:hint="eastAsia" w:ascii="宋体" w:hAnsi="宋体" w:eastAsia="宋体" w:cs="Times New Roman"/>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422A7F82"/>
    <w:multiLevelType w:val="multilevel"/>
    <w:tmpl w:val="422A7F82"/>
    <w:lvl w:ilvl="0" w:tentative="0">
      <w:start w:val="1"/>
      <w:numFmt w:val="japaneseCounting"/>
      <w:pStyle w:val="2"/>
      <w:lvlText w:val="%1、"/>
      <w:lvlJc w:val="left"/>
      <w:pPr>
        <w:ind w:left="960" w:hanging="48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0">
      <w:start w:val="1"/>
      <w:numFmt w:val="japaneseCounting"/>
      <w:lvlText w:val="（%2）"/>
      <w:lvlJc w:val="left"/>
      <w:pPr>
        <w:ind w:left="1620" w:hanging="720"/>
      </w:pPr>
      <w:rPr>
        <w:rFonts w:hint="default"/>
      </w:rPr>
    </w:lvl>
    <w:lvl w:ilvl="2" w:tentative="0">
      <w:start w:val="4"/>
      <w:numFmt w:val="japaneseCounting"/>
      <w:lvlText w:val="（%3）"/>
      <w:lvlJc w:val="left"/>
      <w:pPr>
        <w:ind w:left="2040" w:hanging="720"/>
      </w:pPr>
      <w:rPr>
        <w:rFonts w:hint="default"/>
      </w:rPr>
    </w:lvl>
    <w:lvl w:ilvl="3" w:tentative="0">
      <w:start w:val="4"/>
      <w:numFmt w:val="decimal"/>
      <w:lvlText w:val="%4．"/>
      <w:lvlJc w:val="left"/>
      <w:pPr>
        <w:ind w:left="2100" w:hanging="360"/>
      </w:pPr>
      <w:rPr>
        <w:rFonts w:hint="default"/>
      </w:rPr>
    </w:lvl>
    <w:lvl w:ilvl="4" w:tentative="0">
      <w:start w:val="1"/>
      <w:numFmt w:val="decimal"/>
      <w:lvlText w:val="%5."/>
      <w:lvlJc w:val="left"/>
      <w:pPr>
        <w:ind w:left="2520" w:hanging="360"/>
      </w:pPr>
      <w:rPr>
        <w:rFonts w:hint="default"/>
      </w:r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revisionView w:markup="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E1Y2ZkZDEyNDk4YzJhZWU3MDY5Y2I3NDFmZDNlODQifQ=="/>
  </w:docVars>
  <w:rsids>
    <w:rsidRoot w:val="00205B78"/>
    <w:rsid w:val="000011A5"/>
    <w:rsid w:val="00007E0D"/>
    <w:rsid w:val="000337B1"/>
    <w:rsid w:val="00036D24"/>
    <w:rsid w:val="00042FEF"/>
    <w:rsid w:val="00052024"/>
    <w:rsid w:val="00057716"/>
    <w:rsid w:val="000639D2"/>
    <w:rsid w:val="00074C23"/>
    <w:rsid w:val="00084062"/>
    <w:rsid w:val="000859BA"/>
    <w:rsid w:val="000940AA"/>
    <w:rsid w:val="000955A7"/>
    <w:rsid w:val="000A0EC3"/>
    <w:rsid w:val="000A26F7"/>
    <w:rsid w:val="000B40BE"/>
    <w:rsid w:val="000C1B70"/>
    <w:rsid w:val="000C51CF"/>
    <w:rsid w:val="000E25D6"/>
    <w:rsid w:val="000E611F"/>
    <w:rsid w:val="000F17CA"/>
    <w:rsid w:val="00103D1D"/>
    <w:rsid w:val="0010543A"/>
    <w:rsid w:val="00133155"/>
    <w:rsid w:val="00150855"/>
    <w:rsid w:val="00160F2C"/>
    <w:rsid w:val="0016195D"/>
    <w:rsid w:val="00165849"/>
    <w:rsid w:val="0016699E"/>
    <w:rsid w:val="00170D3D"/>
    <w:rsid w:val="00177049"/>
    <w:rsid w:val="00180DB8"/>
    <w:rsid w:val="0019395E"/>
    <w:rsid w:val="001A5AF7"/>
    <w:rsid w:val="001A67F8"/>
    <w:rsid w:val="001A71A1"/>
    <w:rsid w:val="001B316E"/>
    <w:rsid w:val="001C0C33"/>
    <w:rsid w:val="001C10B8"/>
    <w:rsid w:val="001C45DA"/>
    <w:rsid w:val="001D3322"/>
    <w:rsid w:val="001D76D9"/>
    <w:rsid w:val="001E7617"/>
    <w:rsid w:val="001E7AF0"/>
    <w:rsid w:val="002051D3"/>
    <w:rsid w:val="00205B78"/>
    <w:rsid w:val="00207AD8"/>
    <w:rsid w:val="00217548"/>
    <w:rsid w:val="00221FA5"/>
    <w:rsid w:val="002373C7"/>
    <w:rsid w:val="00246D35"/>
    <w:rsid w:val="00251539"/>
    <w:rsid w:val="00264E92"/>
    <w:rsid w:val="002667AD"/>
    <w:rsid w:val="00266ACE"/>
    <w:rsid w:val="00267450"/>
    <w:rsid w:val="00274FB3"/>
    <w:rsid w:val="002757EE"/>
    <w:rsid w:val="002767C1"/>
    <w:rsid w:val="002777A0"/>
    <w:rsid w:val="00280D2A"/>
    <w:rsid w:val="002A179D"/>
    <w:rsid w:val="002D5137"/>
    <w:rsid w:val="002D75DA"/>
    <w:rsid w:val="002D76C4"/>
    <w:rsid w:val="002D7B56"/>
    <w:rsid w:val="002E10E9"/>
    <w:rsid w:val="002E28A4"/>
    <w:rsid w:val="002F27DF"/>
    <w:rsid w:val="002F4E74"/>
    <w:rsid w:val="00315C3B"/>
    <w:rsid w:val="00315CF0"/>
    <w:rsid w:val="0033389C"/>
    <w:rsid w:val="00351ACD"/>
    <w:rsid w:val="003557B7"/>
    <w:rsid w:val="00361269"/>
    <w:rsid w:val="00361EAF"/>
    <w:rsid w:val="00363471"/>
    <w:rsid w:val="003663E5"/>
    <w:rsid w:val="00370436"/>
    <w:rsid w:val="0038328F"/>
    <w:rsid w:val="003A17BC"/>
    <w:rsid w:val="003A31ED"/>
    <w:rsid w:val="003B32DC"/>
    <w:rsid w:val="003C0493"/>
    <w:rsid w:val="003C258A"/>
    <w:rsid w:val="003D0112"/>
    <w:rsid w:val="003D0464"/>
    <w:rsid w:val="003D1A42"/>
    <w:rsid w:val="003E10BF"/>
    <w:rsid w:val="004025A2"/>
    <w:rsid w:val="004102D0"/>
    <w:rsid w:val="004159F4"/>
    <w:rsid w:val="00447F56"/>
    <w:rsid w:val="00453D34"/>
    <w:rsid w:val="00456EE0"/>
    <w:rsid w:val="00463303"/>
    <w:rsid w:val="004721EB"/>
    <w:rsid w:val="00481A3C"/>
    <w:rsid w:val="004974D9"/>
    <w:rsid w:val="004A1AAE"/>
    <w:rsid w:val="004A3748"/>
    <w:rsid w:val="004B4820"/>
    <w:rsid w:val="004B7B56"/>
    <w:rsid w:val="004C6107"/>
    <w:rsid w:val="004D2C8E"/>
    <w:rsid w:val="004F626D"/>
    <w:rsid w:val="005000E2"/>
    <w:rsid w:val="00507343"/>
    <w:rsid w:val="00515042"/>
    <w:rsid w:val="0052201D"/>
    <w:rsid w:val="00531F80"/>
    <w:rsid w:val="00540C61"/>
    <w:rsid w:val="00546851"/>
    <w:rsid w:val="00561B1E"/>
    <w:rsid w:val="0057472F"/>
    <w:rsid w:val="0058670C"/>
    <w:rsid w:val="005A0221"/>
    <w:rsid w:val="005A7B3B"/>
    <w:rsid w:val="005C05E8"/>
    <w:rsid w:val="005C40FC"/>
    <w:rsid w:val="005C5062"/>
    <w:rsid w:val="005C7C31"/>
    <w:rsid w:val="005E3552"/>
    <w:rsid w:val="005E36CD"/>
    <w:rsid w:val="005F1DC0"/>
    <w:rsid w:val="005F25C7"/>
    <w:rsid w:val="00601B40"/>
    <w:rsid w:val="0060742D"/>
    <w:rsid w:val="00617963"/>
    <w:rsid w:val="00630EA0"/>
    <w:rsid w:val="006542AE"/>
    <w:rsid w:val="006636DB"/>
    <w:rsid w:val="00671DC9"/>
    <w:rsid w:val="00675E13"/>
    <w:rsid w:val="00680A3E"/>
    <w:rsid w:val="00680CA3"/>
    <w:rsid w:val="0068199D"/>
    <w:rsid w:val="00691D93"/>
    <w:rsid w:val="00694B15"/>
    <w:rsid w:val="00695A6B"/>
    <w:rsid w:val="006A7582"/>
    <w:rsid w:val="006C7E82"/>
    <w:rsid w:val="006D39A2"/>
    <w:rsid w:val="006D701D"/>
    <w:rsid w:val="006E59B2"/>
    <w:rsid w:val="006E677E"/>
    <w:rsid w:val="006F023B"/>
    <w:rsid w:val="00713181"/>
    <w:rsid w:val="007437B0"/>
    <w:rsid w:val="00755494"/>
    <w:rsid w:val="00777B96"/>
    <w:rsid w:val="007834F5"/>
    <w:rsid w:val="007922F5"/>
    <w:rsid w:val="007A2256"/>
    <w:rsid w:val="007B17AB"/>
    <w:rsid w:val="007B6FF9"/>
    <w:rsid w:val="007C35E2"/>
    <w:rsid w:val="007C3884"/>
    <w:rsid w:val="007F08CB"/>
    <w:rsid w:val="007F718B"/>
    <w:rsid w:val="00803657"/>
    <w:rsid w:val="00804F4D"/>
    <w:rsid w:val="00806228"/>
    <w:rsid w:val="00816F59"/>
    <w:rsid w:val="00832D8F"/>
    <w:rsid w:val="00842814"/>
    <w:rsid w:val="0084609E"/>
    <w:rsid w:val="0085568D"/>
    <w:rsid w:val="00864271"/>
    <w:rsid w:val="00864927"/>
    <w:rsid w:val="00867C24"/>
    <w:rsid w:val="00872374"/>
    <w:rsid w:val="00876CEE"/>
    <w:rsid w:val="008844F2"/>
    <w:rsid w:val="00887285"/>
    <w:rsid w:val="00887A60"/>
    <w:rsid w:val="008945F8"/>
    <w:rsid w:val="008A36FB"/>
    <w:rsid w:val="008B0992"/>
    <w:rsid w:val="008D0110"/>
    <w:rsid w:val="008D43EF"/>
    <w:rsid w:val="008E0C76"/>
    <w:rsid w:val="008E2132"/>
    <w:rsid w:val="008E5BEA"/>
    <w:rsid w:val="008E7E38"/>
    <w:rsid w:val="00901CFF"/>
    <w:rsid w:val="00903E9E"/>
    <w:rsid w:val="0092376D"/>
    <w:rsid w:val="00930106"/>
    <w:rsid w:val="009372F2"/>
    <w:rsid w:val="009446FD"/>
    <w:rsid w:val="0094738D"/>
    <w:rsid w:val="00951CDA"/>
    <w:rsid w:val="00963E8D"/>
    <w:rsid w:val="009713D6"/>
    <w:rsid w:val="009716B6"/>
    <w:rsid w:val="0098493E"/>
    <w:rsid w:val="00985DA8"/>
    <w:rsid w:val="009965E3"/>
    <w:rsid w:val="009A058A"/>
    <w:rsid w:val="009A3B96"/>
    <w:rsid w:val="009B52BE"/>
    <w:rsid w:val="009B52DD"/>
    <w:rsid w:val="009C17CD"/>
    <w:rsid w:val="009D0D85"/>
    <w:rsid w:val="009E47A6"/>
    <w:rsid w:val="009E49FF"/>
    <w:rsid w:val="009E5B54"/>
    <w:rsid w:val="00A04D1B"/>
    <w:rsid w:val="00A30E2D"/>
    <w:rsid w:val="00A55F6D"/>
    <w:rsid w:val="00A9089A"/>
    <w:rsid w:val="00A979B0"/>
    <w:rsid w:val="00AB3A57"/>
    <w:rsid w:val="00AB65D4"/>
    <w:rsid w:val="00AB763A"/>
    <w:rsid w:val="00AD0A87"/>
    <w:rsid w:val="00AE5060"/>
    <w:rsid w:val="00AF27B9"/>
    <w:rsid w:val="00B054FA"/>
    <w:rsid w:val="00B07F6A"/>
    <w:rsid w:val="00B16969"/>
    <w:rsid w:val="00B17C79"/>
    <w:rsid w:val="00B20E24"/>
    <w:rsid w:val="00B278D6"/>
    <w:rsid w:val="00B30331"/>
    <w:rsid w:val="00B3594A"/>
    <w:rsid w:val="00B4110D"/>
    <w:rsid w:val="00B563B3"/>
    <w:rsid w:val="00B658EA"/>
    <w:rsid w:val="00B728A4"/>
    <w:rsid w:val="00B72D52"/>
    <w:rsid w:val="00B8155F"/>
    <w:rsid w:val="00B840F1"/>
    <w:rsid w:val="00B84FDB"/>
    <w:rsid w:val="00B85E0A"/>
    <w:rsid w:val="00BA076C"/>
    <w:rsid w:val="00BA5AE9"/>
    <w:rsid w:val="00BE0D73"/>
    <w:rsid w:val="00BF0149"/>
    <w:rsid w:val="00BF5551"/>
    <w:rsid w:val="00C226EC"/>
    <w:rsid w:val="00C25D1F"/>
    <w:rsid w:val="00C33E62"/>
    <w:rsid w:val="00C40082"/>
    <w:rsid w:val="00C50CA9"/>
    <w:rsid w:val="00C529F0"/>
    <w:rsid w:val="00C54B6D"/>
    <w:rsid w:val="00C63A3A"/>
    <w:rsid w:val="00C65324"/>
    <w:rsid w:val="00C71190"/>
    <w:rsid w:val="00C865E6"/>
    <w:rsid w:val="00C86BB7"/>
    <w:rsid w:val="00C94E1D"/>
    <w:rsid w:val="00CA18C9"/>
    <w:rsid w:val="00CA5147"/>
    <w:rsid w:val="00CA6A68"/>
    <w:rsid w:val="00CC5122"/>
    <w:rsid w:val="00CC7CFF"/>
    <w:rsid w:val="00CD7539"/>
    <w:rsid w:val="00CE09DB"/>
    <w:rsid w:val="00CE7BDA"/>
    <w:rsid w:val="00CF7B20"/>
    <w:rsid w:val="00D04A98"/>
    <w:rsid w:val="00D077D2"/>
    <w:rsid w:val="00D10070"/>
    <w:rsid w:val="00D154F8"/>
    <w:rsid w:val="00D53627"/>
    <w:rsid w:val="00D56FAD"/>
    <w:rsid w:val="00D76065"/>
    <w:rsid w:val="00D82EB9"/>
    <w:rsid w:val="00D91522"/>
    <w:rsid w:val="00DA5008"/>
    <w:rsid w:val="00DA62DC"/>
    <w:rsid w:val="00DC07BD"/>
    <w:rsid w:val="00DE0721"/>
    <w:rsid w:val="00DF2420"/>
    <w:rsid w:val="00E13722"/>
    <w:rsid w:val="00E1669F"/>
    <w:rsid w:val="00E176A3"/>
    <w:rsid w:val="00E264EF"/>
    <w:rsid w:val="00E33C39"/>
    <w:rsid w:val="00E353FD"/>
    <w:rsid w:val="00E64EBE"/>
    <w:rsid w:val="00E66E42"/>
    <w:rsid w:val="00E671CE"/>
    <w:rsid w:val="00E676FE"/>
    <w:rsid w:val="00E74E04"/>
    <w:rsid w:val="00E96AC2"/>
    <w:rsid w:val="00EA072C"/>
    <w:rsid w:val="00EA5855"/>
    <w:rsid w:val="00EB4555"/>
    <w:rsid w:val="00ED345D"/>
    <w:rsid w:val="00F24550"/>
    <w:rsid w:val="00F24FC6"/>
    <w:rsid w:val="00F27993"/>
    <w:rsid w:val="00F3522D"/>
    <w:rsid w:val="00F51AA2"/>
    <w:rsid w:val="00F64ED7"/>
    <w:rsid w:val="00F83684"/>
    <w:rsid w:val="00F90BE4"/>
    <w:rsid w:val="00FA3731"/>
    <w:rsid w:val="00FA7A0A"/>
    <w:rsid w:val="00FB186E"/>
    <w:rsid w:val="00FB2BD8"/>
    <w:rsid w:val="00FC0749"/>
    <w:rsid w:val="00FD19CF"/>
    <w:rsid w:val="00FD3FDC"/>
    <w:rsid w:val="00FD6435"/>
    <w:rsid w:val="00FE72CF"/>
    <w:rsid w:val="00FF4BA0"/>
    <w:rsid w:val="07FA679F"/>
    <w:rsid w:val="126D263D"/>
    <w:rsid w:val="18C179CD"/>
    <w:rsid w:val="201C3E17"/>
    <w:rsid w:val="23F837F4"/>
    <w:rsid w:val="2B8F5E2F"/>
    <w:rsid w:val="405C6B31"/>
    <w:rsid w:val="46F61656"/>
    <w:rsid w:val="4B822B05"/>
    <w:rsid w:val="4ECD5D63"/>
    <w:rsid w:val="4F5A2C5A"/>
    <w:rsid w:val="553D2817"/>
    <w:rsid w:val="5B0A0E97"/>
    <w:rsid w:val="5BE621FE"/>
    <w:rsid w:val="64E258E1"/>
    <w:rsid w:val="67B56843"/>
    <w:rsid w:val="69A962CA"/>
    <w:rsid w:val="6A667059"/>
    <w:rsid w:val="6FFA444D"/>
    <w:rsid w:val="74B9190C"/>
    <w:rsid w:val="79BA6722"/>
    <w:rsid w:val="7FCD5C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20" w:lineRule="atLeast"/>
      <w:ind w:firstLine="358" w:firstLineChars="149"/>
      <w:jc w:val="both"/>
    </w:pPr>
    <w:rPr>
      <w:rFonts w:ascii="宋体" w:hAnsi="宋体" w:eastAsia="宋体" w:cs="Times New Roman"/>
      <w:kern w:val="2"/>
      <w:sz w:val="24"/>
      <w:szCs w:val="24"/>
      <w:lang w:val="en-US" w:eastAsia="zh-CN" w:bidi="ar-SA"/>
    </w:rPr>
  </w:style>
  <w:style w:type="paragraph" w:styleId="2">
    <w:name w:val="heading 1"/>
    <w:basedOn w:val="1"/>
    <w:next w:val="1"/>
    <w:link w:val="40"/>
    <w:qFormat/>
    <w:uiPriority w:val="9"/>
    <w:pPr>
      <w:keepNext/>
      <w:keepLines/>
      <w:numPr>
        <w:ilvl w:val="0"/>
        <w:numId w:val="1"/>
      </w:numPr>
      <w:spacing w:before="480" w:after="480" w:line="578" w:lineRule="auto"/>
      <w:ind w:firstLine="0" w:firstLineChars="0"/>
      <w:outlineLvl w:val="0"/>
    </w:pPr>
    <w:rPr>
      <w:rFonts w:ascii="黑体" w:hAnsi="黑体" w:eastAsia="黑体"/>
      <w:bCs/>
      <w:kern w:val="44"/>
      <w:szCs w:val="30"/>
    </w:rPr>
  </w:style>
  <w:style w:type="paragraph" w:styleId="3">
    <w:name w:val="heading 2"/>
    <w:basedOn w:val="1"/>
    <w:next w:val="1"/>
    <w:link w:val="35"/>
    <w:qFormat/>
    <w:uiPriority w:val="0"/>
    <w:pPr>
      <w:keepNext/>
      <w:keepLines/>
      <w:spacing w:line="240" w:lineRule="auto"/>
      <w:ind w:firstLine="643" w:firstLineChars="200"/>
      <w:jc w:val="left"/>
      <w:outlineLvl w:val="1"/>
    </w:pPr>
    <w:rPr>
      <w:rFonts w:ascii="Times New Roman" w:hAnsi="Times New Roman" w:eastAsia="楷体_GB2312"/>
      <w:b/>
      <w:bCs/>
      <w:sz w:val="32"/>
      <w:szCs w:val="28"/>
    </w:rPr>
  </w:style>
  <w:style w:type="paragraph" w:styleId="4">
    <w:name w:val="heading 3"/>
    <w:basedOn w:val="1"/>
    <w:next w:val="1"/>
    <w:link w:val="39"/>
    <w:unhideWhenUsed/>
    <w:qFormat/>
    <w:uiPriority w:val="0"/>
    <w:pPr>
      <w:keepNext/>
      <w:keepLines/>
      <w:spacing w:before="260" w:after="260" w:line="416" w:lineRule="atLeast"/>
      <w:outlineLvl w:val="2"/>
    </w:pPr>
    <w:rPr>
      <w:b/>
      <w:bCs/>
      <w:szCs w:val="32"/>
    </w:rPr>
  </w:style>
  <w:style w:type="paragraph" w:styleId="5">
    <w:name w:val="heading 4"/>
    <w:basedOn w:val="1"/>
    <w:next w:val="1"/>
    <w:link w:val="41"/>
    <w:qFormat/>
    <w:uiPriority w:val="9"/>
    <w:pPr>
      <w:keepNext/>
      <w:keepLines/>
      <w:spacing w:before="280" w:after="290" w:line="376" w:lineRule="atLeast"/>
      <w:outlineLvl w:val="3"/>
    </w:pPr>
    <w:rPr>
      <w:rFonts w:ascii="Cambria" w:hAnsi="Cambria"/>
      <w:b/>
      <w:bCs/>
      <w:sz w:val="28"/>
      <w:szCs w:val="28"/>
    </w:rPr>
  </w:style>
  <w:style w:type="paragraph" w:styleId="6">
    <w:name w:val="heading 5"/>
    <w:basedOn w:val="1"/>
    <w:next w:val="1"/>
    <w:link w:val="42"/>
    <w:qFormat/>
    <w:uiPriority w:val="0"/>
    <w:pPr>
      <w:keepNext/>
      <w:keepLines/>
      <w:spacing w:before="280" w:after="290" w:line="376" w:lineRule="atLeast"/>
      <w:outlineLvl w:val="4"/>
    </w:pPr>
    <w:rPr>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qFormat/>
    <w:uiPriority w:val="39"/>
    <w:pPr>
      <w:ind w:left="1440"/>
      <w:jc w:val="left"/>
    </w:pPr>
    <w:rPr>
      <w:rFonts w:ascii="Calibri" w:hAnsi="Calibri"/>
      <w:sz w:val="18"/>
      <w:szCs w:val="18"/>
    </w:rPr>
  </w:style>
  <w:style w:type="paragraph" w:styleId="8">
    <w:name w:val="caption"/>
    <w:basedOn w:val="1"/>
    <w:next w:val="1"/>
    <w:qFormat/>
    <w:uiPriority w:val="0"/>
    <w:pPr>
      <w:spacing w:line="240" w:lineRule="auto"/>
      <w:ind w:firstLine="0" w:firstLineChars="0"/>
    </w:pPr>
    <w:rPr>
      <w:rFonts w:ascii="Cambria" w:hAnsi="Cambria" w:eastAsia="黑体"/>
      <w:sz w:val="20"/>
      <w:szCs w:val="20"/>
    </w:rPr>
  </w:style>
  <w:style w:type="paragraph" w:styleId="9">
    <w:name w:val="Document Map"/>
    <w:basedOn w:val="1"/>
    <w:link w:val="43"/>
    <w:qFormat/>
    <w:uiPriority w:val="99"/>
    <w:rPr>
      <w:sz w:val="18"/>
      <w:szCs w:val="18"/>
    </w:rPr>
  </w:style>
  <w:style w:type="paragraph" w:styleId="10">
    <w:name w:val="annotation text"/>
    <w:basedOn w:val="1"/>
    <w:link w:val="37"/>
    <w:qFormat/>
    <w:uiPriority w:val="99"/>
    <w:pPr>
      <w:jc w:val="left"/>
    </w:pPr>
  </w:style>
  <w:style w:type="paragraph" w:styleId="11">
    <w:name w:val="toc 5"/>
    <w:basedOn w:val="1"/>
    <w:next w:val="1"/>
    <w:qFormat/>
    <w:uiPriority w:val="39"/>
    <w:pPr>
      <w:ind w:left="960"/>
      <w:jc w:val="left"/>
    </w:pPr>
    <w:rPr>
      <w:rFonts w:ascii="Calibri" w:hAnsi="Calibri"/>
      <w:sz w:val="18"/>
      <w:szCs w:val="18"/>
    </w:rPr>
  </w:style>
  <w:style w:type="paragraph" w:styleId="12">
    <w:name w:val="toc 3"/>
    <w:basedOn w:val="1"/>
    <w:next w:val="1"/>
    <w:qFormat/>
    <w:uiPriority w:val="39"/>
    <w:pPr>
      <w:ind w:left="480"/>
      <w:jc w:val="left"/>
    </w:pPr>
    <w:rPr>
      <w:rFonts w:ascii="Calibri" w:hAnsi="Calibri"/>
      <w:i/>
      <w:iCs/>
      <w:sz w:val="20"/>
      <w:szCs w:val="20"/>
    </w:rPr>
  </w:style>
  <w:style w:type="paragraph" w:styleId="13">
    <w:name w:val="toc 8"/>
    <w:basedOn w:val="1"/>
    <w:next w:val="1"/>
    <w:qFormat/>
    <w:uiPriority w:val="39"/>
    <w:pPr>
      <w:ind w:left="1680"/>
      <w:jc w:val="left"/>
    </w:pPr>
    <w:rPr>
      <w:rFonts w:ascii="Calibri" w:hAnsi="Calibri"/>
      <w:sz w:val="18"/>
      <w:szCs w:val="18"/>
    </w:rPr>
  </w:style>
  <w:style w:type="paragraph" w:styleId="14">
    <w:name w:val="Balloon Text"/>
    <w:basedOn w:val="1"/>
    <w:link w:val="38"/>
    <w:unhideWhenUsed/>
    <w:qFormat/>
    <w:uiPriority w:val="99"/>
    <w:pPr>
      <w:spacing w:line="240" w:lineRule="auto"/>
    </w:pPr>
    <w:rPr>
      <w:sz w:val="18"/>
      <w:szCs w:val="18"/>
    </w:rPr>
  </w:style>
  <w:style w:type="paragraph" w:styleId="15">
    <w:name w:val="footer"/>
    <w:basedOn w:val="1"/>
    <w:link w:val="44"/>
    <w:qFormat/>
    <w:uiPriority w:val="99"/>
    <w:pPr>
      <w:tabs>
        <w:tab w:val="center" w:pos="4153"/>
        <w:tab w:val="right" w:pos="8306"/>
      </w:tabs>
      <w:snapToGrid w:val="0"/>
      <w:jc w:val="left"/>
    </w:pPr>
    <w:rPr>
      <w:sz w:val="18"/>
      <w:szCs w:val="20"/>
    </w:rPr>
  </w:style>
  <w:style w:type="paragraph" w:styleId="16">
    <w:name w:val="header"/>
    <w:basedOn w:val="1"/>
    <w:link w:val="45"/>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7">
    <w:name w:val="toc 1"/>
    <w:basedOn w:val="1"/>
    <w:next w:val="1"/>
    <w:qFormat/>
    <w:uiPriority w:val="39"/>
    <w:pPr>
      <w:spacing w:before="120" w:after="120" w:line="560" w:lineRule="exact"/>
      <w:ind w:firstLine="0" w:firstLineChars="0"/>
    </w:pPr>
    <w:rPr>
      <w:rFonts w:ascii="Calibri" w:hAnsi="Calibri"/>
      <w:b/>
      <w:bCs/>
      <w:caps/>
      <w:sz w:val="22"/>
      <w:szCs w:val="20"/>
    </w:rPr>
  </w:style>
  <w:style w:type="paragraph" w:styleId="18">
    <w:name w:val="toc 4"/>
    <w:basedOn w:val="1"/>
    <w:next w:val="1"/>
    <w:qFormat/>
    <w:uiPriority w:val="39"/>
    <w:pPr>
      <w:ind w:left="720"/>
      <w:jc w:val="left"/>
    </w:pPr>
    <w:rPr>
      <w:rFonts w:ascii="Calibri" w:hAnsi="Calibri"/>
      <w:sz w:val="18"/>
      <w:szCs w:val="18"/>
    </w:rPr>
  </w:style>
  <w:style w:type="paragraph" w:styleId="19">
    <w:name w:val="footnote text"/>
    <w:basedOn w:val="1"/>
    <w:link w:val="46"/>
    <w:unhideWhenUsed/>
    <w:qFormat/>
    <w:uiPriority w:val="99"/>
    <w:pPr>
      <w:snapToGrid w:val="0"/>
      <w:spacing w:line="240" w:lineRule="auto"/>
      <w:ind w:firstLine="0" w:firstLineChars="0"/>
      <w:jc w:val="left"/>
    </w:pPr>
    <w:rPr>
      <w:rFonts w:ascii="Times New Roman" w:hAnsi="Times New Roman"/>
      <w:sz w:val="18"/>
      <w:szCs w:val="18"/>
    </w:rPr>
  </w:style>
  <w:style w:type="paragraph" w:styleId="20">
    <w:name w:val="toc 6"/>
    <w:basedOn w:val="1"/>
    <w:next w:val="1"/>
    <w:qFormat/>
    <w:uiPriority w:val="39"/>
    <w:pPr>
      <w:ind w:left="1200"/>
      <w:jc w:val="left"/>
    </w:pPr>
    <w:rPr>
      <w:rFonts w:ascii="Calibri" w:hAnsi="Calibri"/>
      <w:sz w:val="18"/>
      <w:szCs w:val="18"/>
    </w:rPr>
  </w:style>
  <w:style w:type="paragraph" w:styleId="21">
    <w:name w:val="toc 2"/>
    <w:basedOn w:val="1"/>
    <w:next w:val="1"/>
    <w:qFormat/>
    <w:uiPriority w:val="39"/>
    <w:pPr>
      <w:ind w:left="240"/>
      <w:jc w:val="left"/>
    </w:pPr>
    <w:rPr>
      <w:rFonts w:ascii="Calibri" w:hAnsi="Calibri"/>
      <w:smallCaps/>
      <w:sz w:val="20"/>
      <w:szCs w:val="20"/>
    </w:rPr>
  </w:style>
  <w:style w:type="paragraph" w:styleId="22">
    <w:name w:val="toc 9"/>
    <w:basedOn w:val="1"/>
    <w:next w:val="1"/>
    <w:qFormat/>
    <w:uiPriority w:val="39"/>
    <w:pPr>
      <w:ind w:left="1920"/>
      <w:jc w:val="left"/>
    </w:pPr>
    <w:rPr>
      <w:rFonts w:ascii="Calibri" w:hAnsi="Calibri"/>
      <w:sz w:val="18"/>
      <w:szCs w:val="18"/>
    </w:rPr>
  </w:style>
  <w:style w:type="paragraph" w:styleId="23">
    <w:name w:val="HTML Preformatted"/>
    <w:basedOn w:val="1"/>
    <w:link w:val="4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kern w:val="0"/>
    </w:rPr>
  </w:style>
  <w:style w:type="paragraph" w:styleId="24">
    <w:name w:val="Normal (Web)"/>
    <w:basedOn w:val="1"/>
    <w:unhideWhenUsed/>
    <w:qFormat/>
    <w:uiPriority w:val="99"/>
    <w:pPr>
      <w:widowControl/>
      <w:spacing w:before="100" w:beforeAutospacing="1" w:after="100" w:afterAutospacing="1" w:line="240" w:lineRule="auto"/>
      <w:ind w:firstLine="0" w:firstLineChars="0"/>
      <w:jc w:val="left"/>
    </w:pPr>
    <w:rPr>
      <w:rFonts w:ascii="Times New Roman" w:hAnsi="Times New Roman" w:eastAsia="Times New Roman"/>
      <w:kern w:val="0"/>
    </w:rPr>
  </w:style>
  <w:style w:type="paragraph" w:styleId="25">
    <w:name w:val="Title"/>
    <w:basedOn w:val="1"/>
    <w:next w:val="1"/>
    <w:link w:val="36"/>
    <w:qFormat/>
    <w:uiPriority w:val="0"/>
    <w:pPr>
      <w:spacing w:line="240" w:lineRule="auto"/>
      <w:ind w:firstLine="200" w:firstLineChars="200"/>
      <w:jc w:val="left"/>
      <w:outlineLvl w:val="0"/>
    </w:pPr>
    <w:rPr>
      <w:rFonts w:ascii="Cambria" w:hAnsi="Cambria" w:eastAsia="黑体"/>
      <w:bCs/>
      <w:sz w:val="32"/>
      <w:szCs w:val="32"/>
    </w:rPr>
  </w:style>
  <w:style w:type="paragraph" w:styleId="26">
    <w:name w:val="annotation subject"/>
    <w:basedOn w:val="10"/>
    <w:next w:val="10"/>
    <w:link w:val="48"/>
    <w:qFormat/>
    <w:uiPriority w:val="0"/>
    <w:rPr>
      <w:b/>
      <w:bCs/>
    </w:rPr>
  </w:style>
  <w:style w:type="table" w:styleId="28">
    <w:name w:val="Table Grid"/>
    <w:basedOn w:val="2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page number"/>
    <w:basedOn w:val="29"/>
    <w:qFormat/>
    <w:uiPriority w:val="0"/>
  </w:style>
  <w:style w:type="character" w:styleId="31">
    <w:name w:val="Emphasis"/>
    <w:qFormat/>
    <w:uiPriority w:val="20"/>
    <w:rPr>
      <w:i/>
      <w:iCs/>
    </w:rPr>
  </w:style>
  <w:style w:type="character" w:styleId="32">
    <w:name w:val="Hyperlink"/>
    <w:qFormat/>
    <w:uiPriority w:val="99"/>
    <w:rPr>
      <w:color w:val="0000FF"/>
      <w:u w:val="single"/>
    </w:rPr>
  </w:style>
  <w:style w:type="character" w:styleId="33">
    <w:name w:val="annotation reference"/>
    <w:qFormat/>
    <w:uiPriority w:val="0"/>
    <w:rPr>
      <w:sz w:val="21"/>
      <w:szCs w:val="21"/>
    </w:rPr>
  </w:style>
  <w:style w:type="character" w:styleId="34">
    <w:name w:val="footnote reference"/>
    <w:unhideWhenUsed/>
    <w:qFormat/>
    <w:uiPriority w:val="99"/>
    <w:rPr>
      <w:vertAlign w:val="superscript"/>
    </w:rPr>
  </w:style>
  <w:style w:type="character" w:customStyle="1" w:styleId="35">
    <w:name w:val="标题 2 字符"/>
    <w:basedOn w:val="29"/>
    <w:link w:val="3"/>
    <w:qFormat/>
    <w:uiPriority w:val="0"/>
    <w:rPr>
      <w:rFonts w:ascii="Times New Roman" w:hAnsi="Times New Roman" w:eastAsia="楷体_GB2312" w:cs="Times New Roman"/>
      <w:b/>
      <w:bCs/>
      <w:sz w:val="32"/>
      <w:szCs w:val="28"/>
    </w:rPr>
  </w:style>
  <w:style w:type="character" w:customStyle="1" w:styleId="36">
    <w:name w:val="标题 字符"/>
    <w:basedOn w:val="29"/>
    <w:link w:val="25"/>
    <w:qFormat/>
    <w:uiPriority w:val="0"/>
    <w:rPr>
      <w:rFonts w:ascii="Cambria" w:hAnsi="Cambria" w:eastAsia="黑体" w:cs="Times New Roman"/>
      <w:bCs/>
      <w:sz w:val="32"/>
      <w:szCs w:val="32"/>
    </w:rPr>
  </w:style>
  <w:style w:type="character" w:customStyle="1" w:styleId="37">
    <w:name w:val="批注文字 字符"/>
    <w:basedOn w:val="29"/>
    <w:link w:val="10"/>
    <w:qFormat/>
    <w:uiPriority w:val="99"/>
    <w:rPr>
      <w:rFonts w:ascii="宋体" w:hAnsi="宋体" w:eastAsia="宋体" w:cs="Times New Roman"/>
      <w:sz w:val="24"/>
      <w:szCs w:val="24"/>
    </w:rPr>
  </w:style>
  <w:style w:type="character" w:customStyle="1" w:styleId="38">
    <w:name w:val="批注框文本 字符"/>
    <w:basedOn w:val="29"/>
    <w:link w:val="14"/>
    <w:qFormat/>
    <w:uiPriority w:val="99"/>
    <w:rPr>
      <w:rFonts w:ascii="宋体" w:hAnsi="宋体" w:eastAsia="宋体" w:cs="Times New Roman"/>
      <w:sz w:val="18"/>
      <w:szCs w:val="18"/>
    </w:rPr>
  </w:style>
  <w:style w:type="character" w:customStyle="1" w:styleId="39">
    <w:name w:val="标题 3 字符"/>
    <w:basedOn w:val="29"/>
    <w:link w:val="4"/>
    <w:qFormat/>
    <w:uiPriority w:val="0"/>
    <w:rPr>
      <w:rFonts w:ascii="宋体" w:hAnsi="宋体" w:eastAsia="宋体" w:cs="Times New Roman"/>
      <w:b/>
      <w:bCs/>
      <w:sz w:val="24"/>
      <w:szCs w:val="32"/>
    </w:rPr>
  </w:style>
  <w:style w:type="character" w:customStyle="1" w:styleId="40">
    <w:name w:val="标题 1 字符"/>
    <w:basedOn w:val="29"/>
    <w:link w:val="2"/>
    <w:qFormat/>
    <w:uiPriority w:val="9"/>
    <w:rPr>
      <w:rFonts w:ascii="黑体" w:hAnsi="黑体" w:eastAsia="黑体" w:cs="Times New Roman"/>
      <w:bCs/>
      <w:kern w:val="44"/>
      <w:sz w:val="24"/>
      <w:szCs w:val="30"/>
    </w:rPr>
  </w:style>
  <w:style w:type="character" w:customStyle="1" w:styleId="41">
    <w:name w:val="标题 4 字符"/>
    <w:basedOn w:val="29"/>
    <w:link w:val="5"/>
    <w:qFormat/>
    <w:uiPriority w:val="9"/>
    <w:rPr>
      <w:rFonts w:ascii="Cambria" w:hAnsi="Cambria" w:eastAsia="宋体" w:cs="Times New Roman"/>
      <w:b/>
      <w:bCs/>
      <w:sz w:val="28"/>
      <w:szCs w:val="28"/>
    </w:rPr>
  </w:style>
  <w:style w:type="character" w:customStyle="1" w:styleId="42">
    <w:name w:val="标题 5 字符"/>
    <w:basedOn w:val="29"/>
    <w:link w:val="6"/>
    <w:qFormat/>
    <w:uiPriority w:val="0"/>
    <w:rPr>
      <w:rFonts w:ascii="宋体" w:hAnsi="宋体" w:eastAsia="宋体" w:cs="Times New Roman"/>
      <w:b/>
      <w:bCs/>
      <w:sz w:val="28"/>
      <w:szCs w:val="28"/>
    </w:rPr>
  </w:style>
  <w:style w:type="character" w:customStyle="1" w:styleId="43">
    <w:name w:val="文档结构图 字符"/>
    <w:basedOn w:val="29"/>
    <w:link w:val="9"/>
    <w:qFormat/>
    <w:uiPriority w:val="99"/>
    <w:rPr>
      <w:rFonts w:ascii="宋体" w:hAnsi="宋体" w:eastAsia="宋体" w:cs="Times New Roman"/>
      <w:sz w:val="18"/>
      <w:szCs w:val="18"/>
    </w:rPr>
  </w:style>
  <w:style w:type="character" w:customStyle="1" w:styleId="44">
    <w:name w:val="页脚 字符"/>
    <w:basedOn w:val="29"/>
    <w:link w:val="15"/>
    <w:qFormat/>
    <w:uiPriority w:val="99"/>
    <w:rPr>
      <w:rFonts w:ascii="宋体" w:hAnsi="宋体" w:eastAsia="宋体" w:cs="Times New Roman"/>
      <w:sz w:val="18"/>
      <w:szCs w:val="20"/>
    </w:rPr>
  </w:style>
  <w:style w:type="character" w:customStyle="1" w:styleId="45">
    <w:name w:val="页眉 字符"/>
    <w:basedOn w:val="29"/>
    <w:link w:val="16"/>
    <w:qFormat/>
    <w:uiPriority w:val="0"/>
    <w:rPr>
      <w:rFonts w:ascii="Times New Roman" w:hAnsi="Times New Roman" w:eastAsia="宋体" w:cs="Times New Roman"/>
      <w:sz w:val="18"/>
      <w:szCs w:val="18"/>
    </w:rPr>
  </w:style>
  <w:style w:type="character" w:customStyle="1" w:styleId="46">
    <w:name w:val="脚注文本 字符"/>
    <w:basedOn w:val="29"/>
    <w:link w:val="19"/>
    <w:qFormat/>
    <w:uiPriority w:val="99"/>
    <w:rPr>
      <w:rFonts w:ascii="Times New Roman" w:hAnsi="Times New Roman" w:eastAsia="宋体" w:cs="Times New Roman"/>
      <w:sz w:val="18"/>
      <w:szCs w:val="18"/>
    </w:rPr>
  </w:style>
  <w:style w:type="character" w:customStyle="1" w:styleId="47">
    <w:name w:val="HTML 预设格式 字符"/>
    <w:basedOn w:val="29"/>
    <w:link w:val="23"/>
    <w:qFormat/>
    <w:uiPriority w:val="99"/>
    <w:rPr>
      <w:rFonts w:ascii="宋体" w:hAnsi="宋体" w:eastAsia="宋体" w:cs="Times New Roman"/>
      <w:kern w:val="0"/>
      <w:sz w:val="24"/>
      <w:szCs w:val="24"/>
    </w:rPr>
  </w:style>
  <w:style w:type="character" w:customStyle="1" w:styleId="48">
    <w:name w:val="批注主题 字符"/>
    <w:basedOn w:val="37"/>
    <w:link w:val="26"/>
    <w:qFormat/>
    <w:uiPriority w:val="0"/>
    <w:rPr>
      <w:rFonts w:ascii="宋体" w:hAnsi="宋体" w:eastAsia="宋体" w:cs="Times New Roman"/>
      <w:b/>
      <w:bCs/>
      <w:sz w:val="24"/>
      <w:szCs w:val="24"/>
    </w:rPr>
  </w:style>
  <w:style w:type="paragraph" w:customStyle="1" w:styleId="49">
    <w:name w:val="Char Char16 Char Char"/>
    <w:basedOn w:val="1"/>
    <w:qFormat/>
    <w:uiPriority w:val="0"/>
    <w:rPr>
      <w:rFonts w:ascii="Tahoma" w:hAnsi="Tahoma" w:cs="Tahoma"/>
    </w:rPr>
  </w:style>
  <w:style w:type="character" w:customStyle="1" w:styleId="50">
    <w:name w:val="apple-converted-space"/>
    <w:qFormat/>
    <w:uiPriority w:val="0"/>
  </w:style>
  <w:style w:type="paragraph" w:styleId="51">
    <w:name w:val="List Paragraph"/>
    <w:basedOn w:val="1"/>
    <w:qFormat/>
    <w:uiPriority w:val="34"/>
    <w:pPr>
      <w:ind w:firstLine="420" w:firstLineChars="200"/>
    </w:pPr>
  </w:style>
  <w:style w:type="paragraph" w:customStyle="1" w:styleId="52">
    <w:name w:val="修订1"/>
    <w:hidden/>
    <w:semiHidden/>
    <w:qFormat/>
    <w:uiPriority w:val="99"/>
    <w:rPr>
      <w:rFonts w:ascii="宋体" w:hAnsi="宋体" w:eastAsia="宋体" w:cs="Times New Roman"/>
      <w:kern w:val="2"/>
      <w:sz w:val="24"/>
      <w:szCs w:val="24"/>
      <w:lang w:val="en-US" w:eastAsia="zh-CN" w:bidi="ar-SA"/>
    </w:rPr>
  </w:style>
  <w:style w:type="character" w:styleId="53">
    <w:name w:val="Placeholder Text"/>
    <w:semiHidden/>
    <w:qFormat/>
    <w:uiPriority w:val="99"/>
    <w:rPr>
      <w:color w:val="808080"/>
    </w:rPr>
  </w:style>
  <w:style w:type="paragraph" w:customStyle="1" w:styleId="54">
    <w:name w:val="Char Char16 Char Char2"/>
    <w:basedOn w:val="1"/>
    <w:qFormat/>
    <w:uiPriority w:val="0"/>
    <w:pPr>
      <w:spacing w:line="240" w:lineRule="auto"/>
      <w:ind w:firstLine="0" w:firstLineChars="0"/>
    </w:pPr>
    <w:rPr>
      <w:rFonts w:ascii="Tahoma" w:hAnsi="Tahoma" w:cs="Tahoma"/>
    </w:rPr>
  </w:style>
  <w:style w:type="paragraph" w:customStyle="1" w:styleId="55">
    <w:name w:val="Default"/>
    <w:qFormat/>
    <w:uiPriority w:val="0"/>
    <w:pPr>
      <w:widowControl w:val="0"/>
      <w:autoSpaceDE w:val="0"/>
      <w:autoSpaceDN w:val="0"/>
      <w:adjustRightInd w:val="0"/>
    </w:pPr>
    <w:rPr>
      <w:rFonts w:ascii="仿宋_GB2312" w:hAnsi="宋体" w:eastAsia="宋体" w:cs="仿宋_GB2312"/>
      <w:color w:val="000000"/>
      <w:sz w:val="24"/>
      <w:szCs w:val="24"/>
      <w:lang w:val="en-US" w:eastAsia="en-US" w:bidi="ar-SA"/>
    </w:rPr>
  </w:style>
  <w:style w:type="paragraph" w:styleId="56">
    <w:name w:val="No Spacing"/>
    <w:qFormat/>
    <w:uiPriority w:val="1"/>
    <w:pPr>
      <w:widowControl w:val="0"/>
      <w:jc w:val="both"/>
    </w:pPr>
    <w:rPr>
      <w:rFonts w:ascii="Times New Roman" w:hAnsi="Calibri" w:eastAsia="宋体" w:cs="Times New Roman"/>
      <w:kern w:val="2"/>
      <w:sz w:val="24"/>
      <w:szCs w:val="24"/>
      <w:lang w:val="en-US" w:eastAsia="zh-CN" w:bidi="ar-SA"/>
    </w:rPr>
  </w:style>
  <w:style w:type="paragraph" w:customStyle="1" w:styleId="57">
    <w:name w:val="TOC 标题1"/>
    <w:basedOn w:val="2"/>
    <w:next w:val="1"/>
    <w:qFormat/>
    <w:uiPriority w:val="39"/>
    <w:pPr>
      <w:widowControl/>
      <w:numPr>
        <w:numId w:val="0"/>
      </w:numPr>
      <w:spacing w:after="0" w:line="276" w:lineRule="auto"/>
      <w:jc w:val="left"/>
      <w:outlineLvl w:val="9"/>
    </w:pPr>
    <w:rPr>
      <w:rFonts w:ascii="Cambria" w:hAnsi="Cambria" w:eastAsia="宋体"/>
      <w:b/>
      <w:color w:val="365F91"/>
      <w:kern w:val="0"/>
      <w:sz w:val="28"/>
      <w:szCs w:val="28"/>
      <w:lang w:eastAsia="ja-JP"/>
    </w:rPr>
  </w:style>
  <w:style w:type="paragraph" w:customStyle="1" w:styleId="58">
    <w:name w:val="Char Char16 Char Char1"/>
    <w:basedOn w:val="1"/>
    <w:qFormat/>
    <w:uiPriority w:val="0"/>
    <w:pPr>
      <w:spacing w:line="240" w:lineRule="auto"/>
      <w:ind w:firstLine="0" w:firstLineChars="0"/>
    </w:pPr>
    <w:rPr>
      <w:rFonts w:ascii="Tahoma" w:hAnsi="Tahoma" w:cs="Tahoma"/>
    </w:rPr>
  </w:style>
  <w:style w:type="paragraph" w:customStyle="1" w:styleId="59">
    <w:name w:val="Char Char16 Char Char3"/>
    <w:basedOn w:val="1"/>
    <w:qFormat/>
    <w:uiPriority w:val="0"/>
    <w:pPr>
      <w:spacing w:line="240" w:lineRule="auto"/>
      <w:ind w:firstLine="0" w:firstLineChars="0"/>
    </w:pPr>
    <w:rPr>
      <w:rFonts w:ascii="Tahoma" w:hAnsi="Tahoma" w:cs="Tahoma"/>
    </w:rPr>
  </w:style>
  <w:style w:type="paragraph" w:customStyle="1" w:styleId="60">
    <w:name w:val="1表格标题"/>
    <w:basedOn w:val="1"/>
    <w:qFormat/>
    <w:uiPriority w:val="0"/>
    <w:pPr>
      <w:widowControl/>
      <w:spacing w:beforeLines="50" w:line="240" w:lineRule="auto"/>
      <w:ind w:firstLine="0" w:firstLineChars="0"/>
      <w:jc w:val="left"/>
      <w:outlineLvl w:val="8"/>
    </w:pPr>
    <w:rPr>
      <w:rFonts w:ascii="Times New Roman" w:hAnsi="Times New Roman" w:eastAsia="黑体"/>
      <w:b/>
      <w:bCs/>
      <w:snapToGrid w:val="0"/>
      <w:sz w:val="21"/>
    </w:rPr>
  </w:style>
  <w:style w:type="paragraph" w:customStyle="1" w:styleId="61">
    <w:name w:val="修订2"/>
    <w:hidden/>
    <w:semiHidden/>
    <w:qFormat/>
    <w:uiPriority w:val="99"/>
    <w:rPr>
      <w:rFonts w:ascii="宋体" w:hAnsi="宋体" w:eastAsia="宋体" w:cs="Times New Roman"/>
      <w:kern w:val="2"/>
      <w:sz w:val="24"/>
      <w:szCs w:val="24"/>
      <w:lang w:val="en-US" w:eastAsia="zh-CN" w:bidi="ar-SA"/>
    </w:rPr>
  </w:style>
  <w:style w:type="paragraph" w:customStyle="1" w:styleId="62">
    <w:name w:val="TOC 标题2"/>
    <w:basedOn w:val="2"/>
    <w:next w:val="1"/>
    <w:qFormat/>
    <w:uiPriority w:val="39"/>
    <w:pPr>
      <w:widowControl/>
      <w:numPr>
        <w:numId w:val="0"/>
      </w:numPr>
      <w:spacing w:after="0" w:line="276" w:lineRule="auto"/>
      <w:jc w:val="left"/>
      <w:outlineLvl w:val="9"/>
    </w:pPr>
    <w:rPr>
      <w:rFonts w:ascii="Cambria" w:hAnsi="Cambria" w:eastAsia="宋体"/>
      <w:b/>
      <w:color w:val="365F91"/>
      <w:kern w:val="0"/>
      <w:sz w:val="28"/>
      <w:szCs w:val="28"/>
      <w:lang w:eastAsia="ja-JP"/>
    </w:rPr>
  </w:style>
  <w:style w:type="table" w:customStyle="1" w:styleId="63">
    <w:name w:val="网格型1"/>
    <w:basedOn w:val="2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4">
    <w:name w:val="Intense Reference"/>
    <w:basedOn w:val="29"/>
    <w:qFormat/>
    <w:uiPriority w:val="32"/>
    <w:rPr>
      <w:b/>
      <w:bCs/>
      <w:smallCaps/>
      <w:color w:val="5B9BD5" w:themeColor="accent1"/>
      <w:spacing w:val="5"/>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1.png"/><Relationship Id="rId33" Type="http://schemas.openxmlformats.org/officeDocument/2006/relationships/theme" Target="theme/theme1.xml"/><Relationship Id="rId32" Type="http://schemas.openxmlformats.org/officeDocument/2006/relationships/footer" Target="footer21.xml"/><Relationship Id="rId31" Type="http://schemas.openxmlformats.org/officeDocument/2006/relationships/footer" Target="footer20.xml"/><Relationship Id="rId30" Type="http://schemas.openxmlformats.org/officeDocument/2006/relationships/footer" Target="footer19.xml"/><Relationship Id="rId3" Type="http://schemas.openxmlformats.org/officeDocument/2006/relationships/footnotes" Target="footnotes.xml"/><Relationship Id="rId29" Type="http://schemas.openxmlformats.org/officeDocument/2006/relationships/header" Target="header7.xml"/><Relationship Id="rId28" Type="http://schemas.openxmlformats.org/officeDocument/2006/relationships/header" Target="header6.xml"/><Relationship Id="rId27" Type="http://schemas.openxmlformats.org/officeDocument/2006/relationships/footer" Target="footer18.xml"/><Relationship Id="rId26" Type="http://schemas.openxmlformats.org/officeDocument/2006/relationships/footer" Target="footer17.xml"/><Relationship Id="rId25" Type="http://schemas.openxmlformats.org/officeDocument/2006/relationships/footer" Target="footer16.xml"/><Relationship Id="rId24" Type="http://schemas.openxmlformats.org/officeDocument/2006/relationships/footer" Target="footer15.xml"/><Relationship Id="rId23" Type="http://schemas.openxmlformats.org/officeDocument/2006/relationships/header" Target="header5.xml"/><Relationship Id="rId22" Type="http://schemas.openxmlformats.org/officeDocument/2006/relationships/header" Target="header4.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2053" textRotate="1"/>
    <customShpInfo spid="_x0000_s2052" textRotate="1"/>
    <customShpInfo spid="_x0000_s2054" textRotate="1"/>
    <customShpInfo spid="_x0000_s2055" textRotate="1"/>
    <customShpInfo spid="_x0000_s2060" textRotate="1"/>
    <customShpInfo spid="_x0000_s2059" textRotate="1"/>
    <customShpInfo spid="_x0000_s2058" textRotate="1"/>
    <customShpInfo spid="_x0000_s2057" textRotate="1"/>
    <customShpInfo spid="_x0000_s2056" textRotate="1"/>
    <customShpInfo spid="_x0000_s2062" textRotate="1"/>
    <customShpInfo spid="_x0000_s2061" textRotate="1"/>
    <customShpInfo spid="_x0000_s2050" textRotate="1"/>
    <customShpInfo spid="_x0000_s2063" textRotate="1"/>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35</Pages>
  <Words>15232</Words>
  <Characters>16689</Characters>
  <Lines>149</Lines>
  <Paragraphs>42</Paragraphs>
  <TotalTime>2</TotalTime>
  <ScaleCrop>false</ScaleCrop>
  <LinksUpToDate>false</LinksUpToDate>
  <CharactersWithSpaces>16828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2020-03-05T17:08:00Z</dcterms:created>
  <dc:creator>于凤菊</dc:creator>
  <cp:lastModifiedBy>刘海英</cp:lastModifiedBy>
  <dcterms:modified xsi:type="dcterms:W3CDTF">2022-04-28T07:15:40Z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474CD82F621F447DA45A9F50039E15AA</vt:lpwstr>
  </property>
  <property fmtid="{D5CDD505-2E9C-101B-9397-08002B2CF9AE}" pid="4" name="commondata">
    <vt:lpwstr>eyJoZGlkIjoiYmExMWI5ZGZjNTNjODBhYTI1MTYyOWUwYTM0NWJjYzgifQ==</vt:lpwstr>
  </property>
</Properties>
</file>