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0F31" w:rsidRDefault="00130F31" w:rsidP="009F7073">
      <w:pPr>
        <w:adjustRightInd w:val="0"/>
        <w:snapToGrid w:val="0"/>
        <w:spacing w:line="560" w:lineRule="exact"/>
        <w:jc w:val="left"/>
        <w:rPr>
          <w:rFonts w:ascii="黑体" w:eastAsia="黑体" w:hAnsi="黑体" w:hint="eastAsia"/>
          <w:sz w:val="32"/>
          <w:szCs w:val="32"/>
        </w:rPr>
      </w:pPr>
      <w:r w:rsidRPr="00F76652">
        <w:rPr>
          <w:rFonts w:ascii="黑体" w:eastAsia="黑体" w:hAnsi="黑体" w:hint="eastAsia"/>
          <w:sz w:val="32"/>
          <w:szCs w:val="32"/>
        </w:rPr>
        <w:t>附件2：</w:t>
      </w:r>
    </w:p>
    <w:p w:rsidR="009F7073" w:rsidRPr="00F76652" w:rsidRDefault="009F7073" w:rsidP="009F7073">
      <w:pPr>
        <w:adjustRightInd w:val="0"/>
        <w:snapToGrid w:val="0"/>
        <w:spacing w:line="560" w:lineRule="exact"/>
        <w:jc w:val="left"/>
        <w:rPr>
          <w:rFonts w:ascii="黑体" w:eastAsia="黑体" w:hAnsi="黑体"/>
          <w:sz w:val="32"/>
          <w:szCs w:val="32"/>
        </w:rPr>
      </w:pPr>
    </w:p>
    <w:p w:rsidR="00130F31" w:rsidRDefault="00130F31" w:rsidP="00130F31">
      <w:pPr>
        <w:spacing w:line="660" w:lineRule="exact"/>
        <w:jc w:val="center"/>
        <w:rPr>
          <w:rFonts w:ascii="方正小标宋简体" w:eastAsia="方正小标宋简体"/>
          <w:sz w:val="44"/>
          <w:szCs w:val="44"/>
        </w:rPr>
      </w:pPr>
      <w:r>
        <w:rPr>
          <w:rFonts w:ascii="方正小标宋简体" w:eastAsia="方正小标宋简体" w:hint="eastAsia"/>
          <w:sz w:val="44"/>
          <w:szCs w:val="44"/>
        </w:rPr>
        <w:t>XX单位</w:t>
      </w:r>
      <w:r w:rsidRPr="002C7690">
        <w:rPr>
          <w:rFonts w:ascii="方正小标宋简体" w:eastAsia="方正小标宋简体" w:hint="eastAsia"/>
          <w:sz w:val="44"/>
          <w:szCs w:val="44"/>
        </w:rPr>
        <w:t>废铅蓄电池收集转运</w:t>
      </w:r>
    </w:p>
    <w:p w:rsidR="00130F31" w:rsidRDefault="00130F31" w:rsidP="00130F31">
      <w:pPr>
        <w:spacing w:line="660" w:lineRule="exact"/>
        <w:jc w:val="center"/>
        <w:rPr>
          <w:rFonts w:ascii="方正小标宋简体" w:eastAsia="方正小标宋简体"/>
          <w:sz w:val="44"/>
          <w:szCs w:val="44"/>
        </w:rPr>
      </w:pPr>
      <w:r w:rsidRPr="002C7690">
        <w:rPr>
          <w:rFonts w:ascii="方正小标宋简体" w:eastAsia="方正小标宋简体" w:hint="eastAsia"/>
          <w:sz w:val="44"/>
          <w:szCs w:val="44"/>
        </w:rPr>
        <w:t>试点工作方案编制大纲</w:t>
      </w:r>
    </w:p>
    <w:p w:rsidR="00130F31" w:rsidRPr="009F7073" w:rsidRDefault="00130F31" w:rsidP="009F7073">
      <w:pPr>
        <w:spacing w:line="560" w:lineRule="exact"/>
        <w:jc w:val="center"/>
        <w:rPr>
          <w:rFonts w:ascii="仿宋_GB2312" w:eastAsia="仿宋_GB2312" w:hint="eastAsia"/>
          <w:sz w:val="32"/>
          <w:szCs w:val="32"/>
        </w:rPr>
      </w:pPr>
    </w:p>
    <w:p w:rsidR="00130F31" w:rsidRPr="00F76652" w:rsidRDefault="00F76652" w:rsidP="009F7073">
      <w:pPr>
        <w:adjustRightInd w:val="0"/>
        <w:snapToGrid w:val="0"/>
        <w:spacing w:line="560" w:lineRule="exact"/>
        <w:ind w:firstLineChars="196" w:firstLine="630"/>
        <w:rPr>
          <w:rFonts w:ascii="仿宋_GB2312" w:eastAsia="仿宋_GB2312"/>
          <w:sz w:val="32"/>
          <w:szCs w:val="32"/>
        </w:rPr>
      </w:pPr>
      <w:r w:rsidRPr="00F76652">
        <w:rPr>
          <w:rFonts w:ascii="仿宋_GB2312" w:eastAsia="仿宋_GB2312" w:hint="eastAsia"/>
          <w:b/>
          <w:sz w:val="32"/>
          <w:szCs w:val="32"/>
        </w:rPr>
        <w:t>一、</w:t>
      </w:r>
      <w:r w:rsidR="00130F31" w:rsidRPr="00F76652">
        <w:rPr>
          <w:rFonts w:ascii="仿宋_GB2312" w:eastAsia="仿宋_GB2312" w:hint="eastAsia"/>
          <w:b/>
          <w:sz w:val="32"/>
          <w:szCs w:val="32"/>
        </w:rPr>
        <w:t>单位基本情况概述</w:t>
      </w:r>
      <w:r w:rsidR="00130F31" w:rsidRPr="00F76652">
        <w:rPr>
          <w:rFonts w:ascii="仿宋_GB2312" w:eastAsia="仿宋_GB2312" w:hint="eastAsia"/>
          <w:sz w:val="32"/>
          <w:szCs w:val="32"/>
        </w:rPr>
        <w:t>（至少应包括试点单位基本情况、铅蓄电池生产企业基本情况等）</w:t>
      </w:r>
    </w:p>
    <w:p w:rsidR="00130F31" w:rsidRPr="00F76652" w:rsidRDefault="00F76652" w:rsidP="009F7073">
      <w:pPr>
        <w:adjustRightInd w:val="0"/>
        <w:snapToGrid w:val="0"/>
        <w:spacing w:line="560" w:lineRule="exact"/>
        <w:ind w:firstLineChars="196" w:firstLine="630"/>
        <w:rPr>
          <w:rFonts w:ascii="仿宋_GB2312" w:eastAsia="仿宋_GB2312"/>
          <w:sz w:val="32"/>
          <w:szCs w:val="32"/>
        </w:rPr>
      </w:pPr>
      <w:r w:rsidRPr="00F76652">
        <w:rPr>
          <w:rFonts w:ascii="仿宋_GB2312" w:eastAsia="仿宋_GB2312" w:hint="eastAsia"/>
          <w:b/>
          <w:sz w:val="32"/>
          <w:szCs w:val="32"/>
        </w:rPr>
        <w:t>二、</w:t>
      </w:r>
      <w:r w:rsidR="00130F31" w:rsidRPr="00F76652">
        <w:rPr>
          <w:rFonts w:ascii="仿宋_GB2312" w:eastAsia="仿宋_GB2312" w:hint="eastAsia"/>
          <w:b/>
          <w:sz w:val="32"/>
          <w:szCs w:val="32"/>
        </w:rPr>
        <w:t>明确目标</w:t>
      </w:r>
      <w:r w:rsidR="00130F31" w:rsidRPr="00F76652">
        <w:rPr>
          <w:rFonts w:ascii="仿宋_GB2312" w:eastAsia="仿宋_GB2312" w:hint="eastAsia"/>
          <w:sz w:val="32"/>
          <w:szCs w:val="32"/>
        </w:rPr>
        <w:t>（以试点单位在北京市废铅蓄电池规范收集回收利用处置率达到50%以上为总体目标，提出可实现的具体目标）</w:t>
      </w:r>
    </w:p>
    <w:p w:rsidR="00130F31" w:rsidRPr="00F76652" w:rsidRDefault="00F76652" w:rsidP="009F7073">
      <w:pPr>
        <w:adjustRightInd w:val="0"/>
        <w:snapToGrid w:val="0"/>
        <w:spacing w:line="560" w:lineRule="exact"/>
        <w:ind w:firstLineChars="196" w:firstLine="630"/>
        <w:rPr>
          <w:rFonts w:ascii="仿宋_GB2312" w:eastAsia="仿宋_GB2312"/>
          <w:sz w:val="32"/>
          <w:szCs w:val="32"/>
        </w:rPr>
      </w:pPr>
      <w:r w:rsidRPr="00F76652">
        <w:rPr>
          <w:rFonts w:ascii="仿宋_GB2312" w:eastAsia="仿宋_GB2312" w:hint="eastAsia"/>
          <w:b/>
          <w:sz w:val="32"/>
          <w:szCs w:val="32"/>
        </w:rPr>
        <w:t>三、</w:t>
      </w:r>
      <w:r w:rsidR="00130F31" w:rsidRPr="00F76652">
        <w:rPr>
          <w:rFonts w:ascii="仿宋_GB2312" w:eastAsia="仿宋_GB2312" w:hint="eastAsia"/>
          <w:b/>
          <w:sz w:val="32"/>
          <w:szCs w:val="32"/>
        </w:rPr>
        <w:t>试点工作方案概述</w:t>
      </w:r>
      <w:r w:rsidR="00130F31" w:rsidRPr="00F76652">
        <w:rPr>
          <w:rFonts w:ascii="仿宋_GB2312" w:eastAsia="仿宋_GB2312" w:hint="eastAsia"/>
          <w:sz w:val="32"/>
          <w:szCs w:val="32"/>
        </w:rPr>
        <w:t>（至少应包括试点单位与铅蓄电池生产企业通过协议确定的职责分工、收集网点和集中转运点的管理职责、废铅蓄电池收运网络、台账制度、信息化管理等内容）</w:t>
      </w:r>
    </w:p>
    <w:p w:rsidR="00130F31" w:rsidRPr="00F76652" w:rsidRDefault="00F76652" w:rsidP="009F7073">
      <w:pPr>
        <w:adjustRightInd w:val="0"/>
        <w:snapToGrid w:val="0"/>
        <w:spacing w:line="560" w:lineRule="exact"/>
        <w:ind w:firstLineChars="196" w:firstLine="630"/>
        <w:rPr>
          <w:rFonts w:ascii="仿宋_GB2312" w:eastAsia="仿宋_GB2312"/>
          <w:sz w:val="32"/>
          <w:szCs w:val="32"/>
        </w:rPr>
      </w:pPr>
      <w:r w:rsidRPr="00F76652">
        <w:rPr>
          <w:rFonts w:ascii="仿宋_GB2312" w:eastAsia="仿宋_GB2312" w:hint="eastAsia"/>
          <w:b/>
          <w:sz w:val="32"/>
          <w:szCs w:val="32"/>
        </w:rPr>
        <w:t>四、</w:t>
      </w:r>
      <w:r w:rsidR="00130F31" w:rsidRPr="00F76652">
        <w:rPr>
          <w:rFonts w:ascii="仿宋_GB2312" w:eastAsia="仿宋_GB2312" w:hint="eastAsia"/>
          <w:b/>
          <w:sz w:val="32"/>
          <w:szCs w:val="32"/>
        </w:rPr>
        <w:t>收集网点方案</w:t>
      </w:r>
      <w:r w:rsidR="00130F31" w:rsidRPr="00F76652">
        <w:rPr>
          <w:rFonts w:ascii="仿宋_GB2312" w:eastAsia="仿宋_GB2312" w:hint="eastAsia"/>
          <w:sz w:val="32"/>
          <w:szCs w:val="32"/>
        </w:rPr>
        <w:t>（所有收集网点的包装和贮存方案、收集和运输方案、台账制度、必要的污染防治措施和应急救援措施等）</w:t>
      </w:r>
    </w:p>
    <w:p w:rsidR="00130F31" w:rsidRPr="00F76652" w:rsidRDefault="00F76652" w:rsidP="009F7073">
      <w:pPr>
        <w:adjustRightInd w:val="0"/>
        <w:snapToGrid w:val="0"/>
        <w:spacing w:line="560" w:lineRule="exact"/>
        <w:ind w:firstLineChars="196" w:firstLine="630"/>
        <w:rPr>
          <w:rFonts w:ascii="仿宋_GB2312" w:eastAsia="仿宋_GB2312"/>
          <w:sz w:val="32"/>
          <w:szCs w:val="32"/>
        </w:rPr>
      </w:pPr>
      <w:r w:rsidRPr="00F76652">
        <w:rPr>
          <w:rFonts w:ascii="仿宋_GB2312" w:eastAsia="仿宋_GB2312" w:hint="eastAsia"/>
          <w:b/>
          <w:sz w:val="32"/>
          <w:szCs w:val="32"/>
        </w:rPr>
        <w:t>五、</w:t>
      </w:r>
      <w:r w:rsidR="00130F31" w:rsidRPr="00F76652">
        <w:rPr>
          <w:rFonts w:ascii="仿宋_GB2312" w:eastAsia="仿宋_GB2312" w:hint="eastAsia"/>
          <w:b/>
          <w:sz w:val="32"/>
          <w:szCs w:val="32"/>
        </w:rPr>
        <w:t>集中转运点方案</w:t>
      </w:r>
      <w:r w:rsidR="00130F31" w:rsidRPr="00F76652">
        <w:rPr>
          <w:rFonts w:ascii="仿宋_GB2312" w:eastAsia="仿宋_GB2312" w:hint="eastAsia"/>
          <w:sz w:val="32"/>
          <w:szCs w:val="32"/>
        </w:rPr>
        <w:t>（应包括集中转运点单位信息、贮存设施符合国家《危险废物贮存污染控制标准》的相关文件、包装贮存和转运方案、危险废物管理计划、危险废物转移计划、废铅蓄电池利用处置协议、必要的污染防治措施和应急救援措施等）</w:t>
      </w:r>
    </w:p>
    <w:p w:rsidR="00130F31" w:rsidRPr="00F76652" w:rsidRDefault="00F76652" w:rsidP="009F7073">
      <w:pPr>
        <w:adjustRightInd w:val="0"/>
        <w:snapToGrid w:val="0"/>
        <w:spacing w:line="560" w:lineRule="exact"/>
        <w:ind w:firstLineChars="196" w:firstLine="630"/>
        <w:rPr>
          <w:rFonts w:ascii="仿宋_GB2312" w:eastAsia="仿宋_GB2312"/>
          <w:sz w:val="32"/>
          <w:szCs w:val="32"/>
        </w:rPr>
      </w:pPr>
      <w:r w:rsidRPr="00F76652">
        <w:rPr>
          <w:rFonts w:ascii="仿宋_GB2312" w:eastAsia="仿宋_GB2312" w:hint="eastAsia"/>
          <w:b/>
          <w:sz w:val="32"/>
          <w:szCs w:val="32"/>
        </w:rPr>
        <w:t>六、</w:t>
      </w:r>
      <w:r w:rsidR="00130F31" w:rsidRPr="00F76652">
        <w:rPr>
          <w:rFonts w:ascii="仿宋_GB2312" w:eastAsia="仿宋_GB2312" w:hint="eastAsia"/>
          <w:b/>
          <w:sz w:val="32"/>
          <w:szCs w:val="32"/>
        </w:rPr>
        <w:t>转移运输方案</w:t>
      </w:r>
      <w:r w:rsidR="00130F31" w:rsidRPr="00F76652">
        <w:rPr>
          <w:rFonts w:ascii="仿宋_GB2312" w:eastAsia="仿宋_GB2312" w:hint="eastAsia"/>
          <w:sz w:val="32"/>
          <w:szCs w:val="32"/>
        </w:rPr>
        <w:t>（明确第</w:t>
      </w:r>
      <w:r w:rsidR="00130F31" w:rsidRPr="00F76652">
        <w:rPr>
          <w:rFonts w:ascii="仿宋_GB2312" w:eastAsia="仿宋_GB2312" w:hAnsi="仿宋" w:hint="eastAsia"/>
          <w:sz w:val="32"/>
          <w:szCs w:val="32"/>
        </w:rPr>
        <w:t>Ⅰ</w:t>
      </w:r>
      <w:r w:rsidR="00130F31" w:rsidRPr="00F76652">
        <w:rPr>
          <w:rFonts w:ascii="仿宋_GB2312" w:eastAsia="仿宋_GB2312" w:hint="eastAsia"/>
          <w:sz w:val="32"/>
          <w:szCs w:val="32"/>
        </w:rPr>
        <w:t>类、第</w:t>
      </w:r>
      <w:r w:rsidR="00130F31" w:rsidRPr="00F76652">
        <w:rPr>
          <w:rFonts w:ascii="仿宋_GB2312" w:eastAsia="仿宋_GB2312" w:hAnsi="仿宋" w:hint="eastAsia"/>
          <w:sz w:val="32"/>
          <w:szCs w:val="32"/>
        </w:rPr>
        <w:t>Ⅱ</w:t>
      </w:r>
      <w:r w:rsidR="00130F31" w:rsidRPr="00F76652">
        <w:rPr>
          <w:rFonts w:ascii="仿宋_GB2312" w:eastAsia="仿宋_GB2312" w:hint="eastAsia"/>
          <w:sz w:val="32"/>
          <w:szCs w:val="32"/>
        </w:rPr>
        <w:t>类废铅蓄电池中间转移运输相关管理要求；运输单位信息以及协议、运输单位和车辆的运输资质证明材料；突发事件的应急预案；落实包装容器、人员培训及装卸条件等有关要求）</w:t>
      </w:r>
    </w:p>
    <w:p w:rsidR="00130F31" w:rsidRPr="00F76652" w:rsidRDefault="00F76652" w:rsidP="009F7073">
      <w:pPr>
        <w:adjustRightInd w:val="0"/>
        <w:snapToGrid w:val="0"/>
        <w:spacing w:line="560" w:lineRule="exact"/>
        <w:ind w:firstLineChars="196" w:firstLine="630"/>
        <w:rPr>
          <w:rFonts w:ascii="仿宋_GB2312" w:eastAsia="仿宋_GB2312"/>
          <w:sz w:val="32"/>
          <w:szCs w:val="32"/>
        </w:rPr>
      </w:pPr>
      <w:r w:rsidRPr="00F76652">
        <w:rPr>
          <w:rFonts w:ascii="仿宋_GB2312" w:eastAsia="仿宋_GB2312" w:hint="eastAsia"/>
          <w:b/>
          <w:sz w:val="32"/>
          <w:szCs w:val="32"/>
        </w:rPr>
        <w:lastRenderedPageBreak/>
        <w:t>七、</w:t>
      </w:r>
      <w:r w:rsidR="00130F31" w:rsidRPr="00F76652">
        <w:rPr>
          <w:rFonts w:ascii="仿宋_GB2312" w:eastAsia="仿宋_GB2312" w:hint="eastAsia"/>
          <w:b/>
          <w:sz w:val="32"/>
          <w:szCs w:val="32"/>
        </w:rPr>
        <w:t>信息公开及宣传方案</w:t>
      </w:r>
      <w:r w:rsidR="00130F31" w:rsidRPr="00F76652">
        <w:rPr>
          <w:rFonts w:ascii="仿宋_GB2312" w:eastAsia="仿宋_GB2312" w:hint="eastAsia"/>
          <w:sz w:val="32"/>
          <w:szCs w:val="32"/>
        </w:rPr>
        <w:t>（应向社会公布全部废铅蓄电池收集网点和集中转运点的名称、地址和联系方式，运输车辆信息，生态环境保护制度和污染防治措施落实情况等信息并承诺不接收非法铅蓄电池）</w:t>
      </w:r>
    </w:p>
    <w:p w:rsidR="00130F31" w:rsidRPr="00F76652" w:rsidRDefault="00F76652" w:rsidP="009F7073">
      <w:pPr>
        <w:adjustRightInd w:val="0"/>
        <w:snapToGrid w:val="0"/>
        <w:spacing w:line="560" w:lineRule="exact"/>
        <w:ind w:firstLineChars="196" w:firstLine="630"/>
        <w:rPr>
          <w:rFonts w:ascii="仿宋_GB2312" w:eastAsia="仿宋_GB2312"/>
          <w:sz w:val="32"/>
          <w:szCs w:val="32"/>
        </w:rPr>
      </w:pPr>
      <w:r w:rsidRPr="00F76652">
        <w:rPr>
          <w:rFonts w:ascii="仿宋_GB2312" w:eastAsia="仿宋_GB2312" w:hint="eastAsia"/>
          <w:b/>
          <w:sz w:val="32"/>
          <w:szCs w:val="32"/>
        </w:rPr>
        <w:t>八、</w:t>
      </w:r>
      <w:r w:rsidR="00130F31" w:rsidRPr="00F76652">
        <w:rPr>
          <w:rFonts w:ascii="仿宋_GB2312" w:eastAsia="仿宋_GB2312" w:hint="eastAsia"/>
          <w:b/>
          <w:sz w:val="32"/>
          <w:szCs w:val="32"/>
        </w:rPr>
        <w:t>污染防治相关材料</w:t>
      </w:r>
      <w:r w:rsidR="00130F31" w:rsidRPr="00F76652">
        <w:rPr>
          <w:rFonts w:ascii="仿宋_GB2312" w:eastAsia="仿宋_GB2312" w:hint="eastAsia"/>
          <w:sz w:val="32"/>
          <w:szCs w:val="32"/>
        </w:rPr>
        <w:t>（危险废物标识、管理计划、申报登记、转移、突发环境事件应急预案、人员培训等环境管理制度以及危险货物运输制度；配套的污染防治措施和事故应急救援措施；申请试点单位及其法定代表人近1年没有因发生突发环境事件和环境违法行为受到刑事处罚的承诺书等）</w:t>
      </w:r>
    </w:p>
    <w:p w:rsidR="00130F31" w:rsidRPr="00F76652" w:rsidRDefault="00130F31" w:rsidP="009F7073">
      <w:pPr>
        <w:adjustRightInd w:val="0"/>
        <w:snapToGrid w:val="0"/>
        <w:spacing w:line="560" w:lineRule="exact"/>
        <w:ind w:left="420"/>
        <w:rPr>
          <w:rFonts w:ascii="仿宋_GB2312" w:eastAsia="仿宋_GB2312"/>
          <w:b/>
          <w:sz w:val="32"/>
          <w:szCs w:val="32"/>
        </w:rPr>
      </w:pPr>
    </w:p>
    <w:p w:rsidR="00130F31" w:rsidRPr="00F76652" w:rsidRDefault="00130F31" w:rsidP="009F7073">
      <w:pPr>
        <w:adjustRightInd w:val="0"/>
        <w:snapToGrid w:val="0"/>
        <w:spacing w:line="560" w:lineRule="exact"/>
        <w:ind w:left="420"/>
        <w:rPr>
          <w:rFonts w:ascii="仿宋_GB2312" w:eastAsia="仿宋_GB2312"/>
          <w:sz w:val="32"/>
          <w:szCs w:val="32"/>
        </w:rPr>
      </w:pPr>
    </w:p>
    <w:p w:rsidR="009F7073" w:rsidRDefault="009F7073" w:rsidP="009F7073">
      <w:pPr>
        <w:adjustRightInd w:val="0"/>
        <w:snapToGrid w:val="0"/>
        <w:spacing w:line="560" w:lineRule="exact"/>
        <w:jc w:val="left"/>
        <w:rPr>
          <w:rFonts w:ascii="仿宋_GB2312" w:eastAsia="仿宋_GB2312" w:hAnsi="宋体" w:hint="eastAsia"/>
          <w:sz w:val="32"/>
          <w:szCs w:val="32"/>
        </w:rPr>
      </w:pPr>
      <w:r>
        <w:rPr>
          <w:rFonts w:ascii="仿宋_GB2312" w:eastAsia="仿宋_GB2312" w:hAnsi="宋体" w:hint="eastAsia"/>
          <w:sz w:val="32"/>
          <w:szCs w:val="32"/>
        </w:rPr>
        <w:t>附表：1.</w:t>
      </w:r>
      <w:r w:rsidR="00130F31" w:rsidRPr="00F76652">
        <w:rPr>
          <w:rFonts w:ascii="仿宋_GB2312" w:eastAsia="仿宋_GB2312" w:hint="eastAsia"/>
          <w:sz w:val="32"/>
          <w:szCs w:val="32"/>
        </w:rPr>
        <w:t xml:space="preserve"> </w:t>
      </w:r>
      <w:r w:rsidR="00130F31" w:rsidRPr="00F76652">
        <w:rPr>
          <w:rFonts w:ascii="仿宋_GB2312" w:eastAsia="仿宋_GB2312" w:hAnsi="宋体" w:hint="eastAsia"/>
          <w:sz w:val="32"/>
          <w:szCs w:val="32"/>
        </w:rPr>
        <w:t>收集网点建设要求一览表</w:t>
      </w:r>
    </w:p>
    <w:p w:rsidR="00130F31" w:rsidRPr="00F76652" w:rsidRDefault="009F7073" w:rsidP="009F7073">
      <w:pPr>
        <w:adjustRightInd w:val="0"/>
        <w:snapToGrid w:val="0"/>
        <w:spacing w:line="560" w:lineRule="exact"/>
        <w:ind w:firstLineChars="300" w:firstLine="960"/>
        <w:jc w:val="left"/>
        <w:rPr>
          <w:rFonts w:ascii="仿宋_GB2312" w:eastAsia="仿宋_GB2312" w:hAnsi="宋体"/>
          <w:sz w:val="32"/>
          <w:szCs w:val="32"/>
        </w:rPr>
      </w:pPr>
      <w:r>
        <w:rPr>
          <w:rFonts w:ascii="仿宋_GB2312" w:eastAsia="仿宋_GB2312" w:hAnsi="宋体" w:hint="eastAsia"/>
          <w:sz w:val="32"/>
          <w:szCs w:val="32"/>
        </w:rPr>
        <w:t xml:space="preserve">2. </w:t>
      </w:r>
      <w:r w:rsidR="00130F31" w:rsidRPr="00F76652">
        <w:rPr>
          <w:rFonts w:ascii="仿宋_GB2312" w:eastAsia="仿宋_GB2312" w:hAnsi="宋体" w:hint="eastAsia"/>
          <w:sz w:val="32"/>
          <w:szCs w:val="32"/>
        </w:rPr>
        <w:t>集中转运点建设要求一览表</w:t>
      </w:r>
    </w:p>
    <w:p w:rsidR="00130F31" w:rsidRPr="00F76652" w:rsidRDefault="009F7073" w:rsidP="009F7073">
      <w:pPr>
        <w:adjustRightInd w:val="0"/>
        <w:snapToGrid w:val="0"/>
        <w:spacing w:line="560" w:lineRule="exact"/>
        <w:ind w:firstLineChars="300" w:firstLine="960"/>
        <w:jc w:val="left"/>
        <w:rPr>
          <w:rFonts w:ascii="仿宋_GB2312" w:eastAsia="仿宋_GB2312" w:hAnsi="宋体"/>
          <w:sz w:val="32"/>
          <w:szCs w:val="32"/>
        </w:rPr>
      </w:pPr>
      <w:r>
        <w:rPr>
          <w:rFonts w:ascii="仿宋_GB2312" w:eastAsia="仿宋_GB2312" w:hAnsi="宋体" w:hint="eastAsia"/>
          <w:sz w:val="32"/>
          <w:szCs w:val="32"/>
        </w:rPr>
        <w:t xml:space="preserve">3. </w:t>
      </w:r>
      <w:r w:rsidR="00130F31" w:rsidRPr="00F76652">
        <w:rPr>
          <w:rFonts w:ascii="仿宋_GB2312" w:eastAsia="仿宋_GB2312" w:hAnsi="宋体" w:hint="eastAsia"/>
          <w:sz w:val="32"/>
          <w:szCs w:val="32"/>
        </w:rPr>
        <w:t>废铅蓄电池转移运输管理要求一览表</w:t>
      </w:r>
    </w:p>
    <w:p w:rsidR="00130F31" w:rsidRDefault="00130F31" w:rsidP="009F7073">
      <w:pPr>
        <w:adjustRightInd w:val="0"/>
        <w:snapToGrid w:val="0"/>
        <w:spacing w:line="560" w:lineRule="exact"/>
        <w:jc w:val="center"/>
        <w:rPr>
          <w:rFonts w:ascii="方正小标宋简体" w:eastAsia="方正小标宋简体"/>
          <w:sz w:val="44"/>
          <w:szCs w:val="44"/>
        </w:rPr>
      </w:pPr>
    </w:p>
    <w:p w:rsidR="00130F31" w:rsidRDefault="00130F31" w:rsidP="009F7073">
      <w:pPr>
        <w:adjustRightInd w:val="0"/>
        <w:snapToGrid w:val="0"/>
        <w:spacing w:line="560" w:lineRule="exact"/>
        <w:jc w:val="center"/>
        <w:rPr>
          <w:rFonts w:ascii="方正小标宋简体" w:eastAsia="方正小标宋简体"/>
          <w:sz w:val="44"/>
          <w:szCs w:val="44"/>
        </w:rPr>
      </w:pPr>
    </w:p>
    <w:p w:rsidR="00130F31" w:rsidRDefault="00130F31" w:rsidP="009F7073">
      <w:pPr>
        <w:adjustRightInd w:val="0"/>
        <w:snapToGrid w:val="0"/>
        <w:spacing w:line="560" w:lineRule="exact"/>
        <w:jc w:val="center"/>
        <w:rPr>
          <w:rFonts w:ascii="方正小标宋简体" w:eastAsia="方正小标宋简体"/>
          <w:sz w:val="44"/>
          <w:szCs w:val="44"/>
        </w:rPr>
      </w:pPr>
    </w:p>
    <w:p w:rsidR="00130F31" w:rsidRDefault="00130F31" w:rsidP="009F7073">
      <w:pPr>
        <w:adjustRightInd w:val="0"/>
        <w:snapToGrid w:val="0"/>
        <w:spacing w:line="560" w:lineRule="exact"/>
        <w:jc w:val="center"/>
        <w:rPr>
          <w:rFonts w:ascii="方正小标宋简体" w:eastAsia="方正小标宋简体"/>
          <w:sz w:val="44"/>
          <w:szCs w:val="44"/>
        </w:rPr>
      </w:pPr>
    </w:p>
    <w:p w:rsidR="00100AC4" w:rsidRDefault="00100AC4" w:rsidP="009F7073">
      <w:pPr>
        <w:adjustRightInd w:val="0"/>
        <w:snapToGrid w:val="0"/>
        <w:spacing w:line="560" w:lineRule="exact"/>
        <w:jc w:val="center"/>
        <w:rPr>
          <w:rFonts w:ascii="方正小标宋简体" w:eastAsia="方正小标宋简体"/>
          <w:sz w:val="44"/>
          <w:szCs w:val="44"/>
        </w:rPr>
      </w:pPr>
    </w:p>
    <w:p w:rsidR="00F76652" w:rsidRDefault="00F76652" w:rsidP="009F7073">
      <w:pPr>
        <w:adjustRightInd w:val="0"/>
        <w:snapToGrid w:val="0"/>
        <w:spacing w:line="560" w:lineRule="exact"/>
        <w:jc w:val="center"/>
        <w:rPr>
          <w:rFonts w:ascii="方正小标宋简体" w:eastAsia="方正小标宋简体" w:hint="eastAsia"/>
          <w:sz w:val="44"/>
          <w:szCs w:val="44"/>
        </w:rPr>
      </w:pPr>
    </w:p>
    <w:p w:rsidR="009F7073" w:rsidRDefault="009F7073" w:rsidP="009F7073">
      <w:pPr>
        <w:adjustRightInd w:val="0"/>
        <w:snapToGrid w:val="0"/>
        <w:spacing w:line="560" w:lineRule="exact"/>
        <w:jc w:val="center"/>
        <w:rPr>
          <w:rFonts w:ascii="方正小标宋简体" w:eastAsia="方正小标宋简体" w:hint="eastAsia"/>
          <w:sz w:val="44"/>
          <w:szCs w:val="44"/>
        </w:rPr>
      </w:pPr>
    </w:p>
    <w:p w:rsidR="009F7073" w:rsidRDefault="009F7073" w:rsidP="009F7073">
      <w:pPr>
        <w:adjustRightInd w:val="0"/>
        <w:snapToGrid w:val="0"/>
        <w:spacing w:line="560" w:lineRule="exact"/>
        <w:jc w:val="center"/>
        <w:rPr>
          <w:rFonts w:ascii="方正小标宋简体" w:eastAsia="方正小标宋简体"/>
          <w:sz w:val="44"/>
          <w:szCs w:val="44"/>
        </w:rPr>
      </w:pPr>
    </w:p>
    <w:p w:rsidR="00100AC4" w:rsidRDefault="00100AC4" w:rsidP="00130F31">
      <w:pPr>
        <w:jc w:val="center"/>
        <w:rPr>
          <w:rFonts w:ascii="方正小标宋简体" w:eastAsia="方正小标宋简体"/>
          <w:sz w:val="44"/>
          <w:szCs w:val="44"/>
        </w:rPr>
        <w:sectPr w:rsidR="00100AC4" w:rsidSect="00EB68C3">
          <w:footerReference w:type="even" r:id="rId7"/>
          <w:footerReference w:type="default" r:id="rId8"/>
          <w:pgSz w:w="11906" w:h="16838" w:code="9"/>
          <w:pgMar w:top="2098" w:right="1474" w:bottom="1985" w:left="1588" w:header="851" w:footer="1588" w:gutter="0"/>
          <w:cols w:space="720"/>
          <w:docGrid w:type="lines" w:linePitch="286"/>
        </w:sectPr>
      </w:pPr>
    </w:p>
    <w:p w:rsidR="00130F31" w:rsidRPr="004E0D10" w:rsidRDefault="00130F31" w:rsidP="00130F31">
      <w:pPr>
        <w:jc w:val="center"/>
        <w:rPr>
          <w:rFonts w:ascii="方正小标宋简体" w:eastAsia="方正小标宋简体"/>
          <w:sz w:val="44"/>
          <w:szCs w:val="44"/>
        </w:rPr>
      </w:pPr>
      <w:r w:rsidRPr="004E0D10">
        <w:rPr>
          <w:rFonts w:ascii="方正小标宋简体" w:eastAsia="方正小标宋简体" w:hint="eastAsia"/>
          <w:sz w:val="44"/>
          <w:szCs w:val="44"/>
        </w:rPr>
        <w:lastRenderedPageBreak/>
        <w:t>收集网点建设要求一览表</w:t>
      </w:r>
    </w:p>
    <w:tbl>
      <w:tblPr>
        <w:tblW w:w="92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1"/>
        <w:gridCol w:w="1701"/>
        <w:gridCol w:w="6633"/>
      </w:tblGrid>
      <w:tr w:rsidR="00130F31" w:rsidRPr="00F76652" w:rsidTr="00F05975">
        <w:trPr>
          <w:jc w:val="center"/>
        </w:trPr>
        <w:tc>
          <w:tcPr>
            <w:tcW w:w="881" w:type="dxa"/>
            <w:shd w:val="clear" w:color="auto" w:fill="auto"/>
          </w:tcPr>
          <w:p w:rsidR="00130F31" w:rsidRPr="00F76652" w:rsidRDefault="00130F31" w:rsidP="00F05975">
            <w:pPr>
              <w:jc w:val="center"/>
              <w:rPr>
                <w:rFonts w:ascii="仿宋_GB2312" w:eastAsia="仿宋_GB2312" w:hAnsi="宋体"/>
                <w:b/>
                <w:sz w:val="28"/>
                <w:szCs w:val="28"/>
              </w:rPr>
            </w:pPr>
            <w:r w:rsidRPr="00F76652">
              <w:rPr>
                <w:rFonts w:ascii="仿宋_GB2312" w:eastAsia="仿宋_GB2312" w:hAnsi="宋体" w:hint="eastAsia"/>
                <w:b/>
                <w:sz w:val="28"/>
                <w:szCs w:val="28"/>
              </w:rPr>
              <w:t>序号</w:t>
            </w:r>
          </w:p>
        </w:tc>
        <w:tc>
          <w:tcPr>
            <w:tcW w:w="1701" w:type="dxa"/>
            <w:shd w:val="clear" w:color="auto" w:fill="auto"/>
            <w:vAlign w:val="center"/>
          </w:tcPr>
          <w:p w:rsidR="00130F31" w:rsidRPr="00F76652" w:rsidRDefault="00130F31" w:rsidP="00F05975">
            <w:pPr>
              <w:jc w:val="center"/>
              <w:rPr>
                <w:rFonts w:ascii="仿宋_GB2312" w:eastAsia="仿宋_GB2312" w:hAnsi="宋体"/>
                <w:b/>
                <w:sz w:val="28"/>
                <w:szCs w:val="28"/>
              </w:rPr>
            </w:pPr>
            <w:r w:rsidRPr="00F76652">
              <w:rPr>
                <w:rFonts w:ascii="仿宋_GB2312" w:eastAsia="仿宋_GB2312" w:hAnsi="宋体" w:hint="eastAsia"/>
                <w:b/>
                <w:sz w:val="28"/>
                <w:szCs w:val="28"/>
              </w:rPr>
              <w:t xml:space="preserve"> 项目</w:t>
            </w:r>
          </w:p>
        </w:tc>
        <w:tc>
          <w:tcPr>
            <w:tcW w:w="6633" w:type="dxa"/>
            <w:shd w:val="clear" w:color="auto" w:fill="auto"/>
            <w:vAlign w:val="center"/>
          </w:tcPr>
          <w:p w:rsidR="00130F31" w:rsidRPr="00F76652" w:rsidRDefault="00130F31" w:rsidP="00F05975">
            <w:pPr>
              <w:jc w:val="center"/>
              <w:rPr>
                <w:rFonts w:ascii="仿宋_GB2312" w:eastAsia="仿宋_GB2312" w:hAnsi="宋体"/>
                <w:b/>
                <w:sz w:val="28"/>
                <w:szCs w:val="28"/>
              </w:rPr>
            </w:pPr>
            <w:r w:rsidRPr="00F76652">
              <w:rPr>
                <w:rFonts w:ascii="仿宋_GB2312" w:eastAsia="仿宋_GB2312" w:hAnsi="宋体" w:hint="eastAsia"/>
                <w:b/>
                <w:sz w:val="28"/>
                <w:szCs w:val="28"/>
              </w:rPr>
              <w:t>建设要求</w:t>
            </w:r>
          </w:p>
        </w:tc>
      </w:tr>
      <w:tr w:rsidR="00130F31" w:rsidRPr="00F76652" w:rsidTr="00F05975">
        <w:trPr>
          <w:jc w:val="center"/>
        </w:trPr>
        <w:tc>
          <w:tcPr>
            <w:tcW w:w="881" w:type="dxa"/>
            <w:shd w:val="clear" w:color="auto" w:fill="auto"/>
            <w:vAlign w:val="center"/>
          </w:tcPr>
          <w:p w:rsidR="00130F31" w:rsidRPr="00F76652" w:rsidRDefault="00130F31" w:rsidP="00F05975">
            <w:pPr>
              <w:jc w:val="center"/>
              <w:rPr>
                <w:rFonts w:ascii="仿宋_GB2312" w:eastAsia="仿宋_GB2312" w:hAnsi="宋体"/>
                <w:sz w:val="28"/>
                <w:szCs w:val="28"/>
              </w:rPr>
            </w:pPr>
            <w:r w:rsidRPr="00F76652">
              <w:rPr>
                <w:rFonts w:ascii="仿宋_GB2312" w:eastAsia="仿宋_GB2312" w:hAnsi="宋体" w:hint="eastAsia"/>
                <w:sz w:val="28"/>
                <w:szCs w:val="28"/>
              </w:rPr>
              <w:t>1</w:t>
            </w:r>
          </w:p>
        </w:tc>
        <w:tc>
          <w:tcPr>
            <w:tcW w:w="1701" w:type="dxa"/>
            <w:shd w:val="clear" w:color="auto" w:fill="auto"/>
            <w:vAlign w:val="center"/>
          </w:tcPr>
          <w:p w:rsidR="00130F31" w:rsidRPr="00F76652" w:rsidRDefault="00130F31" w:rsidP="00F05975">
            <w:pPr>
              <w:jc w:val="center"/>
              <w:rPr>
                <w:rFonts w:ascii="仿宋_GB2312" w:eastAsia="仿宋_GB2312" w:hAnsi="宋体"/>
                <w:sz w:val="28"/>
                <w:szCs w:val="28"/>
              </w:rPr>
            </w:pPr>
            <w:r w:rsidRPr="00F76652">
              <w:rPr>
                <w:rFonts w:ascii="仿宋_GB2312" w:eastAsia="仿宋_GB2312" w:hAnsi="宋体" w:hint="eastAsia"/>
                <w:sz w:val="28"/>
                <w:szCs w:val="28"/>
              </w:rPr>
              <w:t>场所要求</w:t>
            </w:r>
          </w:p>
        </w:tc>
        <w:tc>
          <w:tcPr>
            <w:tcW w:w="6633" w:type="dxa"/>
            <w:shd w:val="clear" w:color="auto" w:fill="auto"/>
          </w:tcPr>
          <w:p w:rsidR="00130F31" w:rsidRPr="00F76652" w:rsidRDefault="00130F31" w:rsidP="00100AC4">
            <w:pPr>
              <w:adjustRightInd w:val="0"/>
              <w:snapToGrid w:val="0"/>
              <w:jc w:val="left"/>
              <w:rPr>
                <w:rFonts w:ascii="仿宋_GB2312" w:eastAsia="仿宋_GB2312" w:hAnsi="宋体"/>
                <w:sz w:val="28"/>
                <w:szCs w:val="28"/>
              </w:rPr>
            </w:pPr>
            <w:r w:rsidRPr="00F76652">
              <w:rPr>
                <w:rFonts w:ascii="仿宋_GB2312" w:eastAsia="仿宋_GB2312" w:hAnsi="宋体" w:hint="eastAsia"/>
                <w:sz w:val="28"/>
                <w:szCs w:val="28"/>
              </w:rPr>
              <w:t>贮存场地应为独立房间，面积不少于3平方米；零售商贮存废铅蓄电池数量不超过3吨,分销商贮存废铅蓄电池数量不超过10吨；贮存时间不超过60天</w:t>
            </w:r>
          </w:p>
        </w:tc>
      </w:tr>
      <w:tr w:rsidR="00130F31" w:rsidRPr="00F76652" w:rsidTr="00F05975">
        <w:trPr>
          <w:jc w:val="center"/>
        </w:trPr>
        <w:tc>
          <w:tcPr>
            <w:tcW w:w="881" w:type="dxa"/>
            <w:shd w:val="clear" w:color="auto" w:fill="auto"/>
            <w:vAlign w:val="center"/>
          </w:tcPr>
          <w:p w:rsidR="00130F31" w:rsidRPr="00F76652" w:rsidRDefault="00130F31" w:rsidP="00F05975">
            <w:pPr>
              <w:jc w:val="center"/>
              <w:rPr>
                <w:rFonts w:ascii="仿宋_GB2312" w:eastAsia="仿宋_GB2312" w:hAnsi="宋体"/>
                <w:sz w:val="28"/>
                <w:szCs w:val="28"/>
              </w:rPr>
            </w:pPr>
            <w:r w:rsidRPr="00F76652">
              <w:rPr>
                <w:rFonts w:ascii="仿宋_GB2312" w:eastAsia="仿宋_GB2312" w:hAnsi="宋体" w:hint="eastAsia"/>
                <w:sz w:val="28"/>
                <w:szCs w:val="28"/>
              </w:rPr>
              <w:t>2</w:t>
            </w:r>
          </w:p>
        </w:tc>
        <w:tc>
          <w:tcPr>
            <w:tcW w:w="1701" w:type="dxa"/>
            <w:shd w:val="clear" w:color="auto" w:fill="auto"/>
            <w:vAlign w:val="center"/>
          </w:tcPr>
          <w:p w:rsidR="00130F31" w:rsidRPr="00F76652" w:rsidRDefault="00130F31" w:rsidP="00F05975">
            <w:pPr>
              <w:jc w:val="center"/>
              <w:rPr>
                <w:rFonts w:ascii="仿宋_GB2312" w:eastAsia="仿宋_GB2312" w:hAnsi="宋体"/>
                <w:sz w:val="28"/>
                <w:szCs w:val="28"/>
              </w:rPr>
            </w:pPr>
            <w:r w:rsidRPr="00F76652">
              <w:rPr>
                <w:rFonts w:ascii="仿宋_GB2312" w:eastAsia="仿宋_GB2312" w:hAnsi="宋体" w:hint="eastAsia"/>
                <w:sz w:val="28"/>
                <w:szCs w:val="28"/>
              </w:rPr>
              <w:t>贮存包装</w:t>
            </w:r>
          </w:p>
        </w:tc>
        <w:tc>
          <w:tcPr>
            <w:tcW w:w="6633" w:type="dxa"/>
            <w:shd w:val="clear" w:color="auto" w:fill="auto"/>
          </w:tcPr>
          <w:p w:rsidR="00130F31" w:rsidRPr="00F76652" w:rsidRDefault="00130F31" w:rsidP="00100AC4">
            <w:pPr>
              <w:adjustRightInd w:val="0"/>
              <w:snapToGrid w:val="0"/>
              <w:jc w:val="left"/>
              <w:rPr>
                <w:rFonts w:ascii="仿宋_GB2312" w:eastAsia="仿宋_GB2312" w:hAnsi="宋体"/>
                <w:sz w:val="28"/>
                <w:szCs w:val="28"/>
              </w:rPr>
            </w:pPr>
            <w:r w:rsidRPr="00F76652">
              <w:rPr>
                <w:rFonts w:ascii="仿宋_GB2312" w:eastAsia="仿宋_GB2312" w:hAnsi="宋体" w:hint="eastAsia"/>
                <w:sz w:val="28"/>
                <w:szCs w:val="28"/>
              </w:rPr>
              <w:t>不得与完好铅蓄电池及其他废物混存，同时应采取防止废铅蓄电池破损及酸液泄露的措施。第Ⅱ类废铅蓄电池应当放置在耐腐蚀、不易破损变形的专用容器内</w:t>
            </w:r>
          </w:p>
        </w:tc>
      </w:tr>
      <w:tr w:rsidR="00130F31" w:rsidRPr="00F76652" w:rsidTr="00F05975">
        <w:trPr>
          <w:jc w:val="center"/>
        </w:trPr>
        <w:tc>
          <w:tcPr>
            <w:tcW w:w="881" w:type="dxa"/>
            <w:shd w:val="clear" w:color="auto" w:fill="auto"/>
            <w:vAlign w:val="center"/>
          </w:tcPr>
          <w:p w:rsidR="00130F31" w:rsidRPr="00F76652" w:rsidRDefault="00130F31" w:rsidP="00F05975">
            <w:pPr>
              <w:jc w:val="center"/>
              <w:rPr>
                <w:rFonts w:ascii="仿宋_GB2312" w:eastAsia="仿宋_GB2312" w:hAnsi="宋体"/>
                <w:sz w:val="28"/>
                <w:szCs w:val="28"/>
              </w:rPr>
            </w:pPr>
            <w:r w:rsidRPr="00F76652">
              <w:rPr>
                <w:rFonts w:ascii="仿宋_GB2312" w:eastAsia="仿宋_GB2312" w:hAnsi="宋体" w:hint="eastAsia"/>
                <w:sz w:val="28"/>
                <w:szCs w:val="28"/>
              </w:rPr>
              <w:t>3</w:t>
            </w:r>
          </w:p>
        </w:tc>
        <w:tc>
          <w:tcPr>
            <w:tcW w:w="1701" w:type="dxa"/>
            <w:shd w:val="clear" w:color="auto" w:fill="auto"/>
            <w:vAlign w:val="center"/>
          </w:tcPr>
          <w:p w:rsidR="00130F31" w:rsidRPr="00F76652" w:rsidRDefault="00130F31" w:rsidP="009F7073">
            <w:pPr>
              <w:adjustRightInd w:val="0"/>
              <w:snapToGrid w:val="0"/>
              <w:spacing w:line="560" w:lineRule="exact"/>
              <w:jc w:val="center"/>
              <w:rPr>
                <w:rFonts w:ascii="仿宋_GB2312" w:eastAsia="仿宋_GB2312" w:hAnsi="宋体"/>
                <w:sz w:val="28"/>
                <w:szCs w:val="28"/>
              </w:rPr>
            </w:pPr>
            <w:r w:rsidRPr="00F76652">
              <w:rPr>
                <w:rFonts w:ascii="仿宋_GB2312" w:eastAsia="仿宋_GB2312" w:hAnsi="宋体" w:hint="eastAsia"/>
                <w:sz w:val="28"/>
                <w:szCs w:val="28"/>
              </w:rPr>
              <w:t>污染防治</w:t>
            </w:r>
          </w:p>
          <w:p w:rsidR="00130F31" w:rsidRPr="00F76652" w:rsidRDefault="00130F31" w:rsidP="009F7073">
            <w:pPr>
              <w:adjustRightInd w:val="0"/>
              <w:snapToGrid w:val="0"/>
              <w:spacing w:line="560" w:lineRule="exact"/>
              <w:jc w:val="center"/>
              <w:rPr>
                <w:rFonts w:ascii="仿宋_GB2312" w:eastAsia="仿宋_GB2312" w:hAnsi="宋体"/>
                <w:sz w:val="28"/>
                <w:szCs w:val="28"/>
              </w:rPr>
            </w:pPr>
            <w:r w:rsidRPr="00F76652">
              <w:rPr>
                <w:rFonts w:ascii="仿宋_GB2312" w:eastAsia="仿宋_GB2312" w:hAnsi="宋体" w:hint="eastAsia"/>
                <w:sz w:val="28"/>
                <w:szCs w:val="28"/>
              </w:rPr>
              <w:t>措施</w:t>
            </w:r>
          </w:p>
        </w:tc>
        <w:tc>
          <w:tcPr>
            <w:tcW w:w="6633" w:type="dxa"/>
            <w:shd w:val="clear" w:color="auto" w:fill="auto"/>
          </w:tcPr>
          <w:p w:rsidR="00130F31" w:rsidRPr="00F76652" w:rsidRDefault="00130F31" w:rsidP="00100AC4">
            <w:pPr>
              <w:adjustRightInd w:val="0"/>
              <w:snapToGrid w:val="0"/>
              <w:jc w:val="left"/>
              <w:rPr>
                <w:rFonts w:ascii="仿宋_GB2312" w:eastAsia="仿宋_GB2312" w:hAnsi="宋体"/>
                <w:sz w:val="28"/>
                <w:szCs w:val="28"/>
              </w:rPr>
            </w:pPr>
            <w:r w:rsidRPr="00F76652">
              <w:rPr>
                <w:rFonts w:ascii="仿宋_GB2312" w:eastAsia="仿宋_GB2312" w:hAnsi="宋体" w:hint="eastAsia"/>
                <w:sz w:val="28"/>
                <w:szCs w:val="28"/>
              </w:rPr>
              <w:t>废铅蓄电池存放区域地面做好硬化及防渗防腐处理；并设置泄露液体收集装置；配置废酸收集桶，用于收集破损废铅蓄电池酸液；并配备应急物资</w:t>
            </w:r>
          </w:p>
        </w:tc>
      </w:tr>
      <w:tr w:rsidR="00130F31" w:rsidRPr="00F76652" w:rsidTr="00F05975">
        <w:trPr>
          <w:jc w:val="center"/>
        </w:trPr>
        <w:tc>
          <w:tcPr>
            <w:tcW w:w="881" w:type="dxa"/>
            <w:shd w:val="clear" w:color="auto" w:fill="auto"/>
            <w:vAlign w:val="center"/>
          </w:tcPr>
          <w:p w:rsidR="00130F31" w:rsidRPr="00F76652" w:rsidRDefault="00130F31" w:rsidP="00F05975">
            <w:pPr>
              <w:jc w:val="center"/>
              <w:rPr>
                <w:rFonts w:ascii="仿宋_GB2312" w:eastAsia="仿宋_GB2312" w:hAnsi="宋体"/>
                <w:sz w:val="28"/>
                <w:szCs w:val="28"/>
              </w:rPr>
            </w:pPr>
            <w:r w:rsidRPr="00F76652">
              <w:rPr>
                <w:rFonts w:ascii="仿宋_GB2312" w:eastAsia="仿宋_GB2312" w:hAnsi="宋体" w:hint="eastAsia"/>
                <w:sz w:val="28"/>
                <w:szCs w:val="28"/>
              </w:rPr>
              <w:t>4</w:t>
            </w:r>
          </w:p>
        </w:tc>
        <w:tc>
          <w:tcPr>
            <w:tcW w:w="1701" w:type="dxa"/>
            <w:shd w:val="clear" w:color="auto" w:fill="auto"/>
            <w:vAlign w:val="center"/>
          </w:tcPr>
          <w:p w:rsidR="00130F31" w:rsidRPr="00F76652" w:rsidRDefault="00130F31" w:rsidP="00F05975">
            <w:pPr>
              <w:jc w:val="center"/>
              <w:rPr>
                <w:rFonts w:ascii="仿宋_GB2312" w:eastAsia="仿宋_GB2312" w:hAnsi="宋体"/>
                <w:sz w:val="28"/>
                <w:szCs w:val="28"/>
              </w:rPr>
            </w:pPr>
            <w:r w:rsidRPr="00F76652">
              <w:rPr>
                <w:rFonts w:ascii="仿宋_GB2312" w:eastAsia="仿宋_GB2312" w:hAnsi="宋体" w:hint="eastAsia"/>
                <w:sz w:val="28"/>
                <w:szCs w:val="28"/>
              </w:rPr>
              <w:t>标识标签</w:t>
            </w:r>
          </w:p>
        </w:tc>
        <w:tc>
          <w:tcPr>
            <w:tcW w:w="6633" w:type="dxa"/>
            <w:shd w:val="clear" w:color="auto" w:fill="auto"/>
            <w:vAlign w:val="center"/>
          </w:tcPr>
          <w:p w:rsidR="00130F31" w:rsidRPr="00F76652" w:rsidRDefault="00130F31" w:rsidP="00100AC4">
            <w:pPr>
              <w:adjustRightInd w:val="0"/>
              <w:snapToGrid w:val="0"/>
              <w:jc w:val="left"/>
              <w:rPr>
                <w:rFonts w:ascii="仿宋_GB2312" w:eastAsia="仿宋_GB2312" w:hAnsi="宋体"/>
                <w:sz w:val="28"/>
                <w:szCs w:val="28"/>
              </w:rPr>
            </w:pPr>
            <w:r w:rsidRPr="00F76652">
              <w:rPr>
                <w:rFonts w:ascii="仿宋_GB2312" w:eastAsia="仿宋_GB2312" w:hAnsi="宋体" w:hint="eastAsia"/>
                <w:sz w:val="28"/>
                <w:szCs w:val="28"/>
              </w:rPr>
              <w:t>设立危险废物警示标志。</w:t>
            </w:r>
          </w:p>
        </w:tc>
      </w:tr>
      <w:tr w:rsidR="00130F31" w:rsidRPr="00F76652" w:rsidTr="00F05975">
        <w:trPr>
          <w:jc w:val="center"/>
        </w:trPr>
        <w:tc>
          <w:tcPr>
            <w:tcW w:w="881" w:type="dxa"/>
            <w:shd w:val="clear" w:color="auto" w:fill="auto"/>
            <w:vAlign w:val="center"/>
          </w:tcPr>
          <w:p w:rsidR="00130F31" w:rsidRPr="00F76652" w:rsidRDefault="00130F31" w:rsidP="00F05975">
            <w:pPr>
              <w:jc w:val="center"/>
              <w:rPr>
                <w:rFonts w:ascii="仿宋_GB2312" w:eastAsia="仿宋_GB2312" w:hAnsi="宋体"/>
                <w:sz w:val="28"/>
                <w:szCs w:val="28"/>
              </w:rPr>
            </w:pPr>
            <w:r w:rsidRPr="00F76652">
              <w:rPr>
                <w:rFonts w:ascii="仿宋_GB2312" w:eastAsia="仿宋_GB2312" w:hAnsi="宋体" w:hint="eastAsia"/>
                <w:sz w:val="28"/>
                <w:szCs w:val="28"/>
              </w:rPr>
              <w:t>5</w:t>
            </w:r>
          </w:p>
        </w:tc>
        <w:tc>
          <w:tcPr>
            <w:tcW w:w="1701" w:type="dxa"/>
            <w:shd w:val="clear" w:color="auto" w:fill="auto"/>
            <w:vAlign w:val="center"/>
          </w:tcPr>
          <w:p w:rsidR="00130F31" w:rsidRPr="00F76652" w:rsidRDefault="00130F31" w:rsidP="00F05975">
            <w:pPr>
              <w:jc w:val="center"/>
              <w:rPr>
                <w:rFonts w:ascii="仿宋_GB2312" w:eastAsia="仿宋_GB2312" w:hAnsi="宋体"/>
                <w:sz w:val="28"/>
                <w:szCs w:val="28"/>
              </w:rPr>
            </w:pPr>
            <w:r w:rsidRPr="00F76652">
              <w:rPr>
                <w:rFonts w:ascii="仿宋_GB2312" w:eastAsia="仿宋_GB2312" w:hAnsi="宋体" w:hint="eastAsia"/>
                <w:sz w:val="28"/>
                <w:szCs w:val="28"/>
              </w:rPr>
              <w:t>管理制度</w:t>
            </w:r>
          </w:p>
        </w:tc>
        <w:tc>
          <w:tcPr>
            <w:tcW w:w="6633" w:type="dxa"/>
            <w:shd w:val="clear" w:color="auto" w:fill="auto"/>
            <w:vAlign w:val="center"/>
          </w:tcPr>
          <w:p w:rsidR="00130F31" w:rsidRPr="00F76652" w:rsidRDefault="00130F31" w:rsidP="00100AC4">
            <w:pPr>
              <w:adjustRightInd w:val="0"/>
              <w:snapToGrid w:val="0"/>
              <w:jc w:val="left"/>
              <w:rPr>
                <w:rFonts w:ascii="仿宋_GB2312" w:eastAsia="仿宋_GB2312" w:hAnsi="宋体"/>
                <w:sz w:val="28"/>
                <w:szCs w:val="28"/>
              </w:rPr>
            </w:pPr>
            <w:r w:rsidRPr="00F76652">
              <w:rPr>
                <w:rFonts w:ascii="仿宋_GB2312" w:eastAsia="仿宋_GB2312" w:hAnsi="宋体" w:hint="eastAsia"/>
                <w:sz w:val="28"/>
                <w:szCs w:val="28"/>
              </w:rPr>
              <w:t>危险废物管理制度上墙（具体到责任人）；制定规范应急预案并上墙；做好废铅蓄电池收集、转移台账并上报；服从集中转运点管理</w:t>
            </w:r>
          </w:p>
        </w:tc>
      </w:tr>
    </w:tbl>
    <w:p w:rsidR="00130F31" w:rsidRPr="00F76652" w:rsidRDefault="00130F31" w:rsidP="00842569">
      <w:pPr>
        <w:adjustRightInd w:val="0"/>
        <w:snapToGrid w:val="0"/>
        <w:spacing w:beforeLines="50"/>
        <w:ind w:leftChars="200" w:left="780" w:hangingChars="150" w:hanging="360"/>
        <w:rPr>
          <w:rFonts w:ascii="仿宋_GB2312" w:eastAsia="仿宋_GB2312"/>
          <w:sz w:val="24"/>
        </w:rPr>
      </w:pPr>
      <w:r w:rsidRPr="00F76652">
        <w:rPr>
          <w:rFonts w:ascii="仿宋_GB2312" w:eastAsia="仿宋_GB2312" w:hint="eastAsia"/>
          <w:sz w:val="24"/>
        </w:rPr>
        <w:t>注：第Ⅰ类废铅蓄电池：未破损的密封式免维护废铅蓄电池，第Ⅱ类废铅蓄电池：开口式废铅蓄电池和破损的密封式免维护铅蓄电池</w:t>
      </w:r>
    </w:p>
    <w:p w:rsidR="00130F31" w:rsidRPr="00F76652" w:rsidRDefault="00130F31" w:rsidP="00130F31">
      <w:pPr>
        <w:jc w:val="center"/>
        <w:rPr>
          <w:rFonts w:ascii="方正小标宋简体" w:eastAsia="方正小标宋简体"/>
          <w:sz w:val="44"/>
          <w:szCs w:val="44"/>
        </w:rPr>
      </w:pPr>
    </w:p>
    <w:p w:rsidR="00130F31" w:rsidRPr="008201D6" w:rsidRDefault="00130F31" w:rsidP="00130F31">
      <w:pPr>
        <w:jc w:val="center"/>
        <w:rPr>
          <w:rFonts w:ascii="方正小标宋简体" w:eastAsia="方正小标宋简体"/>
          <w:sz w:val="44"/>
          <w:szCs w:val="44"/>
        </w:rPr>
      </w:pPr>
    </w:p>
    <w:p w:rsidR="00130F31" w:rsidRDefault="00130F31" w:rsidP="00130F31">
      <w:pPr>
        <w:rPr>
          <w:rFonts w:ascii="方正小标宋简体" w:eastAsia="方正小标宋简体"/>
          <w:sz w:val="44"/>
          <w:szCs w:val="44"/>
        </w:rPr>
      </w:pPr>
    </w:p>
    <w:p w:rsidR="00100AC4" w:rsidRDefault="00100AC4" w:rsidP="00130F31">
      <w:pPr>
        <w:jc w:val="center"/>
        <w:rPr>
          <w:rFonts w:ascii="方正小标宋简体" w:eastAsia="方正小标宋简体"/>
          <w:sz w:val="44"/>
          <w:szCs w:val="44"/>
        </w:rPr>
      </w:pPr>
    </w:p>
    <w:p w:rsidR="00100AC4" w:rsidRDefault="00100AC4" w:rsidP="00130F31">
      <w:pPr>
        <w:jc w:val="center"/>
        <w:rPr>
          <w:rFonts w:ascii="方正小标宋简体" w:eastAsia="方正小标宋简体"/>
          <w:sz w:val="44"/>
          <w:szCs w:val="44"/>
        </w:rPr>
      </w:pPr>
    </w:p>
    <w:p w:rsidR="00100AC4" w:rsidRDefault="00100AC4" w:rsidP="00130F31">
      <w:pPr>
        <w:jc w:val="center"/>
        <w:rPr>
          <w:rFonts w:ascii="方正小标宋简体" w:eastAsia="方正小标宋简体"/>
          <w:sz w:val="44"/>
          <w:szCs w:val="44"/>
        </w:rPr>
      </w:pPr>
    </w:p>
    <w:p w:rsidR="00100AC4" w:rsidRDefault="00100AC4" w:rsidP="00130F31">
      <w:pPr>
        <w:jc w:val="center"/>
        <w:rPr>
          <w:rFonts w:ascii="方正小标宋简体" w:eastAsia="方正小标宋简体"/>
          <w:sz w:val="44"/>
          <w:szCs w:val="44"/>
        </w:rPr>
        <w:sectPr w:rsidR="00100AC4" w:rsidSect="00100AC4">
          <w:type w:val="continuous"/>
          <w:pgSz w:w="11906" w:h="16838" w:code="9"/>
          <w:pgMar w:top="2098" w:right="1474" w:bottom="1985" w:left="1588" w:header="851" w:footer="1588" w:gutter="0"/>
          <w:cols w:space="720"/>
          <w:docGrid w:type="lines" w:linePitch="286"/>
        </w:sectPr>
      </w:pPr>
    </w:p>
    <w:p w:rsidR="00130F31" w:rsidRPr="004E0D10" w:rsidRDefault="00130F31" w:rsidP="00130F31">
      <w:pPr>
        <w:jc w:val="center"/>
        <w:rPr>
          <w:rFonts w:ascii="方正小标宋简体" w:eastAsia="方正小标宋简体"/>
          <w:sz w:val="44"/>
          <w:szCs w:val="44"/>
        </w:rPr>
      </w:pPr>
      <w:r w:rsidRPr="004E0D10">
        <w:rPr>
          <w:rFonts w:ascii="方正小标宋简体" w:eastAsia="方正小标宋简体" w:hint="eastAsia"/>
          <w:sz w:val="44"/>
          <w:szCs w:val="44"/>
        </w:rPr>
        <w:lastRenderedPageBreak/>
        <w:t>集中转运点建设要求一览表</w:t>
      </w:r>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3"/>
        <w:gridCol w:w="1698"/>
        <w:gridCol w:w="6632"/>
      </w:tblGrid>
      <w:tr w:rsidR="00130F31" w:rsidRPr="00800777" w:rsidTr="00F05975">
        <w:trPr>
          <w:trHeight w:val="540"/>
          <w:jc w:val="center"/>
        </w:trPr>
        <w:tc>
          <w:tcPr>
            <w:tcW w:w="883" w:type="dxa"/>
            <w:shd w:val="clear" w:color="auto" w:fill="auto"/>
            <w:vAlign w:val="center"/>
          </w:tcPr>
          <w:p w:rsidR="00130F31" w:rsidRPr="00F76652" w:rsidRDefault="00130F31" w:rsidP="00F05975">
            <w:pPr>
              <w:jc w:val="center"/>
              <w:rPr>
                <w:rFonts w:ascii="仿宋_GB2312" w:eastAsia="仿宋_GB2312" w:hAnsi="宋体"/>
                <w:b/>
                <w:sz w:val="28"/>
                <w:szCs w:val="28"/>
              </w:rPr>
            </w:pPr>
            <w:r w:rsidRPr="00F76652">
              <w:rPr>
                <w:rFonts w:ascii="仿宋_GB2312" w:eastAsia="仿宋_GB2312" w:hAnsi="宋体" w:hint="eastAsia"/>
                <w:b/>
                <w:sz w:val="28"/>
                <w:szCs w:val="28"/>
              </w:rPr>
              <w:t>序号</w:t>
            </w:r>
          </w:p>
        </w:tc>
        <w:tc>
          <w:tcPr>
            <w:tcW w:w="1698" w:type="dxa"/>
            <w:shd w:val="clear" w:color="auto" w:fill="auto"/>
            <w:vAlign w:val="center"/>
          </w:tcPr>
          <w:p w:rsidR="00130F31" w:rsidRPr="00F76652" w:rsidRDefault="00130F31" w:rsidP="00F05975">
            <w:pPr>
              <w:jc w:val="center"/>
              <w:rPr>
                <w:rFonts w:ascii="仿宋_GB2312" w:eastAsia="仿宋_GB2312" w:hAnsi="宋体"/>
                <w:b/>
                <w:sz w:val="28"/>
                <w:szCs w:val="28"/>
              </w:rPr>
            </w:pPr>
            <w:r w:rsidRPr="00F76652">
              <w:rPr>
                <w:rFonts w:ascii="仿宋_GB2312" w:eastAsia="仿宋_GB2312" w:hAnsi="宋体" w:hint="eastAsia"/>
                <w:b/>
                <w:sz w:val="28"/>
                <w:szCs w:val="28"/>
              </w:rPr>
              <w:t xml:space="preserve"> 项目</w:t>
            </w:r>
          </w:p>
        </w:tc>
        <w:tc>
          <w:tcPr>
            <w:tcW w:w="6632" w:type="dxa"/>
            <w:shd w:val="clear" w:color="auto" w:fill="auto"/>
            <w:vAlign w:val="center"/>
          </w:tcPr>
          <w:p w:rsidR="00130F31" w:rsidRPr="00F76652" w:rsidRDefault="00130F31" w:rsidP="00F05975">
            <w:pPr>
              <w:jc w:val="center"/>
              <w:rPr>
                <w:rFonts w:ascii="仿宋_GB2312" w:eastAsia="仿宋_GB2312" w:hAnsi="宋体"/>
                <w:b/>
                <w:sz w:val="28"/>
                <w:szCs w:val="28"/>
              </w:rPr>
            </w:pPr>
            <w:r w:rsidRPr="00F76652">
              <w:rPr>
                <w:rFonts w:ascii="仿宋_GB2312" w:eastAsia="仿宋_GB2312" w:hAnsi="宋体" w:hint="eastAsia"/>
                <w:b/>
                <w:sz w:val="28"/>
                <w:szCs w:val="28"/>
              </w:rPr>
              <w:t>建设要求</w:t>
            </w:r>
          </w:p>
        </w:tc>
      </w:tr>
      <w:tr w:rsidR="00130F31" w:rsidRPr="00800777" w:rsidTr="00F05975">
        <w:trPr>
          <w:trHeight w:val="521"/>
          <w:jc w:val="center"/>
        </w:trPr>
        <w:tc>
          <w:tcPr>
            <w:tcW w:w="883" w:type="dxa"/>
            <w:shd w:val="clear" w:color="auto" w:fill="auto"/>
            <w:vAlign w:val="center"/>
          </w:tcPr>
          <w:p w:rsidR="00130F31" w:rsidRPr="00F76652" w:rsidRDefault="00130F31" w:rsidP="00F05975">
            <w:pPr>
              <w:jc w:val="center"/>
              <w:rPr>
                <w:rFonts w:ascii="仿宋_GB2312" w:eastAsia="仿宋_GB2312" w:hAnsi="宋体"/>
                <w:sz w:val="28"/>
                <w:szCs w:val="28"/>
              </w:rPr>
            </w:pPr>
            <w:r w:rsidRPr="00F76652">
              <w:rPr>
                <w:rFonts w:ascii="仿宋_GB2312" w:eastAsia="仿宋_GB2312" w:hAnsi="宋体" w:hint="eastAsia"/>
                <w:sz w:val="28"/>
                <w:szCs w:val="28"/>
              </w:rPr>
              <w:t>1</w:t>
            </w:r>
          </w:p>
        </w:tc>
        <w:tc>
          <w:tcPr>
            <w:tcW w:w="1698" w:type="dxa"/>
            <w:shd w:val="clear" w:color="auto" w:fill="auto"/>
            <w:vAlign w:val="center"/>
          </w:tcPr>
          <w:p w:rsidR="00130F31" w:rsidRPr="00F76652" w:rsidRDefault="00130F31" w:rsidP="00F05975">
            <w:pPr>
              <w:jc w:val="center"/>
              <w:rPr>
                <w:rFonts w:ascii="仿宋_GB2312" w:eastAsia="仿宋_GB2312" w:hAnsi="宋体"/>
                <w:sz w:val="28"/>
                <w:szCs w:val="28"/>
              </w:rPr>
            </w:pPr>
            <w:r w:rsidRPr="00F76652">
              <w:rPr>
                <w:rFonts w:ascii="仿宋_GB2312" w:eastAsia="仿宋_GB2312" w:hAnsi="宋体" w:hint="eastAsia"/>
                <w:sz w:val="28"/>
                <w:szCs w:val="28"/>
              </w:rPr>
              <w:t>场地要求</w:t>
            </w:r>
          </w:p>
        </w:tc>
        <w:tc>
          <w:tcPr>
            <w:tcW w:w="6632" w:type="dxa"/>
            <w:shd w:val="clear" w:color="auto" w:fill="auto"/>
            <w:vAlign w:val="center"/>
          </w:tcPr>
          <w:p w:rsidR="00130F31" w:rsidRPr="00F76652" w:rsidRDefault="00130F31" w:rsidP="00100AC4">
            <w:pPr>
              <w:adjustRightInd w:val="0"/>
              <w:snapToGrid w:val="0"/>
              <w:jc w:val="left"/>
              <w:rPr>
                <w:rFonts w:ascii="仿宋_GB2312" w:eastAsia="仿宋_GB2312" w:hAnsi="宋体"/>
                <w:sz w:val="28"/>
                <w:szCs w:val="28"/>
              </w:rPr>
            </w:pPr>
            <w:r w:rsidRPr="00F76652">
              <w:rPr>
                <w:rFonts w:ascii="仿宋_GB2312" w:eastAsia="仿宋_GB2312" w:hAnsi="宋体" w:hint="eastAsia"/>
                <w:sz w:val="28"/>
                <w:szCs w:val="28"/>
              </w:rPr>
              <w:t>贮存设施应满足国家《危险废物贮存污染控制标准》；贮存设施面积不少于30平方米，能够满足废铅蓄电池日常中转需求；贮存废铅蓄电池数量不超过环评批准的贮存规模（已办理环评审批手续的）或设计规模（免于办理环评审批手续的）；贮存时间不超过一年</w:t>
            </w:r>
          </w:p>
        </w:tc>
      </w:tr>
      <w:tr w:rsidR="00130F31" w:rsidRPr="00800777" w:rsidTr="00F05975">
        <w:trPr>
          <w:trHeight w:val="521"/>
          <w:jc w:val="center"/>
        </w:trPr>
        <w:tc>
          <w:tcPr>
            <w:tcW w:w="883" w:type="dxa"/>
            <w:shd w:val="clear" w:color="auto" w:fill="auto"/>
            <w:vAlign w:val="center"/>
          </w:tcPr>
          <w:p w:rsidR="00130F31" w:rsidRPr="00F76652" w:rsidRDefault="00130F31" w:rsidP="00F05975">
            <w:pPr>
              <w:jc w:val="center"/>
              <w:rPr>
                <w:rFonts w:ascii="仿宋_GB2312" w:eastAsia="仿宋_GB2312" w:hAnsi="宋体"/>
                <w:sz w:val="28"/>
                <w:szCs w:val="28"/>
              </w:rPr>
            </w:pPr>
            <w:r w:rsidRPr="00F76652">
              <w:rPr>
                <w:rFonts w:ascii="仿宋_GB2312" w:eastAsia="仿宋_GB2312" w:hAnsi="宋体" w:hint="eastAsia"/>
                <w:sz w:val="28"/>
                <w:szCs w:val="28"/>
              </w:rPr>
              <w:t>2</w:t>
            </w:r>
          </w:p>
        </w:tc>
        <w:tc>
          <w:tcPr>
            <w:tcW w:w="1698" w:type="dxa"/>
            <w:shd w:val="clear" w:color="auto" w:fill="auto"/>
            <w:vAlign w:val="center"/>
          </w:tcPr>
          <w:p w:rsidR="00130F31" w:rsidRPr="00F76652" w:rsidRDefault="00130F31" w:rsidP="00F05975">
            <w:pPr>
              <w:jc w:val="center"/>
              <w:rPr>
                <w:rFonts w:ascii="仿宋_GB2312" w:eastAsia="仿宋_GB2312" w:hAnsi="宋体"/>
                <w:sz w:val="28"/>
                <w:szCs w:val="28"/>
              </w:rPr>
            </w:pPr>
            <w:r w:rsidRPr="00F76652">
              <w:rPr>
                <w:rFonts w:ascii="仿宋_GB2312" w:eastAsia="仿宋_GB2312" w:hAnsi="宋体" w:hint="eastAsia"/>
                <w:sz w:val="28"/>
                <w:szCs w:val="28"/>
              </w:rPr>
              <w:t>贮存包装</w:t>
            </w:r>
          </w:p>
        </w:tc>
        <w:tc>
          <w:tcPr>
            <w:tcW w:w="6632" w:type="dxa"/>
            <w:shd w:val="clear" w:color="auto" w:fill="auto"/>
            <w:vAlign w:val="center"/>
          </w:tcPr>
          <w:p w:rsidR="00130F31" w:rsidRPr="00F76652" w:rsidRDefault="00130F31" w:rsidP="00100AC4">
            <w:pPr>
              <w:adjustRightInd w:val="0"/>
              <w:snapToGrid w:val="0"/>
              <w:jc w:val="left"/>
              <w:rPr>
                <w:rFonts w:ascii="仿宋_GB2312" w:eastAsia="仿宋_GB2312" w:hAnsi="宋体"/>
                <w:sz w:val="28"/>
                <w:szCs w:val="28"/>
              </w:rPr>
            </w:pPr>
            <w:r w:rsidRPr="00F76652">
              <w:rPr>
                <w:rFonts w:ascii="仿宋_GB2312" w:eastAsia="仿宋_GB2312" w:hAnsi="宋体" w:hint="eastAsia"/>
                <w:sz w:val="28"/>
                <w:szCs w:val="28"/>
              </w:rPr>
              <w:t>第Ⅰ类、Ⅱ类废铅蓄电池应分区贮存；第Ⅱ类废铅蓄电池应当妥善包装放置在耐腐蚀、不易破损变形的专用容器内，并配备必要的污染防治措施</w:t>
            </w:r>
          </w:p>
        </w:tc>
      </w:tr>
      <w:tr w:rsidR="00130F31" w:rsidRPr="00800777" w:rsidTr="00F05975">
        <w:trPr>
          <w:trHeight w:val="521"/>
          <w:jc w:val="center"/>
        </w:trPr>
        <w:tc>
          <w:tcPr>
            <w:tcW w:w="883" w:type="dxa"/>
            <w:shd w:val="clear" w:color="auto" w:fill="auto"/>
            <w:vAlign w:val="center"/>
          </w:tcPr>
          <w:p w:rsidR="00130F31" w:rsidRPr="00F76652" w:rsidRDefault="00130F31" w:rsidP="00F05975">
            <w:pPr>
              <w:jc w:val="center"/>
              <w:rPr>
                <w:rFonts w:ascii="仿宋_GB2312" w:eastAsia="仿宋_GB2312" w:hAnsi="宋体"/>
                <w:sz w:val="28"/>
                <w:szCs w:val="28"/>
              </w:rPr>
            </w:pPr>
            <w:r w:rsidRPr="00F76652">
              <w:rPr>
                <w:rFonts w:ascii="仿宋_GB2312" w:eastAsia="仿宋_GB2312" w:hAnsi="宋体" w:hint="eastAsia"/>
                <w:sz w:val="28"/>
                <w:szCs w:val="28"/>
              </w:rPr>
              <w:t>3</w:t>
            </w:r>
          </w:p>
        </w:tc>
        <w:tc>
          <w:tcPr>
            <w:tcW w:w="1698" w:type="dxa"/>
            <w:shd w:val="clear" w:color="auto" w:fill="auto"/>
            <w:vAlign w:val="center"/>
          </w:tcPr>
          <w:p w:rsidR="00130F31" w:rsidRPr="00F76652" w:rsidRDefault="00130F31" w:rsidP="009F7073">
            <w:pPr>
              <w:adjustRightInd w:val="0"/>
              <w:snapToGrid w:val="0"/>
              <w:spacing w:line="560" w:lineRule="exact"/>
              <w:jc w:val="center"/>
              <w:rPr>
                <w:rFonts w:ascii="仿宋_GB2312" w:eastAsia="仿宋_GB2312" w:hAnsi="宋体"/>
                <w:sz w:val="28"/>
                <w:szCs w:val="28"/>
              </w:rPr>
            </w:pPr>
            <w:r w:rsidRPr="00F76652">
              <w:rPr>
                <w:rFonts w:ascii="仿宋_GB2312" w:eastAsia="仿宋_GB2312" w:hAnsi="宋体" w:hint="eastAsia"/>
                <w:sz w:val="28"/>
                <w:szCs w:val="28"/>
              </w:rPr>
              <w:t>污染防治</w:t>
            </w:r>
          </w:p>
          <w:p w:rsidR="00130F31" w:rsidRPr="00F76652" w:rsidRDefault="00130F31" w:rsidP="009F7073">
            <w:pPr>
              <w:adjustRightInd w:val="0"/>
              <w:snapToGrid w:val="0"/>
              <w:spacing w:line="560" w:lineRule="exact"/>
              <w:jc w:val="center"/>
              <w:rPr>
                <w:rFonts w:ascii="仿宋_GB2312" w:eastAsia="仿宋_GB2312" w:hAnsi="宋体"/>
                <w:sz w:val="28"/>
                <w:szCs w:val="28"/>
              </w:rPr>
            </w:pPr>
            <w:r w:rsidRPr="00F76652">
              <w:rPr>
                <w:rFonts w:ascii="仿宋_GB2312" w:eastAsia="仿宋_GB2312" w:hAnsi="宋体" w:hint="eastAsia"/>
                <w:sz w:val="28"/>
                <w:szCs w:val="28"/>
              </w:rPr>
              <w:t>措施</w:t>
            </w:r>
          </w:p>
        </w:tc>
        <w:tc>
          <w:tcPr>
            <w:tcW w:w="6632" w:type="dxa"/>
            <w:shd w:val="clear" w:color="auto" w:fill="auto"/>
            <w:vAlign w:val="center"/>
          </w:tcPr>
          <w:p w:rsidR="00130F31" w:rsidRPr="00F76652" w:rsidRDefault="00130F31" w:rsidP="00100AC4">
            <w:pPr>
              <w:adjustRightInd w:val="0"/>
              <w:snapToGrid w:val="0"/>
              <w:jc w:val="left"/>
              <w:rPr>
                <w:rFonts w:ascii="仿宋_GB2312" w:eastAsia="仿宋_GB2312" w:hAnsi="宋体"/>
                <w:sz w:val="28"/>
                <w:szCs w:val="28"/>
              </w:rPr>
            </w:pPr>
            <w:r w:rsidRPr="00F76652">
              <w:rPr>
                <w:rFonts w:ascii="仿宋_GB2312" w:eastAsia="仿宋_GB2312" w:hAnsi="宋体" w:hint="eastAsia"/>
                <w:sz w:val="28"/>
                <w:szCs w:val="28"/>
              </w:rPr>
              <w:t>废铅蓄电池存放区域地面做好硬化及防渗防腐处理；并设置泄露液体收集装置；配置废酸收集桶，用于收集破损废铅蓄电池酸液；并配备应急物资</w:t>
            </w:r>
          </w:p>
        </w:tc>
      </w:tr>
      <w:tr w:rsidR="00130F31" w:rsidRPr="00800777" w:rsidTr="00F05975">
        <w:trPr>
          <w:trHeight w:val="540"/>
          <w:jc w:val="center"/>
        </w:trPr>
        <w:tc>
          <w:tcPr>
            <w:tcW w:w="883" w:type="dxa"/>
            <w:shd w:val="clear" w:color="auto" w:fill="auto"/>
            <w:vAlign w:val="center"/>
          </w:tcPr>
          <w:p w:rsidR="00130F31" w:rsidRPr="00F76652" w:rsidRDefault="00130F31" w:rsidP="00F05975">
            <w:pPr>
              <w:jc w:val="center"/>
              <w:rPr>
                <w:rFonts w:ascii="仿宋_GB2312" w:eastAsia="仿宋_GB2312" w:hAnsi="宋体"/>
                <w:sz w:val="28"/>
                <w:szCs w:val="28"/>
              </w:rPr>
            </w:pPr>
            <w:r w:rsidRPr="00F76652">
              <w:rPr>
                <w:rFonts w:ascii="仿宋_GB2312" w:eastAsia="仿宋_GB2312" w:hAnsi="宋体" w:hint="eastAsia"/>
                <w:sz w:val="28"/>
                <w:szCs w:val="28"/>
              </w:rPr>
              <w:t>4</w:t>
            </w:r>
          </w:p>
        </w:tc>
        <w:tc>
          <w:tcPr>
            <w:tcW w:w="1698" w:type="dxa"/>
            <w:shd w:val="clear" w:color="auto" w:fill="auto"/>
            <w:vAlign w:val="center"/>
          </w:tcPr>
          <w:p w:rsidR="00130F31" w:rsidRPr="00F76652" w:rsidRDefault="00130F31" w:rsidP="00F05975">
            <w:pPr>
              <w:jc w:val="center"/>
              <w:rPr>
                <w:rFonts w:ascii="仿宋_GB2312" w:eastAsia="仿宋_GB2312" w:hAnsi="宋体"/>
                <w:sz w:val="28"/>
                <w:szCs w:val="28"/>
              </w:rPr>
            </w:pPr>
            <w:r w:rsidRPr="00F76652">
              <w:rPr>
                <w:rFonts w:ascii="仿宋_GB2312" w:eastAsia="仿宋_GB2312" w:hAnsi="宋体" w:hint="eastAsia"/>
                <w:sz w:val="28"/>
                <w:szCs w:val="28"/>
              </w:rPr>
              <w:t>标识标签</w:t>
            </w:r>
          </w:p>
        </w:tc>
        <w:tc>
          <w:tcPr>
            <w:tcW w:w="6632" w:type="dxa"/>
            <w:shd w:val="clear" w:color="auto" w:fill="auto"/>
            <w:vAlign w:val="center"/>
          </w:tcPr>
          <w:p w:rsidR="00130F31" w:rsidRPr="00F76652" w:rsidRDefault="00130F31" w:rsidP="00100AC4">
            <w:pPr>
              <w:adjustRightInd w:val="0"/>
              <w:snapToGrid w:val="0"/>
              <w:jc w:val="left"/>
              <w:rPr>
                <w:rFonts w:ascii="仿宋_GB2312" w:eastAsia="仿宋_GB2312" w:hAnsi="宋体"/>
                <w:sz w:val="28"/>
                <w:szCs w:val="28"/>
              </w:rPr>
            </w:pPr>
            <w:r w:rsidRPr="00F76652">
              <w:rPr>
                <w:rFonts w:ascii="仿宋_GB2312" w:eastAsia="仿宋_GB2312" w:hAnsi="宋体" w:hint="eastAsia"/>
                <w:sz w:val="28"/>
                <w:szCs w:val="28"/>
              </w:rPr>
              <w:t>设立危险废物警示标志。</w:t>
            </w:r>
          </w:p>
        </w:tc>
      </w:tr>
      <w:tr w:rsidR="00130F31" w:rsidRPr="00800777" w:rsidTr="00F05975">
        <w:trPr>
          <w:trHeight w:val="540"/>
          <w:jc w:val="center"/>
        </w:trPr>
        <w:tc>
          <w:tcPr>
            <w:tcW w:w="883" w:type="dxa"/>
            <w:shd w:val="clear" w:color="auto" w:fill="auto"/>
            <w:vAlign w:val="center"/>
          </w:tcPr>
          <w:p w:rsidR="00130F31" w:rsidRPr="00F76652" w:rsidRDefault="00130F31" w:rsidP="00F05975">
            <w:pPr>
              <w:jc w:val="center"/>
              <w:rPr>
                <w:rFonts w:ascii="仿宋_GB2312" w:eastAsia="仿宋_GB2312" w:hAnsi="宋体"/>
                <w:sz w:val="28"/>
                <w:szCs w:val="28"/>
              </w:rPr>
            </w:pPr>
            <w:r w:rsidRPr="00F76652">
              <w:rPr>
                <w:rFonts w:ascii="仿宋_GB2312" w:eastAsia="仿宋_GB2312" w:hAnsi="宋体" w:hint="eastAsia"/>
                <w:sz w:val="28"/>
                <w:szCs w:val="28"/>
              </w:rPr>
              <w:t>5</w:t>
            </w:r>
          </w:p>
        </w:tc>
        <w:tc>
          <w:tcPr>
            <w:tcW w:w="1698" w:type="dxa"/>
            <w:shd w:val="clear" w:color="auto" w:fill="auto"/>
            <w:vAlign w:val="center"/>
          </w:tcPr>
          <w:p w:rsidR="00130F31" w:rsidRPr="00F76652" w:rsidRDefault="00130F31" w:rsidP="00F05975">
            <w:pPr>
              <w:jc w:val="center"/>
              <w:rPr>
                <w:rFonts w:ascii="仿宋_GB2312" w:eastAsia="仿宋_GB2312" w:hAnsi="宋体"/>
                <w:sz w:val="28"/>
                <w:szCs w:val="28"/>
              </w:rPr>
            </w:pPr>
            <w:r w:rsidRPr="00F76652">
              <w:rPr>
                <w:rFonts w:ascii="仿宋_GB2312" w:eastAsia="仿宋_GB2312" w:hAnsi="宋体" w:hint="eastAsia"/>
                <w:sz w:val="28"/>
                <w:szCs w:val="28"/>
              </w:rPr>
              <w:t>管理制度</w:t>
            </w:r>
          </w:p>
        </w:tc>
        <w:tc>
          <w:tcPr>
            <w:tcW w:w="6632" w:type="dxa"/>
            <w:shd w:val="clear" w:color="auto" w:fill="auto"/>
            <w:vAlign w:val="center"/>
          </w:tcPr>
          <w:p w:rsidR="00130F31" w:rsidRPr="00F76652" w:rsidRDefault="00130F31" w:rsidP="00100AC4">
            <w:pPr>
              <w:adjustRightInd w:val="0"/>
              <w:snapToGrid w:val="0"/>
              <w:jc w:val="left"/>
              <w:rPr>
                <w:rFonts w:ascii="仿宋_GB2312" w:eastAsia="仿宋_GB2312" w:hAnsi="宋体"/>
                <w:sz w:val="28"/>
                <w:szCs w:val="28"/>
              </w:rPr>
            </w:pPr>
            <w:r w:rsidRPr="00F76652">
              <w:rPr>
                <w:rFonts w:ascii="仿宋_GB2312" w:eastAsia="仿宋_GB2312" w:hAnsi="宋体" w:hint="eastAsia"/>
                <w:sz w:val="28"/>
                <w:szCs w:val="28"/>
              </w:rPr>
              <w:t>危险废物管理制度上墙（具体到责任人）；制定规范应急预案并上墙；做好废铅蓄电池收集、转移台账并上报</w:t>
            </w:r>
          </w:p>
        </w:tc>
      </w:tr>
    </w:tbl>
    <w:p w:rsidR="00130F31" w:rsidRPr="007269CE" w:rsidRDefault="00130F31" w:rsidP="00130F31">
      <w:pPr>
        <w:jc w:val="center"/>
        <w:rPr>
          <w:rFonts w:ascii="宋体" w:hAnsi="宋体"/>
          <w:sz w:val="32"/>
          <w:szCs w:val="32"/>
        </w:rPr>
      </w:pPr>
    </w:p>
    <w:p w:rsidR="00130F31" w:rsidRDefault="00130F31" w:rsidP="00130F31">
      <w:pPr>
        <w:jc w:val="center"/>
        <w:rPr>
          <w:rFonts w:ascii="宋体" w:hAnsi="宋体"/>
          <w:sz w:val="32"/>
          <w:szCs w:val="32"/>
        </w:rPr>
      </w:pPr>
    </w:p>
    <w:p w:rsidR="00130F31" w:rsidRDefault="00130F31" w:rsidP="00130F31">
      <w:pPr>
        <w:jc w:val="center"/>
        <w:rPr>
          <w:rFonts w:ascii="宋体" w:hAnsi="宋体"/>
          <w:sz w:val="32"/>
          <w:szCs w:val="32"/>
        </w:rPr>
      </w:pPr>
    </w:p>
    <w:p w:rsidR="00130F31" w:rsidRPr="004E0D10" w:rsidRDefault="00130F31" w:rsidP="00100AC4">
      <w:pPr>
        <w:rPr>
          <w:rFonts w:ascii="方正小标宋简体" w:eastAsia="方正小标宋简体"/>
          <w:sz w:val="44"/>
          <w:szCs w:val="44"/>
        </w:rPr>
      </w:pPr>
    </w:p>
    <w:p w:rsidR="00100AC4" w:rsidRDefault="00100AC4" w:rsidP="00130F31">
      <w:pPr>
        <w:jc w:val="center"/>
        <w:rPr>
          <w:rFonts w:ascii="方正小标宋简体" w:eastAsia="方正小标宋简体"/>
          <w:sz w:val="44"/>
          <w:szCs w:val="44"/>
        </w:rPr>
      </w:pPr>
    </w:p>
    <w:p w:rsidR="00100AC4" w:rsidRDefault="00100AC4" w:rsidP="00130F31">
      <w:pPr>
        <w:jc w:val="center"/>
        <w:rPr>
          <w:rFonts w:ascii="方正小标宋简体" w:eastAsia="方正小标宋简体"/>
          <w:sz w:val="44"/>
          <w:szCs w:val="44"/>
        </w:rPr>
      </w:pPr>
    </w:p>
    <w:p w:rsidR="00100AC4" w:rsidRDefault="00100AC4" w:rsidP="00130F31">
      <w:pPr>
        <w:jc w:val="center"/>
        <w:rPr>
          <w:rFonts w:ascii="方正小标宋简体" w:eastAsia="方正小标宋简体"/>
          <w:sz w:val="44"/>
          <w:szCs w:val="44"/>
        </w:rPr>
      </w:pPr>
    </w:p>
    <w:p w:rsidR="00100AC4" w:rsidRDefault="00100AC4" w:rsidP="00100AC4">
      <w:pPr>
        <w:rPr>
          <w:rFonts w:ascii="方正小标宋简体" w:eastAsia="方正小标宋简体"/>
          <w:sz w:val="44"/>
          <w:szCs w:val="44"/>
        </w:rPr>
        <w:sectPr w:rsidR="00100AC4" w:rsidSect="00100AC4">
          <w:type w:val="continuous"/>
          <w:pgSz w:w="11906" w:h="16838" w:code="9"/>
          <w:pgMar w:top="2098" w:right="1474" w:bottom="1985" w:left="1588" w:header="851" w:footer="1588" w:gutter="0"/>
          <w:cols w:space="720"/>
          <w:docGrid w:type="lines" w:linePitch="286"/>
        </w:sectPr>
      </w:pPr>
    </w:p>
    <w:p w:rsidR="00130F31" w:rsidRPr="004E0D10" w:rsidRDefault="00130F31" w:rsidP="00130F31">
      <w:pPr>
        <w:jc w:val="center"/>
        <w:rPr>
          <w:rFonts w:ascii="方正小标宋简体" w:eastAsia="方正小标宋简体"/>
          <w:sz w:val="44"/>
          <w:szCs w:val="44"/>
        </w:rPr>
      </w:pPr>
      <w:r w:rsidRPr="004E0D10">
        <w:rPr>
          <w:rFonts w:ascii="方正小标宋简体" w:eastAsia="方正小标宋简体" w:hint="eastAsia"/>
          <w:sz w:val="44"/>
          <w:szCs w:val="44"/>
        </w:rPr>
        <w:lastRenderedPageBreak/>
        <w:t>废铅蓄电池转运管理要求一览表</w:t>
      </w:r>
    </w:p>
    <w:tbl>
      <w:tblPr>
        <w:tblW w:w="92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2"/>
        <w:gridCol w:w="1570"/>
        <w:gridCol w:w="6783"/>
      </w:tblGrid>
      <w:tr w:rsidR="00130F31" w:rsidRPr="004E0D10" w:rsidTr="00F05975">
        <w:trPr>
          <w:jc w:val="center"/>
        </w:trPr>
        <w:tc>
          <w:tcPr>
            <w:tcW w:w="852" w:type="dxa"/>
            <w:shd w:val="clear" w:color="auto" w:fill="auto"/>
          </w:tcPr>
          <w:p w:rsidR="00130F31" w:rsidRPr="00F76652" w:rsidRDefault="00130F31" w:rsidP="00F05975">
            <w:pPr>
              <w:jc w:val="center"/>
              <w:rPr>
                <w:rFonts w:ascii="仿宋_GB2312" w:eastAsia="仿宋_GB2312" w:hAnsi="宋体"/>
                <w:sz w:val="28"/>
                <w:szCs w:val="28"/>
              </w:rPr>
            </w:pPr>
            <w:r w:rsidRPr="00F76652">
              <w:rPr>
                <w:rFonts w:ascii="仿宋_GB2312" w:eastAsia="仿宋_GB2312" w:hAnsi="宋体" w:hint="eastAsia"/>
                <w:sz w:val="28"/>
                <w:szCs w:val="28"/>
              </w:rPr>
              <w:t>序号</w:t>
            </w:r>
          </w:p>
        </w:tc>
        <w:tc>
          <w:tcPr>
            <w:tcW w:w="1570" w:type="dxa"/>
            <w:shd w:val="clear" w:color="auto" w:fill="auto"/>
          </w:tcPr>
          <w:p w:rsidR="00130F31" w:rsidRPr="00F76652" w:rsidRDefault="00130F31" w:rsidP="00F05975">
            <w:pPr>
              <w:jc w:val="center"/>
              <w:rPr>
                <w:rFonts w:ascii="仿宋_GB2312" w:eastAsia="仿宋_GB2312" w:hAnsi="宋体"/>
                <w:sz w:val="28"/>
                <w:szCs w:val="28"/>
              </w:rPr>
            </w:pPr>
            <w:r w:rsidRPr="00F76652">
              <w:rPr>
                <w:rFonts w:ascii="仿宋_GB2312" w:eastAsia="仿宋_GB2312" w:hAnsi="宋体" w:hint="eastAsia"/>
                <w:sz w:val="28"/>
                <w:szCs w:val="28"/>
              </w:rPr>
              <w:t>项目</w:t>
            </w:r>
          </w:p>
        </w:tc>
        <w:tc>
          <w:tcPr>
            <w:tcW w:w="6783" w:type="dxa"/>
            <w:shd w:val="clear" w:color="auto" w:fill="auto"/>
          </w:tcPr>
          <w:p w:rsidR="00130F31" w:rsidRPr="00F76652" w:rsidRDefault="00130F31" w:rsidP="00F05975">
            <w:pPr>
              <w:jc w:val="center"/>
              <w:rPr>
                <w:rFonts w:ascii="仿宋_GB2312" w:eastAsia="仿宋_GB2312" w:hAnsi="宋体"/>
                <w:sz w:val="28"/>
                <w:szCs w:val="28"/>
              </w:rPr>
            </w:pPr>
            <w:r w:rsidRPr="00F76652">
              <w:rPr>
                <w:rFonts w:ascii="仿宋_GB2312" w:eastAsia="仿宋_GB2312" w:hAnsi="宋体" w:hint="eastAsia"/>
                <w:sz w:val="28"/>
                <w:szCs w:val="28"/>
              </w:rPr>
              <w:t>管理要求</w:t>
            </w:r>
          </w:p>
        </w:tc>
      </w:tr>
      <w:tr w:rsidR="00130F31" w:rsidRPr="004E0D10" w:rsidTr="00F05975">
        <w:trPr>
          <w:jc w:val="center"/>
        </w:trPr>
        <w:tc>
          <w:tcPr>
            <w:tcW w:w="852" w:type="dxa"/>
            <w:vMerge w:val="restart"/>
            <w:shd w:val="clear" w:color="auto" w:fill="auto"/>
            <w:vAlign w:val="center"/>
          </w:tcPr>
          <w:p w:rsidR="00130F31" w:rsidRPr="00F76652" w:rsidRDefault="00130F31" w:rsidP="00F05975">
            <w:pPr>
              <w:jc w:val="center"/>
              <w:rPr>
                <w:rFonts w:ascii="仿宋_GB2312" w:eastAsia="仿宋_GB2312" w:hAnsi="宋体"/>
                <w:sz w:val="28"/>
                <w:szCs w:val="28"/>
              </w:rPr>
            </w:pPr>
            <w:r w:rsidRPr="00F76652">
              <w:rPr>
                <w:rFonts w:ascii="仿宋_GB2312" w:eastAsia="仿宋_GB2312" w:hAnsi="宋体" w:hint="eastAsia"/>
                <w:sz w:val="28"/>
                <w:szCs w:val="28"/>
              </w:rPr>
              <w:t>1</w:t>
            </w:r>
          </w:p>
        </w:tc>
        <w:tc>
          <w:tcPr>
            <w:tcW w:w="1570" w:type="dxa"/>
            <w:vMerge w:val="restart"/>
            <w:shd w:val="clear" w:color="auto" w:fill="auto"/>
            <w:vAlign w:val="center"/>
          </w:tcPr>
          <w:p w:rsidR="00130F31" w:rsidRPr="00F76652" w:rsidRDefault="00130F31" w:rsidP="009F7073">
            <w:pPr>
              <w:adjustRightInd w:val="0"/>
              <w:snapToGrid w:val="0"/>
              <w:spacing w:line="560" w:lineRule="exact"/>
              <w:jc w:val="center"/>
              <w:rPr>
                <w:rFonts w:ascii="仿宋_GB2312" w:eastAsia="仿宋_GB2312" w:hAnsi="宋体"/>
                <w:sz w:val="28"/>
                <w:szCs w:val="28"/>
              </w:rPr>
            </w:pPr>
            <w:r w:rsidRPr="00F76652">
              <w:rPr>
                <w:rFonts w:ascii="仿宋_GB2312" w:eastAsia="仿宋_GB2312" w:hAnsi="宋体" w:hint="eastAsia"/>
                <w:sz w:val="28"/>
                <w:szCs w:val="28"/>
              </w:rPr>
              <w:t>联单管理</w:t>
            </w:r>
          </w:p>
        </w:tc>
        <w:tc>
          <w:tcPr>
            <w:tcW w:w="6783" w:type="dxa"/>
            <w:shd w:val="clear" w:color="auto" w:fill="auto"/>
            <w:vAlign w:val="center"/>
          </w:tcPr>
          <w:p w:rsidR="00130F31" w:rsidRPr="00F76652" w:rsidRDefault="00130F31" w:rsidP="00100AC4">
            <w:pPr>
              <w:adjustRightInd w:val="0"/>
              <w:snapToGrid w:val="0"/>
              <w:jc w:val="left"/>
              <w:rPr>
                <w:rFonts w:ascii="仿宋_GB2312" w:eastAsia="仿宋_GB2312" w:hAnsi="宋体"/>
                <w:sz w:val="28"/>
                <w:szCs w:val="28"/>
              </w:rPr>
            </w:pPr>
            <w:r w:rsidRPr="00F76652">
              <w:rPr>
                <w:rFonts w:ascii="仿宋_GB2312" w:eastAsia="仿宋_GB2312" w:hAnsi="宋体" w:hint="eastAsia"/>
                <w:sz w:val="28"/>
                <w:szCs w:val="28"/>
              </w:rPr>
              <w:t>收集网点向集中转运点转移第Ⅰ类废铅蓄电池，免于填写危险废物转移联单，但应做好台账记录，如实记录废铅蓄电池的数量、重量、来源、去向等信息。</w:t>
            </w:r>
          </w:p>
        </w:tc>
      </w:tr>
      <w:tr w:rsidR="00130F31" w:rsidRPr="004E0D10" w:rsidTr="00F05975">
        <w:trPr>
          <w:jc w:val="center"/>
        </w:trPr>
        <w:tc>
          <w:tcPr>
            <w:tcW w:w="852" w:type="dxa"/>
            <w:vMerge/>
            <w:shd w:val="clear" w:color="auto" w:fill="auto"/>
            <w:vAlign w:val="center"/>
          </w:tcPr>
          <w:p w:rsidR="00130F31" w:rsidRPr="00F76652" w:rsidRDefault="00130F31" w:rsidP="00F05975">
            <w:pPr>
              <w:jc w:val="center"/>
              <w:rPr>
                <w:rFonts w:ascii="仿宋_GB2312" w:eastAsia="仿宋_GB2312" w:hAnsi="宋体"/>
                <w:sz w:val="28"/>
                <w:szCs w:val="28"/>
              </w:rPr>
            </w:pPr>
          </w:p>
        </w:tc>
        <w:tc>
          <w:tcPr>
            <w:tcW w:w="1570" w:type="dxa"/>
            <w:vMerge/>
            <w:shd w:val="clear" w:color="auto" w:fill="auto"/>
            <w:vAlign w:val="center"/>
          </w:tcPr>
          <w:p w:rsidR="00130F31" w:rsidRPr="00F76652" w:rsidRDefault="00130F31" w:rsidP="009F7073">
            <w:pPr>
              <w:adjustRightInd w:val="0"/>
              <w:snapToGrid w:val="0"/>
              <w:spacing w:line="560" w:lineRule="exact"/>
              <w:jc w:val="center"/>
              <w:rPr>
                <w:rFonts w:ascii="仿宋_GB2312" w:eastAsia="仿宋_GB2312" w:hAnsi="宋体"/>
                <w:sz w:val="28"/>
                <w:szCs w:val="28"/>
              </w:rPr>
            </w:pPr>
          </w:p>
        </w:tc>
        <w:tc>
          <w:tcPr>
            <w:tcW w:w="6783" w:type="dxa"/>
            <w:shd w:val="clear" w:color="auto" w:fill="auto"/>
            <w:vAlign w:val="center"/>
          </w:tcPr>
          <w:p w:rsidR="00130F31" w:rsidRPr="00F76652" w:rsidRDefault="00130F31" w:rsidP="00100AC4">
            <w:pPr>
              <w:adjustRightInd w:val="0"/>
              <w:snapToGrid w:val="0"/>
              <w:jc w:val="left"/>
              <w:rPr>
                <w:rFonts w:ascii="仿宋_GB2312" w:eastAsia="仿宋_GB2312" w:hAnsi="宋体"/>
                <w:sz w:val="28"/>
                <w:szCs w:val="28"/>
              </w:rPr>
            </w:pPr>
            <w:r w:rsidRPr="00F76652">
              <w:rPr>
                <w:rFonts w:ascii="仿宋_GB2312" w:eastAsia="仿宋_GB2312" w:hAnsi="宋体" w:hint="eastAsia"/>
                <w:sz w:val="28"/>
                <w:szCs w:val="28"/>
              </w:rPr>
              <w:t>收集网点向集中转运点转移第Ⅱ类废铅蓄电池的，以及产废单位（不含收集网点）向集中转运点、集中转运点向废铅蓄电池利用处置单位转移废铅蓄电池的，应填写危险废物转移联单，并根据《危险货物道路运输规则》（JT/T 617）注明废铅蓄电池对应的危险货物联合国编号。</w:t>
            </w:r>
          </w:p>
        </w:tc>
      </w:tr>
      <w:tr w:rsidR="00130F31" w:rsidRPr="004E0D10" w:rsidTr="00F05975">
        <w:trPr>
          <w:jc w:val="center"/>
        </w:trPr>
        <w:tc>
          <w:tcPr>
            <w:tcW w:w="852" w:type="dxa"/>
            <w:shd w:val="clear" w:color="auto" w:fill="auto"/>
            <w:vAlign w:val="center"/>
          </w:tcPr>
          <w:p w:rsidR="00130F31" w:rsidRPr="00F76652" w:rsidRDefault="00130F31" w:rsidP="00F05975">
            <w:pPr>
              <w:jc w:val="center"/>
              <w:rPr>
                <w:rFonts w:ascii="仿宋_GB2312" w:eastAsia="仿宋_GB2312" w:hAnsi="宋体"/>
                <w:sz w:val="28"/>
                <w:szCs w:val="28"/>
              </w:rPr>
            </w:pPr>
            <w:r w:rsidRPr="00F76652">
              <w:rPr>
                <w:rFonts w:ascii="仿宋_GB2312" w:eastAsia="仿宋_GB2312" w:hAnsi="宋体" w:hint="eastAsia"/>
                <w:sz w:val="28"/>
                <w:szCs w:val="28"/>
              </w:rPr>
              <w:t>2</w:t>
            </w:r>
          </w:p>
        </w:tc>
        <w:tc>
          <w:tcPr>
            <w:tcW w:w="1570" w:type="dxa"/>
            <w:shd w:val="clear" w:color="auto" w:fill="auto"/>
            <w:vAlign w:val="center"/>
          </w:tcPr>
          <w:p w:rsidR="00130F31" w:rsidRPr="00F76652" w:rsidRDefault="00130F31" w:rsidP="009F7073">
            <w:pPr>
              <w:adjustRightInd w:val="0"/>
              <w:snapToGrid w:val="0"/>
              <w:spacing w:line="560" w:lineRule="exact"/>
              <w:jc w:val="center"/>
              <w:rPr>
                <w:rFonts w:ascii="仿宋_GB2312" w:eastAsia="仿宋_GB2312" w:hAnsi="宋体"/>
                <w:sz w:val="28"/>
                <w:szCs w:val="28"/>
              </w:rPr>
            </w:pPr>
            <w:r w:rsidRPr="00F76652">
              <w:rPr>
                <w:rFonts w:ascii="仿宋_GB2312" w:eastAsia="仿宋_GB2312" w:hAnsi="宋体" w:hint="eastAsia"/>
                <w:sz w:val="28"/>
                <w:szCs w:val="28"/>
              </w:rPr>
              <w:t>运输管理</w:t>
            </w:r>
          </w:p>
        </w:tc>
        <w:tc>
          <w:tcPr>
            <w:tcW w:w="6783" w:type="dxa"/>
            <w:shd w:val="clear" w:color="auto" w:fill="auto"/>
            <w:vAlign w:val="center"/>
          </w:tcPr>
          <w:p w:rsidR="00130F31" w:rsidRPr="00F76652" w:rsidRDefault="00130F31" w:rsidP="00100AC4">
            <w:pPr>
              <w:adjustRightInd w:val="0"/>
              <w:snapToGrid w:val="0"/>
              <w:jc w:val="left"/>
              <w:rPr>
                <w:rFonts w:ascii="仿宋_GB2312" w:eastAsia="仿宋_GB2312" w:hAnsi="宋体"/>
                <w:sz w:val="28"/>
                <w:szCs w:val="28"/>
              </w:rPr>
            </w:pPr>
            <w:r w:rsidRPr="00F76652">
              <w:rPr>
                <w:rFonts w:ascii="仿宋_GB2312" w:eastAsia="仿宋_GB2312" w:hAnsi="宋体" w:hint="eastAsia"/>
                <w:sz w:val="28"/>
                <w:szCs w:val="28"/>
              </w:rPr>
              <w:t>通过道路运输废铅蓄电池，应当遵守《道路危险货物运输管理规定》和《危险货物道路运输规则》（JT/T 617）的规定，并按要求委托具有危险货物道路运输相应资质的企业或单位运输</w:t>
            </w:r>
          </w:p>
        </w:tc>
      </w:tr>
      <w:tr w:rsidR="00130F31" w:rsidRPr="004E0D10" w:rsidTr="00F05975">
        <w:trPr>
          <w:jc w:val="center"/>
        </w:trPr>
        <w:tc>
          <w:tcPr>
            <w:tcW w:w="852" w:type="dxa"/>
            <w:shd w:val="clear" w:color="auto" w:fill="auto"/>
            <w:vAlign w:val="center"/>
          </w:tcPr>
          <w:p w:rsidR="00130F31" w:rsidRPr="00F76652" w:rsidRDefault="00130F31" w:rsidP="00F05975">
            <w:pPr>
              <w:jc w:val="center"/>
              <w:rPr>
                <w:rFonts w:ascii="仿宋_GB2312" w:eastAsia="仿宋_GB2312" w:hAnsi="宋体"/>
                <w:sz w:val="28"/>
                <w:szCs w:val="28"/>
              </w:rPr>
            </w:pPr>
            <w:r w:rsidRPr="00F76652">
              <w:rPr>
                <w:rFonts w:ascii="仿宋_GB2312" w:eastAsia="仿宋_GB2312" w:hAnsi="宋体" w:hint="eastAsia"/>
                <w:sz w:val="28"/>
                <w:szCs w:val="28"/>
              </w:rPr>
              <w:t>3</w:t>
            </w:r>
          </w:p>
        </w:tc>
        <w:tc>
          <w:tcPr>
            <w:tcW w:w="1570" w:type="dxa"/>
            <w:shd w:val="clear" w:color="auto" w:fill="auto"/>
            <w:vAlign w:val="center"/>
          </w:tcPr>
          <w:p w:rsidR="00130F31" w:rsidRPr="00F76652" w:rsidRDefault="00130F31" w:rsidP="009F7073">
            <w:pPr>
              <w:adjustRightInd w:val="0"/>
              <w:snapToGrid w:val="0"/>
              <w:spacing w:line="560" w:lineRule="exact"/>
              <w:jc w:val="center"/>
              <w:rPr>
                <w:rFonts w:ascii="仿宋_GB2312" w:eastAsia="仿宋_GB2312" w:hAnsi="宋体"/>
                <w:sz w:val="28"/>
                <w:szCs w:val="28"/>
              </w:rPr>
            </w:pPr>
            <w:r w:rsidRPr="00F76652">
              <w:rPr>
                <w:rFonts w:ascii="仿宋_GB2312" w:eastAsia="仿宋_GB2312" w:hAnsi="宋体" w:hint="eastAsia"/>
                <w:sz w:val="28"/>
                <w:szCs w:val="28"/>
              </w:rPr>
              <w:t>包装容器</w:t>
            </w:r>
          </w:p>
          <w:p w:rsidR="00130F31" w:rsidRPr="00F76652" w:rsidRDefault="00130F31" w:rsidP="009F7073">
            <w:pPr>
              <w:adjustRightInd w:val="0"/>
              <w:snapToGrid w:val="0"/>
              <w:spacing w:line="560" w:lineRule="exact"/>
              <w:jc w:val="center"/>
              <w:rPr>
                <w:rFonts w:ascii="仿宋_GB2312" w:eastAsia="仿宋_GB2312" w:hAnsi="宋体"/>
                <w:sz w:val="28"/>
                <w:szCs w:val="28"/>
              </w:rPr>
            </w:pPr>
            <w:r w:rsidRPr="00F76652">
              <w:rPr>
                <w:rFonts w:ascii="仿宋_GB2312" w:eastAsia="仿宋_GB2312" w:hAnsi="宋体" w:hint="eastAsia"/>
                <w:sz w:val="28"/>
                <w:szCs w:val="28"/>
              </w:rPr>
              <w:t>人员培训</w:t>
            </w:r>
          </w:p>
          <w:p w:rsidR="00130F31" w:rsidRPr="00F76652" w:rsidRDefault="00130F31" w:rsidP="009F7073">
            <w:pPr>
              <w:adjustRightInd w:val="0"/>
              <w:snapToGrid w:val="0"/>
              <w:spacing w:line="560" w:lineRule="exact"/>
              <w:jc w:val="center"/>
              <w:rPr>
                <w:rFonts w:ascii="仿宋_GB2312" w:eastAsia="仿宋_GB2312" w:hAnsi="宋体"/>
                <w:sz w:val="28"/>
                <w:szCs w:val="28"/>
              </w:rPr>
            </w:pPr>
            <w:r w:rsidRPr="00F76652">
              <w:rPr>
                <w:rFonts w:ascii="仿宋_GB2312" w:eastAsia="仿宋_GB2312" w:hAnsi="宋体" w:hint="eastAsia"/>
                <w:sz w:val="28"/>
                <w:szCs w:val="28"/>
              </w:rPr>
              <w:t>装卸条件</w:t>
            </w:r>
          </w:p>
        </w:tc>
        <w:tc>
          <w:tcPr>
            <w:tcW w:w="6783" w:type="dxa"/>
            <w:shd w:val="clear" w:color="auto" w:fill="auto"/>
            <w:vAlign w:val="center"/>
          </w:tcPr>
          <w:p w:rsidR="00130F31" w:rsidRPr="00F76652" w:rsidRDefault="00130F31" w:rsidP="00100AC4">
            <w:pPr>
              <w:adjustRightInd w:val="0"/>
              <w:snapToGrid w:val="0"/>
              <w:jc w:val="left"/>
              <w:rPr>
                <w:rFonts w:ascii="仿宋_GB2312" w:eastAsia="仿宋_GB2312" w:hAnsi="宋体"/>
                <w:sz w:val="28"/>
                <w:szCs w:val="28"/>
              </w:rPr>
            </w:pPr>
            <w:r w:rsidRPr="00F76652">
              <w:rPr>
                <w:rFonts w:ascii="仿宋_GB2312" w:eastAsia="仿宋_GB2312" w:hAnsi="宋体" w:hint="eastAsia"/>
                <w:sz w:val="28"/>
                <w:szCs w:val="28"/>
              </w:rPr>
              <w:t>破碎的废铅蓄电池应放置于耐腐蚀的容器内，并采取必要的防风、防雨、防渗漏和防遗撒措施。操作人员应当接受危险货物道路运输专业知识培训、安全应急培训。装卸废铅蓄电池时应采取措施防止容器、车厢损坏或者其中含铅酸液泄露。</w:t>
            </w:r>
          </w:p>
        </w:tc>
      </w:tr>
      <w:tr w:rsidR="00130F31" w:rsidRPr="004E0D10" w:rsidTr="00F05975">
        <w:trPr>
          <w:jc w:val="center"/>
        </w:trPr>
        <w:tc>
          <w:tcPr>
            <w:tcW w:w="852" w:type="dxa"/>
            <w:shd w:val="clear" w:color="auto" w:fill="auto"/>
            <w:vAlign w:val="center"/>
          </w:tcPr>
          <w:p w:rsidR="00130F31" w:rsidRPr="00F76652" w:rsidRDefault="00130F31" w:rsidP="00F05975">
            <w:pPr>
              <w:jc w:val="center"/>
              <w:rPr>
                <w:rFonts w:ascii="仿宋_GB2312" w:eastAsia="仿宋_GB2312" w:hAnsi="宋体"/>
                <w:sz w:val="28"/>
                <w:szCs w:val="28"/>
              </w:rPr>
            </w:pPr>
            <w:r w:rsidRPr="00F76652">
              <w:rPr>
                <w:rFonts w:ascii="仿宋_GB2312" w:eastAsia="仿宋_GB2312" w:hAnsi="宋体" w:hint="eastAsia"/>
                <w:sz w:val="28"/>
                <w:szCs w:val="28"/>
              </w:rPr>
              <w:t>4</w:t>
            </w:r>
          </w:p>
        </w:tc>
        <w:tc>
          <w:tcPr>
            <w:tcW w:w="1570" w:type="dxa"/>
            <w:shd w:val="clear" w:color="auto" w:fill="auto"/>
            <w:vAlign w:val="center"/>
          </w:tcPr>
          <w:p w:rsidR="00130F31" w:rsidRPr="00F76652" w:rsidRDefault="00130F31" w:rsidP="009F7073">
            <w:pPr>
              <w:adjustRightInd w:val="0"/>
              <w:snapToGrid w:val="0"/>
              <w:spacing w:line="560" w:lineRule="exact"/>
              <w:jc w:val="center"/>
              <w:rPr>
                <w:rFonts w:ascii="仿宋_GB2312" w:eastAsia="仿宋_GB2312" w:hAnsi="宋体"/>
                <w:sz w:val="28"/>
                <w:szCs w:val="28"/>
              </w:rPr>
            </w:pPr>
            <w:r w:rsidRPr="00F76652">
              <w:rPr>
                <w:rFonts w:ascii="仿宋_GB2312" w:eastAsia="仿宋_GB2312" w:hAnsi="宋体" w:hint="eastAsia"/>
                <w:sz w:val="28"/>
                <w:szCs w:val="28"/>
              </w:rPr>
              <w:t>豁免危险货物运输管理要求</w:t>
            </w:r>
          </w:p>
        </w:tc>
        <w:tc>
          <w:tcPr>
            <w:tcW w:w="6783" w:type="dxa"/>
            <w:shd w:val="clear" w:color="auto" w:fill="auto"/>
            <w:vAlign w:val="center"/>
          </w:tcPr>
          <w:p w:rsidR="00130F31" w:rsidRPr="00F76652" w:rsidRDefault="00130F31" w:rsidP="00100AC4">
            <w:pPr>
              <w:adjustRightInd w:val="0"/>
              <w:snapToGrid w:val="0"/>
              <w:jc w:val="left"/>
              <w:rPr>
                <w:rFonts w:ascii="仿宋_GB2312" w:eastAsia="仿宋_GB2312" w:hAnsi="宋体"/>
                <w:sz w:val="24"/>
              </w:rPr>
            </w:pPr>
            <w:r w:rsidRPr="00F76652">
              <w:rPr>
                <w:rFonts w:ascii="仿宋_GB2312" w:eastAsia="仿宋_GB2312" w:hAnsi="宋体" w:hint="eastAsia"/>
                <w:sz w:val="24"/>
              </w:rPr>
              <w:t>在满足述包装容器、人员培训和装卸条件时，以下三种废铅蓄电池可按照普通货物进行管理，即豁免运输企业资质、专业车辆和从业人员资格等危险货物运输管理要求：一是符合《危险货物道路运输规则第3部分：品名及运输要求索引》（JT/T 617.3）附录B所列238项特殊规定，危险货物联合国编号为“2800”的废铅蓄电池；二是不符合《危险货物道路运输规则 第3部分：品名及运输要求索引》（JT/T 617.3）附录B所列238项特殊规定，但符合《危险货物道路运输规则第1部分：通则》（JT/T617.1）第5.1条要求，每个运输单元载运重量不高于500公斤的危险货物联合国编号为“2800”的废铅蓄电池；三是符合《危险货物道路运输规则第1部分：通则》（JT/T617.1）第5.1条要求，每个运输单元载运重量不高于500公斤的危险货物联合国编号为“2794”的废铅蓄电池。</w:t>
            </w:r>
          </w:p>
        </w:tc>
      </w:tr>
    </w:tbl>
    <w:p w:rsidR="00130F31" w:rsidRDefault="00130F31" w:rsidP="00130F31">
      <w:pPr>
        <w:adjustRightInd w:val="0"/>
        <w:snapToGrid w:val="0"/>
        <w:spacing w:line="560" w:lineRule="exact"/>
        <w:ind w:rightChars="-18" w:right="-38" w:firstLineChars="200" w:firstLine="640"/>
        <w:jc w:val="left"/>
        <w:outlineLvl w:val="0"/>
        <w:rPr>
          <w:rFonts w:ascii="仿宋_GB2312" w:eastAsia="仿宋_GB2312" w:hAnsi="黑体"/>
          <w:sz w:val="32"/>
          <w:szCs w:val="22"/>
        </w:rPr>
      </w:pPr>
    </w:p>
    <w:sectPr w:rsidR="00130F31" w:rsidSect="00100AC4">
      <w:type w:val="continuous"/>
      <w:pgSz w:w="11906" w:h="16838" w:code="9"/>
      <w:pgMar w:top="2098" w:right="1474" w:bottom="1985" w:left="1588" w:header="851" w:footer="1588" w:gutter="0"/>
      <w:cols w:space="720"/>
      <w:docGrid w:type="lines" w:linePitch="28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26E0" w:rsidRDefault="00C826E0" w:rsidP="00130F31">
      <w:r>
        <w:separator/>
      </w:r>
    </w:p>
  </w:endnote>
  <w:endnote w:type="continuationSeparator" w:id="1">
    <w:p w:rsidR="00C826E0" w:rsidRDefault="00C826E0" w:rsidP="00130F3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A5B" w:rsidRPr="00B019F7" w:rsidRDefault="006A2379" w:rsidP="00EB68C3">
    <w:pPr>
      <w:pStyle w:val="a4"/>
      <w:framePr w:w="1441" w:wrap="around" w:vAnchor="text" w:hAnchor="margin" w:xAlign="outside" w:y="5"/>
      <w:ind w:leftChars="100" w:left="210"/>
      <w:rPr>
        <w:rStyle w:val="a5"/>
        <w:rFonts w:ascii="宋体" w:hAnsi="宋体"/>
        <w:sz w:val="28"/>
        <w:szCs w:val="28"/>
      </w:rPr>
    </w:pPr>
    <w:r>
      <w:rPr>
        <w:rStyle w:val="a5"/>
        <w:rFonts w:ascii="宋体" w:hAnsi="宋体" w:hint="eastAsia"/>
        <w:sz w:val="28"/>
        <w:szCs w:val="28"/>
      </w:rPr>
      <w:t xml:space="preserve">－ </w:t>
    </w:r>
    <w:r w:rsidR="00161C31" w:rsidRPr="00B019F7">
      <w:rPr>
        <w:rStyle w:val="a5"/>
        <w:rFonts w:ascii="宋体" w:hAnsi="宋体"/>
        <w:sz w:val="28"/>
        <w:szCs w:val="28"/>
      </w:rPr>
      <w:fldChar w:fldCharType="begin"/>
    </w:r>
    <w:r w:rsidRPr="00B019F7">
      <w:rPr>
        <w:rStyle w:val="a5"/>
        <w:rFonts w:ascii="宋体" w:hAnsi="宋体"/>
        <w:sz w:val="28"/>
        <w:szCs w:val="28"/>
      </w:rPr>
      <w:instrText xml:space="preserve">PAGE  </w:instrText>
    </w:r>
    <w:r w:rsidR="00161C31" w:rsidRPr="00B019F7">
      <w:rPr>
        <w:rStyle w:val="a5"/>
        <w:rFonts w:ascii="宋体" w:hAnsi="宋体"/>
        <w:sz w:val="28"/>
        <w:szCs w:val="28"/>
      </w:rPr>
      <w:fldChar w:fldCharType="separate"/>
    </w:r>
    <w:r>
      <w:rPr>
        <w:rStyle w:val="a5"/>
        <w:rFonts w:ascii="宋体" w:hAnsi="宋体"/>
        <w:noProof/>
        <w:sz w:val="28"/>
        <w:szCs w:val="28"/>
      </w:rPr>
      <w:t>6</w:t>
    </w:r>
    <w:r w:rsidR="00161C31" w:rsidRPr="00B019F7">
      <w:rPr>
        <w:rStyle w:val="a5"/>
        <w:rFonts w:ascii="宋体" w:hAnsi="宋体"/>
        <w:sz w:val="28"/>
        <w:szCs w:val="28"/>
      </w:rPr>
      <w:fldChar w:fldCharType="end"/>
    </w:r>
    <w:r>
      <w:rPr>
        <w:rStyle w:val="a5"/>
        <w:rFonts w:ascii="宋体" w:hAnsi="宋体" w:hint="eastAsia"/>
        <w:sz w:val="28"/>
        <w:szCs w:val="28"/>
      </w:rPr>
      <w:t xml:space="preserve"> －</w:t>
    </w:r>
  </w:p>
  <w:p w:rsidR="00107A5B" w:rsidRPr="00B019F7" w:rsidRDefault="00C826E0" w:rsidP="005056E2">
    <w:pPr>
      <w:pStyle w:val="a4"/>
      <w:ind w:right="360" w:firstLine="360"/>
      <w:rPr>
        <w:rFonts w:ascii="宋体" w:hAnsi="宋体"/>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A5B" w:rsidRPr="00C86E29" w:rsidRDefault="006A2379" w:rsidP="00EB68C3">
    <w:pPr>
      <w:pStyle w:val="a4"/>
      <w:framePr w:w="1161" w:wrap="around" w:vAnchor="text" w:hAnchor="page" w:x="9241" w:y="-2"/>
      <w:ind w:rightChars="100" w:right="210"/>
      <w:rPr>
        <w:rStyle w:val="a5"/>
        <w:rFonts w:ascii="宋体" w:hAnsi="宋体"/>
        <w:sz w:val="28"/>
        <w:szCs w:val="28"/>
      </w:rPr>
    </w:pPr>
    <w:r>
      <w:rPr>
        <w:rStyle w:val="a5"/>
        <w:rFonts w:ascii="宋体" w:hAnsi="宋体" w:hint="eastAsia"/>
        <w:sz w:val="28"/>
        <w:szCs w:val="28"/>
      </w:rPr>
      <w:t xml:space="preserve">－ </w:t>
    </w:r>
    <w:r w:rsidR="00161C31" w:rsidRPr="00C86E29">
      <w:rPr>
        <w:rStyle w:val="a5"/>
        <w:rFonts w:ascii="宋体" w:hAnsi="宋体"/>
        <w:sz w:val="28"/>
        <w:szCs w:val="28"/>
      </w:rPr>
      <w:fldChar w:fldCharType="begin"/>
    </w:r>
    <w:r w:rsidRPr="00C86E29">
      <w:rPr>
        <w:rStyle w:val="a5"/>
        <w:rFonts w:ascii="宋体" w:hAnsi="宋体"/>
        <w:sz w:val="28"/>
        <w:szCs w:val="28"/>
      </w:rPr>
      <w:instrText xml:space="preserve">PAGE  </w:instrText>
    </w:r>
    <w:r w:rsidR="00161C31" w:rsidRPr="00C86E29">
      <w:rPr>
        <w:rStyle w:val="a5"/>
        <w:rFonts w:ascii="宋体" w:hAnsi="宋体"/>
        <w:sz w:val="28"/>
        <w:szCs w:val="28"/>
      </w:rPr>
      <w:fldChar w:fldCharType="separate"/>
    </w:r>
    <w:r w:rsidR="00842569">
      <w:rPr>
        <w:rStyle w:val="a5"/>
        <w:rFonts w:ascii="宋体" w:hAnsi="宋体"/>
        <w:noProof/>
        <w:sz w:val="28"/>
        <w:szCs w:val="28"/>
      </w:rPr>
      <w:t>1</w:t>
    </w:r>
    <w:r w:rsidR="00161C31" w:rsidRPr="00C86E29">
      <w:rPr>
        <w:rStyle w:val="a5"/>
        <w:rFonts w:ascii="宋体" w:hAnsi="宋体"/>
        <w:sz w:val="28"/>
        <w:szCs w:val="28"/>
      </w:rPr>
      <w:fldChar w:fldCharType="end"/>
    </w:r>
    <w:r>
      <w:rPr>
        <w:rStyle w:val="a5"/>
        <w:rFonts w:ascii="宋体" w:hAnsi="宋体" w:hint="eastAsia"/>
        <w:sz w:val="28"/>
        <w:szCs w:val="28"/>
      </w:rPr>
      <w:t xml:space="preserve"> －</w:t>
    </w:r>
  </w:p>
  <w:p w:rsidR="00107A5B" w:rsidRDefault="00C826E0" w:rsidP="005056E2">
    <w:pPr>
      <w:pStyle w:val="a4"/>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26E0" w:rsidRDefault="00C826E0" w:rsidP="00130F31">
      <w:r>
        <w:separator/>
      </w:r>
    </w:p>
  </w:footnote>
  <w:footnote w:type="continuationSeparator" w:id="1">
    <w:p w:rsidR="00C826E0" w:rsidRDefault="00C826E0" w:rsidP="00130F3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B50F0B"/>
    <w:multiLevelType w:val="hybridMultilevel"/>
    <w:tmpl w:val="AE4C20B4"/>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30F31"/>
    <w:rsid w:val="00100AC4"/>
    <w:rsid w:val="00130F31"/>
    <w:rsid w:val="00161C31"/>
    <w:rsid w:val="00526000"/>
    <w:rsid w:val="006A2379"/>
    <w:rsid w:val="006A4F7D"/>
    <w:rsid w:val="00842569"/>
    <w:rsid w:val="0095336F"/>
    <w:rsid w:val="009F7073"/>
    <w:rsid w:val="00C826E0"/>
    <w:rsid w:val="00CA1C83"/>
    <w:rsid w:val="00F7665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0F3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30F3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30F31"/>
    <w:rPr>
      <w:sz w:val="18"/>
      <w:szCs w:val="18"/>
    </w:rPr>
  </w:style>
  <w:style w:type="paragraph" w:styleId="a4">
    <w:name w:val="footer"/>
    <w:basedOn w:val="a"/>
    <w:link w:val="Char0"/>
    <w:unhideWhenUsed/>
    <w:rsid w:val="00130F3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30F31"/>
    <w:rPr>
      <w:sz w:val="18"/>
      <w:szCs w:val="18"/>
    </w:rPr>
  </w:style>
  <w:style w:type="character" w:styleId="a5">
    <w:name w:val="page number"/>
    <w:basedOn w:val="a0"/>
    <w:rsid w:val="00130F31"/>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358</Words>
  <Characters>2042</Characters>
  <Application>Microsoft Office Word</Application>
  <DocSecurity>0</DocSecurity>
  <Lines>17</Lines>
  <Paragraphs>4</Paragraphs>
  <ScaleCrop>false</ScaleCrop>
  <Company/>
  <LinksUpToDate>false</LinksUpToDate>
  <CharactersWithSpaces>2396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dc:creator>
  <cp:keywords/>
  <dc:description/>
  <cp:lastModifiedBy>www</cp:lastModifiedBy>
  <cp:revision>9</cp:revision>
  <dcterms:created xsi:type="dcterms:W3CDTF">2019-10-23T08:57:00Z</dcterms:created>
  <dcterms:modified xsi:type="dcterms:W3CDTF">2019-10-23T10:15:00Z</dcterms:modified>
</cp:coreProperties>
</file>