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="192" w:beforeLines="80" w:line="240" w:lineRule="auto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eastAsia="zh-CN"/>
        </w:rPr>
        <w:t>北京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市建设用地土壤污染风险管控和修复名录移出清单</w:t>
      </w:r>
    </w:p>
    <w:p>
      <w:pPr>
        <w:adjustRightInd w:val="0"/>
        <w:snapToGrid w:val="0"/>
        <w:spacing w:before="0" w:beforeLines="0" w:line="24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7月10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before="0" w:beforeLines="0" w:line="24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tbl>
      <w:tblPr>
        <w:tblStyle w:val="3"/>
        <w:tblW w:w="1572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185"/>
        <w:gridCol w:w="570"/>
        <w:gridCol w:w="900"/>
        <w:gridCol w:w="2576"/>
        <w:gridCol w:w="1082"/>
        <w:gridCol w:w="942"/>
        <w:gridCol w:w="1012"/>
        <w:gridCol w:w="1137"/>
        <w:gridCol w:w="1185"/>
        <w:gridCol w:w="1081"/>
        <w:gridCol w:w="1095"/>
        <w:gridCol w:w="1155"/>
        <w:gridCol w:w="870"/>
        <w:gridCol w:w="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2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地块基本信息</w:t>
            </w:r>
          </w:p>
        </w:tc>
        <w:tc>
          <w:tcPr>
            <w:tcW w:w="666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风险管控或修复情况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移出日期</w:t>
            </w:r>
          </w:p>
        </w:tc>
        <w:tc>
          <w:tcPr>
            <w:tcW w:w="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地块名称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所在区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详细地址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四至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范围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地块面积（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土地使用权人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进展情况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/所在阶段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风险管控或修复目标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风险管控或修复方案编制单位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风险管控或修复单位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风险管控或修复委托人</w:t>
            </w:r>
          </w:p>
        </w:tc>
        <w:tc>
          <w:tcPr>
            <w:tcW w:w="1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风险管控或修复效果评估单位</w:t>
            </w: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4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北京铁路枢纽丰台站建设工程原丰台机务段场地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花乡长庚胡同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东至新开路，南至京沪铁路，西至看丹村，北至京广铁路。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79826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中国铁路北京局集团有限公司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交通运输用地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中铁十四局集团有限公司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中铁十四局集团有限公司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中国铁路北京局集团有限公司丰台站工程项目管理部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中环循（北京）环境技术中心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2020/9/17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久敬庄路南侧棚户改造项目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丰台区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大红门久敬庄路甲1号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东至锦苑小区，西至久敬佳园小区东侧路，南至久敬庄公园，北至久敬庄路。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北京金隅嘉业房地产开发有限公司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北京南苑嘉盛置业有限公司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北京市勘察设计研究院有限公司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2022/8/22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首钢园区焦化厂（绿轴）地块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东至焦化厂路，南至湿熄焦塔南端，西至晾水池东路，北至一焦炉北侧。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2021/3/17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首钢园区焦化厂（原料）地块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东至规划焦化厂东路，南至长安街西延，西至规划焦化厂路，北至四高炉附近。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158690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2020/12/10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首钢园区焦化厂（精苯）地块（地铁M11号线区域内）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东至规划修理厂中街，南至规划群明湖南路东延，西至规划焦化厂东街，北至规划四焦炉北路。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2020/5/11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世界侨商创新中心一期项目及周边道路场地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东至二炼钢南路，南至三炼钢东路，西至规划路，北至长安街西延长线。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75835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北京京诚嘉宇环境科技有限公司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首钢园区五一剧场（制粉车间）改造项目地块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东至晾水池东路，南至群明湖北路，西至冬训中心地块，北至秀池南街。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首钢园区制氧厂改造（冷却塔）地块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东至焦化厂，西至永定河，南至长安街西沿线，北至群明湖。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地块，北至北辛安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公共管理与公共服务用地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2020/1/19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首钢园区金安桥轨道交通一体化改造地块（极限公园区域）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东至极限公园外区域，南至极限公园外区域，西至晾水池东路，北边为阜石路。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首钢园区四号高炉及周边道路地块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东至规划焦化厂路，南至规划四高路南路，西至规划晾水池东路，北至规划二高炉南路。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首钢园区群明站地块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东至临近焦化厂精制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精苯车间，南至距四焦炉北路约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米，西至紧邻焦化厂煤堆区，北至距四焦炉北路约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95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首钢园区金安桥轨道交通一体化改造地块（极限公园以外区域）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古城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东至北辛安路，南至二高炉南路，西至规划晾水池东路，北至阜石路。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北辛安棚户区改造项目680-1地块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677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26517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北京生态岛科技有限责任公司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北京生态岛科技有限责任公司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北京中科鼎图环境技术服务有限公司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2019/4/9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首钢园区北区部分路段及绿地项目地块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东至北辛安路，西至规划晾水池东路，南至长安街西延，北至规划二高炉南路。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绿地与开敞空间用地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东至北辛安路，南至城市织补创新工场，西至焦化厂东路，北至规划秀池南街东延。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100572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首钢园区城市织补创新工场地块（地铁M11号线区域内）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东、西邻城市织补创新工场地块（地铁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M11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号线区域外），南至长安街西延线，北邻公共服务配套区地块。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50866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北辛安棚户区改造项目681-1地块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2019/9/29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北辛安棚户区改造项目696地块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687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28725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北辛安棚户区改造项目697地块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699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688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2020/2/24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北辛安棚户区改造项目684-1地块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694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地块，西至北辛安路，北至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675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2019/10/22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北辛安棚户区改造项目694-1地块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地块，西至北辛安路，北至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681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2020/1/9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北辛安棚户区改造项目698地块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地块及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704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地块，西至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646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地块，北至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690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2020/5/25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东至古城西街，西至697地块，南至701地块，北至695地块。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5767.49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公共管理与公共服务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北辛安棚户区改造项目695地块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东至古城西街，西至697地块，南至699地块，北至古城西路。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2022/7/8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东至北辛安路，西至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M11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线，南至城市织补广场地块，北至规划四焦炉北路。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76331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2020/3/26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首钢园区城市织补创新工场地块（地铁M11号线区域外）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东至北辛安路，南至长安街西延线，西至焦化厂东路，北邻公共服务配套区地块。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184398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2020/6/9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首钢园区公共服务配套区地块（地铁M11号线区域外）-1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石景山路68号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东至北辛安路，南至规划四焦炉北路，西至规划焦化厂路，北至规划秀池南街东延。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70471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满足商业服务业用地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中科鼎实环境工程股份有限公司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中国环境科学研究院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2021/2/5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石景山首钢园区东南区土地一级开发二期地块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古城南里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东至体育场西路，南至料场路，西至古城南路，北至规划横一路。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612400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石景山首钢园区东南区土地一级开发三期地块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古城南里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东至体育场西路，南至料场路，西至古城南路，北至规划横一路。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首钢环境产业有限公司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北京首钢建设投资有限公司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2019/5/7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北京市石景山区SS00-1609街区013、014和019地块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东至北辛安路，西至修理厂西路，南至群明湖南路东延，北至四焦炉北路。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49424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中科鼎实环境工程有限公司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2022/11/15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北辛安棚户区改造项目1608-646地块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北辛安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东至1608-704地块，西至北辛安路，南至1608-703地块，北至北辛安四街。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满足道路与交通设施用地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北京安泰兴业置业有限公司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北京华夏博信环境咨询有限公司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2023/9/8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北京市石景山区SS00-1609街区0012地块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北京市石景山区石景山路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东至焦化厂东路，南至织补广场西街，西至焦化厂路，北至群明湖南路东延。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16628.44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/10/21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"javascript:;" \o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石景山区西黄村棚户区改造土地开发项目C地块（1606-649、1606-650地块）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东至八大处路，西至西井东街，南至华利通大厦，北至西井二区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45850.82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北京鎏金置业有限责任公司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bidi="ar"/>
              </w:rPr>
              <w:t>北京首钢国际工程技术有限公司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北京鎏金置业有限责任公司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北京市勘察设计研究院有限公司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门头沟区军庄镇军庄奕帆汽车修理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军温路北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东南至军温路沿街商铺，西至隔道路为北京路桥瑞通养护中心有限公司，北至废弃的军庄镇中心区污水处理站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北京市门头沟区军庄镇人民政府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满足多功能用地（地方标准）土壤环境质量要求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中海城建（北京）建设工程有限公司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中海城建（北京）建设工程有限公司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北京市门头沟区军庄镇人民政府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宝航环境修复有限公司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2023/8/2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顺义区高丽营镇SY02-0200-6002地块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张喜庄村北侧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东侧为张喜庄村停车场，南侧为张喜庄村，西至火寺路，临近高丽营第二中学和高丽营第二小学，北至寺上美术馆。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62282.61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北京市顺义区高丽营镇张喜庄村经济合作社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北京首创环境科技有限公司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北京首创环境科技有限公司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北京市顺义区高丽营镇张喜庄村经济合作社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2021/5/18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首钢一线材厂棚改安置房项目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沙河镇沙阳路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18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东至保利罗兰香谷旁边道路，南至南沙河北路和首钢吉泰安新材料有限公司，西至现状富生路，北至沙阳路南侧绿化隔离带。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362489.34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北京住总第一开发建设有限公司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北京住总第一开发建设有限公司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北京联创绿源环境科技有限公司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2019/7/23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北京市昌平区三合庄村集体土地租赁房地块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龙泽园街道三合庄村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东侧为育知西路，西侧为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规划道路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，南侧为龙禧二街，北侧为回南北路。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38860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北京市昌平区龙泽园街道三合庄村股份经济合作社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清大触媒（北京）环保科技有限公司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清大触媒（北京）环保科技有限公司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北京市昌平区龙泽园街道三合庄村股份经济合作社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北京市工程地质研究所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北京玻璃厂西区（主厂区）、南区（主厂区）地块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南口镇东大街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东至河西路，西侧紧邻温南路；北侧为玻璃厂东北区地块，紧邻原玻璃厂浮法车间；北侧为平板玻璃厂北侧边界；南侧为平板玻璃厂厂界。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124783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满足工业研发用地（地方标准）土壤环境质量要求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北京建工环境修复股份有限公司、北京昌建新鹏环保科技有限责任公司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北京保温瓶厂南区地块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北京市昌平区南口镇交通东街22号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东至河西路，西至温南路和鹿牌家园小区，南侧紧邻秦昌玻璃厂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 w:bidi="ar"/>
              </w:rPr>
              <w:t>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北侧至原保温瓶厂铝材库和毛坯库，距离G6辅路约300米。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84850.7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风险管控、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工业研发用地（地方标准）土壤环境质量要求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北京市生态环境保护科学研究院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北京建工环境修复股份有限公司、北京昌建新鹏环保科技有限责任公司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北京市昌平房地产开发有限责任公司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none"/>
                <w:vertAlign w:val="baseline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2024/2/28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大兴新城西片区起步区（八村安置房）南区项目（DX00-0411-0007/10/11/13）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大兴区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黄村镇后辛庄村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东至大兴新城西片区起步区DX00-0411-0008地块，西至英培街，南至广永北路，北至芬华巷。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42116.28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北京市大兴区黄村镇后辛庄村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上田环境修复有限公司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北京圣天博森建设工程有限公司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北京市大兴城镇建设综合开发集团有限公司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" w:eastAsia="zh-CN" w:bidi="ar"/>
              </w:rPr>
              <w:t>/3/6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北京市大兴区黄村镇三合庄改造区C组团土地一级开发项目（东辰铝业）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大兴区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黄村镇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东至陈庄子村，南至陈庄子村，西至兴旺路，北至清源西路。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95014.39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大兴区黄村镇人民政府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  <w:t>生态环境部环境规划院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北京高能时代环境技术股份有限公司、森特士兴集团股份有限公司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大兴区黄村镇人民政府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生态环境部环境规划院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2021/3/26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北京市政路桥集团有限公司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平谷区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马昌营镇官庄路口东南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东至立京饲料厂，西至紫贵御园小区，北至顺平路，南至南塘隔墙。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44852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北京市政路桥集团有限公司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满足居住用地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北京市市政四建设工程有限责任公司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eastAsia="zh-CN"/>
              </w:rPr>
              <w:t>北京市市政四建设工程有限责任公司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北京市政路桥集团有限公司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2020/4/22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延庆区小营村、石河营村棚户区改造和环境整治项目YQ00-0006-0011、YQ00-0006-0012、YQ00-0006-0013地块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延庆区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延庆镇石河营村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东区东至规划绿地，西至香荣路，南至东外大街，北至高塔路。西区东至规划绿地，西至龙庆路，南至香语街，北至高塔路。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42974.35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中建京北投资发展有限公司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北京市劳保所科技发展有限责任公司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北京金隅红树林环保技术有限责任公司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中建京北投资发展有限公司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2022/5/30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北京市石景山区SS00-1609街区0015、0017、0020、0021、0025、0027、0028、0029地块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北京市石景山区68号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东至修理厂东路，南至群明湖南路东延，西至焦化厂东路，北至四焦炉北路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51587.53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  <w:t>北京首科兴业工程技术有限公司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北京首钢建设集团有限公司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生态环境部土壤与农业农村生态环境监管技术中心、北京京诚嘉宇环境科技有限公司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2025/3/27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东城区宝华里房改带危改小区土地一级开发项目0504-673-02地块（原中石化沙子口加油站区域）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东城区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东城区永定门外街道办事处宝华里社区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西侧边界位于现状永外老街上，东、南、北三面与0504-673-02地块（其他区域）相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临。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4514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北京宝华地产有限公司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满足商业服务业用地土壤环境质量要求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北京金隅红树林环保技术有限公司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北京城建八建设发展有限责任公司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北京宝华地产有限公司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2025/5/28</w:t>
            </w:r>
          </w:p>
        </w:tc>
        <w:tc>
          <w:tcPr>
            <w:tcW w:w="4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首特钢园区19、20、21、22、23地块及周边道路（不含北辛安东路至古城西路的北辛安二街北半幅路）地块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北京市石景山杨庄大街69号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东邻首特钢大厦，南至北辛安中路，西至北岔街，北距北辛安北岔200米。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108000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满足居住用地土壤环境质量要求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北京首华科技发展有限公司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北京首钢特殊钢有限公司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生态环境部土壤与农业农村生态环境监管技术中心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2025/6/18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北京巴布科克·威尔科克斯有限公司科技研发中心地块（SS00-1617-0012地块）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北京市石景山区石景山路36号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东至天智街，南至天越路，西至韵兴街，北至锅炉厂北路。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满足工业用地土壤环境质量要求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北京建工环境修复股份有限公司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2025/7/16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世界侨商创新中心（一期）代征绿地地块（原世界侨商创新中心代征绿地地块）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石景山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路68号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东至世界侨商创新中心一期地块，西至侨商路，南至三炼钢东路，北至长安街西沿线</w:t>
            </w: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22800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满足绿地与开敞空间用地土壤环境质量要求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北京京诚嘉宇环境科技有限公司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北京首科兴业工程技术有限公司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首钢集团有限公司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北京京诚嘉宇环境科技有限公司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2025/9/17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北京秦昌玻璃厂西区地块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昌平区南口镇东大街52号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地块北和东为北京秦昌玻璃厂东区地块，西侧和南侧紧邻北京玻璃厂。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34819.6 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北京华弘玻璃有限公司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完成修复效果评估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满足工业研发用地土壤环境质量要求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北京市生态环境保护科学研究院、中节能大地（杭州）环境修复有限公司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中节能大地（杭州）环境修复有限公司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北京华弘玻璃有限公司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北京市生态环境保护科学研究院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2026/6/16</w:t>
            </w:r>
          </w:p>
        </w:tc>
        <w:tc>
          <w:tcPr>
            <w:tcW w:w="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true"/>
  <w:bordersDoNotSurroundHeader w:val="false"/>
  <w:bordersDoNotSurroundFooter w:val="false"/>
  <w:trackRevisions w:val="tru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EF36CBF"/>
    <w:rsid w:val="3F7B1D24"/>
    <w:rsid w:val="59F9E4D6"/>
    <w:rsid w:val="5D5F480D"/>
    <w:rsid w:val="5DFFAE22"/>
    <w:rsid w:val="5EF80E2C"/>
    <w:rsid w:val="5F7F7685"/>
    <w:rsid w:val="6EDE257E"/>
    <w:rsid w:val="6F769C2A"/>
    <w:rsid w:val="6F8D5C8E"/>
    <w:rsid w:val="6FDF943E"/>
    <w:rsid w:val="6FFDCBBA"/>
    <w:rsid w:val="71F7E7C3"/>
    <w:rsid w:val="73FF3126"/>
    <w:rsid w:val="74F5D7BE"/>
    <w:rsid w:val="75EF0309"/>
    <w:rsid w:val="76F7CAA1"/>
    <w:rsid w:val="77ED5B14"/>
    <w:rsid w:val="7891F8E4"/>
    <w:rsid w:val="79FFD7D3"/>
    <w:rsid w:val="7BEF12AE"/>
    <w:rsid w:val="7BFD5EA4"/>
    <w:rsid w:val="7DB7F460"/>
    <w:rsid w:val="7DBFE2B1"/>
    <w:rsid w:val="7DFF29AA"/>
    <w:rsid w:val="7EE7BC74"/>
    <w:rsid w:val="7EEDF694"/>
    <w:rsid w:val="7EF6971A"/>
    <w:rsid w:val="7F3664C9"/>
    <w:rsid w:val="7FBFEA9D"/>
    <w:rsid w:val="7FDFCA3F"/>
    <w:rsid w:val="7FF7A688"/>
    <w:rsid w:val="7FFE177D"/>
    <w:rsid w:val="7FFF5989"/>
    <w:rsid w:val="7FFF7C0C"/>
    <w:rsid w:val="8FFCEE2E"/>
    <w:rsid w:val="96B1C74F"/>
    <w:rsid w:val="97F2898C"/>
    <w:rsid w:val="9EE720EB"/>
    <w:rsid w:val="A8DBAD32"/>
    <w:rsid w:val="ABF3D42D"/>
    <w:rsid w:val="B07275A5"/>
    <w:rsid w:val="B72F7397"/>
    <w:rsid w:val="B7BFF1D9"/>
    <w:rsid w:val="BBDFFEAF"/>
    <w:rsid w:val="BD31D70C"/>
    <w:rsid w:val="BEF8AD69"/>
    <w:rsid w:val="CB5C2883"/>
    <w:rsid w:val="CDDFCA3C"/>
    <w:rsid w:val="CE7F11E7"/>
    <w:rsid w:val="CF5ED44F"/>
    <w:rsid w:val="CFEFB38E"/>
    <w:rsid w:val="DBF8EF69"/>
    <w:rsid w:val="DDED7F8A"/>
    <w:rsid w:val="DEB3B7B4"/>
    <w:rsid w:val="DFFAF700"/>
    <w:rsid w:val="E1D7C55D"/>
    <w:rsid w:val="E50A6FFA"/>
    <w:rsid w:val="E7AF52DC"/>
    <w:rsid w:val="ED7DBB8B"/>
    <w:rsid w:val="EF7FE2EB"/>
    <w:rsid w:val="EFBE7EB2"/>
    <w:rsid w:val="EFCFBCAC"/>
    <w:rsid w:val="EFF7563E"/>
    <w:rsid w:val="F34D45D3"/>
    <w:rsid w:val="F35F8305"/>
    <w:rsid w:val="F6BFEF28"/>
    <w:rsid w:val="F6FECE89"/>
    <w:rsid w:val="F7BEBD99"/>
    <w:rsid w:val="F7C8C434"/>
    <w:rsid w:val="F7E654A2"/>
    <w:rsid w:val="F7F7008E"/>
    <w:rsid w:val="F7FB764C"/>
    <w:rsid w:val="FADE3353"/>
    <w:rsid w:val="FAEAC6B0"/>
    <w:rsid w:val="FAFEFB8F"/>
    <w:rsid w:val="FB791916"/>
    <w:rsid w:val="FBFD14EB"/>
    <w:rsid w:val="FDBBF4BB"/>
    <w:rsid w:val="FE7FA18E"/>
    <w:rsid w:val="FE93DD38"/>
    <w:rsid w:val="FE960676"/>
    <w:rsid w:val="FEFE652B"/>
    <w:rsid w:val="FEFFF146"/>
    <w:rsid w:val="FF5B6D47"/>
    <w:rsid w:val="FF7F212C"/>
    <w:rsid w:val="FFB54148"/>
    <w:rsid w:val="FFB7ABD6"/>
    <w:rsid w:val="FFDFB7F6"/>
    <w:rsid w:val="FFFFB963"/>
    <w:rsid w:val="FFFFE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01"/>
    <w:basedOn w:val="4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1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2020-05-26T01:52:00Z</dcterms:created>
  <dc:creator>uos</dc:creator>
  <cp:lastModifiedBy>user</cp:lastModifiedBy>
  <dcterms:modified xsi:type="dcterms:W3CDTF">2026-07-10T17:35:48Z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4824B311A777F1E37F4468650F509C96</vt:lpwstr>
  </property>
</Properties>
</file>