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13" w:rsidRDefault="00513813">
      <w:pPr>
        <w:jc w:val="center"/>
        <w:rPr>
          <w:rFonts w:ascii="华文中宋" w:eastAsia="华文中宋" w:hAnsi="华文中宋"/>
          <w:sz w:val="40"/>
          <w:szCs w:val="40"/>
        </w:rPr>
      </w:pPr>
    </w:p>
    <w:p w:rsidR="00513813" w:rsidRDefault="00513813">
      <w:pPr>
        <w:jc w:val="center"/>
        <w:rPr>
          <w:rFonts w:ascii="华文中宋" w:eastAsia="华文中宋" w:hAnsi="华文中宋"/>
          <w:sz w:val="40"/>
          <w:szCs w:val="40"/>
        </w:rPr>
      </w:pPr>
    </w:p>
    <w:p w:rsidR="00513813" w:rsidRDefault="00513813">
      <w:pPr>
        <w:jc w:val="center"/>
        <w:rPr>
          <w:rFonts w:ascii="华文中宋" w:eastAsia="华文中宋" w:hAnsi="华文中宋"/>
          <w:sz w:val="40"/>
          <w:szCs w:val="40"/>
        </w:rPr>
      </w:pPr>
    </w:p>
    <w:p w:rsidR="00513813" w:rsidRDefault="00513813">
      <w:pPr>
        <w:jc w:val="center"/>
        <w:rPr>
          <w:rFonts w:ascii="华文中宋" w:eastAsia="华文中宋" w:hAnsi="华文中宋"/>
          <w:sz w:val="40"/>
          <w:szCs w:val="40"/>
        </w:rPr>
      </w:pPr>
    </w:p>
    <w:p w:rsidR="00513813" w:rsidRDefault="00AB3F63">
      <w:pPr>
        <w:spacing w:line="360" w:lineRule="auto"/>
        <w:jc w:val="center"/>
        <w:rPr>
          <w:rFonts w:ascii="黑体" w:eastAsia="黑体" w:hAnsi="黑体"/>
          <w:b/>
          <w:bCs/>
          <w:sz w:val="48"/>
          <w:szCs w:val="52"/>
        </w:rPr>
      </w:pPr>
      <w:r>
        <w:rPr>
          <w:rFonts w:ascii="黑体" w:eastAsia="黑体" w:hAnsi="黑体" w:hint="eastAsia"/>
          <w:b/>
          <w:bCs/>
          <w:sz w:val="48"/>
          <w:szCs w:val="52"/>
        </w:rPr>
        <w:t>《</w:t>
      </w:r>
      <w:r w:rsidR="00B83578" w:rsidRPr="00B83578">
        <w:rPr>
          <w:rFonts w:ascii="黑体" w:eastAsia="黑体" w:hAnsi="黑体" w:hint="eastAsia"/>
          <w:b/>
          <w:bCs/>
          <w:sz w:val="48"/>
          <w:szCs w:val="52"/>
        </w:rPr>
        <w:t>碘-131核素治疗病房的辐射防护与安全管理要求</w:t>
      </w:r>
      <w:r>
        <w:rPr>
          <w:rFonts w:ascii="黑体" w:eastAsia="黑体" w:hAnsi="黑体" w:hint="eastAsia"/>
          <w:b/>
          <w:bCs/>
          <w:sz w:val="48"/>
          <w:szCs w:val="52"/>
        </w:rPr>
        <w:t>》</w:t>
      </w:r>
    </w:p>
    <w:p w:rsidR="00513813" w:rsidRDefault="00513813">
      <w:pPr>
        <w:spacing w:line="360" w:lineRule="auto"/>
        <w:jc w:val="center"/>
        <w:rPr>
          <w:rFonts w:ascii="黑体" w:eastAsia="黑体" w:hAnsi="黑体"/>
          <w:b/>
          <w:bCs/>
          <w:sz w:val="48"/>
          <w:szCs w:val="52"/>
        </w:rPr>
      </w:pPr>
    </w:p>
    <w:p w:rsidR="00513813" w:rsidRDefault="00AB3F63">
      <w:pPr>
        <w:spacing w:line="360" w:lineRule="auto"/>
        <w:jc w:val="center"/>
        <w:rPr>
          <w:rFonts w:ascii="黑体" w:eastAsia="黑体" w:hAnsi="黑体"/>
          <w:b/>
          <w:bCs/>
          <w:sz w:val="48"/>
          <w:szCs w:val="52"/>
        </w:rPr>
      </w:pPr>
      <w:r>
        <w:rPr>
          <w:rFonts w:ascii="黑体" w:eastAsia="黑体" w:hAnsi="黑体" w:hint="eastAsia"/>
          <w:b/>
          <w:bCs/>
          <w:sz w:val="48"/>
          <w:szCs w:val="52"/>
        </w:rPr>
        <w:t>编制说明</w:t>
      </w:r>
    </w:p>
    <w:p w:rsidR="00513813" w:rsidRDefault="00513813">
      <w:pPr>
        <w:widowControl/>
        <w:jc w:val="left"/>
        <w:rPr>
          <w:sz w:val="32"/>
        </w:rPr>
      </w:pPr>
    </w:p>
    <w:p w:rsidR="00513813" w:rsidRDefault="00513813">
      <w:pPr>
        <w:widowControl/>
        <w:jc w:val="left"/>
        <w:rPr>
          <w:sz w:val="32"/>
        </w:rPr>
      </w:pPr>
    </w:p>
    <w:p w:rsidR="00513813" w:rsidRDefault="00513813">
      <w:pPr>
        <w:widowControl/>
        <w:jc w:val="left"/>
        <w:rPr>
          <w:sz w:val="32"/>
        </w:rPr>
      </w:pPr>
    </w:p>
    <w:p w:rsidR="00513813" w:rsidRDefault="00513813">
      <w:pPr>
        <w:widowControl/>
        <w:jc w:val="left"/>
        <w:rPr>
          <w:sz w:val="32"/>
        </w:rPr>
      </w:pPr>
    </w:p>
    <w:p w:rsidR="00513813" w:rsidRDefault="00513813">
      <w:pPr>
        <w:widowControl/>
        <w:jc w:val="left"/>
        <w:rPr>
          <w:sz w:val="32"/>
        </w:rPr>
      </w:pPr>
    </w:p>
    <w:p w:rsidR="00513813" w:rsidRDefault="00513813">
      <w:pPr>
        <w:widowControl/>
        <w:jc w:val="left"/>
        <w:rPr>
          <w:sz w:val="32"/>
        </w:rPr>
      </w:pPr>
    </w:p>
    <w:p w:rsidR="00513813" w:rsidRDefault="00513813">
      <w:pPr>
        <w:widowControl/>
        <w:jc w:val="left"/>
        <w:rPr>
          <w:sz w:val="32"/>
        </w:rPr>
      </w:pPr>
    </w:p>
    <w:p w:rsidR="00513813" w:rsidRDefault="00513813">
      <w:pPr>
        <w:widowControl/>
        <w:jc w:val="left"/>
        <w:rPr>
          <w:sz w:val="32"/>
        </w:rPr>
      </w:pPr>
    </w:p>
    <w:p w:rsidR="00513813" w:rsidRDefault="00513813">
      <w:pPr>
        <w:widowControl/>
        <w:jc w:val="left"/>
        <w:rPr>
          <w:sz w:val="32"/>
        </w:rPr>
      </w:pPr>
    </w:p>
    <w:p w:rsidR="00513813" w:rsidRDefault="00AB3F63">
      <w:pPr>
        <w:spacing w:line="360" w:lineRule="auto"/>
        <w:jc w:val="center"/>
        <w:rPr>
          <w:rFonts w:ascii="仿宋" w:eastAsia="仿宋" w:hAnsi="仿宋"/>
          <w:b/>
          <w:bCs/>
          <w:sz w:val="32"/>
          <w:szCs w:val="36"/>
        </w:rPr>
      </w:pPr>
      <w:r>
        <w:rPr>
          <w:rFonts w:ascii="仿宋" w:eastAsia="仿宋" w:hAnsi="仿宋" w:hint="eastAsia"/>
          <w:b/>
          <w:bCs/>
          <w:sz w:val="32"/>
          <w:szCs w:val="36"/>
        </w:rPr>
        <w:t>《</w:t>
      </w:r>
      <w:r w:rsidR="00B83578">
        <w:rPr>
          <w:rFonts w:ascii="仿宋" w:eastAsia="仿宋" w:hAnsi="仿宋" w:hint="eastAsia"/>
          <w:b/>
          <w:bCs/>
          <w:sz w:val="32"/>
          <w:szCs w:val="36"/>
        </w:rPr>
        <w:t>碘-131核素治疗病房的辐射防护与安全管理要求</w:t>
      </w:r>
      <w:r>
        <w:rPr>
          <w:rFonts w:ascii="仿宋" w:eastAsia="仿宋" w:hAnsi="仿宋" w:hint="eastAsia"/>
          <w:b/>
          <w:bCs/>
          <w:sz w:val="32"/>
          <w:szCs w:val="36"/>
        </w:rPr>
        <w:t>》</w:t>
      </w:r>
    </w:p>
    <w:p w:rsidR="00513813" w:rsidRDefault="00AB3F63">
      <w:pPr>
        <w:spacing w:line="360" w:lineRule="auto"/>
        <w:jc w:val="center"/>
        <w:rPr>
          <w:rFonts w:ascii="仿宋" w:eastAsia="仿宋" w:hAnsi="仿宋"/>
          <w:b/>
          <w:bCs/>
          <w:sz w:val="32"/>
          <w:szCs w:val="36"/>
        </w:rPr>
      </w:pPr>
      <w:r>
        <w:rPr>
          <w:rFonts w:ascii="仿宋" w:eastAsia="仿宋" w:hAnsi="仿宋" w:hint="eastAsia"/>
          <w:b/>
          <w:bCs/>
          <w:sz w:val="32"/>
          <w:szCs w:val="36"/>
        </w:rPr>
        <w:t>编制组</w:t>
      </w:r>
    </w:p>
    <w:p w:rsidR="00513813" w:rsidRDefault="00AB3F63">
      <w:pPr>
        <w:jc w:val="center"/>
      </w:pPr>
      <w:r>
        <w:rPr>
          <w:rFonts w:ascii="仿宋" w:eastAsia="仿宋" w:hAnsi="仿宋" w:hint="eastAsia"/>
          <w:b/>
          <w:bCs/>
          <w:sz w:val="32"/>
          <w:szCs w:val="36"/>
        </w:rPr>
        <w:t>二〇二三年</w:t>
      </w:r>
      <w:r>
        <w:rPr>
          <w:rFonts w:ascii="仿宋" w:eastAsia="仿宋" w:hAnsi="仿宋" w:hint="eastAsia"/>
          <w:b/>
          <w:bCs/>
          <w:sz w:val="32"/>
          <w:szCs w:val="36"/>
        </w:rPr>
        <w:t>六</w:t>
      </w:r>
      <w:r>
        <w:rPr>
          <w:rFonts w:ascii="仿宋" w:eastAsia="仿宋" w:hAnsi="仿宋" w:hint="eastAsia"/>
          <w:b/>
          <w:bCs/>
          <w:sz w:val="32"/>
          <w:szCs w:val="36"/>
        </w:rPr>
        <w:t>月</w:t>
      </w:r>
    </w:p>
    <w:p w:rsidR="00513813" w:rsidRDefault="00513813">
      <w:pPr>
        <w:widowControl/>
        <w:jc w:val="center"/>
        <w:rPr>
          <w:sz w:val="32"/>
        </w:rPr>
      </w:pPr>
    </w:p>
    <w:p w:rsidR="00513813" w:rsidRDefault="00AB3F63">
      <w:pPr>
        <w:widowControl/>
        <w:jc w:val="left"/>
        <w:rPr>
          <w:sz w:val="32"/>
        </w:rPr>
      </w:pPr>
      <w:r>
        <w:rPr>
          <w:sz w:val="32"/>
        </w:rPr>
        <w:br w:type="page"/>
      </w:r>
    </w:p>
    <w:p w:rsidR="00513813" w:rsidRDefault="00AB3F63">
      <w:pPr>
        <w:widowControl/>
        <w:jc w:val="left"/>
        <w:rPr>
          <w:rFonts w:ascii="黑体" w:eastAsia="黑体" w:hAnsi="黑体"/>
          <w:sz w:val="32"/>
          <w:szCs w:val="36"/>
        </w:rPr>
      </w:pPr>
      <w:r>
        <w:rPr>
          <w:rFonts w:ascii="黑体" w:eastAsia="黑体" w:hAnsi="黑体" w:hint="eastAsia"/>
          <w:sz w:val="32"/>
          <w:szCs w:val="36"/>
        </w:rPr>
        <w:lastRenderedPageBreak/>
        <w:t>项目名称：</w:t>
      </w:r>
      <w:r w:rsidR="00B83578">
        <w:rPr>
          <w:rFonts w:ascii="黑体" w:eastAsia="黑体" w:hAnsi="黑体" w:hint="eastAsia"/>
          <w:sz w:val="32"/>
          <w:szCs w:val="36"/>
        </w:rPr>
        <w:t>碘-131核素治疗病房的辐射防护与安全</w:t>
      </w:r>
      <w:bookmarkStart w:id="0" w:name="_GoBack"/>
      <w:bookmarkEnd w:id="0"/>
      <w:r w:rsidR="00B83578">
        <w:rPr>
          <w:rFonts w:ascii="黑体" w:eastAsia="黑体" w:hAnsi="黑体" w:hint="eastAsia"/>
          <w:sz w:val="32"/>
          <w:szCs w:val="36"/>
        </w:rPr>
        <w:t>管理要求</w:t>
      </w:r>
    </w:p>
    <w:p w:rsidR="00513813" w:rsidRDefault="00AB3F63">
      <w:pPr>
        <w:widowControl/>
        <w:jc w:val="left"/>
        <w:rPr>
          <w:rFonts w:ascii="黑体" w:eastAsia="黑体" w:hAnsi="黑体"/>
          <w:sz w:val="32"/>
          <w:szCs w:val="36"/>
        </w:rPr>
      </w:pPr>
      <w:r>
        <w:rPr>
          <w:rFonts w:ascii="黑体" w:eastAsia="黑体" w:hAnsi="黑体" w:hint="eastAsia"/>
          <w:sz w:val="32"/>
          <w:szCs w:val="36"/>
        </w:rPr>
        <w:t>项目统一编号：</w:t>
      </w:r>
      <w:r>
        <w:rPr>
          <w:rFonts w:ascii="仿宋" w:eastAsia="仿宋" w:hAnsi="仿宋" w:cs="仿宋" w:hint="eastAsia"/>
          <w:sz w:val="32"/>
        </w:rPr>
        <w:t>20231138</w:t>
      </w:r>
    </w:p>
    <w:p w:rsidR="00513813" w:rsidRDefault="00AB3F63">
      <w:pPr>
        <w:widowControl/>
        <w:jc w:val="left"/>
        <w:rPr>
          <w:rFonts w:ascii="黑体" w:eastAsia="黑体" w:hAnsi="黑体"/>
          <w:sz w:val="32"/>
          <w:szCs w:val="36"/>
        </w:rPr>
      </w:pPr>
      <w:r>
        <w:rPr>
          <w:rFonts w:ascii="黑体" w:eastAsia="黑体" w:hAnsi="黑体" w:hint="eastAsia"/>
          <w:sz w:val="32"/>
          <w:szCs w:val="36"/>
        </w:rPr>
        <w:t>承担单位：</w:t>
      </w:r>
      <w:r>
        <w:rPr>
          <w:rFonts w:ascii="黑体" w:eastAsia="黑体" w:hAnsi="黑体" w:hint="eastAsia"/>
          <w:sz w:val="32"/>
          <w:szCs w:val="36"/>
        </w:rPr>
        <w:t>北京市华克智</w:t>
      </w:r>
      <w:proofErr w:type="gramStart"/>
      <w:r>
        <w:rPr>
          <w:rFonts w:ascii="黑体" w:eastAsia="黑体" w:hAnsi="黑体" w:hint="eastAsia"/>
          <w:sz w:val="32"/>
          <w:szCs w:val="36"/>
        </w:rPr>
        <w:t>星医疗</w:t>
      </w:r>
      <w:proofErr w:type="gramEnd"/>
      <w:r>
        <w:rPr>
          <w:rFonts w:ascii="黑体" w:eastAsia="黑体" w:hAnsi="黑体" w:hint="eastAsia"/>
          <w:sz w:val="32"/>
          <w:szCs w:val="36"/>
        </w:rPr>
        <w:t>技术研究院有限公司</w:t>
      </w:r>
    </w:p>
    <w:p w:rsidR="00513813" w:rsidRDefault="00AB3F63">
      <w:pPr>
        <w:rPr>
          <w:sz w:val="32"/>
        </w:rPr>
      </w:pPr>
      <w:r>
        <w:rPr>
          <w:sz w:val="32"/>
        </w:rPr>
        <w:br w:type="page"/>
      </w:r>
    </w:p>
    <w:sdt>
      <w:sdtPr>
        <w:rPr>
          <w:rFonts w:ascii="Times New Roman" w:eastAsia="宋体" w:hAnsi="Times New Roman" w:cs="Times New Roman"/>
          <w:color w:val="auto"/>
          <w:kern w:val="2"/>
          <w:sz w:val="21"/>
          <w:szCs w:val="24"/>
          <w:lang w:val="zh-CN"/>
        </w:rPr>
        <w:id w:val="-1156831973"/>
        <w:docPartObj>
          <w:docPartGallery w:val="Table of Contents"/>
          <w:docPartUnique/>
        </w:docPartObj>
      </w:sdtPr>
      <w:sdtEndPr>
        <w:rPr>
          <w:b/>
          <w:bCs/>
        </w:rPr>
      </w:sdtEndPr>
      <w:sdtContent>
        <w:p w:rsidR="00513813" w:rsidRDefault="00AB3F63">
          <w:pPr>
            <w:pStyle w:val="TOC1"/>
            <w:jc w:val="center"/>
            <w:rPr>
              <w:b/>
              <w:bCs/>
              <w:color w:val="auto"/>
            </w:rPr>
          </w:pPr>
          <w:r>
            <w:rPr>
              <w:b/>
              <w:bCs/>
              <w:color w:val="auto"/>
              <w:lang w:val="zh-CN"/>
            </w:rPr>
            <w:t>目录</w:t>
          </w:r>
        </w:p>
        <w:p w:rsidR="00513813" w:rsidRDefault="00AB3F63">
          <w:pPr>
            <w:pStyle w:val="10"/>
            <w:tabs>
              <w:tab w:val="right" w:leader="dot" w:pos="8300"/>
            </w:tabs>
          </w:pPr>
          <w:r>
            <w:rPr>
              <w:sz w:val="24"/>
            </w:rPr>
            <w:fldChar w:fldCharType="begin"/>
          </w:r>
          <w:r>
            <w:rPr>
              <w:sz w:val="24"/>
            </w:rPr>
            <w:instrText xml:space="preserve"> TOC \o "1-3" \h \z \u </w:instrText>
          </w:r>
          <w:r>
            <w:rPr>
              <w:sz w:val="24"/>
            </w:rPr>
            <w:fldChar w:fldCharType="separate"/>
          </w:r>
          <w:hyperlink w:anchor="_Toc25506" w:history="1">
            <w:r>
              <w:rPr>
                <w:rFonts w:hint="eastAsia"/>
              </w:rPr>
              <w:t>1</w:t>
            </w:r>
            <w:r>
              <w:rPr>
                <w:rFonts w:hint="eastAsia"/>
              </w:rPr>
              <w:t>项目背景</w:t>
            </w:r>
            <w:r>
              <w:tab/>
            </w:r>
            <w:r>
              <w:fldChar w:fldCharType="begin"/>
            </w:r>
            <w:r>
              <w:instrText xml:space="preserve"> PAGEREF _Toc25506 \h </w:instrText>
            </w:r>
            <w:r>
              <w:fldChar w:fldCharType="separate"/>
            </w:r>
            <w:r>
              <w:t>4</w:t>
            </w:r>
            <w:r>
              <w:fldChar w:fldCharType="end"/>
            </w:r>
          </w:hyperlink>
        </w:p>
        <w:p w:rsidR="00513813" w:rsidRDefault="00AB3F63">
          <w:pPr>
            <w:pStyle w:val="20"/>
            <w:tabs>
              <w:tab w:val="right" w:leader="dot" w:pos="8300"/>
            </w:tabs>
          </w:pPr>
          <w:hyperlink w:anchor="_Toc23485" w:history="1">
            <w:r>
              <w:rPr>
                <w:rFonts w:eastAsia="黑体" w:hint="eastAsia"/>
                <w:kern w:val="0"/>
              </w:rPr>
              <w:t>1.1</w:t>
            </w:r>
            <w:r>
              <w:rPr>
                <w:rFonts w:eastAsia="黑体" w:hint="eastAsia"/>
                <w:kern w:val="0"/>
              </w:rPr>
              <w:t>任务来源</w:t>
            </w:r>
            <w:r>
              <w:tab/>
            </w:r>
            <w:r>
              <w:fldChar w:fldCharType="begin"/>
            </w:r>
            <w:r>
              <w:instrText xml:space="preserve"> PAGEREF _Toc23485 \h </w:instrText>
            </w:r>
            <w:r>
              <w:fldChar w:fldCharType="separate"/>
            </w:r>
            <w:r>
              <w:t>4</w:t>
            </w:r>
            <w:r>
              <w:fldChar w:fldCharType="end"/>
            </w:r>
          </w:hyperlink>
        </w:p>
        <w:p w:rsidR="00513813" w:rsidRDefault="00AB3F63">
          <w:pPr>
            <w:pStyle w:val="20"/>
            <w:tabs>
              <w:tab w:val="right" w:leader="dot" w:pos="8300"/>
            </w:tabs>
          </w:pPr>
          <w:hyperlink w:anchor="_Toc23316" w:history="1">
            <w:r>
              <w:rPr>
                <w:rFonts w:eastAsia="黑体" w:hint="eastAsia"/>
                <w:kern w:val="0"/>
              </w:rPr>
              <w:t>1.2</w:t>
            </w:r>
            <w:r>
              <w:rPr>
                <w:rFonts w:eastAsia="黑体" w:hint="eastAsia"/>
                <w:kern w:val="0"/>
              </w:rPr>
              <w:t>起草单位和主要起草人</w:t>
            </w:r>
            <w:r>
              <w:tab/>
            </w:r>
            <w:r>
              <w:fldChar w:fldCharType="begin"/>
            </w:r>
            <w:r>
              <w:instrText xml:space="preserve"> PAGEREF _Toc23316 \h </w:instrText>
            </w:r>
            <w:r>
              <w:fldChar w:fldCharType="separate"/>
            </w:r>
            <w:r>
              <w:t>5</w:t>
            </w:r>
            <w:r>
              <w:fldChar w:fldCharType="end"/>
            </w:r>
          </w:hyperlink>
        </w:p>
        <w:p w:rsidR="00513813" w:rsidRDefault="00AB3F63">
          <w:pPr>
            <w:pStyle w:val="10"/>
            <w:tabs>
              <w:tab w:val="right" w:leader="dot" w:pos="8300"/>
            </w:tabs>
          </w:pPr>
          <w:hyperlink w:anchor="_Toc17286" w:history="1">
            <w:r>
              <w:rPr>
                <w:rFonts w:hint="eastAsia"/>
              </w:rPr>
              <w:t>2</w:t>
            </w:r>
            <w:r>
              <w:rPr>
                <w:rFonts w:hint="eastAsia"/>
              </w:rPr>
              <w:t>制定标准的必要性和意义</w:t>
            </w:r>
            <w:r>
              <w:tab/>
            </w:r>
            <w:r>
              <w:fldChar w:fldCharType="begin"/>
            </w:r>
            <w:r>
              <w:instrText xml:space="preserve"> PAGEREF _Toc17286 \h </w:instrText>
            </w:r>
            <w:r>
              <w:fldChar w:fldCharType="separate"/>
            </w:r>
            <w:r>
              <w:t>5</w:t>
            </w:r>
            <w:r>
              <w:fldChar w:fldCharType="end"/>
            </w:r>
          </w:hyperlink>
        </w:p>
        <w:p w:rsidR="00513813" w:rsidRDefault="00AB3F63">
          <w:pPr>
            <w:pStyle w:val="20"/>
            <w:tabs>
              <w:tab w:val="right" w:leader="dot" w:pos="8300"/>
            </w:tabs>
          </w:pPr>
          <w:hyperlink w:anchor="_Toc15999" w:history="1">
            <w:r>
              <w:rPr>
                <w:rFonts w:ascii="黑体" w:eastAsia="黑体" w:hAnsi="黑体" w:cs="黑体" w:hint="eastAsia"/>
                <w:szCs w:val="32"/>
              </w:rPr>
              <w:t>2.</w:t>
            </w:r>
            <w:r>
              <w:rPr>
                <w:rFonts w:ascii="黑体" w:eastAsia="黑体" w:hAnsi="黑体" w:cs="黑体" w:hint="eastAsia"/>
                <w:szCs w:val="32"/>
              </w:rPr>
              <w:t>1</w:t>
            </w:r>
            <w:r>
              <w:rPr>
                <w:rFonts w:ascii="黑体" w:eastAsia="黑体" w:hAnsi="黑体" w:cs="黑体" w:hint="eastAsia"/>
                <w:szCs w:val="32"/>
              </w:rPr>
              <w:t xml:space="preserve"> </w:t>
            </w:r>
            <w:r>
              <w:rPr>
                <w:rFonts w:ascii="黑体" w:eastAsia="黑体" w:hAnsi="黑体" w:cs="黑体" w:hint="eastAsia"/>
                <w:szCs w:val="32"/>
              </w:rPr>
              <w:t>标准编制必要性</w:t>
            </w:r>
            <w:r>
              <w:tab/>
            </w:r>
            <w:r>
              <w:fldChar w:fldCharType="begin"/>
            </w:r>
            <w:r>
              <w:instrText xml:space="preserve"> PAGEREF _Toc15999 \h </w:instrText>
            </w:r>
            <w:r>
              <w:fldChar w:fldCharType="separate"/>
            </w:r>
            <w:r>
              <w:t>5</w:t>
            </w:r>
            <w:r>
              <w:fldChar w:fldCharType="end"/>
            </w:r>
          </w:hyperlink>
        </w:p>
        <w:p w:rsidR="00513813" w:rsidRDefault="00AB3F63">
          <w:pPr>
            <w:pStyle w:val="20"/>
            <w:tabs>
              <w:tab w:val="right" w:leader="dot" w:pos="8300"/>
            </w:tabs>
          </w:pPr>
          <w:hyperlink w:anchor="_Toc14746" w:history="1">
            <w:r>
              <w:rPr>
                <w:rFonts w:eastAsia="黑体" w:hint="eastAsia"/>
                <w:kern w:val="0"/>
              </w:rPr>
              <w:t>2.</w:t>
            </w:r>
            <w:r>
              <w:rPr>
                <w:rFonts w:eastAsia="黑体" w:hint="eastAsia"/>
                <w:kern w:val="0"/>
              </w:rPr>
              <w:t>2</w:t>
            </w:r>
            <w:r>
              <w:rPr>
                <w:rFonts w:eastAsia="黑体" w:hint="eastAsia"/>
                <w:kern w:val="0"/>
              </w:rPr>
              <w:t xml:space="preserve"> </w:t>
            </w:r>
            <w:r>
              <w:rPr>
                <w:rFonts w:eastAsia="黑体" w:hint="eastAsia"/>
                <w:kern w:val="0"/>
              </w:rPr>
              <w:t>标准制定的意义</w:t>
            </w:r>
            <w:r>
              <w:tab/>
            </w:r>
            <w:r>
              <w:fldChar w:fldCharType="begin"/>
            </w:r>
            <w:r>
              <w:instrText xml:space="preserve"> PAGEREF _Toc14746 \h </w:instrText>
            </w:r>
            <w:r>
              <w:fldChar w:fldCharType="separate"/>
            </w:r>
            <w:r>
              <w:t>7</w:t>
            </w:r>
            <w:r>
              <w:fldChar w:fldCharType="end"/>
            </w:r>
          </w:hyperlink>
        </w:p>
        <w:p w:rsidR="00513813" w:rsidRDefault="00AB3F63">
          <w:pPr>
            <w:pStyle w:val="10"/>
            <w:tabs>
              <w:tab w:val="right" w:leader="dot" w:pos="8300"/>
            </w:tabs>
          </w:pPr>
          <w:hyperlink w:anchor="_Toc10594" w:history="1">
            <w:r>
              <w:rPr>
                <w:rFonts w:hint="eastAsia"/>
              </w:rPr>
              <w:t>3</w:t>
            </w:r>
            <w:r>
              <w:t xml:space="preserve"> </w:t>
            </w:r>
            <w:r>
              <w:rPr>
                <w:rFonts w:hint="eastAsia"/>
              </w:rPr>
              <w:t>主要工作过程</w:t>
            </w:r>
            <w:r>
              <w:tab/>
            </w:r>
            <w:r>
              <w:fldChar w:fldCharType="begin"/>
            </w:r>
            <w:r>
              <w:instrText xml:space="preserve"> PAGEREF _Toc10594 \h </w:instrText>
            </w:r>
            <w:r>
              <w:fldChar w:fldCharType="separate"/>
            </w:r>
            <w:r>
              <w:t>7</w:t>
            </w:r>
            <w:r>
              <w:fldChar w:fldCharType="end"/>
            </w:r>
          </w:hyperlink>
        </w:p>
        <w:p w:rsidR="00513813" w:rsidRDefault="00AB3F63">
          <w:pPr>
            <w:pStyle w:val="20"/>
            <w:tabs>
              <w:tab w:val="right" w:leader="dot" w:pos="8300"/>
            </w:tabs>
          </w:pPr>
          <w:hyperlink w:anchor="_Toc1840" w:history="1">
            <w:r>
              <w:rPr>
                <w:rFonts w:ascii="黑体" w:eastAsia="黑体" w:hAnsi="黑体" w:cs="黑体" w:hint="eastAsia"/>
                <w:bCs/>
                <w:kern w:val="0"/>
                <w:szCs w:val="32"/>
              </w:rPr>
              <w:t xml:space="preserve">3.1 </w:t>
            </w:r>
            <w:r>
              <w:rPr>
                <w:rFonts w:ascii="黑体" w:eastAsia="黑体" w:hAnsi="黑体" w:cs="黑体" w:hint="eastAsia"/>
                <w:bCs/>
                <w:kern w:val="0"/>
                <w:szCs w:val="32"/>
              </w:rPr>
              <w:t>开题</w:t>
            </w:r>
            <w:r>
              <w:tab/>
            </w:r>
            <w:r>
              <w:fldChar w:fldCharType="begin"/>
            </w:r>
            <w:r>
              <w:instrText xml:space="preserve"> PAGEREF _Toc1840 \h </w:instrText>
            </w:r>
            <w:r>
              <w:fldChar w:fldCharType="separate"/>
            </w:r>
            <w:r>
              <w:t>7</w:t>
            </w:r>
            <w:r>
              <w:fldChar w:fldCharType="end"/>
            </w:r>
          </w:hyperlink>
        </w:p>
        <w:p w:rsidR="00513813" w:rsidRDefault="00AB3F63">
          <w:pPr>
            <w:pStyle w:val="20"/>
            <w:tabs>
              <w:tab w:val="right" w:leader="dot" w:pos="8300"/>
            </w:tabs>
          </w:pPr>
          <w:hyperlink w:anchor="_Toc13578" w:history="1">
            <w:r>
              <w:rPr>
                <w:rFonts w:ascii="黑体" w:eastAsia="黑体" w:hAnsi="黑体" w:cs="黑体" w:hint="eastAsia"/>
                <w:bCs/>
                <w:kern w:val="0"/>
                <w:szCs w:val="32"/>
              </w:rPr>
              <w:t>3.</w:t>
            </w:r>
            <w:r>
              <w:rPr>
                <w:rFonts w:ascii="黑体" w:eastAsia="黑体" w:hAnsi="黑体" w:cs="黑体" w:hint="eastAsia"/>
                <w:bCs/>
                <w:kern w:val="0"/>
                <w:szCs w:val="32"/>
              </w:rPr>
              <w:t>2</w:t>
            </w:r>
            <w:r>
              <w:rPr>
                <w:rFonts w:ascii="黑体" w:eastAsia="黑体" w:hAnsi="黑体" w:cs="黑体" w:hint="eastAsia"/>
                <w:bCs/>
                <w:kern w:val="0"/>
                <w:szCs w:val="32"/>
              </w:rPr>
              <w:t xml:space="preserve"> </w:t>
            </w:r>
            <w:r>
              <w:rPr>
                <w:rFonts w:ascii="黑体" w:eastAsia="黑体" w:hAnsi="黑体" w:cs="黑体" w:hint="eastAsia"/>
                <w:bCs/>
                <w:kern w:val="0"/>
                <w:szCs w:val="32"/>
              </w:rPr>
              <w:t>成立标准起草工作组</w:t>
            </w:r>
            <w:r>
              <w:tab/>
            </w:r>
            <w:r>
              <w:fldChar w:fldCharType="begin"/>
            </w:r>
            <w:r>
              <w:instrText xml:space="preserve"> PAGEREF _Toc13578 \h </w:instrText>
            </w:r>
            <w:r>
              <w:fldChar w:fldCharType="separate"/>
            </w:r>
            <w:r>
              <w:t>7</w:t>
            </w:r>
            <w:r>
              <w:fldChar w:fldCharType="end"/>
            </w:r>
          </w:hyperlink>
        </w:p>
        <w:p w:rsidR="00513813" w:rsidRDefault="00AB3F63">
          <w:pPr>
            <w:pStyle w:val="20"/>
            <w:tabs>
              <w:tab w:val="right" w:leader="dot" w:pos="8300"/>
            </w:tabs>
          </w:pPr>
          <w:hyperlink w:anchor="_Toc10656" w:history="1">
            <w:r>
              <w:rPr>
                <w:rFonts w:eastAsia="黑体" w:hint="eastAsia"/>
              </w:rPr>
              <w:t>3</w:t>
            </w:r>
            <w:r>
              <w:rPr>
                <w:rFonts w:eastAsia="黑体"/>
              </w:rPr>
              <w:t>.</w:t>
            </w:r>
            <w:r>
              <w:rPr>
                <w:rFonts w:eastAsia="黑体" w:hint="eastAsia"/>
              </w:rPr>
              <w:t>3</w:t>
            </w:r>
            <w:r>
              <w:rPr>
                <w:rFonts w:eastAsia="黑体" w:hint="eastAsia"/>
              </w:rPr>
              <w:t>内部研讨</w:t>
            </w:r>
            <w:r>
              <w:tab/>
            </w:r>
            <w:r>
              <w:fldChar w:fldCharType="begin"/>
            </w:r>
            <w:r>
              <w:instrText xml:space="preserve"> PAGEREF _Toc10656 \h </w:instrText>
            </w:r>
            <w:r>
              <w:fldChar w:fldCharType="separate"/>
            </w:r>
            <w:r>
              <w:t>8</w:t>
            </w:r>
            <w:r>
              <w:fldChar w:fldCharType="end"/>
            </w:r>
          </w:hyperlink>
        </w:p>
        <w:p w:rsidR="00513813" w:rsidRDefault="00AB3F63">
          <w:pPr>
            <w:pStyle w:val="20"/>
            <w:tabs>
              <w:tab w:val="right" w:leader="dot" w:pos="8300"/>
            </w:tabs>
          </w:pPr>
          <w:hyperlink w:anchor="_Toc5539" w:history="1">
            <w:r>
              <w:rPr>
                <w:rFonts w:eastAsia="黑体" w:hint="eastAsia"/>
                <w:szCs w:val="32"/>
              </w:rPr>
              <w:t>3.</w:t>
            </w:r>
            <w:r>
              <w:rPr>
                <w:rFonts w:eastAsia="黑体" w:hint="eastAsia"/>
                <w:szCs w:val="32"/>
              </w:rPr>
              <w:t>5</w:t>
            </w:r>
            <w:r>
              <w:rPr>
                <w:rFonts w:eastAsia="黑体" w:hint="eastAsia"/>
                <w:szCs w:val="32"/>
              </w:rPr>
              <w:t>专家咨询会</w:t>
            </w:r>
            <w:r>
              <w:tab/>
            </w:r>
            <w:r>
              <w:fldChar w:fldCharType="begin"/>
            </w:r>
            <w:r>
              <w:instrText xml:space="preserve"> PAGEREF _Toc5539 \h </w:instrText>
            </w:r>
            <w:r>
              <w:fldChar w:fldCharType="separate"/>
            </w:r>
            <w:r>
              <w:t>8</w:t>
            </w:r>
            <w:r>
              <w:fldChar w:fldCharType="end"/>
            </w:r>
          </w:hyperlink>
        </w:p>
        <w:p w:rsidR="00513813" w:rsidRDefault="00AB3F63">
          <w:pPr>
            <w:pStyle w:val="10"/>
            <w:tabs>
              <w:tab w:val="right" w:leader="dot" w:pos="8300"/>
            </w:tabs>
          </w:pPr>
          <w:hyperlink w:anchor="_Toc26550" w:history="1">
            <w:r>
              <w:rPr>
                <w:rFonts w:hint="eastAsia"/>
              </w:rPr>
              <w:t xml:space="preserve">4 </w:t>
            </w:r>
            <w:r>
              <w:rPr>
                <w:rFonts w:hint="eastAsia"/>
              </w:rPr>
              <w:t>碘</w:t>
            </w:r>
            <w:r>
              <w:rPr>
                <w:rFonts w:hint="eastAsia"/>
              </w:rPr>
              <w:t>-131</w:t>
            </w:r>
            <w:r>
              <w:rPr>
                <w:rFonts w:hint="eastAsia"/>
              </w:rPr>
              <w:t>核素治疗病房相关的核医学现状</w:t>
            </w:r>
            <w:r>
              <w:tab/>
            </w:r>
            <w:r>
              <w:fldChar w:fldCharType="begin"/>
            </w:r>
            <w:r>
              <w:instrText xml:space="preserve"> PAGEREF _Toc26550 \h </w:instrText>
            </w:r>
            <w:r>
              <w:fldChar w:fldCharType="separate"/>
            </w:r>
            <w:r>
              <w:t>8</w:t>
            </w:r>
            <w:r>
              <w:fldChar w:fldCharType="end"/>
            </w:r>
          </w:hyperlink>
        </w:p>
        <w:p w:rsidR="00513813" w:rsidRDefault="00AB3F63">
          <w:pPr>
            <w:pStyle w:val="20"/>
            <w:tabs>
              <w:tab w:val="right" w:leader="dot" w:pos="8300"/>
            </w:tabs>
          </w:pPr>
          <w:hyperlink w:anchor="_Toc5333" w:history="1">
            <w:r>
              <w:rPr>
                <w:rFonts w:ascii="黑体" w:eastAsia="黑体" w:hAnsi="黑体" w:cs="黑体" w:hint="eastAsia"/>
                <w:bCs/>
                <w:kern w:val="0"/>
                <w:szCs w:val="32"/>
              </w:rPr>
              <w:t>4.1</w:t>
            </w:r>
            <w:r>
              <w:rPr>
                <w:rFonts w:ascii="黑体" w:eastAsia="黑体" w:hAnsi="黑体" w:cs="黑体" w:hint="eastAsia"/>
                <w:bCs/>
                <w:kern w:val="0"/>
                <w:szCs w:val="32"/>
              </w:rPr>
              <w:t>北京市医疗机构开展碘</w:t>
            </w:r>
            <w:r>
              <w:rPr>
                <w:rFonts w:ascii="黑体" w:eastAsia="黑体" w:hAnsi="黑体" w:cs="黑体" w:hint="eastAsia"/>
                <w:bCs/>
                <w:kern w:val="0"/>
                <w:szCs w:val="32"/>
              </w:rPr>
              <w:t>-131</w:t>
            </w:r>
            <w:r>
              <w:rPr>
                <w:rFonts w:ascii="黑体" w:eastAsia="黑体" w:hAnsi="黑体" w:cs="黑体" w:hint="eastAsia"/>
                <w:bCs/>
                <w:kern w:val="0"/>
                <w:szCs w:val="32"/>
              </w:rPr>
              <w:t>核素治疗病房情况</w:t>
            </w:r>
            <w:r>
              <w:tab/>
            </w:r>
            <w:r>
              <w:fldChar w:fldCharType="begin"/>
            </w:r>
            <w:r>
              <w:instrText xml:space="preserve"> PAGEREF _Toc5333 \h </w:instrText>
            </w:r>
            <w:r>
              <w:fldChar w:fldCharType="separate"/>
            </w:r>
            <w:r>
              <w:t>9</w:t>
            </w:r>
            <w:r>
              <w:fldChar w:fldCharType="end"/>
            </w:r>
          </w:hyperlink>
        </w:p>
        <w:p w:rsidR="00513813" w:rsidRDefault="00AB3F63">
          <w:pPr>
            <w:pStyle w:val="20"/>
            <w:tabs>
              <w:tab w:val="right" w:leader="dot" w:pos="8300"/>
            </w:tabs>
          </w:pPr>
          <w:hyperlink w:anchor="_Toc12898" w:history="1">
            <w:r>
              <w:rPr>
                <w:rFonts w:ascii="黑体" w:eastAsia="黑体" w:hAnsi="黑体" w:cs="黑体" w:hint="eastAsia"/>
                <w:bCs/>
                <w:kern w:val="0"/>
                <w:szCs w:val="32"/>
              </w:rPr>
              <w:t>4.2</w:t>
            </w:r>
            <w:r>
              <w:rPr>
                <w:rFonts w:ascii="黑体" w:eastAsia="黑体" w:hAnsi="黑体" w:cs="黑体" w:hint="eastAsia"/>
                <w:bCs/>
                <w:kern w:val="0"/>
                <w:szCs w:val="32"/>
              </w:rPr>
              <w:t>北京市某医疗机构开展碘</w:t>
            </w:r>
            <w:r>
              <w:rPr>
                <w:rFonts w:ascii="黑体" w:eastAsia="黑体" w:hAnsi="黑体" w:cs="黑体" w:hint="eastAsia"/>
                <w:bCs/>
                <w:kern w:val="0"/>
                <w:szCs w:val="32"/>
              </w:rPr>
              <w:t>-131</w:t>
            </w:r>
            <w:r>
              <w:rPr>
                <w:rFonts w:ascii="黑体" w:eastAsia="黑体" w:hAnsi="黑体" w:cs="黑体" w:hint="eastAsia"/>
                <w:bCs/>
                <w:kern w:val="0"/>
                <w:szCs w:val="32"/>
              </w:rPr>
              <w:t>核素治疗病房情况调研工作</w:t>
            </w:r>
            <w:r>
              <w:tab/>
            </w:r>
            <w:r>
              <w:fldChar w:fldCharType="begin"/>
            </w:r>
            <w:r>
              <w:instrText xml:space="preserve"> PAGEREF _Toc12898 \h </w:instrText>
            </w:r>
            <w:r>
              <w:fldChar w:fldCharType="separate"/>
            </w:r>
            <w:r>
              <w:t>9</w:t>
            </w:r>
            <w:r>
              <w:fldChar w:fldCharType="end"/>
            </w:r>
          </w:hyperlink>
        </w:p>
        <w:p w:rsidR="00513813" w:rsidRDefault="00AB3F63">
          <w:pPr>
            <w:pStyle w:val="10"/>
            <w:tabs>
              <w:tab w:val="right" w:leader="dot" w:pos="8300"/>
            </w:tabs>
          </w:pPr>
          <w:hyperlink w:anchor="_Toc32298" w:history="1">
            <w:r>
              <w:rPr>
                <w:rFonts w:hint="eastAsia"/>
              </w:rPr>
              <w:t>5</w:t>
            </w:r>
            <w:r>
              <w:t xml:space="preserve"> </w:t>
            </w:r>
            <w:r>
              <w:rPr>
                <w:rFonts w:hint="eastAsia"/>
              </w:rPr>
              <w:t>编制原则和编制依据</w:t>
            </w:r>
            <w:r>
              <w:tab/>
            </w:r>
            <w:r>
              <w:fldChar w:fldCharType="begin"/>
            </w:r>
            <w:r>
              <w:instrText xml:space="preserve"> PAGEREF _Toc32298 \h </w:instrText>
            </w:r>
            <w:r>
              <w:fldChar w:fldCharType="separate"/>
            </w:r>
            <w:r>
              <w:t>13</w:t>
            </w:r>
            <w:r>
              <w:fldChar w:fldCharType="end"/>
            </w:r>
          </w:hyperlink>
        </w:p>
        <w:p w:rsidR="00513813" w:rsidRDefault="00AB3F63">
          <w:pPr>
            <w:pStyle w:val="20"/>
            <w:tabs>
              <w:tab w:val="right" w:leader="dot" w:pos="8300"/>
            </w:tabs>
          </w:pPr>
          <w:hyperlink w:anchor="_Toc13303" w:history="1">
            <w:r>
              <w:rPr>
                <w:rFonts w:eastAsia="黑体" w:hint="eastAsia"/>
              </w:rPr>
              <w:t>5</w:t>
            </w:r>
            <w:r>
              <w:rPr>
                <w:rFonts w:eastAsia="黑体"/>
              </w:rPr>
              <w:t xml:space="preserve">.1 </w:t>
            </w:r>
            <w:r>
              <w:rPr>
                <w:rFonts w:eastAsia="黑体"/>
              </w:rPr>
              <w:t>编制原则</w:t>
            </w:r>
            <w:r>
              <w:tab/>
            </w:r>
            <w:r>
              <w:fldChar w:fldCharType="begin"/>
            </w:r>
            <w:r>
              <w:instrText xml:space="preserve"> PAGE</w:instrText>
            </w:r>
            <w:r>
              <w:instrText xml:space="preserve">REF _Toc13303 \h </w:instrText>
            </w:r>
            <w:r>
              <w:fldChar w:fldCharType="separate"/>
            </w:r>
            <w:r>
              <w:t>13</w:t>
            </w:r>
            <w:r>
              <w:fldChar w:fldCharType="end"/>
            </w:r>
          </w:hyperlink>
        </w:p>
        <w:p w:rsidR="00513813" w:rsidRDefault="00AB3F63">
          <w:pPr>
            <w:pStyle w:val="20"/>
            <w:tabs>
              <w:tab w:val="right" w:leader="dot" w:pos="8300"/>
            </w:tabs>
          </w:pPr>
          <w:hyperlink w:anchor="_Toc29652" w:history="1">
            <w:r>
              <w:rPr>
                <w:rFonts w:eastAsia="黑体" w:hint="eastAsia"/>
              </w:rPr>
              <w:t>5</w:t>
            </w:r>
            <w:r>
              <w:rPr>
                <w:rFonts w:eastAsia="黑体" w:hint="eastAsia"/>
              </w:rPr>
              <w:t>.2</w:t>
            </w:r>
            <w:r>
              <w:rPr>
                <w:rFonts w:eastAsia="黑体" w:hint="eastAsia"/>
              </w:rPr>
              <w:t>制定依据</w:t>
            </w:r>
            <w:r>
              <w:tab/>
            </w:r>
            <w:r>
              <w:fldChar w:fldCharType="begin"/>
            </w:r>
            <w:r>
              <w:instrText xml:space="preserve"> PAGEREF _Toc29652 \h </w:instrText>
            </w:r>
            <w:r>
              <w:fldChar w:fldCharType="separate"/>
            </w:r>
            <w:r>
              <w:t>14</w:t>
            </w:r>
            <w:r>
              <w:fldChar w:fldCharType="end"/>
            </w:r>
          </w:hyperlink>
        </w:p>
        <w:p w:rsidR="00513813" w:rsidRDefault="00AB3F63">
          <w:pPr>
            <w:pStyle w:val="20"/>
            <w:tabs>
              <w:tab w:val="right" w:leader="dot" w:pos="8300"/>
            </w:tabs>
          </w:pPr>
          <w:hyperlink w:anchor="_Toc19037" w:history="1">
            <w:r>
              <w:rPr>
                <w:rFonts w:eastAsia="黑体" w:hint="eastAsia"/>
                <w:kern w:val="0"/>
              </w:rPr>
              <w:t>5</w:t>
            </w:r>
            <w:r>
              <w:rPr>
                <w:rFonts w:eastAsia="黑体" w:hint="eastAsia"/>
                <w:kern w:val="0"/>
              </w:rPr>
              <w:t>.3</w:t>
            </w:r>
            <w:r>
              <w:rPr>
                <w:rFonts w:eastAsia="黑体" w:hint="eastAsia"/>
                <w:kern w:val="0"/>
              </w:rPr>
              <w:t>与现行法律、法规、标准的关系</w:t>
            </w:r>
            <w:r>
              <w:tab/>
            </w:r>
            <w:r>
              <w:fldChar w:fldCharType="begin"/>
            </w:r>
            <w:r>
              <w:instrText xml:space="preserve"> PAGEREF _Toc19037 \h </w:instrText>
            </w:r>
            <w:r>
              <w:fldChar w:fldCharType="separate"/>
            </w:r>
            <w:r>
              <w:t>17</w:t>
            </w:r>
            <w:r>
              <w:fldChar w:fldCharType="end"/>
            </w:r>
          </w:hyperlink>
        </w:p>
        <w:p w:rsidR="00513813" w:rsidRDefault="00AB3F63">
          <w:pPr>
            <w:pStyle w:val="10"/>
            <w:tabs>
              <w:tab w:val="right" w:leader="dot" w:pos="8300"/>
            </w:tabs>
          </w:pPr>
          <w:hyperlink w:anchor="_Toc5781" w:history="1">
            <w:r>
              <w:rPr>
                <w:rFonts w:hint="eastAsia"/>
              </w:rPr>
              <w:t>6</w:t>
            </w:r>
            <w:r>
              <w:t xml:space="preserve"> </w:t>
            </w:r>
            <w:r>
              <w:rPr>
                <w:rFonts w:hint="eastAsia"/>
              </w:rPr>
              <w:t>文件的主要技术内容</w:t>
            </w:r>
            <w:r>
              <w:tab/>
            </w:r>
            <w:r>
              <w:fldChar w:fldCharType="begin"/>
            </w:r>
            <w:r>
              <w:instrText xml:space="preserve"> PAGEREF _Toc5781 \h </w:instrText>
            </w:r>
            <w:r>
              <w:fldChar w:fldCharType="separate"/>
            </w:r>
            <w:r>
              <w:t>17</w:t>
            </w:r>
            <w:r>
              <w:fldChar w:fldCharType="end"/>
            </w:r>
          </w:hyperlink>
        </w:p>
        <w:p w:rsidR="00513813" w:rsidRDefault="00AB3F63">
          <w:pPr>
            <w:pStyle w:val="20"/>
            <w:tabs>
              <w:tab w:val="right" w:leader="dot" w:pos="8300"/>
            </w:tabs>
          </w:pPr>
          <w:hyperlink w:anchor="_Toc19427" w:history="1">
            <w:r>
              <w:rPr>
                <w:rFonts w:eastAsia="黑体" w:hint="eastAsia"/>
                <w:kern w:val="0"/>
              </w:rPr>
              <w:t>6</w:t>
            </w:r>
            <w:r>
              <w:rPr>
                <w:rFonts w:eastAsia="黑体" w:hint="eastAsia"/>
                <w:kern w:val="0"/>
              </w:rPr>
              <w:t>.1</w:t>
            </w:r>
            <w:r>
              <w:rPr>
                <w:rFonts w:eastAsia="黑体" w:hint="eastAsia"/>
                <w:kern w:val="0"/>
              </w:rPr>
              <w:t>文件内容框架</w:t>
            </w:r>
            <w:r>
              <w:tab/>
            </w:r>
            <w:r>
              <w:fldChar w:fldCharType="begin"/>
            </w:r>
            <w:r>
              <w:instrText xml:space="preserve"> PAGE</w:instrText>
            </w:r>
            <w:r>
              <w:instrText xml:space="preserve">REF _Toc19427 \h </w:instrText>
            </w:r>
            <w:r>
              <w:fldChar w:fldCharType="separate"/>
            </w:r>
            <w:r>
              <w:t>17</w:t>
            </w:r>
            <w:r>
              <w:fldChar w:fldCharType="end"/>
            </w:r>
          </w:hyperlink>
        </w:p>
        <w:p w:rsidR="00513813" w:rsidRDefault="00AB3F63">
          <w:pPr>
            <w:pStyle w:val="20"/>
            <w:tabs>
              <w:tab w:val="right" w:leader="dot" w:pos="8300"/>
            </w:tabs>
          </w:pPr>
          <w:hyperlink w:anchor="_Toc458" w:history="1">
            <w:r>
              <w:rPr>
                <w:rFonts w:eastAsia="黑体" w:hint="eastAsia"/>
                <w:kern w:val="0"/>
              </w:rPr>
              <w:t>6</w:t>
            </w:r>
            <w:r>
              <w:rPr>
                <w:rFonts w:eastAsia="黑体" w:hint="eastAsia"/>
                <w:kern w:val="0"/>
              </w:rPr>
              <w:t>.2</w:t>
            </w:r>
            <w:r>
              <w:rPr>
                <w:rFonts w:eastAsia="黑体" w:hint="eastAsia"/>
                <w:kern w:val="0"/>
              </w:rPr>
              <w:t>适用范围</w:t>
            </w:r>
            <w:r>
              <w:tab/>
            </w:r>
            <w:r>
              <w:fldChar w:fldCharType="begin"/>
            </w:r>
            <w:r>
              <w:instrText xml:space="preserve"> PAGEREF _Toc458 \h </w:instrText>
            </w:r>
            <w:r>
              <w:fldChar w:fldCharType="separate"/>
            </w:r>
            <w:r>
              <w:t>18</w:t>
            </w:r>
            <w:r>
              <w:fldChar w:fldCharType="end"/>
            </w:r>
          </w:hyperlink>
        </w:p>
        <w:p w:rsidR="00513813" w:rsidRDefault="00AB3F63">
          <w:pPr>
            <w:pStyle w:val="20"/>
            <w:tabs>
              <w:tab w:val="right" w:leader="dot" w:pos="8300"/>
            </w:tabs>
          </w:pPr>
          <w:hyperlink w:anchor="_Toc13204" w:history="1">
            <w:r>
              <w:rPr>
                <w:rFonts w:eastAsia="黑体" w:hint="eastAsia"/>
                <w:kern w:val="0"/>
              </w:rPr>
              <w:t>6</w:t>
            </w:r>
            <w:r>
              <w:rPr>
                <w:rFonts w:eastAsia="黑体" w:hint="eastAsia"/>
                <w:kern w:val="0"/>
              </w:rPr>
              <w:t>.3</w:t>
            </w:r>
            <w:r>
              <w:rPr>
                <w:rFonts w:eastAsia="黑体" w:hint="eastAsia"/>
                <w:kern w:val="0"/>
              </w:rPr>
              <w:t>规范性引用文件</w:t>
            </w:r>
            <w:r>
              <w:tab/>
            </w:r>
            <w:r>
              <w:fldChar w:fldCharType="begin"/>
            </w:r>
            <w:r>
              <w:instrText xml:space="preserve"> PAGEREF _Toc1320</w:instrText>
            </w:r>
            <w:r>
              <w:instrText xml:space="preserve">4 \h </w:instrText>
            </w:r>
            <w:r>
              <w:fldChar w:fldCharType="separate"/>
            </w:r>
            <w:r>
              <w:t>18</w:t>
            </w:r>
            <w:r>
              <w:fldChar w:fldCharType="end"/>
            </w:r>
          </w:hyperlink>
        </w:p>
        <w:p w:rsidR="00513813" w:rsidRDefault="00AB3F63">
          <w:pPr>
            <w:pStyle w:val="20"/>
            <w:tabs>
              <w:tab w:val="right" w:leader="dot" w:pos="8300"/>
            </w:tabs>
          </w:pPr>
          <w:hyperlink w:anchor="_Toc25834" w:history="1">
            <w:r>
              <w:rPr>
                <w:rFonts w:eastAsia="黑体" w:hint="eastAsia"/>
                <w:kern w:val="0"/>
              </w:rPr>
              <w:t>6</w:t>
            </w:r>
            <w:r>
              <w:rPr>
                <w:rFonts w:eastAsia="黑体" w:hint="eastAsia"/>
                <w:kern w:val="0"/>
              </w:rPr>
              <w:t>.4</w:t>
            </w:r>
            <w:r>
              <w:rPr>
                <w:rFonts w:eastAsia="黑体" w:hint="eastAsia"/>
                <w:kern w:val="0"/>
              </w:rPr>
              <w:t>术语及定义</w:t>
            </w:r>
            <w:r>
              <w:tab/>
            </w:r>
            <w:r>
              <w:fldChar w:fldCharType="begin"/>
            </w:r>
            <w:r>
              <w:instrText xml:space="preserve"> PAGEREF _Toc25834 \h </w:instrText>
            </w:r>
            <w:r>
              <w:fldChar w:fldCharType="separate"/>
            </w:r>
            <w:r>
              <w:t>19</w:t>
            </w:r>
            <w:r>
              <w:fldChar w:fldCharType="end"/>
            </w:r>
          </w:hyperlink>
        </w:p>
        <w:p w:rsidR="00513813" w:rsidRDefault="00AB3F63">
          <w:pPr>
            <w:pStyle w:val="20"/>
            <w:tabs>
              <w:tab w:val="right" w:leader="dot" w:pos="8300"/>
            </w:tabs>
          </w:pPr>
          <w:hyperlink w:anchor="_Toc31034" w:history="1">
            <w:r>
              <w:rPr>
                <w:rFonts w:eastAsia="黑体" w:hint="eastAsia"/>
                <w:kern w:val="0"/>
              </w:rPr>
              <w:t>6</w:t>
            </w:r>
            <w:r>
              <w:rPr>
                <w:rFonts w:eastAsia="黑体" w:hint="eastAsia"/>
                <w:kern w:val="0"/>
              </w:rPr>
              <w:t>.5</w:t>
            </w:r>
            <w:r>
              <w:rPr>
                <w:rFonts w:eastAsia="黑体" w:hint="eastAsia"/>
                <w:kern w:val="0"/>
              </w:rPr>
              <w:t>总则</w:t>
            </w:r>
            <w:r>
              <w:tab/>
            </w:r>
            <w:r>
              <w:fldChar w:fldCharType="begin"/>
            </w:r>
            <w:r>
              <w:instrText xml:space="preserve"> PAGEREF _Toc31034 \h </w:instrText>
            </w:r>
            <w:r>
              <w:fldChar w:fldCharType="separate"/>
            </w:r>
            <w:r>
              <w:t>19</w:t>
            </w:r>
            <w:r>
              <w:fldChar w:fldCharType="end"/>
            </w:r>
          </w:hyperlink>
        </w:p>
        <w:p w:rsidR="00513813" w:rsidRDefault="00AB3F63">
          <w:pPr>
            <w:pStyle w:val="20"/>
            <w:tabs>
              <w:tab w:val="right" w:leader="dot" w:pos="8300"/>
            </w:tabs>
          </w:pPr>
          <w:hyperlink w:anchor="_Toc3585" w:history="1">
            <w:r>
              <w:rPr>
                <w:rFonts w:eastAsia="黑体" w:hint="eastAsia"/>
                <w:kern w:val="0"/>
              </w:rPr>
              <w:t>6</w:t>
            </w:r>
            <w:r>
              <w:rPr>
                <w:rFonts w:eastAsia="黑体" w:hint="eastAsia"/>
                <w:kern w:val="0"/>
              </w:rPr>
              <w:t>.6</w:t>
            </w:r>
            <w:r>
              <w:rPr>
                <w:rFonts w:eastAsia="黑体" w:hint="eastAsia"/>
                <w:kern w:val="0"/>
              </w:rPr>
              <w:t>选址、布局</w:t>
            </w:r>
            <w:r>
              <w:tab/>
            </w:r>
            <w:r>
              <w:fldChar w:fldCharType="begin"/>
            </w:r>
            <w:r>
              <w:instrText xml:space="preserve"> PAGEREF _Toc3585 \h </w:instrText>
            </w:r>
            <w:r>
              <w:fldChar w:fldCharType="separate"/>
            </w:r>
            <w:r>
              <w:t>20</w:t>
            </w:r>
            <w:r>
              <w:fldChar w:fldCharType="end"/>
            </w:r>
          </w:hyperlink>
        </w:p>
        <w:p w:rsidR="00513813" w:rsidRDefault="00AB3F63">
          <w:pPr>
            <w:pStyle w:val="20"/>
            <w:tabs>
              <w:tab w:val="right" w:leader="dot" w:pos="8300"/>
            </w:tabs>
          </w:pPr>
          <w:hyperlink w:anchor="_Toc14967" w:history="1">
            <w:r>
              <w:rPr>
                <w:rFonts w:eastAsia="黑体" w:hint="eastAsia"/>
                <w:kern w:val="0"/>
              </w:rPr>
              <w:t>6</w:t>
            </w:r>
            <w:r>
              <w:rPr>
                <w:rFonts w:eastAsia="黑体" w:hint="eastAsia"/>
                <w:kern w:val="0"/>
              </w:rPr>
              <w:t>.7</w:t>
            </w:r>
            <w:r>
              <w:rPr>
                <w:rFonts w:eastAsia="黑体" w:hint="eastAsia"/>
                <w:kern w:val="0"/>
              </w:rPr>
              <w:t>工作场所的辐射安全与防护</w:t>
            </w:r>
            <w:r>
              <w:tab/>
            </w:r>
            <w:r>
              <w:fldChar w:fldCharType="begin"/>
            </w:r>
            <w:r>
              <w:instrText xml:space="preserve"> PAGEREF _Toc14967 \h </w:instrText>
            </w:r>
            <w:r>
              <w:fldChar w:fldCharType="separate"/>
            </w:r>
            <w:r>
              <w:t>21</w:t>
            </w:r>
            <w:r>
              <w:fldChar w:fldCharType="end"/>
            </w:r>
          </w:hyperlink>
        </w:p>
        <w:p w:rsidR="00513813" w:rsidRDefault="00AB3F63">
          <w:pPr>
            <w:pStyle w:val="20"/>
            <w:tabs>
              <w:tab w:val="right" w:leader="dot" w:pos="8300"/>
            </w:tabs>
          </w:pPr>
          <w:hyperlink w:anchor="_Toc5350" w:history="1">
            <w:r>
              <w:rPr>
                <w:rFonts w:eastAsia="黑体" w:hint="eastAsia"/>
                <w:kern w:val="0"/>
              </w:rPr>
              <w:t>6</w:t>
            </w:r>
            <w:r>
              <w:rPr>
                <w:rFonts w:eastAsia="黑体" w:hint="eastAsia"/>
                <w:kern w:val="0"/>
              </w:rPr>
              <w:t>.8</w:t>
            </w:r>
            <w:r>
              <w:rPr>
                <w:rFonts w:eastAsia="黑体" w:hint="eastAsia"/>
                <w:kern w:val="0"/>
              </w:rPr>
              <w:t>放射性废物管理</w:t>
            </w:r>
            <w:r>
              <w:tab/>
            </w:r>
            <w:r>
              <w:fldChar w:fldCharType="begin"/>
            </w:r>
            <w:r>
              <w:instrText xml:space="preserve"> PAGEREF _Toc5350 \h </w:instrText>
            </w:r>
            <w:r>
              <w:fldChar w:fldCharType="separate"/>
            </w:r>
            <w:r>
              <w:t>21</w:t>
            </w:r>
            <w:r>
              <w:fldChar w:fldCharType="end"/>
            </w:r>
          </w:hyperlink>
        </w:p>
        <w:p w:rsidR="00513813" w:rsidRDefault="00AB3F63">
          <w:pPr>
            <w:pStyle w:val="20"/>
            <w:tabs>
              <w:tab w:val="right" w:leader="dot" w:pos="8300"/>
            </w:tabs>
          </w:pPr>
          <w:hyperlink w:anchor="_Toc17814" w:history="1">
            <w:r>
              <w:rPr>
                <w:rFonts w:eastAsia="黑体" w:hint="eastAsia"/>
                <w:kern w:val="0"/>
              </w:rPr>
              <w:t>6</w:t>
            </w:r>
            <w:r>
              <w:rPr>
                <w:rFonts w:eastAsia="黑体" w:hint="eastAsia"/>
                <w:kern w:val="0"/>
              </w:rPr>
              <w:t>.9</w:t>
            </w:r>
            <w:r>
              <w:rPr>
                <w:rFonts w:eastAsia="黑体" w:hint="eastAsia"/>
                <w:kern w:val="0"/>
              </w:rPr>
              <w:t>辐射监测</w:t>
            </w:r>
            <w:r>
              <w:tab/>
            </w:r>
            <w:r>
              <w:fldChar w:fldCharType="begin"/>
            </w:r>
            <w:r>
              <w:instrText xml:space="preserve"> PAGEREF _Toc17814 \h </w:instrText>
            </w:r>
            <w:r>
              <w:fldChar w:fldCharType="separate"/>
            </w:r>
            <w:r>
              <w:t>22</w:t>
            </w:r>
            <w:r>
              <w:fldChar w:fldCharType="end"/>
            </w:r>
          </w:hyperlink>
        </w:p>
        <w:p w:rsidR="00513813" w:rsidRDefault="00AB3F63">
          <w:pPr>
            <w:pStyle w:val="20"/>
            <w:tabs>
              <w:tab w:val="right" w:leader="dot" w:pos="8300"/>
            </w:tabs>
          </w:pPr>
          <w:hyperlink w:anchor="_Toc5438" w:history="1">
            <w:r>
              <w:rPr>
                <w:rFonts w:eastAsia="黑体" w:hint="eastAsia"/>
                <w:kern w:val="0"/>
              </w:rPr>
              <w:t>6</w:t>
            </w:r>
            <w:r>
              <w:rPr>
                <w:rFonts w:eastAsia="黑体" w:hint="eastAsia"/>
                <w:kern w:val="0"/>
              </w:rPr>
              <w:t>.10</w:t>
            </w:r>
            <w:r>
              <w:rPr>
                <w:rFonts w:eastAsia="黑体" w:hint="eastAsia"/>
                <w:kern w:val="0"/>
              </w:rPr>
              <w:t>应急处理要求</w:t>
            </w:r>
            <w:r>
              <w:tab/>
            </w:r>
            <w:r>
              <w:fldChar w:fldCharType="begin"/>
            </w:r>
            <w:r>
              <w:instrText xml:space="preserve"> PAGEREF _Toc5438 \h </w:instrText>
            </w:r>
            <w:r>
              <w:fldChar w:fldCharType="separate"/>
            </w:r>
            <w:r>
              <w:t>22</w:t>
            </w:r>
            <w:r>
              <w:fldChar w:fldCharType="end"/>
            </w:r>
          </w:hyperlink>
        </w:p>
        <w:p w:rsidR="00513813" w:rsidRDefault="00AB3F63">
          <w:pPr>
            <w:pStyle w:val="20"/>
            <w:tabs>
              <w:tab w:val="right" w:leader="dot" w:pos="8300"/>
            </w:tabs>
          </w:pPr>
          <w:hyperlink w:anchor="_Toc23561" w:history="1">
            <w:r>
              <w:rPr>
                <w:rFonts w:eastAsia="黑体" w:hint="eastAsia"/>
                <w:kern w:val="0"/>
              </w:rPr>
              <w:t>6.11</w:t>
            </w:r>
            <w:r>
              <w:rPr>
                <w:rFonts w:eastAsia="黑体" w:hint="eastAsia"/>
                <w:kern w:val="0"/>
              </w:rPr>
              <w:t>附录</w:t>
            </w:r>
            <w:r>
              <w:rPr>
                <w:rFonts w:eastAsia="黑体" w:hint="eastAsia"/>
                <w:kern w:val="0"/>
              </w:rPr>
              <w:t>A</w:t>
            </w:r>
            <w:r>
              <w:tab/>
            </w:r>
            <w:r>
              <w:fldChar w:fldCharType="begin"/>
            </w:r>
            <w:r>
              <w:instrText xml:space="preserve"> PAGEREF _Toc23561 \h </w:instrText>
            </w:r>
            <w:r>
              <w:fldChar w:fldCharType="separate"/>
            </w:r>
            <w:r>
              <w:t>22</w:t>
            </w:r>
            <w:r>
              <w:fldChar w:fldCharType="end"/>
            </w:r>
          </w:hyperlink>
        </w:p>
        <w:p w:rsidR="00513813" w:rsidRDefault="00AB3F63">
          <w:pPr>
            <w:pStyle w:val="20"/>
            <w:tabs>
              <w:tab w:val="right" w:leader="dot" w:pos="8300"/>
            </w:tabs>
          </w:pPr>
          <w:hyperlink w:anchor="_Toc5521" w:history="1">
            <w:r>
              <w:rPr>
                <w:rFonts w:eastAsia="黑体" w:hint="eastAsia"/>
                <w:kern w:val="0"/>
              </w:rPr>
              <w:t>6.12</w:t>
            </w:r>
            <w:r>
              <w:rPr>
                <w:rFonts w:eastAsia="黑体" w:hint="eastAsia"/>
                <w:kern w:val="0"/>
              </w:rPr>
              <w:t>附录</w:t>
            </w:r>
            <w:r>
              <w:rPr>
                <w:rFonts w:eastAsia="黑体" w:hint="eastAsia"/>
                <w:kern w:val="0"/>
              </w:rPr>
              <w:t>B</w:t>
            </w:r>
            <w:r>
              <w:tab/>
            </w:r>
            <w:r>
              <w:fldChar w:fldCharType="begin"/>
            </w:r>
            <w:r>
              <w:instrText xml:space="preserve"> PAGEREF _Toc5521 \h </w:instrText>
            </w:r>
            <w:r>
              <w:fldChar w:fldCharType="separate"/>
            </w:r>
            <w:r>
              <w:t>22</w:t>
            </w:r>
            <w:r>
              <w:fldChar w:fldCharType="end"/>
            </w:r>
          </w:hyperlink>
        </w:p>
        <w:p w:rsidR="00513813" w:rsidRDefault="00AB3F63">
          <w:pPr>
            <w:pStyle w:val="10"/>
            <w:tabs>
              <w:tab w:val="right" w:leader="dot" w:pos="8300"/>
            </w:tabs>
          </w:pPr>
          <w:hyperlink w:anchor="_Toc29100" w:history="1">
            <w:r>
              <w:rPr>
                <w:rFonts w:hint="eastAsia"/>
              </w:rPr>
              <w:t>7</w:t>
            </w:r>
            <w:r>
              <w:t xml:space="preserve"> </w:t>
            </w:r>
            <w:r>
              <w:rPr>
                <w:rFonts w:hint="eastAsia"/>
              </w:rPr>
              <w:t>重大意见分歧的处理依据和结果</w:t>
            </w:r>
            <w:r>
              <w:tab/>
            </w:r>
            <w:r>
              <w:fldChar w:fldCharType="begin"/>
            </w:r>
            <w:r>
              <w:instrText xml:space="preserve"> PAGEREF _Toc29100 \h </w:instrText>
            </w:r>
            <w:r>
              <w:fldChar w:fldCharType="separate"/>
            </w:r>
            <w:r>
              <w:t>22</w:t>
            </w:r>
            <w:r>
              <w:fldChar w:fldCharType="end"/>
            </w:r>
          </w:hyperlink>
        </w:p>
        <w:p w:rsidR="00513813" w:rsidRDefault="00AB3F63">
          <w:pPr>
            <w:pStyle w:val="10"/>
            <w:tabs>
              <w:tab w:val="right" w:leader="dot" w:pos="8300"/>
            </w:tabs>
          </w:pPr>
          <w:hyperlink w:anchor="_Toc27636" w:history="1">
            <w:r>
              <w:rPr>
                <w:rFonts w:hint="eastAsia"/>
              </w:rPr>
              <w:t xml:space="preserve">8 </w:t>
            </w:r>
            <w:r>
              <w:rPr>
                <w:rFonts w:hint="eastAsia"/>
              </w:rPr>
              <w:t>与国内外同类标准的对比情况</w:t>
            </w:r>
            <w:r>
              <w:tab/>
            </w:r>
            <w:r>
              <w:fldChar w:fldCharType="begin"/>
            </w:r>
            <w:r>
              <w:instrText xml:space="preserve"> PAGEREF _Toc27636 \h </w:instrText>
            </w:r>
            <w:r>
              <w:fldChar w:fldCharType="separate"/>
            </w:r>
            <w:r>
              <w:t>23</w:t>
            </w:r>
            <w:r>
              <w:fldChar w:fldCharType="end"/>
            </w:r>
          </w:hyperlink>
        </w:p>
        <w:p w:rsidR="00513813" w:rsidRDefault="00AB3F63">
          <w:pPr>
            <w:pStyle w:val="10"/>
            <w:tabs>
              <w:tab w:val="right" w:leader="dot" w:pos="8300"/>
            </w:tabs>
          </w:pPr>
          <w:hyperlink w:anchor="_Toc5954" w:history="1">
            <w:r>
              <w:rPr>
                <w:rFonts w:hint="eastAsia"/>
              </w:rPr>
              <w:t xml:space="preserve">9 </w:t>
            </w:r>
            <w:r>
              <w:rPr>
                <w:rFonts w:hint="eastAsia"/>
              </w:rPr>
              <w:t>作为推荐性标准的建议及其理由</w:t>
            </w:r>
            <w:r>
              <w:tab/>
            </w:r>
            <w:r>
              <w:fldChar w:fldCharType="begin"/>
            </w:r>
            <w:r>
              <w:instrText xml:space="preserve"> PAGEREF _Toc5954 \h </w:instrText>
            </w:r>
            <w:r>
              <w:fldChar w:fldCharType="separate"/>
            </w:r>
            <w:r>
              <w:t>25</w:t>
            </w:r>
            <w:r>
              <w:fldChar w:fldCharType="end"/>
            </w:r>
          </w:hyperlink>
        </w:p>
        <w:p w:rsidR="00513813" w:rsidRDefault="00AB3F63">
          <w:pPr>
            <w:pStyle w:val="10"/>
            <w:tabs>
              <w:tab w:val="right" w:leader="dot" w:pos="8300"/>
            </w:tabs>
          </w:pPr>
          <w:hyperlink w:anchor="_Toc13590" w:history="1">
            <w:r>
              <w:rPr>
                <w:rFonts w:hint="eastAsia"/>
              </w:rPr>
              <w:t xml:space="preserve">10 </w:t>
            </w:r>
            <w:r>
              <w:rPr>
                <w:rFonts w:hint="eastAsia"/>
              </w:rPr>
              <w:t>实施标准的措施</w:t>
            </w:r>
            <w:r>
              <w:tab/>
            </w:r>
            <w:r>
              <w:fldChar w:fldCharType="begin"/>
            </w:r>
            <w:r>
              <w:instrText xml:space="preserve"> PAGEREF _Toc13590 \h </w:instrText>
            </w:r>
            <w:r>
              <w:fldChar w:fldCharType="separate"/>
            </w:r>
            <w:r>
              <w:t>25</w:t>
            </w:r>
            <w:r>
              <w:fldChar w:fldCharType="end"/>
            </w:r>
          </w:hyperlink>
        </w:p>
        <w:p w:rsidR="00513813" w:rsidRDefault="00AB3F63">
          <w:pPr>
            <w:pStyle w:val="10"/>
            <w:tabs>
              <w:tab w:val="right" w:leader="dot" w:pos="8300"/>
            </w:tabs>
          </w:pPr>
          <w:hyperlink w:anchor="_Toc29135" w:history="1">
            <w:r>
              <w:rPr>
                <w:rFonts w:hint="eastAsia"/>
              </w:rPr>
              <w:t>1</w:t>
            </w:r>
            <w:r>
              <w:rPr>
                <w:rFonts w:hint="eastAsia"/>
              </w:rPr>
              <w:t>1</w:t>
            </w:r>
            <w:r>
              <w:t xml:space="preserve"> </w:t>
            </w:r>
            <w:r>
              <w:rPr>
                <w:rFonts w:hint="eastAsia"/>
              </w:rPr>
              <w:t>其它应说明的事项</w:t>
            </w:r>
            <w:r>
              <w:tab/>
            </w:r>
            <w:r>
              <w:fldChar w:fldCharType="begin"/>
            </w:r>
            <w:r>
              <w:instrText xml:space="preserve"> PAGEREF _Toc29135 \h </w:instrText>
            </w:r>
            <w:r>
              <w:fldChar w:fldCharType="separate"/>
            </w:r>
            <w:r>
              <w:t>26</w:t>
            </w:r>
            <w:r>
              <w:fldChar w:fldCharType="end"/>
            </w:r>
          </w:hyperlink>
        </w:p>
        <w:p w:rsidR="00513813" w:rsidRDefault="00AB3F63">
          <w:r>
            <w:rPr>
              <w:bCs/>
              <w:lang w:val="zh-CN"/>
            </w:rPr>
            <w:fldChar w:fldCharType="end"/>
          </w:r>
        </w:p>
      </w:sdtContent>
    </w:sdt>
    <w:p w:rsidR="00513813" w:rsidRDefault="00AB3F63">
      <w:pPr>
        <w:rPr>
          <w:sz w:val="32"/>
        </w:rPr>
      </w:pPr>
      <w:r>
        <w:rPr>
          <w:sz w:val="32"/>
        </w:rPr>
        <w:br w:type="page"/>
      </w:r>
    </w:p>
    <w:p w:rsidR="00513813" w:rsidRDefault="00AB3F63">
      <w:pPr>
        <w:spacing w:line="360" w:lineRule="auto"/>
        <w:ind w:firstLine="640"/>
        <w:jc w:val="center"/>
        <w:rPr>
          <w:rFonts w:ascii="黑体" w:eastAsia="黑体" w:hAnsi="黑体"/>
          <w:sz w:val="32"/>
          <w:szCs w:val="36"/>
        </w:rPr>
      </w:pPr>
      <w:r>
        <w:rPr>
          <w:rFonts w:ascii="黑体" w:eastAsia="黑体" w:hAnsi="黑体" w:hint="eastAsia"/>
          <w:sz w:val="32"/>
          <w:szCs w:val="36"/>
        </w:rPr>
        <w:lastRenderedPageBreak/>
        <w:t>《</w:t>
      </w:r>
      <w:r w:rsidR="00B83578">
        <w:rPr>
          <w:rFonts w:ascii="黑体" w:eastAsia="黑体" w:hAnsi="黑体" w:hint="eastAsia"/>
          <w:sz w:val="32"/>
          <w:szCs w:val="36"/>
        </w:rPr>
        <w:t>碘-131核素治疗病房的辐射防护与安全管理要求</w:t>
      </w:r>
      <w:r>
        <w:rPr>
          <w:rFonts w:ascii="黑体" w:eastAsia="黑体" w:hAnsi="黑体" w:hint="eastAsia"/>
          <w:sz w:val="32"/>
          <w:szCs w:val="36"/>
        </w:rPr>
        <w:t>》</w:t>
      </w:r>
    </w:p>
    <w:p w:rsidR="00513813" w:rsidRDefault="00AB3F63">
      <w:pPr>
        <w:spacing w:line="360" w:lineRule="auto"/>
        <w:ind w:firstLine="640"/>
        <w:jc w:val="center"/>
        <w:rPr>
          <w:rFonts w:ascii="黑体" w:eastAsia="黑体" w:hAnsi="黑体"/>
          <w:sz w:val="32"/>
          <w:szCs w:val="36"/>
        </w:rPr>
      </w:pPr>
      <w:r>
        <w:rPr>
          <w:rFonts w:ascii="黑体" w:eastAsia="黑体" w:hAnsi="黑体" w:hint="eastAsia"/>
          <w:sz w:val="32"/>
          <w:szCs w:val="36"/>
        </w:rPr>
        <w:t>（征求意见稿）编制说明</w:t>
      </w:r>
    </w:p>
    <w:p w:rsidR="00513813" w:rsidRDefault="00AB3F63">
      <w:pPr>
        <w:pStyle w:val="1"/>
      </w:pPr>
      <w:bookmarkStart w:id="1" w:name="_Toc25506"/>
      <w:r>
        <w:rPr>
          <w:rFonts w:hint="eastAsia"/>
        </w:rPr>
        <w:t>1</w:t>
      </w:r>
      <w:r>
        <w:rPr>
          <w:rFonts w:hint="eastAsia"/>
        </w:rPr>
        <w:t>项目背景</w:t>
      </w:r>
      <w:bookmarkEnd w:id="1"/>
    </w:p>
    <w:p w:rsidR="00513813" w:rsidRDefault="00AB3F63">
      <w:pPr>
        <w:pStyle w:val="2"/>
        <w:numPr>
          <w:ilvl w:val="0"/>
          <w:numId w:val="0"/>
        </w:numPr>
        <w:spacing w:line="416" w:lineRule="auto"/>
        <w:rPr>
          <w:rFonts w:eastAsia="黑体"/>
        </w:rPr>
      </w:pPr>
      <w:bookmarkStart w:id="2" w:name="_Toc23485"/>
      <w:r>
        <w:rPr>
          <w:rFonts w:eastAsia="黑体" w:hint="eastAsia"/>
          <w:b w:val="0"/>
          <w:kern w:val="0"/>
          <w:sz w:val="32"/>
        </w:rPr>
        <w:t>1.1</w:t>
      </w:r>
      <w:r>
        <w:rPr>
          <w:rFonts w:eastAsia="黑体" w:hint="eastAsia"/>
          <w:b w:val="0"/>
          <w:kern w:val="0"/>
          <w:sz w:val="32"/>
        </w:rPr>
        <w:t>任务来源</w:t>
      </w:r>
      <w:bookmarkEnd w:id="2"/>
    </w:p>
    <w:p w:rsidR="00513813" w:rsidRDefault="00AB3F63">
      <w:pPr>
        <w:spacing w:line="360" w:lineRule="auto"/>
        <w:ind w:firstLineChars="200" w:firstLine="480"/>
        <w:rPr>
          <w:rFonts w:cs="宋体"/>
          <w:kern w:val="0"/>
          <w:sz w:val="24"/>
        </w:rPr>
      </w:pPr>
      <w:r>
        <w:rPr>
          <w:rFonts w:cs="宋体" w:hint="eastAsia"/>
          <w:kern w:val="0"/>
          <w:sz w:val="24"/>
        </w:rPr>
        <w:t>近些年，核医学作为诊断和治疗的一门医学学科已蓬勃发展，核医学在诊断和治疗中发挥着不可替代的重要作用，临床需求量快速增加，治疗中碘</w:t>
      </w:r>
      <w:r>
        <w:rPr>
          <w:rFonts w:cs="宋体" w:hint="eastAsia"/>
          <w:kern w:val="0"/>
          <w:sz w:val="24"/>
        </w:rPr>
        <w:t>-131</w:t>
      </w:r>
      <w:r>
        <w:rPr>
          <w:rFonts w:cs="宋体" w:hint="eastAsia"/>
          <w:kern w:val="0"/>
          <w:sz w:val="24"/>
        </w:rPr>
        <w:t>等放射性核素的使用量也快速增长。资料显示，甲状腺疾病的治疗占非密封放射性核素进行各类核医学治疗的</w:t>
      </w:r>
      <w:r>
        <w:rPr>
          <w:rFonts w:cs="宋体" w:hint="eastAsia"/>
          <w:kern w:val="0"/>
          <w:sz w:val="24"/>
        </w:rPr>
        <w:t>90%</w:t>
      </w:r>
      <w:r>
        <w:rPr>
          <w:rFonts w:cs="宋体" w:hint="eastAsia"/>
          <w:kern w:val="0"/>
          <w:sz w:val="24"/>
        </w:rPr>
        <w:t>以上，且所用的放射性核素几乎都是碘</w:t>
      </w:r>
      <w:r>
        <w:rPr>
          <w:rFonts w:cs="宋体" w:hint="eastAsia"/>
          <w:kern w:val="0"/>
          <w:sz w:val="24"/>
        </w:rPr>
        <w:t>-131</w:t>
      </w:r>
      <w:r>
        <w:rPr>
          <w:rFonts w:cs="宋体" w:hint="eastAsia"/>
          <w:kern w:val="0"/>
          <w:sz w:val="24"/>
        </w:rPr>
        <w:t>核素，一直是核医学中最重要的放射性核素，是应用非密封放射性核素治疗而使工作人员和患者亲属受到照射的主要来源。然而，放射性核素在服务于核医学诊断治疗的同时，也会由于其放射性而对有关人员和周围环境产生一定的辐射影响和危害。</w:t>
      </w:r>
    </w:p>
    <w:p w:rsidR="00513813" w:rsidRDefault="00AB3F63">
      <w:pPr>
        <w:spacing w:line="360" w:lineRule="auto"/>
        <w:ind w:firstLineChars="200" w:firstLine="480"/>
        <w:rPr>
          <w:rFonts w:cs="宋体"/>
          <w:kern w:val="0"/>
          <w:sz w:val="24"/>
        </w:rPr>
      </w:pPr>
      <w:r>
        <w:rPr>
          <w:rFonts w:cs="宋体" w:hint="eastAsia"/>
          <w:kern w:val="0"/>
          <w:sz w:val="24"/>
        </w:rPr>
        <w:t>自</w:t>
      </w:r>
      <w:r>
        <w:rPr>
          <w:rFonts w:cs="宋体" w:hint="eastAsia"/>
          <w:kern w:val="0"/>
          <w:sz w:val="24"/>
        </w:rPr>
        <w:t>1942</w:t>
      </w:r>
      <w:r>
        <w:rPr>
          <w:rFonts w:cs="宋体" w:hint="eastAsia"/>
          <w:kern w:val="0"/>
          <w:sz w:val="24"/>
        </w:rPr>
        <w:t>年</w:t>
      </w:r>
      <w:r>
        <w:rPr>
          <w:rFonts w:cs="宋体" w:hint="eastAsia"/>
          <w:kern w:val="0"/>
          <w:sz w:val="24"/>
        </w:rPr>
        <w:t>HertzS</w:t>
      </w:r>
      <w:r>
        <w:rPr>
          <w:rFonts w:cs="宋体" w:hint="eastAsia"/>
          <w:kern w:val="0"/>
          <w:sz w:val="24"/>
        </w:rPr>
        <w:t>和</w:t>
      </w:r>
      <w:r>
        <w:rPr>
          <w:rFonts w:cs="宋体" w:hint="eastAsia"/>
          <w:kern w:val="0"/>
          <w:sz w:val="24"/>
        </w:rPr>
        <w:t>RobertA[1]</w:t>
      </w:r>
      <w:r>
        <w:rPr>
          <w:rFonts w:cs="宋体" w:hint="eastAsia"/>
          <w:kern w:val="0"/>
          <w:sz w:val="24"/>
        </w:rPr>
        <w:t>首次报告应用碘</w:t>
      </w:r>
      <w:r>
        <w:rPr>
          <w:rFonts w:cs="宋体" w:hint="eastAsia"/>
          <w:kern w:val="0"/>
          <w:sz w:val="24"/>
        </w:rPr>
        <w:t>-131</w:t>
      </w:r>
      <w:r>
        <w:rPr>
          <w:rFonts w:cs="宋体" w:hint="eastAsia"/>
          <w:kern w:val="0"/>
          <w:sz w:val="24"/>
        </w:rPr>
        <w:t>治疗甲状腺疾病以来，美国已将碘</w:t>
      </w:r>
      <w:r>
        <w:rPr>
          <w:rFonts w:cs="宋体" w:hint="eastAsia"/>
          <w:kern w:val="0"/>
          <w:sz w:val="24"/>
        </w:rPr>
        <w:t>-131</w:t>
      </w:r>
      <w:r>
        <w:rPr>
          <w:rFonts w:cs="宋体" w:hint="eastAsia"/>
          <w:kern w:val="0"/>
          <w:sz w:val="24"/>
        </w:rPr>
        <w:t>作为治疗甲状腺功能亢进症</w:t>
      </w:r>
      <w:r>
        <w:rPr>
          <w:rFonts w:cs="宋体" w:hint="eastAsia"/>
          <w:kern w:val="0"/>
          <w:sz w:val="24"/>
        </w:rPr>
        <w:t>(</w:t>
      </w:r>
      <w:r>
        <w:rPr>
          <w:rFonts w:cs="宋体" w:hint="eastAsia"/>
          <w:kern w:val="0"/>
          <w:sz w:val="24"/>
        </w:rPr>
        <w:t>甲亢</w:t>
      </w:r>
      <w:r>
        <w:rPr>
          <w:rFonts w:cs="宋体" w:hint="eastAsia"/>
          <w:kern w:val="0"/>
          <w:sz w:val="24"/>
        </w:rPr>
        <w:t>)</w:t>
      </w:r>
      <w:r>
        <w:rPr>
          <w:rFonts w:cs="宋体" w:hint="eastAsia"/>
          <w:kern w:val="0"/>
          <w:sz w:val="24"/>
        </w:rPr>
        <w:t>的首选方法</w:t>
      </w:r>
      <w:r>
        <w:rPr>
          <w:rFonts w:cs="宋体" w:hint="eastAsia"/>
          <w:kern w:val="0"/>
          <w:sz w:val="24"/>
        </w:rPr>
        <w:t>[2]</w:t>
      </w:r>
      <w:r>
        <w:rPr>
          <w:rFonts w:cs="宋体" w:hint="eastAsia"/>
          <w:kern w:val="0"/>
          <w:sz w:val="24"/>
        </w:rPr>
        <w:t>，欧洲及我国也将碘</w:t>
      </w:r>
      <w:r>
        <w:rPr>
          <w:rFonts w:cs="宋体" w:hint="eastAsia"/>
          <w:kern w:val="0"/>
          <w:sz w:val="24"/>
        </w:rPr>
        <w:t>-131</w:t>
      </w:r>
      <w:r>
        <w:rPr>
          <w:rFonts w:cs="宋体" w:hint="eastAsia"/>
          <w:kern w:val="0"/>
          <w:sz w:val="24"/>
        </w:rPr>
        <w:t>治疗列为甲亢治疗三大手段</w:t>
      </w:r>
      <w:r>
        <w:rPr>
          <w:rFonts w:cs="宋体" w:hint="eastAsia"/>
          <w:kern w:val="0"/>
          <w:sz w:val="24"/>
        </w:rPr>
        <w:t>(</w:t>
      </w:r>
      <w:r>
        <w:rPr>
          <w:rFonts w:cs="宋体" w:hint="eastAsia"/>
          <w:kern w:val="0"/>
          <w:sz w:val="24"/>
        </w:rPr>
        <w:t>药物、外科手术及碘</w:t>
      </w:r>
      <w:r>
        <w:rPr>
          <w:rFonts w:cs="宋体" w:hint="eastAsia"/>
          <w:kern w:val="0"/>
          <w:sz w:val="24"/>
        </w:rPr>
        <w:t>-131</w:t>
      </w:r>
      <w:r>
        <w:rPr>
          <w:rFonts w:cs="宋体" w:hint="eastAsia"/>
          <w:kern w:val="0"/>
          <w:sz w:val="24"/>
        </w:rPr>
        <w:t>治疗</w:t>
      </w:r>
      <w:r>
        <w:rPr>
          <w:rFonts w:cs="宋体" w:hint="eastAsia"/>
          <w:kern w:val="0"/>
          <w:sz w:val="24"/>
        </w:rPr>
        <w:t>)</w:t>
      </w:r>
      <w:r>
        <w:rPr>
          <w:rFonts w:cs="宋体" w:hint="eastAsia"/>
          <w:kern w:val="0"/>
          <w:sz w:val="24"/>
        </w:rPr>
        <w:t>之一。在我国，核医学起步较晚，大概在上世纪</w:t>
      </w:r>
      <w:r>
        <w:rPr>
          <w:rFonts w:cs="宋体" w:hint="eastAsia"/>
          <w:kern w:val="0"/>
          <w:sz w:val="24"/>
        </w:rPr>
        <w:t xml:space="preserve">50 </w:t>
      </w:r>
      <w:r>
        <w:rPr>
          <w:rFonts w:cs="宋体" w:hint="eastAsia"/>
          <w:kern w:val="0"/>
          <w:sz w:val="24"/>
        </w:rPr>
        <w:t>年代末，但经过半个世纪的发展，我国核医学诊疗水平与发达国家的差距已逐步减小，现在已处于Ⅱ类医疗保健水平，甚至有些发达地区正在迈入发达国家前列</w:t>
      </w:r>
      <w:r>
        <w:rPr>
          <w:rFonts w:cs="宋体" w:hint="eastAsia"/>
          <w:kern w:val="0"/>
          <w:sz w:val="24"/>
        </w:rPr>
        <w:t>。</w:t>
      </w:r>
    </w:p>
    <w:p w:rsidR="00513813" w:rsidRDefault="00AB3F63">
      <w:pPr>
        <w:spacing w:line="360" w:lineRule="auto"/>
        <w:ind w:firstLineChars="200" w:firstLine="480"/>
        <w:rPr>
          <w:rFonts w:cs="宋体"/>
          <w:kern w:val="0"/>
          <w:sz w:val="24"/>
        </w:rPr>
      </w:pPr>
      <w:r>
        <w:rPr>
          <w:rFonts w:cs="宋体" w:hint="eastAsia"/>
          <w:kern w:val="0"/>
          <w:sz w:val="24"/>
        </w:rPr>
        <w:t>为了提升优化提升辐射安全监管能力。</w:t>
      </w:r>
      <w:r>
        <w:rPr>
          <w:rFonts w:cs="宋体" w:hint="eastAsia"/>
          <w:kern w:val="0"/>
          <w:sz w:val="24"/>
        </w:rPr>
        <w:t>为贯彻《首都标准化发展纲要</w:t>
      </w:r>
      <w:r>
        <w:rPr>
          <w:rFonts w:cs="宋体" w:hint="eastAsia"/>
          <w:kern w:val="0"/>
          <w:sz w:val="24"/>
        </w:rPr>
        <w:t>2035</w:t>
      </w:r>
      <w:r>
        <w:rPr>
          <w:rFonts w:cs="宋体" w:hint="eastAsia"/>
          <w:kern w:val="0"/>
          <w:sz w:val="24"/>
        </w:rPr>
        <w:t>》，落实《推动首都高质量发</w:t>
      </w:r>
      <w:r>
        <w:rPr>
          <w:rFonts w:cs="宋体" w:hint="eastAsia"/>
          <w:kern w:val="0"/>
          <w:sz w:val="24"/>
        </w:rPr>
        <w:t>展标准体系建设实施方案》，北京市市场监督管理局经《北京市市场监督管理局关于印发</w:t>
      </w:r>
      <w:r>
        <w:rPr>
          <w:rFonts w:cs="宋体" w:hint="eastAsia"/>
          <w:kern w:val="0"/>
          <w:sz w:val="24"/>
        </w:rPr>
        <w:t>2023</w:t>
      </w:r>
      <w:r>
        <w:rPr>
          <w:rFonts w:cs="宋体" w:hint="eastAsia"/>
          <w:kern w:val="0"/>
          <w:sz w:val="24"/>
        </w:rPr>
        <w:t>年北京市地方标准制定项目计划的通知》（京市监发〔</w:t>
      </w:r>
      <w:r>
        <w:rPr>
          <w:rFonts w:cs="宋体" w:hint="eastAsia"/>
          <w:kern w:val="0"/>
          <w:sz w:val="24"/>
        </w:rPr>
        <w:t>2023</w:t>
      </w:r>
      <w:r>
        <w:rPr>
          <w:rFonts w:cs="宋体" w:hint="eastAsia"/>
          <w:kern w:val="0"/>
          <w:sz w:val="24"/>
        </w:rPr>
        <w:t>〕</w:t>
      </w:r>
      <w:r>
        <w:rPr>
          <w:rFonts w:cs="宋体" w:hint="eastAsia"/>
          <w:kern w:val="0"/>
          <w:sz w:val="24"/>
        </w:rPr>
        <w:t>4</w:t>
      </w:r>
      <w:r>
        <w:rPr>
          <w:rFonts w:cs="宋体" w:hint="eastAsia"/>
          <w:kern w:val="0"/>
          <w:sz w:val="24"/>
        </w:rPr>
        <w:t>号）下达标准编制任务，项目编号：</w:t>
      </w:r>
      <w:r>
        <w:rPr>
          <w:rFonts w:cs="宋体" w:hint="eastAsia"/>
          <w:kern w:val="0"/>
          <w:sz w:val="24"/>
        </w:rPr>
        <w:t xml:space="preserve"> 20231138</w:t>
      </w:r>
      <w:r>
        <w:rPr>
          <w:rFonts w:cs="宋体" w:hint="eastAsia"/>
          <w:kern w:val="0"/>
          <w:sz w:val="24"/>
        </w:rPr>
        <w:t>，项目名称：《</w:t>
      </w:r>
      <w:r w:rsidR="00B83578">
        <w:rPr>
          <w:rFonts w:cs="宋体" w:hint="eastAsia"/>
          <w:kern w:val="0"/>
          <w:sz w:val="24"/>
        </w:rPr>
        <w:t>碘</w:t>
      </w:r>
      <w:r w:rsidR="00B83578">
        <w:rPr>
          <w:rFonts w:cs="宋体" w:hint="eastAsia"/>
          <w:kern w:val="0"/>
          <w:sz w:val="24"/>
        </w:rPr>
        <w:t>-131</w:t>
      </w:r>
      <w:r w:rsidR="00B83578">
        <w:rPr>
          <w:rFonts w:cs="宋体" w:hint="eastAsia"/>
          <w:kern w:val="0"/>
          <w:sz w:val="24"/>
        </w:rPr>
        <w:t>核素治疗病房的辐射防护与安全管理要求</w:t>
      </w:r>
      <w:r>
        <w:rPr>
          <w:rFonts w:cs="宋体" w:hint="eastAsia"/>
          <w:kern w:val="0"/>
          <w:sz w:val="24"/>
        </w:rPr>
        <w:t>》。</w:t>
      </w:r>
    </w:p>
    <w:p w:rsidR="00513813" w:rsidRDefault="00AB3F63">
      <w:pPr>
        <w:spacing w:line="360" w:lineRule="auto"/>
        <w:ind w:firstLineChars="200" w:firstLine="480"/>
        <w:rPr>
          <w:sz w:val="24"/>
          <w:szCs w:val="21"/>
        </w:rPr>
      </w:pPr>
      <w:r>
        <w:rPr>
          <w:rFonts w:cs="宋体" w:hint="eastAsia"/>
          <w:kern w:val="0"/>
          <w:sz w:val="24"/>
        </w:rPr>
        <w:t>北京市生态环境局组织北京华克智星医疗技术有限公司等开展北京市地方标准《</w:t>
      </w:r>
      <w:r w:rsidR="00B83578">
        <w:rPr>
          <w:rFonts w:cs="宋体" w:hint="eastAsia"/>
          <w:kern w:val="0"/>
          <w:sz w:val="24"/>
        </w:rPr>
        <w:t>碘</w:t>
      </w:r>
      <w:r w:rsidR="00B83578">
        <w:rPr>
          <w:rFonts w:cs="宋体" w:hint="eastAsia"/>
          <w:kern w:val="0"/>
          <w:sz w:val="24"/>
        </w:rPr>
        <w:t>-131</w:t>
      </w:r>
      <w:r w:rsidR="00B83578">
        <w:rPr>
          <w:rFonts w:cs="宋体" w:hint="eastAsia"/>
          <w:kern w:val="0"/>
          <w:sz w:val="24"/>
        </w:rPr>
        <w:t>核素治疗病房的辐射防护与安全管理要求</w:t>
      </w:r>
      <w:r>
        <w:rPr>
          <w:rFonts w:cs="宋体" w:hint="eastAsia"/>
          <w:kern w:val="0"/>
          <w:sz w:val="24"/>
        </w:rPr>
        <w:t>》的编制工作</w:t>
      </w:r>
      <w:r>
        <w:rPr>
          <w:rFonts w:cs="宋体" w:hint="eastAsia"/>
          <w:kern w:val="0"/>
          <w:sz w:val="24"/>
        </w:rPr>
        <w:t xml:space="preserve">, </w:t>
      </w:r>
      <w:r>
        <w:rPr>
          <w:rFonts w:cs="宋体" w:hint="eastAsia"/>
          <w:kern w:val="0"/>
          <w:sz w:val="24"/>
        </w:rPr>
        <w:t>在北京市碘</w:t>
      </w:r>
      <w:r>
        <w:rPr>
          <w:rFonts w:cs="宋体" w:hint="eastAsia"/>
          <w:kern w:val="0"/>
          <w:sz w:val="24"/>
        </w:rPr>
        <w:t>-131</w:t>
      </w:r>
      <w:r>
        <w:rPr>
          <w:rFonts w:cs="宋体" w:hint="eastAsia"/>
          <w:kern w:val="0"/>
          <w:sz w:val="24"/>
        </w:rPr>
        <w:t>核素治疗现状调研的基础上，结合本市及全国其他省份应用实际情况，充</w:t>
      </w:r>
      <w:r>
        <w:rPr>
          <w:rFonts w:cs="宋体" w:hint="eastAsia"/>
          <w:kern w:val="0"/>
          <w:sz w:val="24"/>
        </w:rPr>
        <w:lastRenderedPageBreak/>
        <w:t>分考虑碘</w:t>
      </w:r>
      <w:r>
        <w:rPr>
          <w:rFonts w:cs="宋体" w:hint="eastAsia"/>
          <w:kern w:val="0"/>
          <w:sz w:val="24"/>
        </w:rPr>
        <w:t>-131</w:t>
      </w:r>
      <w:r>
        <w:rPr>
          <w:rFonts w:cs="宋体" w:hint="eastAsia"/>
          <w:kern w:val="0"/>
          <w:sz w:val="24"/>
        </w:rPr>
        <w:t>对人员和环境的影响，</w:t>
      </w:r>
      <w:r>
        <w:rPr>
          <w:rFonts w:cs="宋体" w:hint="eastAsia"/>
          <w:kern w:val="0"/>
          <w:sz w:val="24"/>
        </w:rPr>
        <w:t>针对性地提出辐射安全与防护措施，包括但不限于碘</w:t>
      </w:r>
      <w:r>
        <w:rPr>
          <w:rFonts w:cs="宋体" w:hint="eastAsia"/>
          <w:kern w:val="0"/>
          <w:sz w:val="24"/>
        </w:rPr>
        <w:t>-131</w:t>
      </w:r>
      <w:r>
        <w:rPr>
          <w:rFonts w:cs="宋体" w:hint="eastAsia"/>
          <w:kern w:val="0"/>
          <w:sz w:val="24"/>
        </w:rPr>
        <w:t>核素使用场所选址设计及布局要求、职业人员及公众的防护措施、放射性三废的处置措施以及辐射安全和防护监管措施，最终形成地方标准草案。</w:t>
      </w:r>
    </w:p>
    <w:p w:rsidR="00513813" w:rsidRDefault="00AB3F63">
      <w:pPr>
        <w:pStyle w:val="2"/>
        <w:numPr>
          <w:ilvl w:val="0"/>
          <w:numId w:val="0"/>
        </w:numPr>
        <w:spacing w:line="416" w:lineRule="auto"/>
        <w:rPr>
          <w:rFonts w:eastAsia="黑体"/>
          <w:b w:val="0"/>
          <w:kern w:val="0"/>
          <w:sz w:val="32"/>
        </w:rPr>
      </w:pPr>
      <w:bookmarkStart w:id="3" w:name="_Toc23316"/>
      <w:r>
        <w:rPr>
          <w:rFonts w:eastAsia="黑体" w:hint="eastAsia"/>
          <w:b w:val="0"/>
          <w:kern w:val="0"/>
          <w:sz w:val="32"/>
        </w:rPr>
        <w:t>1.2</w:t>
      </w:r>
      <w:r>
        <w:rPr>
          <w:rFonts w:eastAsia="黑体" w:hint="eastAsia"/>
          <w:b w:val="0"/>
          <w:kern w:val="0"/>
          <w:sz w:val="32"/>
        </w:rPr>
        <w:t>起草单位和主要起草人</w:t>
      </w:r>
      <w:bookmarkEnd w:id="3"/>
    </w:p>
    <w:p w:rsidR="00513813" w:rsidRDefault="00AB3F63">
      <w:pPr>
        <w:spacing w:line="360" w:lineRule="auto"/>
        <w:ind w:firstLineChars="200" w:firstLine="480"/>
        <w:rPr>
          <w:sz w:val="24"/>
          <w:szCs w:val="21"/>
        </w:rPr>
      </w:pPr>
      <w:r>
        <w:rPr>
          <w:rFonts w:hint="eastAsia"/>
          <w:sz w:val="24"/>
          <w:szCs w:val="21"/>
        </w:rPr>
        <w:t>标准</w:t>
      </w:r>
      <w:r>
        <w:rPr>
          <w:rFonts w:hint="eastAsia"/>
          <w:sz w:val="24"/>
          <w:szCs w:val="21"/>
        </w:rPr>
        <w:t>起草</w:t>
      </w:r>
      <w:r>
        <w:rPr>
          <w:rFonts w:hint="eastAsia"/>
          <w:sz w:val="24"/>
          <w:szCs w:val="21"/>
        </w:rPr>
        <w:t>单位是北京华克智星医疗技术研究院有限公司。北京华克智星医疗技术研究院秉持“专业、严谨、诚信”的理念，致力于解决现代绿色智能化医院设计、建设及运营中的难点</w:t>
      </w:r>
      <w:r>
        <w:rPr>
          <w:rFonts w:hint="eastAsia"/>
          <w:sz w:val="24"/>
          <w:szCs w:val="21"/>
        </w:rPr>
        <w:t xml:space="preserve"> - </w:t>
      </w:r>
      <w:r>
        <w:rPr>
          <w:rFonts w:hint="eastAsia"/>
          <w:sz w:val="24"/>
          <w:szCs w:val="21"/>
        </w:rPr>
        <w:t>医疗辐射安全问题。研究院的工作内容涉及医院电离辐射及电磁辐射相关科室，包括普放科、放疗科、介入科、核医学科以及核磁共振检查中心的工艺流</w:t>
      </w:r>
      <w:r>
        <w:rPr>
          <w:rFonts w:hint="eastAsia"/>
          <w:sz w:val="24"/>
          <w:szCs w:val="21"/>
        </w:rPr>
        <w:t>程设计、平面布局设计、防护</w:t>
      </w:r>
      <w:r>
        <w:rPr>
          <w:rFonts w:hint="eastAsia"/>
          <w:sz w:val="24"/>
          <w:szCs w:val="21"/>
        </w:rPr>
        <w:t>/</w:t>
      </w:r>
      <w:r>
        <w:rPr>
          <w:rFonts w:hint="eastAsia"/>
          <w:sz w:val="24"/>
          <w:szCs w:val="21"/>
        </w:rPr>
        <w:t>屏蔽深化设计以及相关的专项环境评价和卫生评价等建设前期工作。同时，智星研究院还从事辐射及屏蔽的检测验收、医院辐射防护培训、医院辐射安全与放射卫生管理以及核医学科运营托管等业务，充分解决医院建设后的运行及辐射安全管理问题。</w:t>
      </w:r>
    </w:p>
    <w:p w:rsidR="00513813" w:rsidRDefault="00AB3F63">
      <w:pPr>
        <w:spacing w:line="360" w:lineRule="auto"/>
        <w:ind w:firstLineChars="200" w:firstLine="480"/>
        <w:rPr>
          <w:sz w:val="24"/>
          <w:szCs w:val="21"/>
        </w:rPr>
      </w:pPr>
      <w:r>
        <w:rPr>
          <w:rFonts w:hint="eastAsia"/>
          <w:sz w:val="24"/>
          <w:szCs w:val="32"/>
        </w:rPr>
        <w:t>标准由北京市生态环境局归口并组织实施。</w:t>
      </w:r>
    </w:p>
    <w:p w:rsidR="00513813" w:rsidRDefault="00AB3F63">
      <w:pPr>
        <w:spacing w:line="360" w:lineRule="auto"/>
        <w:ind w:firstLineChars="200" w:firstLine="480"/>
        <w:rPr>
          <w:sz w:val="24"/>
          <w:szCs w:val="21"/>
        </w:rPr>
      </w:pPr>
      <w:r>
        <w:rPr>
          <w:rFonts w:hint="eastAsia"/>
          <w:sz w:val="24"/>
          <w:szCs w:val="21"/>
        </w:rPr>
        <w:t>北京华克智星医疗技术研究院有限公司作为主要起草单位，组成了标准编制专项小组。本标准主要起草人：刘爱娣、耿建华、王印红、闫耀宇、孙希文</w:t>
      </w:r>
      <w:r>
        <w:rPr>
          <w:rFonts w:hint="eastAsia"/>
          <w:sz w:val="24"/>
          <w:szCs w:val="21"/>
        </w:rPr>
        <w:t>。</w:t>
      </w:r>
    </w:p>
    <w:p w:rsidR="00513813" w:rsidRDefault="00AB3F63">
      <w:pPr>
        <w:pStyle w:val="1"/>
      </w:pPr>
      <w:bookmarkStart w:id="4" w:name="_Toc17286"/>
      <w:r>
        <w:rPr>
          <w:rFonts w:hint="eastAsia"/>
        </w:rPr>
        <w:t>2</w:t>
      </w:r>
      <w:r>
        <w:rPr>
          <w:rFonts w:hint="eastAsia"/>
        </w:rPr>
        <w:t>制定标准的必要性和意义</w:t>
      </w:r>
      <w:bookmarkStart w:id="5" w:name="_Toc103617111"/>
      <w:bookmarkStart w:id="6" w:name="_Toc490729005"/>
      <w:bookmarkEnd w:id="4"/>
    </w:p>
    <w:p w:rsidR="00513813" w:rsidRDefault="00AB3F63">
      <w:pPr>
        <w:pStyle w:val="2"/>
        <w:numPr>
          <w:ilvl w:val="0"/>
          <w:numId w:val="0"/>
        </w:numPr>
        <w:rPr>
          <w:rFonts w:ascii="黑体" w:eastAsia="黑体" w:hAnsi="黑体" w:cs="黑体"/>
          <w:sz w:val="32"/>
        </w:rPr>
      </w:pPr>
      <w:bookmarkStart w:id="7" w:name="_Toc15999"/>
      <w:r>
        <w:rPr>
          <w:rFonts w:ascii="黑体" w:eastAsia="黑体" w:hAnsi="黑体" w:cs="黑体" w:hint="eastAsia"/>
          <w:sz w:val="32"/>
        </w:rPr>
        <w:t>2.</w:t>
      </w:r>
      <w:r>
        <w:rPr>
          <w:rFonts w:ascii="黑体" w:eastAsia="黑体" w:hAnsi="黑体" w:cs="黑体" w:hint="eastAsia"/>
          <w:sz w:val="32"/>
        </w:rPr>
        <w:t>1</w:t>
      </w:r>
      <w:r>
        <w:rPr>
          <w:rFonts w:ascii="黑体" w:eastAsia="黑体" w:hAnsi="黑体" w:cs="黑体" w:hint="eastAsia"/>
          <w:sz w:val="32"/>
        </w:rPr>
        <w:t xml:space="preserve"> </w:t>
      </w:r>
      <w:r>
        <w:rPr>
          <w:rFonts w:ascii="黑体" w:eastAsia="黑体" w:hAnsi="黑体" w:cs="黑体" w:hint="eastAsia"/>
          <w:sz w:val="32"/>
        </w:rPr>
        <w:t>标准编制必要性</w:t>
      </w:r>
      <w:bookmarkEnd w:id="7"/>
    </w:p>
    <w:p w:rsidR="00513813" w:rsidRDefault="00AB3F63">
      <w:pPr>
        <w:spacing w:line="360" w:lineRule="auto"/>
        <w:rPr>
          <w:b/>
          <w:bCs/>
          <w:sz w:val="24"/>
          <w:szCs w:val="21"/>
        </w:rPr>
      </w:pPr>
      <w:bookmarkStart w:id="8" w:name="_Toc131516431"/>
      <w:bookmarkStart w:id="9" w:name="_Toc4100"/>
      <w:bookmarkStart w:id="10" w:name="_Toc26452"/>
      <w:r>
        <w:rPr>
          <w:rFonts w:hint="eastAsia"/>
          <w:b/>
          <w:bCs/>
          <w:sz w:val="24"/>
          <w:szCs w:val="21"/>
        </w:rPr>
        <w:t>2.</w:t>
      </w:r>
      <w:r>
        <w:rPr>
          <w:rFonts w:hint="eastAsia"/>
          <w:b/>
          <w:bCs/>
          <w:sz w:val="24"/>
          <w:szCs w:val="21"/>
        </w:rPr>
        <w:t>1</w:t>
      </w:r>
      <w:r>
        <w:rPr>
          <w:rFonts w:hint="eastAsia"/>
          <w:b/>
          <w:bCs/>
          <w:sz w:val="24"/>
          <w:szCs w:val="21"/>
        </w:rPr>
        <w:t>.1</w:t>
      </w:r>
      <w:r>
        <w:rPr>
          <w:rFonts w:hint="eastAsia"/>
          <w:b/>
          <w:bCs/>
          <w:sz w:val="24"/>
          <w:szCs w:val="21"/>
        </w:rPr>
        <w:t>落实法律法规</w:t>
      </w:r>
      <w:r>
        <w:rPr>
          <w:b/>
          <w:bCs/>
          <w:sz w:val="24"/>
          <w:szCs w:val="21"/>
        </w:rPr>
        <w:t>对</w:t>
      </w:r>
      <w:r>
        <w:rPr>
          <w:rFonts w:hint="eastAsia"/>
          <w:b/>
          <w:bCs/>
          <w:sz w:val="24"/>
          <w:szCs w:val="21"/>
        </w:rPr>
        <w:t>碘</w:t>
      </w:r>
      <w:r>
        <w:rPr>
          <w:rFonts w:hint="eastAsia"/>
          <w:b/>
          <w:bCs/>
          <w:sz w:val="24"/>
          <w:szCs w:val="21"/>
        </w:rPr>
        <w:t>-131</w:t>
      </w:r>
      <w:r>
        <w:rPr>
          <w:rFonts w:hint="eastAsia"/>
          <w:b/>
          <w:bCs/>
          <w:sz w:val="24"/>
          <w:szCs w:val="21"/>
        </w:rPr>
        <w:t>核素</w:t>
      </w:r>
      <w:r>
        <w:rPr>
          <w:rFonts w:hint="eastAsia"/>
          <w:b/>
          <w:bCs/>
          <w:sz w:val="24"/>
          <w:szCs w:val="21"/>
        </w:rPr>
        <w:t>防治的迫切要求</w:t>
      </w:r>
      <w:bookmarkEnd w:id="8"/>
      <w:bookmarkEnd w:id="9"/>
      <w:bookmarkEnd w:id="10"/>
    </w:p>
    <w:p w:rsidR="00513813" w:rsidRDefault="00AB3F63">
      <w:pPr>
        <w:spacing w:line="360" w:lineRule="auto"/>
        <w:ind w:firstLineChars="200" w:firstLine="480"/>
        <w:rPr>
          <w:sz w:val="24"/>
        </w:rPr>
      </w:pPr>
      <w:bookmarkStart w:id="11" w:name="_Toc131516432"/>
      <w:bookmarkStart w:id="12" w:name="_Toc11146"/>
      <w:bookmarkStart w:id="13" w:name="_Toc11831"/>
      <w:r>
        <w:rPr>
          <w:rFonts w:hint="eastAsia"/>
          <w:sz w:val="24"/>
        </w:rPr>
        <w:t>习近平总书记在十九大报告中提出，实施健康中国战略，建立优质高效的医疗卫生服务体系。截至</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日，我国放射性药品总治疗数达到了</w:t>
      </w:r>
      <w:r>
        <w:rPr>
          <w:rFonts w:hint="eastAsia"/>
          <w:sz w:val="24"/>
        </w:rPr>
        <w:t>60.7</w:t>
      </w:r>
      <w:r>
        <w:rPr>
          <w:rFonts w:hint="eastAsia"/>
          <w:sz w:val="24"/>
        </w:rPr>
        <w:t>万例次，其中使用量居首位的碘</w:t>
      </w:r>
      <w:r>
        <w:rPr>
          <w:rFonts w:hint="eastAsia"/>
          <w:sz w:val="24"/>
        </w:rPr>
        <w:t>-131</w:t>
      </w:r>
      <w:r>
        <w:rPr>
          <w:rFonts w:hint="eastAsia"/>
          <w:sz w:val="24"/>
        </w:rPr>
        <w:t>放射性药品近五年来的年增长率约为</w:t>
      </w:r>
      <w:r>
        <w:rPr>
          <w:rFonts w:hint="eastAsia"/>
          <w:sz w:val="24"/>
        </w:rPr>
        <w:t>12.7%</w:t>
      </w:r>
      <w:r>
        <w:rPr>
          <w:rFonts w:hint="eastAsia"/>
          <w:sz w:val="24"/>
        </w:rPr>
        <w:t>，甲亢治疗占比</w:t>
      </w:r>
      <w:r>
        <w:rPr>
          <w:rFonts w:hint="eastAsia"/>
          <w:sz w:val="24"/>
        </w:rPr>
        <w:t>23.9%</w:t>
      </w:r>
      <w:r>
        <w:rPr>
          <w:rFonts w:hint="eastAsia"/>
          <w:sz w:val="24"/>
        </w:rPr>
        <w:t>（</w:t>
      </w:r>
      <w:r>
        <w:rPr>
          <w:rFonts w:hint="eastAsia"/>
          <w:sz w:val="24"/>
        </w:rPr>
        <w:t>14.511 4</w:t>
      </w:r>
      <w:r>
        <w:rPr>
          <w:rFonts w:hint="eastAsia"/>
          <w:sz w:val="24"/>
        </w:rPr>
        <w:t>万例次），甲状腺癌治疗占比</w:t>
      </w:r>
      <w:r>
        <w:rPr>
          <w:rFonts w:hint="eastAsia"/>
          <w:sz w:val="24"/>
        </w:rPr>
        <w:t>11.6%</w:t>
      </w:r>
      <w:r>
        <w:rPr>
          <w:rFonts w:hint="eastAsia"/>
          <w:sz w:val="24"/>
        </w:rPr>
        <w:t>（</w:t>
      </w:r>
      <w:r>
        <w:rPr>
          <w:rFonts w:hint="eastAsia"/>
          <w:sz w:val="24"/>
        </w:rPr>
        <w:t>7.013 5</w:t>
      </w:r>
      <w:r>
        <w:rPr>
          <w:rFonts w:hint="eastAsia"/>
          <w:sz w:val="24"/>
        </w:rPr>
        <w:t>万例次）等。</w:t>
      </w:r>
      <w:r>
        <w:rPr>
          <w:rFonts w:hint="eastAsia"/>
          <w:sz w:val="24"/>
        </w:rPr>
        <w:t>ICRP</w:t>
      </w:r>
      <w:r>
        <w:rPr>
          <w:rFonts w:hint="eastAsia"/>
          <w:sz w:val="24"/>
        </w:rPr>
        <w:t>等国际研究机构、苏州大学等国内科研院所，对碘</w:t>
      </w:r>
      <w:r>
        <w:rPr>
          <w:rFonts w:hint="eastAsia"/>
          <w:sz w:val="24"/>
        </w:rPr>
        <w:t>-131</w:t>
      </w:r>
      <w:r>
        <w:rPr>
          <w:rFonts w:hint="eastAsia"/>
          <w:sz w:val="24"/>
        </w:rPr>
        <w:t>核素治疗的辐射防护问题进行过关注和研究，明确指出碘</w:t>
      </w:r>
      <w:r>
        <w:rPr>
          <w:rFonts w:hint="eastAsia"/>
          <w:sz w:val="24"/>
        </w:rPr>
        <w:t>-131</w:t>
      </w:r>
      <w:r>
        <w:rPr>
          <w:rFonts w:hint="eastAsia"/>
          <w:sz w:val="24"/>
        </w:rPr>
        <w:t>核素使用过程的辐射风险及患者受照剂</w:t>
      </w:r>
      <w:r>
        <w:rPr>
          <w:rFonts w:hint="eastAsia"/>
          <w:sz w:val="24"/>
        </w:rPr>
        <w:t>量不容忽视。</w:t>
      </w:r>
      <w:r>
        <w:rPr>
          <w:rFonts w:hint="eastAsia"/>
          <w:sz w:val="24"/>
        </w:rPr>
        <w:t>GB18871-2002</w:t>
      </w:r>
      <w:r>
        <w:rPr>
          <w:rFonts w:hint="eastAsia"/>
          <w:sz w:val="24"/>
        </w:rPr>
        <w:t>《电离辐射防护与辐射源安全基本标</w:t>
      </w:r>
      <w:r>
        <w:rPr>
          <w:rFonts w:hint="eastAsia"/>
          <w:sz w:val="24"/>
        </w:rPr>
        <w:lastRenderedPageBreak/>
        <w:t>准》中指出接受碘</w:t>
      </w:r>
      <w:r>
        <w:rPr>
          <w:rFonts w:hint="eastAsia"/>
          <w:sz w:val="24"/>
        </w:rPr>
        <w:t>-131</w:t>
      </w:r>
      <w:r>
        <w:rPr>
          <w:rFonts w:hint="eastAsia"/>
          <w:sz w:val="24"/>
        </w:rPr>
        <w:t>治疗的体内的放射性活度降至低于</w:t>
      </w:r>
      <w:r>
        <w:rPr>
          <w:rFonts w:hint="eastAsia"/>
          <w:sz w:val="24"/>
        </w:rPr>
        <w:t>400MBq</w:t>
      </w:r>
      <w:r>
        <w:rPr>
          <w:rFonts w:hint="eastAsia"/>
          <w:sz w:val="24"/>
        </w:rPr>
        <w:t>之前不得出院，以控制其家庭与公众成员可能受到的照射。有关文献也指出，</w:t>
      </w:r>
      <w:proofErr w:type="gramStart"/>
      <w:r>
        <w:rPr>
          <w:rFonts w:hint="eastAsia"/>
          <w:sz w:val="24"/>
        </w:rPr>
        <w:t>甲癌患者</w:t>
      </w:r>
      <w:proofErr w:type="gramEnd"/>
      <w:r>
        <w:rPr>
          <w:rFonts w:hint="eastAsia"/>
          <w:sz w:val="24"/>
        </w:rPr>
        <w:t>呼出气体以及病房空气中碘</w:t>
      </w:r>
      <w:r>
        <w:rPr>
          <w:rFonts w:hint="eastAsia"/>
          <w:sz w:val="24"/>
        </w:rPr>
        <w:t>-131</w:t>
      </w:r>
      <w:r>
        <w:rPr>
          <w:rFonts w:hint="eastAsia"/>
          <w:sz w:val="24"/>
        </w:rPr>
        <w:t>核素的浓度水平可分别达到</w:t>
      </w:r>
      <w:r>
        <w:rPr>
          <w:rFonts w:hint="eastAsia"/>
          <w:sz w:val="24"/>
        </w:rPr>
        <w:t>190Bq/L</w:t>
      </w:r>
      <w:r>
        <w:rPr>
          <w:rFonts w:hint="eastAsia"/>
          <w:sz w:val="24"/>
        </w:rPr>
        <w:t>和</w:t>
      </w:r>
      <w:r>
        <w:rPr>
          <w:rFonts w:hint="eastAsia"/>
          <w:sz w:val="24"/>
        </w:rPr>
        <w:t>440Bq/m</w:t>
      </w:r>
      <w:r>
        <w:rPr>
          <w:rFonts w:hint="eastAsia"/>
          <w:sz w:val="24"/>
          <w:vertAlign w:val="superscript"/>
        </w:rPr>
        <w:t>3</w:t>
      </w:r>
      <w:r>
        <w:rPr>
          <w:rFonts w:hint="eastAsia"/>
          <w:sz w:val="24"/>
        </w:rPr>
        <w:t>，辐射影响必须引起重视。目前，国内对碘</w:t>
      </w:r>
      <w:r>
        <w:rPr>
          <w:rFonts w:hint="eastAsia"/>
          <w:sz w:val="24"/>
        </w:rPr>
        <w:t>-131</w:t>
      </w:r>
      <w:r>
        <w:rPr>
          <w:rFonts w:hint="eastAsia"/>
          <w:sz w:val="24"/>
        </w:rPr>
        <w:t>核素在医疗机构的使用尚未有相应的标准规范和专门的管理要求。</w:t>
      </w:r>
    </w:p>
    <w:p w:rsidR="00513813" w:rsidRDefault="00AB3F63">
      <w:pPr>
        <w:spacing w:line="360" w:lineRule="auto"/>
        <w:rPr>
          <w:b/>
          <w:bCs/>
          <w:sz w:val="24"/>
          <w:szCs w:val="21"/>
        </w:rPr>
      </w:pPr>
      <w:r>
        <w:rPr>
          <w:rFonts w:hint="eastAsia"/>
          <w:b/>
          <w:bCs/>
          <w:sz w:val="24"/>
          <w:szCs w:val="21"/>
        </w:rPr>
        <w:t>2.</w:t>
      </w:r>
      <w:r>
        <w:rPr>
          <w:rFonts w:hint="eastAsia"/>
          <w:b/>
          <w:bCs/>
          <w:sz w:val="24"/>
          <w:szCs w:val="21"/>
        </w:rPr>
        <w:t>1</w:t>
      </w:r>
      <w:r>
        <w:rPr>
          <w:rFonts w:hint="eastAsia"/>
          <w:b/>
          <w:bCs/>
          <w:sz w:val="24"/>
          <w:szCs w:val="21"/>
        </w:rPr>
        <w:t>.2</w:t>
      </w:r>
      <w:r>
        <w:rPr>
          <w:rFonts w:hint="eastAsia"/>
          <w:b/>
          <w:bCs/>
          <w:sz w:val="24"/>
          <w:szCs w:val="21"/>
        </w:rPr>
        <w:t>提高管理效率和优化</w:t>
      </w:r>
      <w:r>
        <w:rPr>
          <w:rFonts w:hint="eastAsia"/>
          <w:b/>
          <w:bCs/>
          <w:sz w:val="24"/>
          <w:szCs w:val="21"/>
        </w:rPr>
        <w:t>碘</w:t>
      </w:r>
      <w:r>
        <w:rPr>
          <w:rFonts w:hint="eastAsia"/>
          <w:b/>
          <w:bCs/>
          <w:sz w:val="24"/>
          <w:szCs w:val="21"/>
        </w:rPr>
        <w:t>-131</w:t>
      </w:r>
      <w:r>
        <w:rPr>
          <w:rFonts w:hint="eastAsia"/>
          <w:b/>
          <w:bCs/>
          <w:sz w:val="24"/>
          <w:szCs w:val="21"/>
        </w:rPr>
        <w:t>核素病房医疗</w:t>
      </w:r>
      <w:r>
        <w:rPr>
          <w:rFonts w:hint="eastAsia"/>
          <w:b/>
          <w:bCs/>
          <w:sz w:val="24"/>
          <w:szCs w:val="21"/>
        </w:rPr>
        <w:t>环境的迫切需求</w:t>
      </w:r>
      <w:bookmarkEnd w:id="11"/>
      <w:bookmarkEnd w:id="12"/>
      <w:bookmarkEnd w:id="13"/>
    </w:p>
    <w:p w:rsidR="00513813" w:rsidRDefault="00AB3F63">
      <w:pPr>
        <w:spacing w:line="360" w:lineRule="auto"/>
        <w:ind w:firstLineChars="200" w:firstLine="480"/>
        <w:rPr>
          <w:sz w:val="24"/>
        </w:rPr>
      </w:pPr>
      <w:bookmarkStart w:id="14" w:name="_Toc30439"/>
      <w:bookmarkStart w:id="15" w:name="_Toc131516433"/>
      <w:bookmarkStart w:id="16" w:name="_Toc24682"/>
      <w:r>
        <w:rPr>
          <w:rFonts w:hint="eastAsia"/>
          <w:sz w:val="24"/>
        </w:rPr>
        <w:t>根据调查截至</w:t>
      </w:r>
      <w:r>
        <w:rPr>
          <w:rFonts w:hint="eastAsia"/>
          <w:sz w:val="24"/>
        </w:rPr>
        <w:t>202</w:t>
      </w:r>
      <w:r>
        <w:rPr>
          <w:rFonts w:hint="eastAsia"/>
          <w:sz w:val="24"/>
        </w:rPr>
        <w:t>3</w:t>
      </w:r>
      <w:r>
        <w:rPr>
          <w:rFonts w:hint="eastAsia"/>
          <w:sz w:val="24"/>
        </w:rPr>
        <w:t>年</w:t>
      </w:r>
      <w:r>
        <w:rPr>
          <w:rFonts w:hint="eastAsia"/>
          <w:sz w:val="24"/>
        </w:rPr>
        <w:t>5</w:t>
      </w:r>
      <w:r>
        <w:rPr>
          <w:rFonts w:hint="eastAsia"/>
          <w:sz w:val="24"/>
        </w:rPr>
        <w:t>月北京市开展核医学</w:t>
      </w:r>
      <w:r>
        <w:rPr>
          <w:rFonts w:hint="eastAsia"/>
          <w:sz w:val="24"/>
        </w:rPr>
        <w:t>科的医疗机构共</w:t>
      </w:r>
      <w:r>
        <w:rPr>
          <w:rFonts w:hint="eastAsia"/>
          <w:sz w:val="24"/>
        </w:rPr>
        <w:t>4</w:t>
      </w:r>
      <w:r>
        <w:rPr>
          <w:rFonts w:hint="eastAsia"/>
          <w:sz w:val="24"/>
        </w:rPr>
        <w:t>2</w:t>
      </w:r>
      <w:r>
        <w:rPr>
          <w:rFonts w:hint="eastAsia"/>
          <w:sz w:val="24"/>
        </w:rPr>
        <w:t>家，其中只有</w:t>
      </w:r>
      <w:r>
        <w:rPr>
          <w:rFonts w:hint="eastAsia"/>
          <w:sz w:val="24"/>
        </w:rPr>
        <w:t>7</w:t>
      </w:r>
      <w:r>
        <w:rPr>
          <w:rFonts w:hint="eastAsia"/>
          <w:sz w:val="24"/>
        </w:rPr>
        <w:t>家医疗机构</w:t>
      </w:r>
      <w:r>
        <w:rPr>
          <w:rFonts w:hint="eastAsia"/>
          <w:sz w:val="24"/>
        </w:rPr>
        <w:t>通过管理部门审批</w:t>
      </w:r>
      <w:r>
        <w:rPr>
          <w:rFonts w:hint="eastAsia"/>
          <w:sz w:val="24"/>
        </w:rPr>
        <w:t>开展碘</w:t>
      </w:r>
      <w:r>
        <w:rPr>
          <w:rFonts w:hint="eastAsia"/>
          <w:sz w:val="24"/>
        </w:rPr>
        <w:t>-131</w:t>
      </w:r>
      <w:r>
        <w:rPr>
          <w:rFonts w:hint="eastAsia"/>
          <w:sz w:val="24"/>
        </w:rPr>
        <w:t>核素治疗病房工作</w:t>
      </w:r>
      <w:r>
        <w:rPr>
          <w:rFonts w:hint="eastAsia"/>
          <w:sz w:val="24"/>
        </w:rPr>
        <w:t>，</w:t>
      </w:r>
      <w:r>
        <w:rPr>
          <w:rFonts w:hint="eastAsia"/>
          <w:sz w:val="24"/>
        </w:rPr>
        <w:t>并且只有</w:t>
      </w:r>
      <w:r>
        <w:rPr>
          <w:rFonts w:hint="eastAsia"/>
          <w:sz w:val="24"/>
        </w:rPr>
        <w:t>4</w:t>
      </w:r>
      <w:r>
        <w:rPr>
          <w:rFonts w:hint="eastAsia"/>
          <w:sz w:val="24"/>
        </w:rPr>
        <w:t>家</w:t>
      </w:r>
      <w:r>
        <w:rPr>
          <w:rFonts w:hint="eastAsia"/>
          <w:sz w:val="24"/>
        </w:rPr>
        <w:t>医疗机构</w:t>
      </w:r>
      <w:r>
        <w:rPr>
          <w:rFonts w:hint="eastAsia"/>
          <w:sz w:val="24"/>
        </w:rPr>
        <w:t>正在开展治疗</w:t>
      </w:r>
      <w:r>
        <w:rPr>
          <w:rFonts w:hint="eastAsia"/>
          <w:sz w:val="24"/>
        </w:rPr>
        <w:t>。</w:t>
      </w:r>
      <w:r>
        <w:rPr>
          <w:rFonts w:hint="eastAsia"/>
          <w:sz w:val="24"/>
        </w:rPr>
        <w:t>北京市作为中国政治文化经济中心承接了全国各地的患者的诊疗工作，核医学碘</w:t>
      </w:r>
      <w:r>
        <w:rPr>
          <w:rFonts w:hint="eastAsia"/>
          <w:sz w:val="24"/>
        </w:rPr>
        <w:t>-131</w:t>
      </w:r>
      <w:r>
        <w:rPr>
          <w:rFonts w:hint="eastAsia"/>
          <w:sz w:val="24"/>
        </w:rPr>
        <w:t>核素治疗工作发展潜力巨大</w:t>
      </w:r>
      <w:r>
        <w:rPr>
          <w:rFonts w:hint="eastAsia"/>
          <w:sz w:val="24"/>
        </w:rPr>
        <w:t>，</w:t>
      </w:r>
      <w:r>
        <w:rPr>
          <w:rFonts w:hint="eastAsia"/>
          <w:sz w:val="24"/>
        </w:rPr>
        <w:t>各医疗机构</w:t>
      </w:r>
      <w:proofErr w:type="gramStart"/>
      <w:r>
        <w:rPr>
          <w:rFonts w:hint="eastAsia"/>
          <w:sz w:val="24"/>
        </w:rPr>
        <w:t>核医学科碘</w:t>
      </w:r>
      <w:proofErr w:type="gramEnd"/>
      <w:r>
        <w:rPr>
          <w:rFonts w:hint="eastAsia"/>
          <w:sz w:val="24"/>
        </w:rPr>
        <w:t>-131</w:t>
      </w:r>
      <w:r>
        <w:rPr>
          <w:rFonts w:hint="eastAsia"/>
          <w:sz w:val="24"/>
        </w:rPr>
        <w:t>核素治疗病房未来建设会逐步增多，碘</w:t>
      </w:r>
      <w:r>
        <w:rPr>
          <w:rFonts w:hint="eastAsia"/>
          <w:sz w:val="24"/>
        </w:rPr>
        <w:t>-131</w:t>
      </w:r>
      <w:r>
        <w:rPr>
          <w:rFonts w:hint="eastAsia"/>
          <w:sz w:val="24"/>
        </w:rPr>
        <w:t>核素用量</w:t>
      </w:r>
      <w:r>
        <w:rPr>
          <w:rFonts w:hint="eastAsia"/>
          <w:sz w:val="24"/>
        </w:rPr>
        <w:t>会</w:t>
      </w:r>
      <w:r>
        <w:rPr>
          <w:rFonts w:hint="eastAsia"/>
          <w:sz w:val="24"/>
        </w:rPr>
        <w:t>迅速增长</w:t>
      </w:r>
      <w:r>
        <w:rPr>
          <w:rFonts w:hint="eastAsia"/>
          <w:sz w:val="24"/>
        </w:rPr>
        <w:t>，</w:t>
      </w:r>
      <w:r>
        <w:rPr>
          <w:rFonts w:hint="eastAsia"/>
          <w:sz w:val="24"/>
        </w:rPr>
        <w:t>一方面使用</w:t>
      </w:r>
      <w:r>
        <w:rPr>
          <w:rFonts w:hint="eastAsia"/>
          <w:sz w:val="24"/>
        </w:rPr>
        <w:t>放射性放射性药品的患者</w:t>
      </w:r>
      <w:r>
        <w:rPr>
          <w:rFonts w:hint="eastAsia"/>
          <w:sz w:val="24"/>
        </w:rPr>
        <w:t>增</w:t>
      </w:r>
      <w:r>
        <w:rPr>
          <w:rFonts w:hint="eastAsia"/>
          <w:sz w:val="24"/>
        </w:rPr>
        <w:t>多，</w:t>
      </w:r>
      <w:r>
        <w:rPr>
          <w:rFonts w:hint="eastAsia"/>
          <w:sz w:val="24"/>
        </w:rPr>
        <w:t>使用</w:t>
      </w:r>
      <w:r>
        <w:rPr>
          <w:rFonts w:hint="eastAsia"/>
          <w:sz w:val="24"/>
        </w:rPr>
        <w:t>放射性药品的患者活动范围广。</w:t>
      </w:r>
      <w:r>
        <w:rPr>
          <w:rFonts w:hint="eastAsia"/>
          <w:sz w:val="24"/>
        </w:rPr>
        <w:t>另一方面</w:t>
      </w:r>
      <w:r>
        <w:rPr>
          <w:rFonts w:hint="eastAsia"/>
          <w:sz w:val="24"/>
        </w:rPr>
        <w:t>这些医疗机构大都位于交通便利的市区周围环境较为复杂，而且目前北京的大型活动逐年增多。</w:t>
      </w:r>
      <w:r>
        <w:rPr>
          <w:rFonts w:hint="eastAsia"/>
          <w:sz w:val="24"/>
        </w:rPr>
        <w:t>碘</w:t>
      </w:r>
      <w:r>
        <w:rPr>
          <w:rFonts w:hint="eastAsia"/>
          <w:sz w:val="24"/>
        </w:rPr>
        <w:t>-131</w:t>
      </w:r>
      <w:r>
        <w:rPr>
          <w:rFonts w:hint="eastAsia"/>
          <w:sz w:val="24"/>
        </w:rPr>
        <w:t>核素为核医学应用带来诊</w:t>
      </w:r>
      <w:r>
        <w:rPr>
          <w:rFonts w:hint="eastAsia"/>
          <w:sz w:val="24"/>
        </w:rPr>
        <w:t>疗利益的同时，也会由于其产生的电离辐射和放射性“三废”对人员和环境造成影响，成为辐射安全监管的重点。核医学使用放射性药物过程向外环境的释放量中</w:t>
      </w:r>
      <w:r>
        <w:rPr>
          <w:rFonts w:hint="eastAsia"/>
          <w:sz w:val="24"/>
        </w:rPr>
        <w:t>Tc-99m</w:t>
      </w:r>
      <w:r>
        <w:rPr>
          <w:rFonts w:hint="eastAsia"/>
          <w:sz w:val="24"/>
        </w:rPr>
        <w:t>的份额最大，但由于它较短的半衰期，因此对环境的影响显得不那么重要，碘</w:t>
      </w:r>
      <w:r>
        <w:rPr>
          <w:rFonts w:hint="eastAsia"/>
          <w:sz w:val="24"/>
        </w:rPr>
        <w:t>-131</w:t>
      </w:r>
      <w:r>
        <w:rPr>
          <w:rFonts w:hint="eastAsia"/>
          <w:sz w:val="24"/>
        </w:rPr>
        <w:t>作为治疗甲状腺功能亢进、分化</w:t>
      </w:r>
      <w:proofErr w:type="gramStart"/>
      <w:r>
        <w:rPr>
          <w:rFonts w:hint="eastAsia"/>
          <w:sz w:val="24"/>
        </w:rPr>
        <w:t>型甲癌以及</w:t>
      </w:r>
      <w:proofErr w:type="gramEnd"/>
      <w:r>
        <w:rPr>
          <w:rFonts w:hint="eastAsia"/>
          <w:sz w:val="24"/>
        </w:rPr>
        <w:t>甲状腺癌转移灶的首选放射性治疗药物，在临床核医学的治疗领域占有很大的份额，而且向外环境的排放量仅次于</w:t>
      </w:r>
      <w:r>
        <w:rPr>
          <w:rFonts w:hint="eastAsia"/>
          <w:sz w:val="24"/>
        </w:rPr>
        <w:t>Tc-99m</w:t>
      </w:r>
      <w:r>
        <w:rPr>
          <w:rFonts w:hint="eastAsia"/>
          <w:sz w:val="24"/>
        </w:rPr>
        <w:t>，</w:t>
      </w:r>
      <w:r>
        <w:rPr>
          <w:rFonts w:hint="eastAsia"/>
          <w:sz w:val="24"/>
        </w:rPr>
        <w:t>ICRP</w:t>
      </w:r>
      <w:r>
        <w:rPr>
          <w:rFonts w:hint="eastAsia"/>
          <w:sz w:val="24"/>
        </w:rPr>
        <w:t>（国际放射防护委员会）第</w:t>
      </w:r>
      <w:r>
        <w:rPr>
          <w:rFonts w:hint="eastAsia"/>
          <w:sz w:val="24"/>
        </w:rPr>
        <w:t>94</w:t>
      </w:r>
      <w:r>
        <w:rPr>
          <w:rFonts w:hint="eastAsia"/>
          <w:sz w:val="24"/>
        </w:rPr>
        <w:t>号出版物的研究报告指出摄入放射性核素患者中甲亢、</w:t>
      </w:r>
      <w:proofErr w:type="gramStart"/>
      <w:r>
        <w:rPr>
          <w:rFonts w:hint="eastAsia"/>
          <w:sz w:val="24"/>
        </w:rPr>
        <w:t>甲癌的</w:t>
      </w:r>
      <w:proofErr w:type="gramEnd"/>
      <w:r>
        <w:rPr>
          <w:rFonts w:hint="eastAsia"/>
          <w:sz w:val="24"/>
        </w:rPr>
        <w:t>放射性碘治疗对公众和家属的照射是主要的照</w:t>
      </w:r>
      <w:r>
        <w:rPr>
          <w:rFonts w:hint="eastAsia"/>
          <w:sz w:val="24"/>
        </w:rPr>
        <w:t>射源</w:t>
      </w:r>
      <w:r>
        <w:rPr>
          <w:rFonts w:hint="eastAsia"/>
          <w:sz w:val="24"/>
        </w:rPr>
        <w:t>。</w:t>
      </w:r>
    </w:p>
    <w:p w:rsidR="00513813" w:rsidRDefault="00AB3F63">
      <w:pPr>
        <w:spacing w:line="360" w:lineRule="auto"/>
        <w:ind w:firstLineChars="200" w:firstLine="480"/>
        <w:rPr>
          <w:sz w:val="24"/>
        </w:rPr>
      </w:pPr>
      <w:r>
        <w:rPr>
          <w:rFonts w:hint="eastAsia"/>
          <w:sz w:val="24"/>
        </w:rPr>
        <w:t>根据</w:t>
      </w:r>
      <w:r>
        <w:rPr>
          <w:rFonts w:hint="eastAsia"/>
          <w:sz w:val="24"/>
        </w:rPr>
        <w:t>IRCR94</w:t>
      </w:r>
      <w:r>
        <w:rPr>
          <w:rFonts w:hint="eastAsia"/>
          <w:sz w:val="24"/>
        </w:rPr>
        <w:t>号报告统计，甲状腺疾病的治疗占核医学治疗程序的</w:t>
      </w:r>
      <w:r>
        <w:rPr>
          <w:rFonts w:hint="eastAsia"/>
          <w:sz w:val="24"/>
        </w:rPr>
        <w:t>90%</w:t>
      </w:r>
      <w:r>
        <w:rPr>
          <w:rFonts w:hint="eastAsia"/>
          <w:sz w:val="24"/>
        </w:rPr>
        <w:t>以上，且所用的放射性核素全部是碘</w:t>
      </w:r>
      <w:r>
        <w:rPr>
          <w:rFonts w:hint="eastAsia"/>
          <w:sz w:val="24"/>
        </w:rPr>
        <w:t>-131</w:t>
      </w:r>
      <w:r>
        <w:rPr>
          <w:rFonts w:hint="eastAsia"/>
          <w:sz w:val="24"/>
        </w:rPr>
        <w:t>。因而，出于实用目的，与患者接受非密封放射性核素治疗相关的公众和患者亲属的辐射防护问题绝大多数集中在碘</w:t>
      </w:r>
      <w:r>
        <w:rPr>
          <w:rFonts w:hint="eastAsia"/>
          <w:sz w:val="24"/>
        </w:rPr>
        <w:t>-131</w:t>
      </w:r>
      <w:r>
        <w:rPr>
          <w:rFonts w:hint="eastAsia"/>
          <w:sz w:val="24"/>
        </w:rPr>
        <w:t>上。如何在应用碘</w:t>
      </w:r>
      <w:r>
        <w:rPr>
          <w:rFonts w:hint="eastAsia"/>
          <w:sz w:val="24"/>
        </w:rPr>
        <w:t>-131</w:t>
      </w:r>
      <w:r>
        <w:rPr>
          <w:rFonts w:hint="eastAsia"/>
          <w:sz w:val="24"/>
        </w:rPr>
        <w:t>核素满足人们诊疗需求的同时，降低其辐射危害和提升辐射安全防护水平，需要进一步深入研究并优化提升辐射安全监管能力。</w:t>
      </w:r>
    </w:p>
    <w:p w:rsidR="00513813" w:rsidRDefault="00AB3F63">
      <w:pPr>
        <w:pStyle w:val="2"/>
        <w:numPr>
          <w:ilvl w:val="0"/>
          <w:numId w:val="0"/>
        </w:numPr>
        <w:spacing w:line="416" w:lineRule="auto"/>
        <w:rPr>
          <w:rFonts w:eastAsia="黑体"/>
          <w:b w:val="0"/>
          <w:kern w:val="0"/>
          <w:sz w:val="32"/>
        </w:rPr>
      </w:pPr>
      <w:bookmarkStart w:id="17" w:name="_Toc14746"/>
      <w:bookmarkEnd w:id="14"/>
      <w:bookmarkEnd w:id="15"/>
      <w:bookmarkEnd w:id="16"/>
      <w:r>
        <w:rPr>
          <w:rFonts w:eastAsia="黑体" w:hint="eastAsia"/>
          <w:b w:val="0"/>
          <w:kern w:val="0"/>
          <w:sz w:val="32"/>
        </w:rPr>
        <w:lastRenderedPageBreak/>
        <w:t>2.</w:t>
      </w:r>
      <w:r>
        <w:rPr>
          <w:rFonts w:eastAsia="黑体" w:hint="eastAsia"/>
          <w:b w:val="0"/>
          <w:kern w:val="0"/>
          <w:sz w:val="32"/>
        </w:rPr>
        <w:t>2</w:t>
      </w:r>
      <w:r>
        <w:rPr>
          <w:rFonts w:eastAsia="黑体" w:hint="eastAsia"/>
          <w:b w:val="0"/>
          <w:kern w:val="0"/>
          <w:sz w:val="32"/>
        </w:rPr>
        <w:t xml:space="preserve"> </w:t>
      </w:r>
      <w:r>
        <w:rPr>
          <w:rFonts w:eastAsia="黑体" w:hint="eastAsia"/>
          <w:b w:val="0"/>
          <w:kern w:val="0"/>
          <w:sz w:val="32"/>
        </w:rPr>
        <w:t>标准制定的意义</w:t>
      </w:r>
      <w:bookmarkEnd w:id="17"/>
    </w:p>
    <w:p w:rsidR="00513813" w:rsidRDefault="00AB3F63">
      <w:pPr>
        <w:pStyle w:val="af7"/>
        <w:widowControl/>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本文件借鉴国内外相关标准，综合考虑北京市</w:t>
      </w:r>
      <w:r>
        <w:rPr>
          <w:rFonts w:asciiTheme="minorEastAsia" w:eastAsiaTheme="minorEastAsia" w:hAnsiTheme="minorEastAsia" w:cstheme="minorEastAsia" w:hint="eastAsia"/>
          <w:sz w:val="24"/>
        </w:rPr>
        <w:t>辐射安全防护的</w:t>
      </w:r>
      <w:r>
        <w:rPr>
          <w:rFonts w:asciiTheme="minorEastAsia" w:eastAsiaTheme="minorEastAsia" w:hAnsiTheme="minorEastAsia" w:cstheme="minorEastAsia" w:hint="eastAsia"/>
          <w:sz w:val="24"/>
        </w:rPr>
        <w:t>特点和管理需求，</w:t>
      </w:r>
      <w:proofErr w:type="gramStart"/>
      <w:r>
        <w:rPr>
          <w:rFonts w:asciiTheme="minorEastAsia" w:eastAsiaTheme="minorEastAsia" w:hAnsiTheme="minorEastAsia" w:cstheme="minorEastAsia" w:hint="eastAsia"/>
          <w:sz w:val="24"/>
        </w:rPr>
        <w:t>提出重</w:t>
      </w:r>
      <w:r>
        <w:rPr>
          <w:rFonts w:asciiTheme="minorEastAsia" w:eastAsiaTheme="minorEastAsia" w:hAnsiTheme="minorEastAsia" w:cstheme="minorEastAsia" w:hint="eastAsia"/>
          <w:sz w:val="24"/>
        </w:rPr>
        <w:t>碘</w:t>
      </w:r>
      <w:proofErr w:type="gramEnd"/>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核素病房建设管理</w:t>
      </w:r>
      <w:r>
        <w:rPr>
          <w:rFonts w:asciiTheme="minorEastAsia" w:eastAsiaTheme="minorEastAsia" w:hAnsiTheme="minorEastAsia" w:cstheme="minorEastAsia" w:hint="eastAsia"/>
          <w:sz w:val="24"/>
        </w:rPr>
        <w:t>相关要求，契合</w:t>
      </w:r>
      <w:r>
        <w:rPr>
          <w:rFonts w:asciiTheme="minorEastAsia" w:eastAsiaTheme="minorEastAsia" w:hAnsiTheme="minorEastAsia" w:cstheme="minorEastAsia" w:hint="eastAsia"/>
          <w:sz w:val="24"/>
        </w:rPr>
        <w:t>首都辐射安全</w:t>
      </w:r>
      <w:r>
        <w:rPr>
          <w:rFonts w:asciiTheme="minorEastAsia" w:eastAsiaTheme="minorEastAsia" w:hAnsiTheme="minorEastAsia" w:cstheme="minorEastAsia" w:hint="eastAsia"/>
          <w:sz w:val="24"/>
        </w:rPr>
        <w:t>管理流程。将助力高效落实《中华人民共和国放射性污染防治法》和《放射性同位素与射线装置安全和防护条例》要求，加强碘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核素病房日常监管和风险管理，指导北京市</w:t>
      </w:r>
      <w:r>
        <w:rPr>
          <w:rFonts w:asciiTheme="minorEastAsia" w:eastAsiaTheme="minorEastAsia" w:hAnsiTheme="minorEastAsia" w:cstheme="minorEastAsia" w:hint="eastAsia"/>
          <w:sz w:val="24"/>
        </w:rPr>
        <w:t>生态环境</w:t>
      </w:r>
      <w:r>
        <w:rPr>
          <w:rFonts w:asciiTheme="minorEastAsia" w:eastAsiaTheme="minorEastAsia" w:hAnsiTheme="minorEastAsia" w:cstheme="minorEastAsia" w:hint="eastAsia"/>
          <w:sz w:val="24"/>
        </w:rPr>
        <w:t>主管部门和</w:t>
      </w:r>
      <w:r>
        <w:rPr>
          <w:rFonts w:asciiTheme="minorEastAsia" w:eastAsiaTheme="minorEastAsia" w:hAnsiTheme="minorEastAsia" w:cstheme="minorEastAsia" w:hint="eastAsia"/>
          <w:sz w:val="24"/>
        </w:rPr>
        <w:t>医疗机构</w:t>
      </w:r>
      <w:r>
        <w:rPr>
          <w:rFonts w:asciiTheme="minorEastAsia" w:eastAsiaTheme="minorEastAsia" w:hAnsiTheme="minorEastAsia" w:cstheme="minorEastAsia" w:hint="eastAsia"/>
          <w:sz w:val="24"/>
        </w:rPr>
        <w:t>等</w:t>
      </w:r>
      <w:proofErr w:type="gramStart"/>
      <w:r>
        <w:rPr>
          <w:rFonts w:asciiTheme="minorEastAsia" w:eastAsiaTheme="minorEastAsia" w:hAnsiTheme="minorEastAsia" w:cstheme="minorEastAsia" w:hint="eastAsia"/>
          <w:sz w:val="24"/>
        </w:rPr>
        <w:t>开展土碘</w:t>
      </w:r>
      <w:proofErr w:type="gramEnd"/>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核素病房建设管理</w:t>
      </w:r>
      <w:r>
        <w:rPr>
          <w:rFonts w:asciiTheme="minorEastAsia" w:eastAsiaTheme="minorEastAsia" w:hAnsiTheme="minorEastAsia" w:cstheme="minorEastAsia" w:hint="eastAsia"/>
          <w:sz w:val="24"/>
        </w:rPr>
        <w:t>工作</w:t>
      </w:r>
      <w:r>
        <w:rPr>
          <w:rFonts w:asciiTheme="minorEastAsia" w:eastAsiaTheme="minorEastAsia" w:hAnsiTheme="minorEastAsia" w:cstheme="minorEastAsia" w:hint="eastAsia"/>
          <w:sz w:val="24"/>
        </w:rPr>
        <w:t>。</w:t>
      </w:r>
    </w:p>
    <w:p w:rsidR="00513813" w:rsidRDefault="00AB3F63">
      <w:pPr>
        <w:pStyle w:val="af7"/>
        <w:widowControl/>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本文件综合考虑北京市</w:t>
      </w:r>
      <w:r>
        <w:rPr>
          <w:rFonts w:asciiTheme="minorEastAsia" w:eastAsiaTheme="minorEastAsia" w:hAnsiTheme="minorEastAsia" w:cstheme="minorEastAsia" w:hint="eastAsia"/>
          <w:sz w:val="24"/>
        </w:rPr>
        <w:t>医疗机构核医学</w:t>
      </w:r>
      <w:r>
        <w:rPr>
          <w:rFonts w:asciiTheme="minorEastAsia" w:eastAsiaTheme="minorEastAsia" w:hAnsiTheme="minorEastAsia" w:cstheme="minorEastAsia" w:hint="eastAsia"/>
          <w:sz w:val="24"/>
        </w:rPr>
        <w:t>特点和管理需求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规定了医疗机构使用碘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核素开展核医学住院治疗活动的辐射防护与安全要求。</w:t>
      </w:r>
    </w:p>
    <w:p w:rsidR="00513813" w:rsidRDefault="00513813">
      <w:pPr>
        <w:pStyle w:val="af7"/>
        <w:widowControl/>
        <w:spacing w:line="360" w:lineRule="auto"/>
        <w:ind w:firstLine="480"/>
        <w:rPr>
          <w:sz w:val="24"/>
        </w:rPr>
      </w:pPr>
    </w:p>
    <w:p w:rsidR="00513813" w:rsidRDefault="00AB3F63">
      <w:pPr>
        <w:pStyle w:val="1"/>
      </w:pPr>
      <w:bookmarkStart w:id="18" w:name="_Toc103617112"/>
      <w:bookmarkStart w:id="19" w:name="_Toc10594"/>
      <w:bookmarkEnd w:id="5"/>
      <w:bookmarkEnd w:id="6"/>
      <w:r>
        <w:rPr>
          <w:rFonts w:hint="eastAsia"/>
        </w:rPr>
        <w:t>3</w:t>
      </w:r>
      <w:r>
        <w:t xml:space="preserve"> </w:t>
      </w:r>
      <w:r>
        <w:rPr>
          <w:rFonts w:hint="eastAsia"/>
        </w:rPr>
        <w:t>主要工作过程</w:t>
      </w:r>
      <w:bookmarkEnd w:id="18"/>
      <w:bookmarkEnd w:id="19"/>
    </w:p>
    <w:p w:rsidR="00513813" w:rsidRDefault="00AB3F63">
      <w:pPr>
        <w:pStyle w:val="2"/>
        <w:numPr>
          <w:ilvl w:val="0"/>
          <w:numId w:val="0"/>
        </w:numPr>
        <w:spacing w:line="416" w:lineRule="auto"/>
        <w:rPr>
          <w:rFonts w:ascii="黑体" w:eastAsia="黑体" w:hAnsi="黑体" w:cs="黑体"/>
          <w:b w:val="0"/>
          <w:kern w:val="0"/>
          <w:sz w:val="32"/>
        </w:rPr>
      </w:pPr>
      <w:bookmarkStart w:id="20" w:name="_Toc1840"/>
      <w:r>
        <w:rPr>
          <w:rFonts w:ascii="黑体" w:eastAsia="黑体" w:hAnsi="黑体" w:cs="黑体" w:hint="eastAsia"/>
          <w:b w:val="0"/>
          <w:kern w:val="0"/>
          <w:sz w:val="32"/>
        </w:rPr>
        <w:t xml:space="preserve">3.1 </w:t>
      </w:r>
      <w:r>
        <w:rPr>
          <w:rFonts w:ascii="黑体" w:eastAsia="黑体" w:hAnsi="黑体" w:cs="黑体" w:hint="eastAsia"/>
          <w:b w:val="0"/>
          <w:kern w:val="0"/>
          <w:sz w:val="32"/>
        </w:rPr>
        <w:t>开题</w:t>
      </w:r>
      <w:bookmarkEnd w:id="20"/>
    </w:p>
    <w:p w:rsidR="00513813" w:rsidRDefault="00AB3F63">
      <w:pPr>
        <w:spacing w:line="360" w:lineRule="auto"/>
        <w:ind w:firstLineChars="200" w:firstLine="480"/>
        <w:rPr>
          <w:rFonts w:cs="宋体"/>
          <w:kern w:val="0"/>
          <w:sz w:val="24"/>
        </w:rPr>
      </w:pPr>
      <w:r>
        <w:rPr>
          <w:rFonts w:cs="宋体" w:hint="eastAsia"/>
          <w:kern w:val="0"/>
          <w:sz w:val="24"/>
        </w:rPr>
        <w:t>根据任务要求，北京华克智星医疗技术研究院有限公司于</w:t>
      </w:r>
      <w:r>
        <w:rPr>
          <w:rFonts w:cs="宋体" w:hint="eastAsia"/>
          <w:kern w:val="0"/>
          <w:sz w:val="24"/>
        </w:rPr>
        <w:t>2021</w:t>
      </w:r>
      <w:r>
        <w:rPr>
          <w:rFonts w:cs="宋体" w:hint="eastAsia"/>
          <w:kern w:val="0"/>
          <w:sz w:val="24"/>
        </w:rPr>
        <w:t>年</w:t>
      </w:r>
      <w:r>
        <w:rPr>
          <w:rFonts w:cs="宋体" w:hint="eastAsia"/>
          <w:kern w:val="0"/>
          <w:sz w:val="24"/>
        </w:rPr>
        <w:t>5</w:t>
      </w:r>
      <w:r>
        <w:rPr>
          <w:rFonts w:cs="宋体" w:hint="eastAsia"/>
          <w:kern w:val="0"/>
          <w:sz w:val="24"/>
        </w:rPr>
        <w:t>月</w:t>
      </w:r>
      <w:r>
        <w:rPr>
          <w:rFonts w:cs="宋体" w:hint="eastAsia"/>
          <w:kern w:val="0"/>
          <w:sz w:val="24"/>
        </w:rPr>
        <w:t>17</w:t>
      </w:r>
      <w:r>
        <w:rPr>
          <w:rFonts w:cs="宋体" w:hint="eastAsia"/>
          <w:kern w:val="0"/>
          <w:sz w:val="24"/>
        </w:rPr>
        <w:t>日召开标准编制组举行标准启动会。</w:t>
      </w:r>
    </w:p>
    <w:p w:rsidR="00513813" w:rsidRDefault="00AB3F63">
      <w:pPr>
        <w:spacing w:line="360" w:lineRule="auto"/>
        <w:ind w:firstLineChars="200" w:firstLine="480"/>
        <w:rPr>
          <w:rFonts w:cs="宋体"/>
          <w:kern w:val="0"/>
          <w:sz w:val="24"/>
        </w:rPr>
      </w:pPr>
      <w:r>
        <w:rPr>
          <w:rFonts w:cs="宋体" w:hint="eastAsia"/>
          <w:kern w:val="0"/>
          <w:sz w:val="24"/>
        </w:rPr>
        <w:t>总结前期工</w:t>
      </w:r>
      <w:r>
        <w:rPr>
          <w:rFonts w:cs="宋体" w:hint="eastAsia"/>
          <w:kern w:val="0"/>
          <w:sz w:val="24"/>
        </w:rPr>
        <w:t>作，根据北京市生态环境局委托任务确定工作成果：《</w:t>
      </w:r>
      <w:r w:rsidR="00B83578">
        <w:rPr>
          <w:rFonts w:cs="宋体" w:hint="eastAsia"/>
          <w:kern w:val="0"/>
          <w:sz w:val="24"/>
        </w:rPr>
        <w:t>碘</w:t>
      </w:r>
      <w:r w:rsidR="00B83578">
        <w:rPr>
          <w:rFonts w:cs="宋体" w:hint="eastAsia"/>
          <w:kern w:val="0"/>
          <w:sz w:val="24"/>
        </w:rPr>
        <w:t>-131</w:t>
      </w:r>
      <w:r w:rsidR="00B83578">
        <w:rPr>
          <w:rFonts w:cs="宋体" w:hint="eastAsia"/>
          <w:kern w:val="0"/>
          <w:sz w:val="24"/>
        </w:rPr>
        <w:t>核素治疗病房的辐射防护与安全管理要求</w:t>
      </w:r>
      <w:r>
        <w:rPr>
          <w:rFonts w:cs="宋体" w:hint="eastAsia"/>
          <w:kern w:val="0"/>
          <w:sz w:val="24"/>
        </w:rPr>
        <w:t>》初稿和编制说明文件</w:t>
      </w:r>
      <w:r>
        <w:rPr>
          <w:rFonts w:cs="宋体" w:hint="eastAsia"/>
          <w:kern w:val="0"/>
          <w:sz w:val="24"/>
        </w:rPr>
        <w:t>。</w:t>
      </w:r>
    </w:p>
    <w:p w:rsidR="00513813" w:rsidRDefault="00AB3F63">
      <w:pPr>
        <w:pStyle w:val="2"/>
        <w:numPr>
          <w:ilvl w:val="0"/>
          <w:numId w:val="0"/>
        </w:numPr>
        <w:spacing w:line="416" w:lineRule="auto"/>
        <w:rPr>
          <w:rFonts w:ascii="黑体" w:eastAsia="黑体" w:hAnsi="黑体" w:cs="黑体"/>
          <w:b w:val="0"/>
          <w:kern w:val="0"/>
          <w:sz w:val="32"/>
        </w:rPr>
      </w:pPr>
      <w:bookmarkStart w:id="21" w:name="_Toc13578"/>
      <w:r>
        <w:rPr>
          <w:rFonts w:ascii="黑体" w:eastAsia="黑体" w:hAnsi="黑体" w:cs="黑体" w:hint="eastAsia"/>
          <w:b w:val="0"/>
          <w:kern w:val="0"/>
          <w:sz w:val="32"/>
        </w:rPr>
        <w:t>3.</w:t>
      </w:r>
      <w:r>
        <w:rPr>
          <w:rFonts w:ascii="黑体" w:eastAsia="黑体" w:hAnsi="黑体" w:cs="黑体" w:hint="eastAsia"/>
          <w:b w:val="0"/>
          <w:kern w:val="0"/>
          <w:sz w:val="32"/>
        </w:rPr>
        <w:t>2</w:t>
      </w:r>
      <w:r>
        <w:rPr>
          <w:rFonts w:ascii="黑体" w:eastAsia="黑体" w:hAnsi="黑体" w:cs="黑体" w:hint="eastAsia"/>
          <w:b w:val="0"/>
          <w:kern w:val="0"/>
          <w:sz w:val="32"/>
        </w:rPr>
        <w:t xml:space="preserve"> </w:t>
      </w:r>
      <w:r>
        <w:rPr>
          <w:rFonts w:ascii="黑体" w:eastAsia="黑体" w:hAnsi="黑体" w:cs="黑体" w:hint="eastAsia"/>
          <w:b w:val="0"/>
          <w:kern w:val="0"/>
          <w:sz w:val="32"/>
        </w:rPr>
        <w:t>成立标准起草工作组</w:t>
      </w:r>
      <w:bookmarkEnd w:id="21"/>
    </w:p>
    <w:p w:rsidR="00513813" w:rsidRDefault="00AB3F63">
      <w:pPr>
        <w:pStyle w:val="af7"/>
        <w:widowControl/>
        <w:spacing w:line="360" w:lineRule="auto"/>
        <w:ind w:firstLine="480"/>
        <w:jc w:val="left"/>
        <w:rPr>
          <w:rFonts w:asciiTheme="minorEastAsia" w:eastAsiaTheme="minorEastAsia" w:hAnsiTheme="minorEastAsia" w:cstheme="minorEastAsia"/>
          <w:sz w:val="24"/>
        </w:rPr>
      </w:pPr>
      <w:r>
        <w:rPr>
          <w:rFonts w:cs="宋体" w:hint="eastAsia"/>
          <w:kern w:val="0"/>
          <w:sz w:val="24"/>
        </w:rPr>
        <w:t>根据任务要求，北京华克智星医疗技术研究院有限公司于</w:t>
      </w:r>
      <w:r>
        <w:rPr>
          <w:rFonts w:cs="宋体" w:hint="eastAsia"/>
          <w:kern w:val="0"/>
          <w:sz w:val="24"/>
        </w:rPr>
        <w:t>2021</w:t>
      </w:r>
      <w:r>
        <w:rPr>
          <w:rFonts w:cs="宋体" w:hint="eastAsia"/>
          <w:kern w:val="0"/>
          <w:sz w:val="24"/>
        </w:rPr>
        <w:t>年</w:t>
      </w:r>
      <w:r>
        <w:rPr>
          <w:rFonts w:cs="宋体" w:hint="eastAsia"/>
          <w:kern w:val="0"/>
          <w:sz w:val="24"/>
        </w:rPr>
        <w:t>5</w:t>
      </w:r>
      <w:r>
        <w:rPr>
          <w:rFonts w:cs="宋体" w:hint="eastAsia"/>
          <w:kern w:val="0"/>
          <w:sz w:val="24"/>
        </w:rPr>
        <w:t>月成立标准编制工作准备小组，筹备标准编制工作。标准编制工作准备小组经近两个月的征集、评审和筛选，最终确定了标准起草工作组的成员，成立了标准起草工作组。</w:t>
      </w:r>
    </w:p>
    <w:p w:rsidR="00513813" w:rsidRDefault="00AB3F63">
      <w:pPr>
        <w:pStyle w:val="2"/>
        <w:numPr>
          <w:ilvl w:val="0"/>
          <w:numId w:val="0"/>
        </w:numPr>
        <w:rPr>
          <w:rFonts w:eastAsia="黑体"/>
          <w:b w:val="0"/>
          <w:bCs w:val="0"/>
          <w:sz w:val="32"/>
        </w:rPr>
      </w:pPr>
      <w:bookmarkStart w:id="22" w:name="_Toc10656"/>
      <w:r>
        <w:rPr>
          <w:rFonts w:eastAsia="黑体" w:hint="eastAsia"/>
          <w:b w:val="0"/>
          <w:bCs w:val="0"/>
          <w:sz w:val="32"/>
        </w:rPr>
        <w:lastRenderedPageBreak/>
        <w:t>3</w:t>
      </w:r>
      <w:r>
        <w:rPr>
          <w:rFonts w:eastAsia="黑体"/>
          <w:b w:val="0"/>
          <w:bCs w:val="0"/>
          <w:sz w:val="32"/>
        </w:rPr>
        <w:t>.</w:t>
      </w:r>
      <w:r>
        <w:rPr>
          <w:rFonts w:eastAsia="黑体" w:hint="eastAsia"/>
          <w:b w:val="0"/>
          <w:bCs w:val="0"/>
          <w:sz w:val="32"/>
        </w:rPr>
        <w:t>3</w:t>
      </w:r>
      <w:r>
        <w:rPr>
          <w:rFonts w:eastAsia="黑体" w:hint="eastAsia"/>
          <w:b w:val="0"/>
          <w:bCs w:val="0"/>
          <w:sz w:val="32"/>
        </w:rPr>
        <w:t>内部研讨</w:t>
      </w:r>
      <w:bookmarkEnd w:id="22"/>
    </w:p>
    <w:p w:rsidR="00513813" w:rsidRDefault="00AB3F63">
      <w:pPr>
        <w:pStyle w:val="af7"/>
        <w:widowControl/>
        <w:spacing w:line="360" w:lineRule="auto"/>
        <w:ind w:firstLine="480"/>
        <w:jc w:val="left"/>
        <w:rPr>
          <w:rFonts w:cs="宋体"/>
          <w:kern w:val="0"/>
          <w:sz w:val="24"/>
        </w:rPr>
      </w:pPr>
      <w:r>
        <w:rPr>
          <w:rFonts w:cs="宋体" w:hint="eastAsia"/>
          <w:kern w:val="0"/>
          <w:sz w:val="24"/>
        </w:rPr>
        <w:t>标准起草工作组制定了标准编制工作计划及编写大纲，同时明确任务分工及各阶段进度时间节点。根据编制计划，标准起草工作组认真学习了</w:t>
      </w:r>
      <w:r>
        <w:rPr>
          <w:rFonts w:cs="宋体" w:hint="eastAsia"/>
          <w:kern w:val="0"/>
          <w:sz w:val="24"/>
        </w:rPr>
        <w:t>GB/T 1.1</w:t>
      </w:r>
      <w:r>
        <w:rPr>
          <w:rFonts w:cs="宋体" w:hint="eastAsia"/>
          <w:kern w:val="0"/>
          <w:sz w:val="24"/>
        </w:rPr>
        <w:t>—</w:t>
      </w:r>
      <w:r>
        <w:rPr>
          <w:rFonts w:cs="宋体" w:hint="eastAsia"/>
          <w:kern w:val="0"/>
          <w:sz w:val="24"/>
        </w:rPr>
        <w:t>2020</w:t>
      </w:r>
      <w:r>
        <w:rPr>
          <w:rFonts w:cs="宋体" w:hint="eastAsia"/>
          <w:kern w:val="0"/>
          <w:sz w:val="24"/>
        </w:rPr>
        <w:t>《标准化工作导则</w:t>
      </w:r>
      <w:r>
        <w:rPr>
          <w:rFonts w:cs="宋体" w:hint="eastAsia"/>
          <w:kern w:val="0"/>
          <w:sz w:val="24"/>
        </w:rPr>
        <w:t xml:space="preserve"> </w:t>
      </w:r>
      <w:r>
        <w:rPr>
          <w:rFonts w:cs="宋体" w:hint="eastAsia"/>
          <w:kern w:val="0"/>
          <w:sz w:val="24"/>
        </w:rPr>
        <w:t>第</w:t>
      </w:r>
      <w:r>
        <w:rPr>
          <w:rFonts w:cs="宋体" w:hint="eastAsia"/>
          <w:kern w:val="0"/>
          <w:sz w:val="24"/>
        </w:rPr>
        <w:t>1</w:t>
      </w:r>
      <w:r>
        <w:rPr>
          <w:rFonts w:cs="宋体" w:hint="eastAsia"/>
          <w:kern w:val="0"/>
          <w:sz w:val="24"/>
        </w:rPr>
        <w:t>部分：标准化文件的结构和起草规则》，结合本次标准制定工作各个环节，进行了探讨和规范。</w:t>
      </w:r>
      <w:r>
        <w:rPr>
          <w:rFonts w:cs="宋体" w:hint="eastAsia"/>
          <w:kern w:val="0"/>
          <w:sz w:val="24"/>
        </w:rPr>
        <w:t xml:space="preserve"> </w:t>
      </w:r>
    </w:p>
    <w:p w:rsidR="00513813" w:rsidRDefault="00AB3F63">
      <w:pPr>
        <w:pStyle w:val="af7"/>
        <w:widowControl/>
        <w:spacing w:line="360" w:lineRule="auto"/>
        <w:ind w:firstLine="480"/>
        <w:jc w:val="left"/>
        <w:rPr>
          <w:rFonts w:cs="宋体"/>
          <w:kern w:val="0"/>
          <w:sz w:val="24"/>
        </w:rPr>
      </w:pPr>
      <w:r>
        <w:rPr>
          <w:rFonts w:cs="宋体" w:hint="eastAsia"/>
          <w:kern w:val="0"/>
          <w:sz w:val="24"/>
        </w:rPr>
        <w:t>标准起草工作组经技术调研、咨询，收集并整理了标准相关资料，同时结合碘</w:t>
      </w:r>
      <w:r>
        <w:rPr>
          <w:rFonts w:cs="宋体" w:hint="eastAsia"/>
          <w:kern w:val="0"/>
          <w:sz w:val="24"/>
        </w:rPr>
        <w:t>-131</w:t>
      </w:r>
      <w:r>
        <w:rPr>
          <w:rFonts w:cs="宋体" w:hint="eastAsia"/>
          <w:kern w:val="0"/>
          <w:sz w:val="24"/>
        </w:rPr>
        <w:t>核素治疗现状及发展趋势，以辐射安全监管处编制的《碘</w:t>
      </w:r>
      <w:r>
        <w:rPr>
          <w:rFonts w:cs="宋体" w:hint="eastAsia"/>
          <w:kern w:val="0"/>
          <w:sz w:val="24"/>
        </w:rPr>
        <w:t>-131</w:t>
      </w:r>
      <w:r>
        <w:rPr>
          <w:rFonts w:cs="宋体" w:hint="eastAsia"/>
          <w:kern w:val="0"/>
          <w:sz w:val="24"/>
        </w:rPr>
        <w:t>核素在核医学治疗中的辐射安全与防护措施调研报告》为主要参考依据，于</w:t>
      </w:r>
      <w:r>
        <w:rPr>
          <w:rFonts w:cs="宋体" w:hint="eastAsia"/>
          <w:kern w:val="0"/>
          <w:sz w:val="24"/>
        </w:rPr>
        <w:t>2021</w:t>
      </w:r>
      <w:r>
        <w:rPr>
          <w:rFonts w:cs="宋体" w:hint="eastAsia"/>
          <w:kern w:val="0"/>
          <w:sz w:val="24"/>
        </w:rPr>
        <w:t>年</w:t>
      </w:r>
      <w:r>
        <w:rPr>
          <w:rFonts w:cs="宋体" w:hint="eastAsia"/>
          <w:kern w:val="0"/>
          <w:sz w:val="24"/>
        </w:rPr>
        <w:t>11</w:t>
      </w:r>
      <w:r>
        <w:rPr>
          <w:rFonts w:cs="宋体" w:hint="eastAsia"/>
          <w:kern w:val="0"/>
          <w:sz w:val="24"/>
        </w:rPr>
        <w:t>月编写完成了地方标准《</w:t>
      </w:r>
      <w:r w:rsidR="00B83578">
        <w:rPr>
          <w:rFonts w:cs="宋体" w:hint="eastAsia"/>
          <w:kern w:val="0"/>
          <w:sz w:val="24"/>
        </w:rPr>
        <w:t>碘</w:t>
      </w:r>
      <w:r w:rsidR="00B83578">
        <w:rPr>
          <w:rFonts w:cs="宋体" w:hint="eastAsia"/>
          <w:kern w:val="0"/>
          <w:sz w:val="24"/>
        </w:rPr>
        <w:t>-131</w:t>
      </w:r>
      <w:r w:rsidR="00B83578">
        <w:rPr>
          <w:rFonts w:cs="宋体" w:hint="eastAsia"/>
          <w:kern w:val="0"/>
          <w:sz w:val="24"/>
        </w:rPr>
        <w:t>核素治疗病房的辐射防护与安全管理要求</w:t>
      </w:r>
      <w:r>
        <w:rPr>
          <w:rFonts w:cs="宋体" w:hint="eastAsia"/>
          <w:kern w:val="0"/>
          <w:sz w:val="24"/>
        </w:rPr>
        <w:t>》的草案。</w:t>
      </w:r>
      <w:r>
        <w:rPr>
          <w:rFonts w:cs="宋体" w:hint="eastAsia"/>
          <w:kern w:val="0"/>
          <w:sz w:val="24"/>
        </w:rPr>
        <w:t>2021</w:t>
      </w:r>
      <w:r>
        <w:rPr>
          <w:rFonts w:cs="宋体" w:hint="eastAsia"/>
          <w:kern w:val="0"/>
          <w:sz w:val="24"/>
        </w:rPr>
        <w:t>年</w:t>
      </w:r>
      <w:r>
        <w:rPr>
          <w:rFonts w:cs="宋体" w:hint="eastAsia"/>
          <w:kern w:val="0"/>
          <w:sz w:val="24"/>
        </w:rPr>
        <w:t>12</w:t>
      </w:r>
      <w:r>
        <w:rPr>
          <w:rFonts w:cs="宋体" w:hint="eastAsia"/>
          <w:kern w:val="0"/>
          <w:sz w:val="24"/>
        </w:rPr>
        <w:t>月</w:t>
      </w:r>
      <w:r>
        <w:rPr>
          <w:rFonts w:cs="宋体" w:hint="eastAsia"/>
          <w:kern w:val="0"/>
          <w:sz w:val="24"/>
        </w:rPr>
        <w:t>21</w:t>
      </w:r>
      <w:r>
        <w:rPr>
          <w:rFonts w:cs="宋体" w:hint="eastAsia"/>
          <w:kern w:val="0"/>
          <w:sz w:val="24"/>
        </w:rPr>
        <w:t>日～</w:t>
      </w:r>
      <w:r>
        <w:rPr>
          <w:rFonts w:cs="宋体" w:hint="eastAsia"/>
          <w:kern w:val="0"/>
          <w:sz w:val="24"/>
        </w:rPr>
        <w:t>12</w:t>
      </w:r>
      <w:r>
        <w:rPr>
          <w:rFonts w:cs="宋体" w:hint="eastAsia"/>
          <w:kern w:val="0"/>
          <w:sz w:val="24"/>
        </w:rPr>
        <w:t>月</w:t>
      </w:r>
      <w:r>
        <w:rPr>
          <w:rFonts w:cs="宋体" w:hint="eastAsia"/>
          <w:kern w:val="0"/>
          <w:sz w:val="24"/>
        </w:rPr>
        <w:t>23</w:t>
      </w:r>
      <w:r>
        <w:rPr>
          <w:rFonts w:cs="宋体" w:hint="eastAsia"/>
          <w:kern w:val="0"/>
          <w:sz w:val="24"/>
        </w:rPr>
        <w:t>日，起草工作组首次工作会议成功召开。</w:t>
      </w:r>
    </w:p>
    <w:p w:rsidR="00513813" w:rsidRDefault="00AB3F63">
      <w:pPr>
        <w:pStyle w:val="af7"/>
        <w:widowControl/>
        <w:spacing w:line="360" w:lineRule="auto"/>
        <w:ind w:firstLine="480"/>
        <w:jc w:val="left"/>
        <w:rPr>
          <w:rFonts w:cs="宋体"/>
          <w:kern w:val="0"/>
          <w:sz w:val="24"/>
        </w:rPr>
      </w:pPr>
      <w:r>
        <w:rPr>
          <w:rFonts w:cs="宋体" w:hint="eastAsia"/>
          <w:kern w:val="0"/>
          <w:sz w:val="24"/>
        </w:rPr>
        <w:t>标准起草工作组针对草案稿进行了认真分析，同时结合现有生态环境及卫生标准以及北京市碘</w:t>
      </w:r>
      <w:r>
        <w:rPr>
          <w:rFonts w:cs="宋体" w:hint="eastAsia"/>
          <w:kern w:val="0"/>
          <w:sz w:val="24"/>
        </w:rPr>
        <w:t>-131</w:t>
      </w:r>
      <w:r>
        <w:rPr>
          <w:rFonts w:cs="宋体" w:hint="eastAsia"/>
          <w:kern w:val="0"/>
          <w:sz w:val="24"/>
        </w:rPr>
        <w:t>应用现状提出具体修改意见，本次修改广泛听取了相关行业专家的意见反馈，经整理后于</w:t>
      </w:r>
      <w:r>
        <w:rPr>
          <w:rFonts w:cs="宋体" w:hint="eastAsia"/>
          <w:kern w:val="0"/>
          <w:sz w:val="24"/>
        </w:rPr>
        <w:t>2022</w:t>
      </w:r>
      <w:r>
        <w:rPr>
          <w:rFonts w:cs="宋体" w:hint="eastAsia"/>
          <w:kern w:val="0"/>
          <w:sz w:val="24"/>
        </w:rPr>
        <w:t>年</w:t>
      </w:r>
      <w:r>
        <w:rPr>
          <w:rFonts w:cs="宋体" w:hint="eastAsia"/>
          <w:kern w:val="0"/>
          <w:sz w:val="24"/>
        </w:rPr>
        <w:t>5</w:t>
      </w:r>
      <w:r>
        <w:rPr>
          <w:rFonts w:cs="宋体" w:hint="eastAsia"/>
          <w:kern w:val="0"/>
          <w:sz w:val="24"/>
        </w:rPr>
        <w:t>月完成了地方标准《</w:t>
      </w:r>
      <w:r w:rsidR="00B83578">
        <w:rPr>
          <w:rFonts w:cs="宋体" w:hint="eastAsia"/>
          <w:kern w:val="0"/>
          <w:sz w:val="24"/>
        </w:rPr>
        <w:t>碘</w:t>
      </w:r>
      <w:r w:rsidR="00B83578">
        <w:rPr>
          <w:rFonts w:cs="宋体" w:hint="eastAsia"/>
          <w:kern w:val="0"/>
          <w:sz w:val="24"/>
        </w:rPr>
        <w:t>-131</w:t>
      </w:r>
      <w:r w:rsidR="00B83578">
        <w:rPr>
          <w:rFonts w:cs="宋体" w:hint="eastAsia"/>
          <w:kern w:val="0"/>
          <w:sz w:val="24"/>
        </w:rPr>
        <w:t>核素治疗病房的辐射防护与安全管理要求</w:t>
      </w:r>
      <w:r>
        <w:rPr>
          <w:rFonts w:cs="宋体" w:hint="eastAsia"/>
          <w:kern w:val="0"/>
          <w:sz w:val="24"/>
        </w:rPr>
        <w:t>》的征求意见稿。</w:t>
      </w:r>
    </w:p>
    <w:p w:rsidR="00513813" w:rsidRDefault="00AB3F63">
      <w:pPr>
        <w:pStyle w:val="af7"/>
        <w:widowControl/>
        <w:spacing w:line="360" w:lineRule="auto"/>
        <w:ind w:firstLineChars="0" w:firstLine="0"/>
        <w:jc w:val="left"/>
        <w:outlineLvl w:val="1"/>
        <w:rPr>
          <w:rFonts w:eastAsia="黑体"/>
          <w:sz w:val="32"/>
          <w:szCs w:val="32"/>
        </w:rPr>
      </w:pPr>
      <w:bookmarkStart w:id="23" w:name="_Toc5539"/>
      <w:r>
        <w:rPr>
          <w:rFonts w:eastAsia="黑体" w:hint="eastAsia"/>
          <w:sz w:val="32"/>
          <w:szCs w:val="32"/>
        </w:rPr>
        <w:t>3.</w:t>
      </w:r>
      <w:r>
        <w:rPr>
          <w:rFonts w:eastAsia="黑体" w:hint="eastAsia"/>
          <w:sz w:val="32"/>
          <w:szCs w:val="32"/>
        </w:rPr>
        <w:t>5</w:t>
      </w:r>
      <w:r>
        <w:rPr>
          <w:rFonts w:eastAsia="黑体" w:hint="eastAsia"/>
          <w:sz w:val="32"/>
          <w:szCs w:val="32"/>
        </w:rPr>
        <w:t>专家咨询会</w:t>
      </w:r>
      <w:bookmarkEnd w:id="23"/>
    </w:p>
    <w:p w:rsidR="00513813" w:rsidRDefault="00AB3F63">
      <w:pPr>
        <w:pStyle w:val="af7"/>
        <w:widowControl/>
        <w:spacing w:line="360" w:lineRule="auto"/>
        <w:ind w:firstLineChars="0" w:firstLine="567"/>
        <w:jc w:val="left"/>
        <w:rPr>
          <w:rFonts w:ascii="仿宋_GB2312" w:eastAsia="仿宋_GB2312" w:hAnsi="宋体"/>
          <w:sz w:val="32"/>
          <w:szCs w:val="32"/>
        </w:rPr>
      </w:pPr>
      <w:r>
        <w:rPr>
          <w:rFonts w:hint="eastAsia"/>
          <w:sz w:val="24"/>
        </w:rPr>
        <w:t>2022</w:t>
      </w:r>
      <w:r>
        <w:rPr>
          <w:rFonts w:hint="eastAsia"/>
          <w:sz w:val="24"/>
        </w:rPr>
        <w:t>年</w:t>
      </w:r>
      <w:r>
        <w:rPr>
          <w:rFonts w:hint="eastAsia"/>
          <w:sz w:val="24"/>
        </w:rPr>
        <w:t>5</w:t>
      </w:r>
      <w:r>
        <w:rPr>
          <w:rFonts w:hint="eastAsia"/>
          <w:sz w:val="24"/>
        </w:rPr>
        <w:t>月</w:t>
      </w:r>
      <w:r>
        <w:rPr>
          <w:rFonts w:hint="eastAsia"/>
          <w:sz w:val="24"/>
        </w:rPr>
        <w:t>26</w:t>
      </w:r>
      <w:r>
        <w:rPr>
          <w:rFonts w:hint="eastAsia"/>
          <w:sz w:val="24"/>
        </w:rPr>
        <w:t>日～</w:t>
      </w:r>
      <w:r>
        <w:rPr>
          <w:rFonts w:hint="eastAsia"/>
          <w:sz w:val="24"/>
        </w:rPr>
        <w:t>5</w:t>
      </w:r>
      <w:r>
        <w:rPr>
          <w:rFonts w:hint="eastAsia"/>
          <w:sz w:val="24"/>
        </w:rPr>
        <w:t>月</w:t>
      </w:r>
      <w:r>
        <w:rPr>
          <w:rFonts w:hint="eastAsia"/>
          <w:sz w:val="24"/>
        </w:rPr>
        <w:t>27</w:t>
      </w:r>
      <w:r>
        <w:rPr>
          <w:rFonts w:hint="eastAsia"/>
          <w:sz w:val="24"/>
        </w:rPr>
        <w:t>日，起草工作组标准意见稿研讨会议成功召开，与会专家对《</w:t>
      </w:r>
      <w:r w:rsidR="00B83578">
        <w:rPr>
          <w:rFonts w:hint="eastAsia"/>
          <w:sz w:val="24"/>
        </w:rPr>
        <w:t>碘</w:t>
      </w:r>
      <w:r w:rsidR="00B83578">
        <w:rPr>
          <w:rFonts w:hint="eastAsia"/>
          <w:sz w:val="24"/>
        </w:rPr>
        <w:t>-131</w:t>
      </w:r>
      <w:r w:rsidR="00B83578">
        <w:rPr>
          <w:rFonts w:hint="eastAsia"/>
          <w:sz w:val="24"/>
        </w:rPr>
        <w:t>核素治疗病房的辐射防护与安全管理要求</w:t>
      </w:r>
      <w:r>
        <w:rPr>
          <w:rFonts w:hint="eastAsia"/>
          <w:sz w:val="24"/>
        </w:rPr>
        <w:t>》征求意见稿的内容条款及技术指标进行了逐条研讨，对标准制定中遇到的相关问题进行了深入交流并达成共识，确定了标准征求意见稿的</w:t>
      </w:r>
      <w:r>
        <w:rPr>
          <w:rFonts w:hint="eastAsia"/>
          <w:sz w:val="24"/>
        </w:rPr>
        <w:t>最终</w:t>
      </w:r>
      <w:r>
        <w:rPr>
          <w:rFonts w:hint="eastAsia"/>
          <w:sz w:val="24"/>
        </w:rPr>
        <w:t>内容。</w:t>
      </w:r>
    </w:p>
    <w:p w:rsidR="00513813" w:rsidRDefault="00AB3F63">
      <w:pPr>
        <w:pStyle w:val="1"/>
      </w:pPr>
      <w:bookmarkStart w:id="24" w:name="_Toc26550"/>
      <w:bookmarkStart w:id="25" w:name="_Toc103617113"/>
      <w:r>
        <w:rPr>
          <w:rFonts w:hint="eastAsia"/>
        </w:rPr>
        <w:t xml:space="preserve">4 </w:t>
      </w:r>
      <w:r>
        <w:rPr>
          <w:rFonts w:hint="eastAsia"/>
        </w:rPr>
        <w:t>碘</w:t>
      </w:r>
      <w:r>
        <w:rPr>
          <w:rFonts w:hint="eastAsia"/>
        </w:rPr>
        <w:t>-131</w:t>
      </w:r>
      <w:r>
        <w:rPr>
          <w:rFonts w:hint="eastAsia"/>
        </w:rPr>
        <w:t>核素治疗病房相关的核医学现状</w:t>
      </w:r>
      <w:bookmarkEnd w:id="24"/>
    </w:p>
    <w:p w:rsidR="00513813" w:rsidRDefault="00AB3F63">
      <w:pPr>
        <w:pStyle w:val="af7"/>
        <w:widowControl/>
        <w:spacing w:line="360" w:lineRule="auto"/>
        <w:ind w:firstLine="480"/>
        <w:rPr>
          <w:rFonts w:cs="宋体"/>
          <w:kern w:val="0"/>
          <w:sz w:val="24"/>
        </w:rPr>
      </w:pPr>
      <w:r>
        <w:rPr>
          <w:rFonts w:cs="宋体" w:hint="eastAsia"/>
          <w:kern w:val="0"/>
          <w:sz w:val="24"/>
        </w:rPr>
        <w:t>随着核医学技术的发展，放射性核素碘</w:t>
      </w:r>
      <w:r>
        <w:rPr>
          <w:rFonts w:cs="宋体" w:hint="eastAsia"/>
          <w:kern w:val="0"/>
          <w:sz w:val="24"/>
        </w:rPr>
        <w:t>-131</w:t>
      </w:r>
      <w:r>
        <w:rPr>
          <w:rFonts w:cs="宋体" w:hint="eastAsia"/>
          <w:kern w:val="0"/>
          <w:sz w:val="24"/>
        </w:rPr>
        <w:t>在甲状腺癌、甲亢等诊断和治疗方面发挥着不可或缺的作用，世界范围内已将碘</w:t>
      </w:r>
      <w:r>
        <w:rPr>
          <w:rFonts w:cs="宋体" w:hint="eastAsia"/>
          <w:kern w:val="0"/>
          <w:sz w:val="24"/>
        </w:rPr>
        <w:t>-131</w:t>
      </w:r>
      <w:r>
        <w:rPr>
          <w:rFonts w:cs="宋体" w:hint="eastAsia"/>
          <w:kern w:val="0"/>
          <w:sz w:val="24"/>
        </w:rPr>
        <w:t>作为治疗治疗甲癌、甲状腺功能亢进症</w:t>
      </w:r>
      <w:r>
        <w:rPr>
          <w:rFonts w:cs="宋体" w:hint="eastAsia"/>
          <w:kern w:val="0"/>
          <w:sz w:val="24"/>
        </w:rPr>
        <w:t>(</w:t>
      </w:r>
      <w:r>
        <w:rPr>
          <w:rFonts w:cs="宋体" w:hint="eastAsia"/>
          <w:kern w:val="0"/>
          <w:sz w:val="24"/>
        </w:rPr>
        <w:t>甲亢</w:t>
      </w:r>
      <w:r>
        <w:rPr>
          <w:rFonts w:cs="宋体" w:hint="eastAsia"/>
          <w:kern w:val="0"/>
          <w:sz w:val="24"/>
        </w:rPr>
        <w:t>)</w:t>
      </w:r>
      <w:r>
        <w:rPr>
          <w:rFonts w:cs="宋体" w:hint="eastAsia"/>
          <w:kern w:val="0"/>
          <w:sz w:val="24"/>
        </w:rPr>
        <w:t>等疾病的首选核素。然而，服药后的病人，成了活体“放射源”，</w:t>
      </w:r>
      <w:proofErr w:type="gramStart"/>
      <w:r>
        <w:rPr>
          <w:rFonts w:cs="宋体" w:hint="eastAsia"/>
          <w:kern w:val="0"/>
          <w:sz w:val="24"/>
        </w:rPr>
        <w:t>且碘</w:t>
      </w:r>
      <w:proofErr w:type="gramEnd"/>
      <w:r>
        <w:rPr>
          <w:rFonts w:cs="宋体" w:hint="eastAsia"/>
          <w:kern w:val="0"/>
          <w:sz w:val="24"/>
        </w:rPr>
        <w:t>-131</w:t>
      </w:r>
      <w:r>
        <w:rPr>
          <w:rFonts w:cs="宋体" w:hint="eastAsia"/>
          <w:kern w:val="0"/>
          <w:sz w:val="24"/>
        </w:rPr>
        <w:t>核素具有易挥发、物理半衰期较长等特性，其产生的γ射线及病人的排泄物和呼出气体等，均可能对周围公众和环境产生辐射影响。因此，碘</w:t>
      </w:r>
      <w:r>
        <w:rPr>
          <w:rFonts w:cs="宋体" w:hint="eastAsia"/>
          <w:kern w:val="0"/>
          <w:sz w:val="24"/>
        </w:rPr>
        <w:t>-131</w:t>
      </w:r>
      <w:r>
        <w:rPr>
          <w:rFonts w:cs="宋体" w:hint="eastAsia"/>
          <w:kern w:val="0"/>
          <w:sz w:val="24"/>
        </w:rPr>
        <w:t>医学应用的辐射安全和防护一直是辐射安全监管的重要内容。</w:t>
      </w:r>
    </w:p>
    <w:p w:rsidR="00513813" w:rsidRDefault="00AB3F63">
      <w:pPr>
        <w:pStyle w:val="af7"/>
        <w:widowControl/>
        <w:spacing w:line="360" w:lineRule="auto"/>
        <w:ind w:firstLine="480"/>
        <w:rPr>
          <w:rFonts w:cs="宋体"/>
          <w:kern w:val="0"/>
          <w:sz w:val="24"/>
        </w:rPr>
      </w:pPr>
      <w:r>
        <w:rPr>
          <w:rFonts w:cs="宋体" w:hint="eastAsia"/>
          <w:kern w:val="0"/>
          <w:sz w:val="24"/>
        </w:rPr>
        <w:lastRenderedPageBreak/>
        <w:t>碘</w:t>
      </w:r>
      <w:r>
        <w:rPr>
          <w:rFonts w:cs="宋体" w:hint="eastAsia"/>
          <w:kern w:val="0"/>
          <w:sz w:val="24"/>
        </w:rPr>
        <w:t>-131</w:t>
      </w:r>
      <w:r>
        <w:rPr>
          <w:rFonts w:cs="宋体" w:hint="eastAsia"/>
          <w:kern w:val="0"/>
          <w:sz w:val="24"/>
        </w:rPr>
        <w:t>为核医学应用带来诊疗利益的同时，也会由于其产生的电离辐射和放射性“三废”对人员和环</w:t>
      </w:r>
      <w:r>
        <w:rPr>
          <w:rFonts w:cs="宋体" w:hint="eastAsia"/>
          <w:kern w:val="0"/>
          <w:sz w:val="24"/>
        </w:rPr>
        <w:t>境造成影响，成为辐射安全监管的重点。核医学使用放射性药物过程向外环境的释放量中锝</w:t>
      </w:r>
      <w:r>
        <w:rPr>
          <w:rFonts w:cs="宋体" w:hint="eastAsia"/>
          <w:kern w:val="0"/>
          <w:sz w:val="24"/>
        </w:rPr>
        <w:t xml:space="preserve">-99m </w:t>
      </w:r>
      <w:r>
        <w:rPr>
          <w:rFonts w:cs="宋体" w:hint="eastAsia"/>
          <w:kern w:val="0"/>
          <w:sz w:val="24"/>
        </w:rPr>
        <w:t>的份额最大，但由于它较短的半衰期，因此对环境的影响显得不那么重要，碘</w:t>
      </w:r>
      <w:r>
        <w:rPr>
          <w:rFonts w:cs="宋体" w:hint="eastAsia"/>
          <w:kern w:val="0"/>
          <w:sz w:val="24"/>
        </w:rPr>
        <w:t xml:space="preserve">-131 </w:t>
      </w:r>
      <w:r>
        <w:rPr>
          <w:rFonts w:cs="宋体" w:hint="eastAsia"/>
          <w:kern w:val="0"/>
          <w:sz w:val="24"/>
        </w:rPr>
        <w:t>作为治疗甲状腺功能亢进、分化</w:t>
      </w:r>
      <w:proofErr w:type="gramStart"/>
      <w:r>
        <w:rPr>
          <w:rFonts w:cs="宋体" w:hint="eastAsia"/>
          <w:kern w:val="0"/>
          <w:sz w:val="24"/>
        </w:rPr>
        <w:t>型甲癌以及</w:t>
      </w:r>
      <w:proofErr w:type="gramEnd"/>
      <w:r>
        <w:rPr>
          <w:rFonts w:cs="宋体" w:hint="eastAsia"/>
          <w:kern w:val="0"/>
          <w:sz w:val="24"/>
        </w:rPr>
        <w:t>甲状腺癌转移灶的首选放射性治疗药物，在临床核医学的治疗领域占有很大的份额，而且向外环境的排放量仅次于锝</w:t>
      </w:r>
      <w:r>
        <w:rPr>
          <w:rFonts w:cs="宋体" w:hint="eastAsia"/>
          <w:kern w:val="0"/>
          <w:sz w:val="24"/>
        </w:rPr>
        <w:t>-99m</w:t>
      </w:r>
      <w:r>
        <w:rPr>
          <w:rFonts w:cs="宋体" w:hint="eastAsia"/>
          <w:kern w:val="0"/>
          <w:sz w:val="24"/>
        </w:rPr>
        <w:t>，</w:t>
      </w:r>
      <w:r>
        <w:rPr>
          <w:rFonts w:cs="宋体" w:hint="eastAsia"/>
          <w:kern w:val="0"/>
          <w:sz w:val="24"/>
        </w:rPr>
        <w:t>ICRP</w:t>
      </w:r>
      <w:r>
        <w:rPr>
          <w:rFonts w:cs="宋体" w:hint="eastAsia"/>
          <w:kern w:val="0"/>
          <w:sz w:val="24"/>
        </w:rPr>
        <w:t>（国际放射防护委员会）第</w:t>
      </w:r>
      <w:r>
        <w:rPr>
          <w:rFonts w:cs="宋体" w:hint="eastAsia"/>
          <w:kern w:val="0"/>
          <w:sz w:val="24"/>
        </w:rPr>
        <w:t>94</w:t>
      </w:r>
      <w:r>
        <w:rPr>
          <w:rFonts w:cs="宋体" w:hint="eastAsia"/>
          <w:kern w:val="0"/>
          <w:sz w:val="24"/>
        </w:rPr>
        <w:t>号出版物的研究报告指出摄入放射性核素患者中甲亢、</w:t>
      </w:r>
      <w:proofErr w:type="gramStart"/>
      <w:r>
        <w:rPr>
          <w:rFonts w:cs="宋体" w:hint="eastAsia"/>
          <w:kern w:val="0"/>
          <w:sz w:val="24"/>
        </w:rPr>
        <w:t>甲癌的</w:t>
      </w:r>
      <w:proofErr w:type="gramEnd"/>
      <w:r>
        <w:rPr>
          <w:rFonts w:cs="宋体" w:hint="eastAsia"/>
          <w:kern w:val="0"/>
          <w:sz w:val="24"/>
        </w:rPr>
        <w:t>放射性碘治疗对公众和家属的照射是主要的照射源。</w:t>
      </w:r>
    </w:p>
    <w:p w:rsidR="00513813" w:rsidRDefault="00513813"/>
    <w:p w:rsidR="00513813" w:rsidRDefault="00AB3F63">
      <w:pPr>
        <w:pStyle w:val="2"/>
        <w:numPr>
          <w:ilvl w:val="0"/>
          <w:numId w:val="0"/>
        </w:numPr>
        <w:spacing w:line="416" w:lineRule="auto"/>
        <w:rPr>
          <w:rFonts w:ascii="黑体" w:eastAsia="黑体" w:hAnsi="黑体" w:cs="黑体"/>
          <w:b w:val="0"/>
          <w:kern w:val="0"/>
          <w:sz w:val="32"/>
        </w:rPr>
      </w:pPr>
      <w:bookmarkStart w:id="26" w:name="_Toc5333"/>
      <w:r>
        <w:rPr>
          <w:rFonts w:ascii="黑体" w:eastAsia="黑体" w:hAnsi="黑体" w:cs="黑体" w:hint="eastAsia"/>
          <w:b w:val="0"/>
          <w:kern w:val="0"/>
          <w:sz w:val="32"/>
        </w:rPr>
        <w:t>4.1</w:t>
      </w:r>
      <w:r>
        <w:rPr>
          <w:rFonts w:ascii="黑体" w:eastAsia="黑体" w:hAnsi="黑体" w:cs="黑体" w:hint="eastAsia"/>
          <w:b w:val="0"/>
          <w:kern w:val="0"/>
          <w:sz w:val="32"/>
        </w:rPr>
        <w:t>北京市医疗机构开展碘</w:t>
      </w:r>
      <w:r>
        <w:rPr>
          <w:rFonts w:ascii="黑体" w:eastAsia="黑体" w:hAnsi="黑体" w:cs="黑体" w:hint="eastAsia"/>
          <w:b w:val="0"/>
          <w:kern w:val="0"/>
          <w:sz w:val="32"/>
        </w:rPr>
        <w:t>-131</w:t>
      </w:r>
      <w:r>
        <w:rPr>
          <w:rFonts w:ascii="黑体" w:eastAsia="黑体" w:hAnsi="黑体" w:cs="黑体" w:hint="eastAsia"/>
          <w:b w:val="0"/>
          <w:kern w:val="0"/>
          <w:sz w:val="32"/>
        </w:rPr>
        <w:t>核素治疗病房情况</w:t>
      </w:r>
      <w:bookmarkEnd w:id="26"/>
    </w:p>
    <w:p w:rsidR="00513813" w:rsidRDefault="00AB3F63">
      <w:pPr>
        <w:spacing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根</w:t>
      </w:r>
      <w:r>
        <w:rPr>
          <w:rFonts w:asciiTheme="minorEastAsia" w:eastAsiaTheme="minorEastAsia" w:hAnsiTheme="minorEastAsia" w:cstheme="minorEastAsia" w:hint="eastAsia"/>
          <w:kern w:val="0"/>
          <w:sz w:val="24"/>
        </w:rPr>
        <w:t>据调查截至</w:t>
      </w:r>
      <w:r>
        <w:rPr>
          <w:rFonts w:asciiTheme="minorEastAsia" w:eastAsiaTheme="minorEastAsia" w:hAnsiTheme="minorEastAsia" w:cstheme="minorEastAsia" w:hint="eastAsia"/>
          <w:kern w:val="0"/>
          <w:sz w:val="24"/>
        </w:rPr>
        <w:t>2023</w:t>
      </w:r>
      <w:r>
        <w:rPr>
          <w:rFonts w:asciiTheme="minorEastAsia" w:eastAsiaTheme="minorEastAsia" w:hAnsiTheme="minorEastAsia" w:cstheme="minorEastAsia" w:hint="eastAsia"/>
          <w:kern w:val="0"/>
          <w:sz w:val="24"/>
        </w:rPr>
        <w:t>年</w:t>
      </w: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月北京市开展核医学科的医疗机构共</w:t>
      </w:r>
      <w:r>
        <w:rPr>
          <w:rFonts w:asciiTheme="minorEastAsia" w:eastAsiaTheme="minorEastAsia" w:hAnsiTheme="minorEastAsia" w:cstheme="minorEastAsia" w:hint="eastAsia"/>
          <w:kern w:val="0"/>
          <w:sz w:val="24"/>
        </w:rPr>
        <w:t>42</w:t>
      </w:r>
      <w:r>
        <w:rPr>
          <w:rFonts w:asciiTheme="minorEastAsia" w:eastAsiaTheme="minorEastAsia" w:hAnsiTheme="minorEastAsia" w:cstheme="minorEastAsia" w:hint="eastAsia"/>
          <w:kern w:val="0"/>
          <w:sz w:val="24"/>
        </w:rPr>
        <w:t>家，其中只有</w:t>
      </w:r>
      <w:r>
        <w:rPr>
          <w:rFonts w:asciiTheme="minorEastAsia" w:eastAsiaTheme="minorEastAsia" w:hAnsiTheme="minorEastAsia" w:cstheme="minorEastAsia" w:hint="eastAsia"/>
          <w:kern w:val="0"/>
          <w:sz w:val="24"/>
        </w:rPr>
        <w:t>7</w:t>
      </w:r>
      <w:r>
        <w:rPr>
          <w:rFonts w:asciiTheme="minorEastAsia" w:eastAsiaTheme="minorEastAsia" w:hAnsiTheme="minorEastAsia" w:cstheme="minorEastAsia" w:hint="eastAsia"/>
          <w:kern w:val="0"/>
          <w:sz w:val="24"/>
        </w:rPr>
        <w:t>家医疗机构通过管理部门审批开展碘</w:t>
      </w:r>
      <w:r>
        <w:rPr>
          <w:rFonts w:asciiTheme="minorEastAsia" w:eastAsiaTheme="minorEastAsia" w:hAnsiTheme="minorEastAsia" w:cstheme="minorEastAsia" w:hint="eastAsia"/>
          <w:kern w:val="0"/>
          <w:sz w:val="24"/>
        </w:rPr>
        <w:t>-131</w:t>
      </w:r>
      <w:r>
        <w:rPr>
          <w:rFonts w:asciiTheme="minorEastAsia" w:eastAsiaTheme="minorEastAsia" w:hAnsiTheme="minorEastAsia" w:cstheme="minorEastAsia" w:hint="eastAsia"/>
          <w:kern w:val="0"/>
          <w:sz w:val="24"/>
        </w:rPr>
        <w:t>核素治疗病房工作，并且只有</w:t>
      </w:r>
      <w:r>
        <w:rPr>
          <w:rFonts w:asciiTheme="minorEastAsia" w:eastAsiaTheme="minorEastAsia" w:hAnsiTheme="minorEastAsia" w:cstheme="minorEastAsia" w:hint="eastAsia"/>
          <w:kern w:val="0"/>
          <w:sz w:val="24"/>
        </w:rPr>
        <w:t>4</w:t>
      </w:r>
      <w:r>
        <w:rPr>
          <w:rFonts w:asciiTheme="minorEastAsia" w:eastAsiaTheme="minorEastAsia" w:hAnsiTheme="minorEastAsia" w:cstheme="minorEastAsia" w:hint="eastAsia"/>
          <w:kern w:val="0"/>
          <w:sz w:val="24"/>
        </w:rPr>
        <w:t>家医疗机构正在开展治疗。北京市作为中国政治文化经济中心承接了全国各地的患者的诊疗工作，核医学碘</w:t>
      </w:r>
      <w:r>
        <w:rPr>
          <w:rFonts w:asciiTheme="minorEastAsia" w:eastAsiaTheme="minorEastAsia" w:hAnsiTheme="minorEastAsia" w:cstheme="minorEastAsia" w:hint="eastAsia"/>
          <w:kern w:val="0"/>
          <w:sz w:val="24"/>
        </w:rPr>
        <w:t>-131</w:t>
      </w:r>
      <w:r>
        <w:rPr>
          <w:rFonts w:asciiTheme="minorEastAsia" w:eastAsiaTheme="minorEastAsia" w:hAnsiTheme="minorEastAsia" w:cstheme="minorEastAsia" w:hint="eastAsia"/>
          <w:kern w:val="0"/>
          <w:sz w:val="24"/>
        </w:rPr>
        <w:t>核素治疗工作发展潜力巨大，各医疗机构</w:t>
      </w:r>
      <w:proofErr w:type="gramStart"/>
      <w:r>
        <w:rPr>
          <w:rFonts w:asciiTheme="minorEastAsia" w:eastAsiaTheme="minorEastAsia" w:hAnsiTheme="minorEastAsia" w:cstheme="minorEastAsia" w:hint="eastAsia"/>
          <w:kern w:val="0"/>
          <w:sz w:val="24"/>
        </w:rPr>
        <w:t>核医学科碘</w:t>
      </w:r>
      <w:proofErr w:type="gramEnd"/>
      <w:r>
        <w:rPr>
          <w:rFonts w:asciiTheme="minorEastAsia" w:eastAsiaTheme="minorEastAsia" w:hAnsiTheme="minorEastAsia" w:cstheme="minorEastAsia" w:hint="eastAsia"/>
          <w:kern w:val="0"/>
          <w:sz w:val="24"/>
        </w:rPr>
        <w:t>-131</w:t>
      </w:r>
      <w:r>
        <w:rPr>
          <w:rFonts w:asciiTheme="minorEastAsia" w:eastAsiaTheme="minorEastAsia" w:hAnsiTheme="minorEastAsia" w:cstheme="minorEastAsia" w:hint="eastAsia"/>
          <w:kern w:val="0"/>
          <w:sz w:val="24"/>
        </w:rPr>
        <w:t>核素治疗病房未来建设会逐步增多，碘</w:t>
      </w:r>
      <w:r>
        <w:rPr>
          <w:rFonts w:asciiTheme="minorEastAsia" w:eastAsiaTheme="minorEastAsia" w:hAnsiTheme="minorEastAsia" w:cstheme="minorEastAsia" w:hint="eastAsia"/>
          <w:kern w:val="0"/>
          <w:sz w:val="24"/>
        </w:rPr>
        <w:t>-131</w:t>
      </w:r>
      <w:r>
        <w:rPr>
          <w:rFonts w:asciiTheme="minorEastAsia" w:eastAsiaTheme="minorEastAsia" w:hAnsiTheme="minorEastAsia" w:cstheme="minorEastAsia" w:hint="eastAsia"/>
          <w:kern w:val="0"/>
          <w:sz w:val="24"/>
        </w:rPr>
        <w:t>核素用量会迅速增长，一方面使用放射性放射性药品的患者增多，使用放射性药品的患者活动范围广。另一方面这些医疗机构大都位于交通便利的市区周围环境较为复杂，而且目前北京的大型活动逐</w:t>
      </w:r>
      <w:r>
        <w:rPr>
          <w:rFonts w:asciiTheme="minorEastAsia" w:eastAsiaTheme="minorEastAsia" w:hAnsiTheme="minorEastAsia" w:cstheme="minorEastAsia" w:hint="eastAsia"/>
          <w:kern w:val="0"/>
          <w:sz w:val="24"/>
        </w:rPr>
        <w:t>年增多。碘</w:t>
      </w:r>
      <w:r>
        <w:rPr>
          <w:rFonts w:asciiTheme="minorEastAsia" w:eastAsiaTheme="minorEastAsia" w:hAnsiTheme="minorEastAsia" w:cstheme="minorEastAsia" w:hint="eastAsia"/>
          <w:kern w:val="0"/>
          <w:sz w:val="24"/>
        </w:rPr>
        <w:t>-131</w:t>
      </w:r>
      <w:r>
        <w:rPr>
          <w:rFonts w:asciiTheme="minorEastAsia" w:eastAsiaTheme="minorEastAsia" w:hAnsiTheme="minorEastAsia" w:cstheme="minorEastAsia" w:hint="eastAsia"/>
          <w:kern w:val="0"/>
          <w:sz w:val="24"/>
        </w:rPr>
        <w:t>核素为核医学应用带来诊疗利益的同时，也会由于其产生的电离辐射和放射性“三废”对人员和环境造成影响，成为辐射安全监管的重点。</w:t>
      </w:r>
    </w:p>
    <w:p w:rsidR="00513813" w:rsidRDefault="00AB3F63">
      <w:pPr>
        <w:pStyle w:val="2"/>
        <w:numPr>
          <w:ilvl w:val="0"/>
          <w:numId w:val="0"/>
        </w:numPr>
        <w:spacing w:line="416" w:lineRule="auto"/>
        <w:rPr>
          <w:rFonts w:ascii="黑体" w:eastAsia="黑体" w:hAnsi="黑体" w:cs="黑体"/>
          <w:b w:val="0"/>
          <w:kern w:val="0"/>
          <w:sz w:val="32"/>
        </w:rPr>
      </w:pPr>
      <w:bookmarkStart w:id="27" w:name="_Toc12898"/>
      <w:r>
        <w:rPr>
          <w:rFonts w:ascii="黑体" w:eastAsia="黑体" w:hAnsi="黑体" w:cs="黑体" w:hint="eastAsia"/>
          <w:b w:val="0"/>
          <w:kern w:val="0"/>
          <w:sz w:val="32"/>
        </w:rPr>
        <w:t>4.2</w:t>
      </w:r>
      <w:r>
        <w:rPr>
          <w:rFonts w:ascii="黑体" w:eastAsia="黑体" w:hAnsi="黑体" w:cs="黑体" w:hint="eastAsia"/>
          <w:b w:val="0"/>
          <w:kern w:val="0"/>
          <w:sz w:val="32"/>
        </w:rPr>
        <w:t>北京市某医疗机构开展碘</w:t>
      </w:r>
      <w:r>
        <w:rPr>
          <w:rFonts w:ascii="黑体" w:eastAsia="黑体" w:hAnsi="黑体" w:cs="黑体" w:hint="eastAsia"/>
          <w:b w:val="0"/>
          <w:kern w:val="0"/>
          <w:sz w:val="32"/>
        </w:rPr>
        <w:t>-131</w:t>
      </w:r>
      <w:r>
        <w:rPr>
          <w:rFonts w:ascii="黑体" w:eastAsia="黑体" w:hAnsi="黑体" w:cs="黑体" w:hint="eastAsia"/>
          <w:b w:val="0"/>
          <w:kern w:val="0"/>
          <w:sz w:val="32"/>
        </w:rPr>
        <w:t>核素治疗病房情况调研工作</w:t>
      </w:r>
      <w:bookmarkEnd w:id="27"/>
    </w:p>
    <w:p w:rsidR="00513813" w:rsidRDefault="00AB3F63">
      <w:pPr>
        <w:rPr>
          <w:rFonts w:ascii="宋体" w:hAnsi="宋体" w:cs="宋体"/>
          <w:b/>
          <w:bCs/>
          <w:sz w:val="24"/>
        </w:rPr>
      </w:pPr>
      <w:r>
        <w:rPr>
          <w:rFonts w:ascii="宋体" w:hAnsi="宋体" w:cs="宋体" w:hint="eastAsia"/>
          <w:b/>
          <w:bCs/>
          <w:sz w:val="24"/>
        </w:rPr>
        <w:t>4</w:t>
      </w:r>
      <w:r>
        <w:rPr>
          <w:rFonts w:ascii="宋体" w:hAnsi="宋体" w:cs="宋体" w:hint="eastAsia"/>
          <w:b/>
          <w:bCs/>
          <w:sz w:val="24"/>
        </w:rPr>
        <w:t>.</w:t>
      </w:r>
      <w:r>
        <w:rPr>
          <w:rFonts w:ascii="宋体" w:hAnsi="宋体" w:cs="宋体" w:hint="eastAsia"/>
          <w:b/>
          <w:bCs/>
          <w:sz w:val="24"/>
        </w:rPr>
        <w:t>2</w:t>
      </w:r>
      <w:r>
        <w:rPr>
          <w:rFonts w:ascii="宋体" w:hAnsi="宋体" w:cs="宋体" w:hint="eastAsia"/>
          <w:b/>
          <w:bCs/>
          <w:sz w:val="24"/>
        </w:rPr>
        <w:t>.1</w:t>
      </w:r>
      <w:r>
        <w:rPr>
          <w:rFonts w:ascii="宋体" w:hAnsi="宋体" w:cs="宋体" w:hint="eastAsia"/>
          <w:b/>
          <w:bCs/>
          <w:sz w:val="24"/>
        </w:rPr>
        <w:t>调研碘</w:t>
      </w:r>
      <w:r>
        <w:rPr>
          <w:rFonts w:ascii="宋体" w:hAnsi="宋体" w:cs="宋体" w:hint="eastAsia"/>
          <w:b/>
          <w:bCs/>
          <w:sz w:val="24"/>
        </w:rPr>
        <w:t>-131</w:t>
      </w:r>
      <w:r>
        <w:rPr>
          <w:rFonts w:ascii="宋体" w:hAnsi="宋体" w:cs="宋体" w:hint="eastAsia"/>
          <w:b/>
          <w:bCs/>
          <w:sz w:val="24"/>
        </w:rPr>
        <w:t>核素特性</w:t>
      </w:r>
    </w:p>
    <w:p w:rsidR="00513813" w:rsidRDefault="00AB3F63">
      <w:pPr>
        <w:autoSpaceDE w:val="0"/>
        <w:autoSpaceDN w:val="0"/>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碘是人体必需的微量元素之一，健康成人体内的碘的总量为</w:t>
      </w:r>
      <w:r>
        <w:rPr>
          <w:rFonts w:asciiTheme="minorEastAsia" w:eastAsiaTheme="minorEastAsia" w:hAnsiTheme="minorEastAsia" w:cstheme="minorEastAsia" w:hint="eastAsia"/>
          <w:sz w:val="24"/>
        </w:rPr>
        <w:t>30mg(20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50mg)</w:t>
      </w:r>
      <w:r>
        <w:rPr>
          <w:rFonts w:asciiTheme="minorEastAsia" w:eastAsiaTheme="minorEastAsia" w:hAnsiTheme="minorEastAsia" w:cstheme="minorEastAsia" w:hint="eastAsia"/>
          <w:sz w:val="24"/>
        </w:rPr>
        <w:t>，其中</w:t>
      </w:r>
      <w:r>
        <w:rPr>
          <w:rFonts w:asciiTheme="minorEastAsia" w:eastAsiaTheme="minorEastAsia" w:hAnsiTheme="minorEastAsia" w:cstheme="minorEastAsia" w:hint="eastAsia"/>
          <w:sz w:val="24"/>
        </w:rPr>
        <w:t>70%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80%</w:t>
      </w:r>
      <w:r>
        <w:rPr>
          <w:rFonts w:asciiTheme="minorEastAsia" w:eastAsiaTheme="minorEastAsia" w:hAnsiTheme="minorEastAsia" w:cstheme="minorEastAsia" w:hint="eastAsia"/>
          <w:sz w:val="24"/>
        </w:rPr>
        <w:t>存在于甲状腺。碘</w:t>
      </w:r>
      <w:r>
        <w:rPr>
          <w:rFonts w:asciiTheme="minorEastAsia" w:eastAsiaTheme="minorEastAsia" w:hAnsiTheme="minorEastAsia" w:cstheme="minorEastAsia" w:hint="eastAsia"/>
          <w:sz w:val="24"/>
        </w:rPr>
        <w:t>-131(IodIne-131)</w:t>
      </w:r>
      <w:r>
        <w:rPr>
          <w:rFonts w:asciiTheme="minorEastAsia" w:eastAsiaTheme="minorEastAsia" w:hAnsiTheme="minorEastAsia" w:cstheme="minorEastAsia" w:hint="eastAsia"/>
          <w:sz w:val="24"/>
        </w:rPr>
        <w:t>，也称放射性碘</w:t>
      </w:r>
      <w:r>
        <w:rPr>
          <w:rFonts w:asciiTheme="minorEastAsia" w:eastAsiaTheme="minorEastAsia" w:hAnsiTheme="minorEastAsia" w:cstheme="minorEastAsia" w:hint="eastAsia"/>
          <w:sz w:val="24"/>
        </w:rPr>
        <w:t>(Radioiodine)</w:t>
      </w:r>
      <w:r>
        <w:rPr>
          <w:rFonts w:asciiTheme="minorEastAsia" w:eastAsiaTheme="minorEastAsia" w:hAnsiTheme="minorEastAsia" w:cstheme="minorEastAsia" w:hint="eastAsia"/>
          <w:sz w:val="24"/>
        </w:rPr>
        <w:t>，是碘的一种同位素。原子核内有</w:t>
      </w:r>
      <w:r>
        <w:rPr>
          <w:rFonts w:asciiTheme="minorEastAsia" w:eastAsiaTheme="minorEastAsia" w:hAnsiTheme="minorEastAsia" w:cstheme="minorEastAsia" w:hint="eastAsia"/>
          <w:sz w:val="24"/>
        </w:rPr>
        <w:t>78</w:t>
      </w:r>
      <w:r>
        <w:rPr>
          <w:rFonts w:asciiTheme="minorEastAsia" w:eastAsiaTheme="minorEastAsia" w:hAnsiTheme="minorEastAsia" w:cstheme="minorEastAsia" w:hint="eastAsia"/>
          <w:sz w:val="24"/>
        </w:rPr>
        <w:t>个中子，比碘的稳定性核素原子核的中子数多</w:t>
      </w:r>
      <w:r>
        <w:rPr>
          <w:rFonts w:asciiTheme="minorEastAsia" w:eastAsiaTheme="minorEastAsia" w:hAnsiTheme="minorEastAsia" w:cstheme="minorEastAsia" w:hint="eastAsia"/>
          <w:sz w:val="24"/>
        </w:rPr>
        <w:lastRenderedPageBreak/>
        <w:t>4</w:t>
      </w:r>
      <w:r>
        <w:rPr>
          <w:rFonts w:asciiTheme="minorEastAsia" w:eastAsiaTheme="minorEastAsia" w:hAnsiTheme="minorEastAsia" w:cstheme="minorEastAsia" w:hint="eastAsia"/>
          <w:sz w:val="24"/>
        </w:rPr>
        <w:t>个。碘</w:t>
      </w: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是β衰变核素，发射β射线（</w:t>
      </w:r>
      <w:r>
        <w:rPr>
          <w:rFonts w:asciiTheme="minorEastAsia" w:eastAsiaTheme="minorEastAsia" w:hAnsiTheme="minorEastAsia" w:cstheme="minorEastAsia" w:hint="eastAsia"/>
          <w:sz w:val="24"/>
        </w:rPr>
        <w:t>99%</w:t>
      </w:r>
      <w:r>
        <w:rPr>
          <w:rFonts w:asciiTheme="minorEastAsia" w:eastAsiaTheme="minorEastAsia" w:hAnsiTheme="minorEastAsia" w:cstheme="minorEastAsia" w:hint="eastAsia"/>
          <w:sz w:val="24"/>
        </w:rPr>
        <w:t>）和γ射线（</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），β射线最大能量为</w:t>
      </w:r>
      <w:r>
        <w:rPr>
          <w:rFonts w:asciiTheme="minorEastAsia" w:eastAsiaTheme="minorEastAsia" w:hAnsiTheme="minorEastAsia" w:cstheme="minorEastAsia" w:hint="eastAsia"/>
          <w:sz w:val="24"/>
        </w:rPr>
        <w:t>0.61MeV</w:t>
      </w:r>
      <w:r>
        <w:rPr>
          <w:rFonts w:asciiTheme="minorEastAsia" w:eastAsiaTheme="minorEastAsia" w:hAnsiTheme="minorEastAsia" w:cstheme="minorEastAsia" w:hint="eastAsia"/>
          <w:sz w:val="24"/>
        </w:rPr>
        <w:t>，γ射线能量为</w:t>
      </w:r>
      <w:r>
        <w:rPr>
          <w:rFonts w:asciiTheme="minorEastAsia" w:eastAsiaTheme="minorEastAsia" w:hAnsiTheme="minorEastAsia" w:cstheme="minorEastAsia" w:hint="eastAsia"/>
          <w:sz w:val="24"/>
        </w:rPr>
        <w:t>0.364MeV</w:t>
      </w:r>
      <w:r>
        <w:rPr>
          <w:rFonts w:asciiTheme="minorEastAsia" w:eastAsiaTheme="minorEastAsia" w:hAnsiTheme="minorEastAsia" w:cstheme="minorEastAsia" w:hint="eastAsia"/>
          <w:sz w:val="24"/>
        </w:rPr>
        <w:t>，通过两个反应步骤生成稳定的</w:t>
      </w:r>
      <w:r>
        <w:rPr>
          <w:rFonts w:asciiTheme="minorEastAsia" w:eastAsiaTheme="minorEastAsia" w:hAnsiTheme="minorEastAsia" w:cstheme="minorEastAsia" w:hint="eastAsia"/>
          <w:sz w:val="24"/>
        </w:rPr>
        <w:t>Xe-131</w:t>
      </w:r>
      <w:r>
        <w:rPr>
          <w:rFonts w:asciiTheme="minorEastAsia" w:eastAsiaTheme="minorEastAsia" w:hAnsiTheme="minorEastAsia" w:cstheme="minorEastAsia" w:hint="eastAsia"/>
          <w:sz w:val="24"/>
        </w:rPr>
        <w:t>，反应式如下：</w:t>
      </w:r>
    </w:p>
    <w:p w:rsidR="00513813" w:rsidRDefault="00AB3F63">
      <w:pPr>
        <w:autoSpaceDE w:val="0"/>
        <w:autoSpaceDN w:val="0"/>
        <w:adjustRightInd w:val="0"/>
        <w:spacing w:line="360" w:lineRule="auto"/>
        <w:jc w:val="center"/>
        <w:rPr>
          <w:rFonts w:eastAsia="仿宋"/>
          <w:sz w:val="28"/>
          <w:szCs w:val="28"/>
        </w:rPr>
      </w:pPr>
      <w:r>
        <w:rPr>
          <w:rFonts w:eastAsia="仿宋"/>
          <w:noProof/>
          <w:sz w:val="28"/>
          <w:szCs w:val="28"/>
        </w:rPr>
        <w:drawing>
          <wp:inline distT="0" distB="0" distL="114300" distR="114300" wp14:anchorId="38276E6B" wp14:editId="5BC3E333">
            <wp:extent cx="2262505" cy="568960"/>
            <wp:effectExtent l="0" t="0" r="444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262505" cy="568960"/>
                    </a:xfrm>
                    <a:prstGeom prst="rect">
                      <a:avLst/>
                    </a:prstGeom>
                    <a:noFill/>
                    <a:ln>
                      <a:noFill/>
                    </a:ln>
                  </pic:spPr>
                </pic:pic>
              </a:graphicData>
            </a:graphic>
          </wp:inline>
        </w:drawing>
      </w:r>
    </w:p>
    <w:p w:rsidR="00513813" w:rsidRDefault="00AB3F63">
      <w:pPr>
        <w:autoSpaceDE w:val="0"/>
        <w:autoSpaceDN w:val="0"/>
        <w:adjustRightInd w:val="0"/>
        <w:spacing w:line="360" w:lineRule="auto"/>
        <w:ind w:firstLineChars="200" w:firstLine="560"/>
        <w:rPr>
          <w:rFonts w:eastAsia="仿宋"/>
          <w:sz w:val="28"/>
          <w:szCs w:val="28"/>
        </w:rPr>
      </w:pPr>
      <w:r>
        <w:rPr>
          <w:rFonts w:eastAsia="仿宋" w:hint="eastAsia"/>
          <w:sz w:val="28"/>
          <w:szCs w:val="28"/>
        </w:rPr>
        <w:t>衰变图如图</w:t>
      </w:r>
      <w:r>
        <w:rPr>
          <w:rFonts w:eastAsia="仿宋" w:hint="eastAsia"/>
          <w:sz w:val="28"/>
          <w:szCs w:val="28"/>
        </w:rPr>
        <w:t>1</w:t>
      </w:r>
      <w:r>
        <w:rPr>
          <w:rFonts w:eastAsia="仿宋" w:hint="eastAsia"/>
          <w:sz w:val="28"/>
          <w:szCs w:val="28"/>
        </w:rPr>
        <w:t>：</w:t>
      </w:r>
    </w:p>
    <w:p w:rsidR="00513813" w:rsidRDefault="00AB3F63">
      <w:pPr>
        <w:autoSpaceDE w:val="0"/>
        <w:autoSpaceDN w:val="0"/>
        <w:adjustRightInd w:val="0"/>
        <w:spacing w:line="360" w:lineRule="auto"/>
        <w:jc w:val="center"/>
        <w:rPr>
          <w:rFonts w:eastAsia="仿宋"/>
          <w:sz w:val="24"/>
        </w:rPr>
      </w:pPr>
      <w:r>
        <w:rPr>
          <w:rFonts w:eastAsia="仿宋"/>
          <w:noProof/>
        </w:rPr>
        <w:drawing>
          <wp:inline distT="0" distB="0" distL="114300" distR="114300" wp14:anchorId="04EFFDB0" wp14:editId="05E3FA78">
            <wp:extent cx="3438525" cy="2536190"/>
            <wp:effectExtent l="0" t="0" r="9525" b="1651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a:stretch>
                      <a:fillRect/>
                    </a:stretch>
                  </pic:blipFill>
                  <pic:spPr>
                    <a:xfrm>
                      <a:off x="0" y="0"/>
                      <a:ext cx="3438525" cy="2536190"/>
                    </a:xfrm>
                    <a:prstGeom prst="rect">
                      <a:avLst/>
                    </a:prstGeom>
                    <a:noFill/>
                    <a:ln>
                      <a:noFill/>
                    </a:ln>
                  </pic:spPr>
                </pic:pic>
              </a:graphicData>
            </a:graphic>
          </wp:inline>
        </w:drawing>
      </w:r>
    </w:p>
    <w:p w:rsidR="00513813" w:rsidRDefault="00AB3F63">
      <w:pPr>
        <w:autoSpaceDE w:val="0"/>
        <w:autoSpaceDN w:val="0"/>
        <w:adjustRightInd w:val="0"/>
        <w:spacing w:line="360" w:lineRule="auto"/>
        <w:jc w:val="center"/>
        <w:rPr>
          <w:rFonts w:eastAsia="仿宋"/>
          <w:szCs w:val="21"/>
        </w:rPr>
      </w:pPr>
      <w:r>
        <w:rPr>
          <w:rFonts w:eastAsia="仿宋" w:hint="eastAsia"/>
          <w:szCs w:val="21"/>
        </w:rPr>
        <w:t>图</w:t>
      </w:r>
      <w:r>
        <w:rPr>
          <w:rFonts w:eastAsia="仿宋" w:hint="eastAsia"/>
          <w:szCs w:val="21"/>
        </w:rPr>
        <w:t xml:space="preserve">1 </w:t>
      </w:r>
      <w:r>
        <w:rPr>
          <w:rFonts w:eastAsia="仿宋" w:hint="eastAsia"/>
          <w:szCs w:val="21"/>
        </w:rPr>
        <w:t>碘</w:t>
      </w:r>
      <w:r>
        <w:rPr>
          <w:rFonts w:eastAsia="仿宋" w:hint="eastAsia"/>
          <w:szCs w:val="21"/>
        </w:rPr>
        <w:t>-131</w:t>
      </w:r>
      <w:r>
        <w:rPr>
          <w:rFonts w:eastAsia="仿宋" w:hint="eastAsia"/>
          <w:szCs w:val="21"/>
        </w:rPr>
        <w:t>衰变图</w:t>
      </w:r>
    </w:p>
    <w:p w:rsidR="00513813" w:rsidRDefault="00AB3F63">
      <w:pPr>
        <w:autoSpaceDE w:val="0"/>
        <w:autoSpaceDN w:val="0"/>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具体物理参数如下表</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p>
    <w:p w:rsidR="00513813" w:rsidRDefault="00AB3F63">
      <w:pPr>
        <w:spacing w:line="360" w:lineRule="auto"/>
        <w:jc w:val="center"/>
        <w:rPr>
          <w:rFonts w:eastAsia="仿宋"/>
          <w:b/>
          <w:sz w:val="24"/>
        </w:rPr>
      </w:pPr>
      <w:r>
        <w:rPr>
          <w:rFonts w:eastAsia="仿宋" w:hint="eastAsia"/>
          <w:b/>
          <w:sz w:val="24"/>
        </w:rPr>
        <w:t>表</w:t>
      </w:r>
      <w:r>
        <w:rPr>
          <w:rFonts w:eastAsia="仿宋" w:hint="eastAsia"/>
          <w:b/>
          <w:sz w:val="24"/>
        </w:rPr>
        <w:t>1</w:t>
      </w:r>
      <w:r>
        <w:rPr>
          <w:rFonts w:eastAsia="仿宋" w:hint="eastAsia"/>
          <w:b/>
          <w:sz w:val="24"/>
        </w:rPr>
        <w:t xml:space="preserve">  </w:t>
      </w:r>
      <w:r>
        <w:rPr>
          <w:rFonts w:eastAsia="仿宋" w:hint="eastAsia"/>
          <w:b/>
          <w:sz w:val="24"/>
        </w:rPr>
        <w:t>碘</w:t>
      </w:r>
      <w:r>
        <w:rPr>
          <w:rFonts w:eastAsia="仿宋" w:hint="eastAsia"/>
          <w:b/>
          <w:sz w:val="24"/>
        </w:rPr>
        <w:t>-131</w:t>
      </w:r>
      <w:r>
        <w:rPr>
          <w:rFonts w:eastAsia="仿宋" w:hint="eastAsia"/>
          <w:b/>
          <w:sz w:val="24"/>
        </w:rPr>
        <w:t>的物理参数</w:t>
      </w:r>
    </w:p>
    <w:tbl>
      <w:tblPr>
        <w:tblW w:w="6618" w:type="dxa"/>
        <w:jc w:val="center"/>
        <w:tblBorders>
          <w:top w:val="single" w:sz="4" w:space="0" w:color="auto"/>
          <w:bottom w:val="single" w:sz="4" w:space="0" w:color="auto"/>
        </w:tblBorders>
        <w:tblLayout w:type="fixed"/>
        <w:tblLook w:val="04A0" w:firstRow="1" w:lastRow="0" w:firstColumn="1" w:lastColumn="0" w:noHBand="0" w:noVBand="1"/>
      </w:tblPr>
      <w:tblGrid>
        <w:gridCol w:w="3658"/>
        <w:gridCol w:w="1594"/>
        <w:gridCol w:w="42"/>
        <w:gridCol w:w="24"/>
        <w:gridCol w:w="1300"/>
      </w:tblGrid>
      <w:tr w:rsidR="00513813">
        <w:trPr>
          <w:trHeight w:val="372"/>
          <w:jc w:val="center"/>
        </w:trPr>
        <w:tc>
          <w:tcPr>
            <w:tcW w:w="3658" w:type="dxa"/>
            <w:tcBorders>
              <w:top w:val="single" w:sz="4" w:space="0" w:color="auto"/>
              <w:left w:val="nil"/>
              <w:bottom w:val="single" w:sz="4" w:space="0" w:color="auto"/>
              <w:right w:val="nil"/>
              <w:tl2br w:val="nil"/>
              <w:tr2bl w:val="nil"/>
            </w:tcBorders>
            <w:vAlign w:val="center"/>
          </w:tcPr>
          <w:p w:rsidR="00513813" w:rsidRDefault="00AB3F63">
            <w:pPr>
              <w:spacing w:line="360" w:lineRule="auto"/>
              <w:jc w:val="center"/>
              <w:rPr>
                <w:rFonts w:eastAsia="仿宋"/>
                <w:szCs w:val="21"/>
              </w:rPr>
            </w:pPr>
            <w:r>
              <w:rPr>
                <w:rFonts w:eastAsia="仿宋" w:hint="eastAsia"/>
                <w:szCs w:val="21"/>
              </w:rPr>
              <w:t>物理特性</w:t>
            </w:r>
          </w:p>
        </w:tc>
        <w:tc>
          <w:tcPr>
            <w:tcW w:w="2960" w:type="dxa"/>
            <w:gridSpan w:val="4"/>
            <w:tcBorders>
              <w:top w:val="single" w:sz="4" w:space="0" w:color="auto"/>
              <w:left w:val="nil"/>
              <w:bottom w:val="single" w:sz="4" w:space="0" w:color="auto"/>
              <w:right w:val="nil"/>
              <w:tl2br w:val="nil"/>
              <w:tr2bl w:val="nil"/>
            </w:tcBorders>
            <w:vAlign w:val="center"/>
          </w:tcPr>
          <w:p w:rsidR="00513813" w:rsidRDefault="00AB3F63">
            <w:pPr>
              <w:spacing w:line="360" w:lineRule="auto"/>
              <w:ind w:firstLineChars="500" w:firstLine="1050"/>
              <w:rPr>
                <w:rFonts w:eastAsia="仿宋"/>
                <w:szCs w:val="21"/>
              </w:rPr>
            </w:pPr>
            <w:r>
              <w:rPr>
                <w:rFonts w:eastAsia="仿宋" w:hint="eastAsia"/>
                <w:szCs w:val="21"/>
              </w:rPr>
              <w:t>参数</w:t>
            </w:r>
          </w:p>
        </w:tc>
      </w:tr>
      <w:tr w:rsidR="00513813">
        <w:trPr>
          <w:jc w:val="center"/>
        </w:trPr>
        <w:tc>
          <w:tcPr>
            <w:tcW w:w="3658" w:type="dxa"/>
            <w:tcBorders>
              <w:top w:val="single" w:sz="4" w:space="0" w:color="auto"/>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hint="eastAsia"/>
                <w:szCs w:val="21"/>
              </w:rPr>
              <w:t>物理半衰期，</w:t>
            </w:r>
            <w:r>
              <w:rPr>
                <w:rFonts w:eastAsia="仿宋" w:hint="eastAsia"/>
                <w:szCs w:val="21"/>
              </w:rPr>
              <w:t>d</w:t>
            </w:r>
          </w:p>
        </w:tc>
        <w:tc>
          <w:tcPr>
            <w:tcW w:w="2960" w:type="dxa"/>
            <w:gridSpan w:val="4"/>
            <w:tcBorders>
              <w:top w:val="single" w:sz="4" w:space="0" w:color="auto"/>
              <w:left w:val="nil"/>
              <w:bottom w:val="nil"/>
              <w:right w:val="nil"/>
              <w:tl2br w:val="nil"/>
              <w:tr2bl w:val="nil"/>
            </w:tcBorders>
            <w:vAlign w:val="center"/>
          </w:tcPr>
          <w:p w:rsidR="00513813" w:rsidRDefault="00AB3F63">
            <w:pPr>
              <w:spacing w:line="360" w:lineRule="auto"/>
              <w:ind w:firstLineChars="550" w:firstLine="1155"/>
              <w:rPr>
                <w:rFonts w:eastAsia="仿宋"/>
                <w:szCs w:val="21"/>
              </w:rPr>
            </w:pPr>
            <w:r>
              <w:rPr>
                <w:rFonts w:eastAsia="仿宋"/>
                <w:szCs w:val="21"/>
              </w:rPr>
              <w:t>8.04</w:t>
            </w:r>
          </w:p>
        </w:tc>
      </w:tr>
      <w:tr w:rsidR="00513813">
        <w:trPr>
          <w:trHeight w:val="468"/>
          <w:jc w:val="center"/>
        </w:trPr>
        <w:tc>
          <w:tcPr>
            <w:tcW w:w="3658" w:type="dxa"/>
            <w:vMerge w:val="restart"/>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hint="eastAsia"/>
                <w:szCs w:val="21"/>
              </w:rPr>
              <w:t>辐射能量，</w:t>
            </w:r>
            <w:r>
              <w:rPr>
                <w:rFonts w:eastAsia="仿宋" w:hint="eastAsia"/>
                <w:szCs w:val="21"/>
              </w:rPr>
              <w:t>MeV</w:t>
            </w:r>
          </w:p>
        </w:tc>
        <w:tc>
          <w:tcPr>
            <w:tcW w:w="1636" w:type="dxa"/>
            <w:gridSpan w:val="2"/>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szCs w:val="21"/>
              </w:rPr>
              <w:t>β</w:t>
            </w:r>
            <w:r>
              <w:rPr>
                <w:rFonts w:eastAsia="仿宋" w:hint="eastAsia"/>
                <w:szCs w:val="21"/>
              </w:rPr>
              <w:t>（最大）</w:t>
            </w:r>
          </w:p>
        </w:tc>
        <w:tc>
          <w:tcPr>
            <w:tcW w:w="1324" w:type="dxa"/>
            <w:gridSpan w:val="2"/>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szCs w:val="21"/>
              </w:rPr>
              <w:t>0.61</w:t>
            </w:r>
          </w:p>
        </w:tc>
      </w:tr>
      <w:tr w:rsidR="00513813">
        <w:trPr>
          <w:trHeight w:val="468"/>
          <w:jc w:val="center"/>
        </w:trPr>
        <w:tc>
          <w:tcPr>
            <w:tcW w:w="3658" w:type="dxa"/>
            <w:vMerge/>
            <w:tcBorders>
              <w:top w:val="nil"/>
              <w:left w:val="nil"/>
              <w:bottom w:val="nil"/>
              <w:right w:val="nil"/>
              <w:tl2br w:val="nil"/>
              <w:tr2bl w:val="nil"/>
            </w:tcBorders>
            <w:vAlign w:val="center"/>
          </w:tcPr>
          <w:p w:rsidR="00513813" w:rsidRDefault="00513813">
            <w:pPr>
              <w:widowControl/>
              <w:spacing w:line="360" w:lineRule="auto"/>
              <w:jc w:val="center"/>
              <w:rPr>
                <w:rFonts w:eastAsia="仿宋"/>
                <w:szCs w:val="21"/>
              </w:rPr>
            </w:pPr>
          </w:p>
        </w:tc>
        <w:tc>
          <w:tcPr>
            <w:tcW w:w="1636" w:type="dxa"/>
            <w:gridSpan w:val="2"/>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szCs w:val="21"/>
              </w:rPr>
              <w:t>β</w:t>
            </w:r>
            <w:r>
              <w:rPr>
                <w:rFonts w:eastAsia="仿宋" w:hint="eastAsia"/>
                <w:szCs w:val="21"/>
              </w:rPr>
              <w:t>（平均）</w:t>
            </w:r>
          </w:p>
        </w:tc>
        <w:tc>
          <w:tcPr>
            <w:tcW w:w="1324" w:type="dxa"/>
            <w:gridSpan w:val="2"/>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szCs w:val="21"/>
              </w:rPr>
              <w:t>0.192</w:t>
            </w:r>
          </w:p>
        </w:tc>
      </w:tr>
      <w:tr w:rsidR="00513813">
        <w:trPr>
          <w:trHeight w:val="456"/>
          <w:jc w:val="center"/>
        </w:trPr>
        <w:tc>
          <w:tcPr>
            <w:tcW w:w="3658" w:type="dxa"/>
            <w:vMerge/>
            <w:tcBorders>
              <w:top w:val="nil"/>
              <w:left w:val="nil"/>
              <w:bottom w:val="nil"/>
              <w:right w:val="nil"/>
              <w:tl2br w:val="nil"/>
              <w:tr2bl w:val="nil"/>
            </w:tcBorders>
            <w:vAlign w:val="center"/>
          </w:tcPr>
          <w:p w:rsidR="00513813" w:rsidRDefault="00513813">
            <w:pPr>
              <w:widowControl/>
              <w:spacing w:line="360" w:lineRule="auto"/>
              <w:jc w:val="center"/>
              <w:rPr>
                <w:rFonts w:eastAsia="仿宋"/>
                <w:szCs w:val="21"/>
              </w:rPr>
            </w:pPr>
          </w:p>
        </w:tc>
        <w:tc>
          <w:tcPr>
            <w:tcW w:w="1636" w:type="dxa"/>
            <w:gridSpan w:val="2"/>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szCs w:val="21"/>
              </w:rPr>
              <w:t>γ</w:t>
            </w:r>
          </w:p>
        </w:tc>
        <w:tc>
          <w:tcPr>
            <w:tcW w:w="1324" w:type="dxa"/>
            <w:gridSpan w:val="2"/>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szCs w:val="21"/>
              </w:rPr>
              <w:t>0.364</w:t>
            </w:r>
          </w:p>
        </w:tc>
      </w:tr>
      <w:tr w:rsidR="00513813">
        <w:trPr>
          <w:jc w:val="center"/>
        </w:trPr>
        <w:tc>
          <w:tcPr>
            <w:tcW w:w="3658" w:type="dxa"/>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hint="eastAsia"/>
                <w:szCs w:val="21"/>
              </w:rPr>
              <w:t>最大能量β射线在水中的射程，</w:t>
            </w:r>
            <w:r>
              <w:rPr>
                <w:rFonts w:eastAsia="仿宋" w:hint="eastAsia"/>
                <w:szCs w:val="21"/>
              </w:rPr>
              <w:t>mm</w:t>
            </w:r>
          </w:p>
        </w:tc>
        <w:tc>
          <w:tcPr>
            <w:tcW w:w="2960" w:type="dxa"/>
            <w:gridSpan w:val="4"/>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szCs w:val="21"/>
              </w:rPr>
              <w:t>2.5</w:t>
            </w:r>
          </w:p>
        </w:tc>
      </w:tr>
      <w:tr w:rsidR="00513813">
        <w:trPr>
          <w:jc w:val="center"/>
        </w:trPr>
        <w:tc>
          <w:tcPr>
            <w:tcW w:w="3658" w:type="dxa"/>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hint="eastAsia"/>
                <w:szCs w:val="21"/>
              </w:rPr>
              <w:t>在组织中的平均射程，</w:t>
            </w:r>
            <w:r>
              <w:rPr>
                <w:rFonts w:eastAsia="仿宋" w:hint="eastAsia"/>
                <w:szCs w:val="21"/>
              </w:rPr>
              <w:t>mm</w:t>
            </w:r>
          </w:p>
        </w:tc>
        <w:tc>
          <w:tcPr>
            <w:tcW w:w="2960" w:type="dxa"/>
            <w:gridSpan w:val="4"/>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szCs w:val="21"/>
              </w:rPr>
              <w:t>0.4</w:t>
            </w:r>
          </w:p>
        </w:tc>
      </w:tr>
      <w:tr w:rsidR="00513813">
        <w:trPr>
          <w:trHeight w:val="492"/>
          <w:jc w:val="center"/>
        </w:trPr>
        <w:tc>
          <w:tcPr>
            <w:tcW w:w="3658" w:type="dxa"/>
            <w:vMerge w:val="restart"/>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szCs w:val="21"/>
              </w:rPr>
              <w:t>γ</w:t>
            </w:r>
            <w:r>
              <w:rPr>
                <w:rFonts w:eastAsia="仿宋" w:hint="eastAsia"/>
                <w:szCs w:val="21"/>
              </w:rPr>
              <w:t>射线</w:t>
            </w:r>
            <w:r>
              <w:rPr>
                <w:rFonts w:eastAsia="仿宋" w:hint="eastAsia"/>
                <w:szCs w:val="21"/>
              </w:rPr>
              <w:t>TVL</w:t>
            </w:r>
            <w:r>
              <w:rPr>
                <w:rFonts w:eastAsia="仿宋" w:hint="eastAsia"/>
                <w:szCs w:val="21"/>
              </w:rPr>
              <w:t>（</w:t>
            </w:r>
            <w:r>
              <w:rPr>
                <w:rFonts w:eastAsia="仿宋" w:hint="eastAsia"/>
                <w:szCs w:val="21"/>
              </w:rPr>
              <w:t>H</w:t>
            </w:r>
            <w:r>
              <w:rPr>
                <w:rFonts w:eastAsia="仿宋"/>
                <w:szCs w:val="21"/>
              </w:rPr>
              <w:t>VL</w:t>
            </w:r>
            <w:r>
              <w:rPr>
                <w:rFonts w:eastAsia="仿宋" w:hint="eastAsia"/>
                <w:szCs w:val="21"/>
              </w:rPr>
              <w:t>）值，</w:t>
            </w:r>
            <w:r>
              <w:rPr>
                <w:rFonts w:eastAsia="仿宋" w:hint="eastAsia"/>
                <w:szCs w:val="21"/>
              </w:rPr>
              <w:t>cm</w:t>
            </w:r>
          </w:p>
        </w:tc>
        <w:tc>
          <w:tcPr>
            <w:tcW w:w="1660" w:type="dxa"/>
            <w:gridSpan w:val="3"/>
            <w:tcBorders>
              <w:top w:val="nil"/>
              <w:left w:val="nil"/>
              <w:bottom w:val="nil"/>
              <w:right w:val="nil"/>
              <w:tl2br w:val="nil"/>
              <w:tr2bl w:val="nil"/>
            </w:tcBorders>
            <w:vAlign w:val="center"/>
          </w:tcPr>
          <w:p w:rsidR="00513813" w:rsidRDefault="00AB3F63">
            <w:pPr>
              <w:spacing w:line="360" w:lineRule="auto"/>
              <w:jc w:val="center"/>
              <w:rPr>
                <w:rFonts w:eastAsia="仿宋"/>
                <w:szCs w:val="21"/>
              </w:rPr>
            </w:pPr>
            <w:r>
              <w:rPr>
                <w:rFonts w:eastAsia="仿宋" w:hint="eastAsia"/>
                <w:szCs w:val="21"/>
              </w:rPr>
              <w:t>铅</w:t>
            </w:r>
          </w:p>
        </w:tc>
        <w:tc>
          <w:tcPr>
            <w:tcW w:w="1300" w:type="dxa"/>
            <w:tcBorders>
              <w:top w:val="nil"/>
              <w:left w:val="nil"/>
              <w:bottom w:val="nil"/>
              <w:right w:val="nil"/>
              <w:tl2br w:val="nil"/>
              <w:tr2bl w:val="nil"/>
            </w:tcBorders>
            <w:vAlign w:val="center"/>
          </w:tcPr>
          <w:p w:rsidR="00513813" w:rsidRDefault="00AB3F63">
            <w:pPr>
              <w:spacing w:line="360" w:lineRule="auto"/>
              <w:ind w:firstLineChars="100" w:firstLine="210"/>
              <w:rPr>
                <w:rFonts w:eastAsia="仿宋"/>
                <w:szCs w:val="21"/>
              </w:rPr>
            </w:pPr>
            <w:r>
              <w:rPr>
                <w:rFonts w:eastAsia="仿宋"/>
                <w:szCs w:val="21"/>
              </w:rPr>
              <w:t>1.1(0.3)</w:t>
            </w:r>
          </w:p>
        </w:tc>
      </w:tr>
      <w:tr w:rsidR="00513813">
        <w:trPr>
          <w:trHeight w:val="456"/>
          <w:jc w:val="center"/>
        </w:trPr>
        <w:tc>
          <w:tcPr>
            <w:tcW w:w="3658" w:type="dxa"/>
            <w:vMerge/>
            <w:tcBorders>
              <w:top w:val="nil"/>
              <w:left w:val="nil"/>
              <w:bottom w:val="single" w:sz="4" w:space="0" w:color="auto"/>
              <w:right w:val="nil"/>
              <w:tl2br w:val="nil"/>
              <w:tr2bl w:val="nil"/>
            </w:tcBorders>
            <w:vAlign w:val="center"/>
          </w:tcPr>
          <w:p w:rsidR="00513813" w:rsidRDefault="00513813">
            <w:pPr>
              <w:widowControl/>
              <w:spacing w:line="360" w:lineRule="auto"/>
              <w:jc w:val="center"/>
              <w:rPr>
                <w:rFonts w:eastAsia="仿宋"/>
                <w:szCs w:val="21"/>
              </w:rPr>
            </w:pPr>
          </w:p>
        </w:tc>
        <w:tc>
          <w:tcPr>
            <w:tcW w:w="1594" w:type="dxa"/>
            <w:tcBorders>
              <w:top w:val="nil"/>
              <w:left w:val="nil"/>
              <w:bottom w:val="single" w:sz="4" w:space="0" w:color="auto"/>
              <w:right w:val="nil"/>
              <w:tl2br w:val="nil"/>
              <w:tr2bl w:val="nil"/>
            </w:tcBorders>
            <w:vAlign w:val="center"/>
          </w:tcPr>
          <w:p w:rsidR="00513813" w:rsidRDefault="00AB3F63">
            <w:pPr>
              <w:spacing w:line="360" w:lineRule="auto"/>
              <w:jc w:val="center"/>
              <w:rPr>
                <w:rFonts w:eastAsia="仿宋"/>
                <w:szCs w:val="21"/>
              </w:rPr>
            </w:pPr>
            <w:proofErr w:type="gramStart"/>
            <w:r>
              <w:rPr>
                <w:rFonts w:eastAsia="仿宋" w:hint="eastAsia"/>
                <w:szCs w:val="21"/>
              </w:rPr>
              <w:t>砼</w:t>
            </w:r>
            <w:proofErr w:type="gramEnd"/>
          </w:p>
        </w:tc>
        <w:tc>
          <w:tcPr>
            <w:tcW w:w="1366" w:type="dxa"/>
            <w:gridSpan w:val="3"/>
            <w:tcBorders>
              <w:top w:val="nil"/>
              <w:left w:val="nil"/>
              <w:bottom w:val="single" w:sz="4" w:space="0" w:color="auto"/>
              <w:right w:val="nil"/>
              <w:tl2br w:val="nil"/>
              <w:tr2bl w:val="nil"/>
            </w:tcBorders>
            <w:vAlign w:val="center"/>
          </w:tcPr>
          <w:p w:rsidR="00513813" w:rsidRDefault="00AB3F63">
            <w:pPr>
              <w:spacing w:line="360" w:lineRule="auto"/>
              <w:ind w:firstLineChars="250" w:firstLine="525"/>
              <w:rPr>
                <w:rFonts w:eastAsia="仿宋"/>
                <w:szCs w:val="21"/>
              </w:rPr>
            </w:pPr>
            <w:r>
              <w:rPr>
                <w:rFonts w:eastAsia="仿宋" w:hint="eastAsia"/>
                <w:szCs w:val="21"/>
              </w:rPr>
              <w:t>170</w:t>
            </w:r>
          </w:p>
        </w:tc>
      </w:tr>
    </w:tbl>
    <w:p w:rsidR="00513813" w:rsidRDefault="00AB3F63">
      <w:pPr>
        <w:autoSpaceDE w:val="0"/>
        <w:autoSpaceDN w:val="0"/>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核素具有以下物理和生物特点：</w:t>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 1 \* GB3 </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①</w:t>
      </w:r>
      <w:r>
        <w:rPr>
          <w:rFonts w:asciiTheme="minorEastAsia" w:eastAsiaTheme="minorEastAsia" w:hAnsiTheme="minorEastAsia" w:cstheme="minorEastAsia" w:hint="eastAsia"/>
          <w:sz w:val="24"/>
        </w:rPr>
        <w:fldChar w:fldCharType="end"/>
      </w:r>
      <w:r>
        <w:rPr>
          <w:rFonts w:asciiTheme="minorEastAsia" w:eastAsiaTheme="minorEastAsia" w:hAnsiTheme="minorEastAsia" w:cstheme="minorEastAsia" w:hint="eastAsia"/>
          <w:sz w:val="24"/>
        </w:rPr>
        <w:t>易挥发，容易造成环境污染；②既放射出能量为</w:t>
      </w:r>
      <w:r>
        <w:rPr>
          <w:rFonts w:asciiTheme="minorEastAsia" w:eastAsiaTheme="minorEastAsia" w:hAnsiTheme="minorEastAsia" w:cstheme="minorEastAsia" w:hint="eastAsia"/>
          <w:sz w:val="24"/>
        </w:rPr>
        <w:t>0.61MeV</w:t>
      </w:r>
      <w:r>
        <w:rPr>
          <w:rFonts w:asciiTheme="minorEastAsia" w:eastAsiaTheme="minorEastAsia" w:hAnsiTheme="minorEastAsia" w:cstheme="minorEastAsia" w:hint="eastAsia"/>
          <w:sz w:val="24"/>
        </w:rPr>
        <w:t>的β射线，又放射出能量为</w:t>
      </w:r>
      <w:r>
        <w:rPr>
          <w:rFonts w:asciiTheme="minorEastAsia" w:eastAsiaTheme="minorEastAsia" w:hAnsiTheme="minorEastAsia" w:cstheme="minorEastAsia" w:hint="eastAsia"/>
          <w:sz w:val="24"/>
        </w:rPr>
        <w:t>0.364MeV</w:t>
      </w:r>
      <w:r>
        <w:rPr>
          <w:rFonts w:asciiTheme="minorEastAsia" w:eastAsiaTheme="minorEastAsia" w:hAnsiTheme="minorEastAsia" w:cstheme="minorEastAsia" w:hint="eastAsia"/>
          <w:sz w:val="24"/>
        </w:rPr>
        <w:t>的γ射线，故内、外</w:t>
      </w:r>
      <w:r>
        <w:rPr>
          <w:rFonts w:asciiTheme="minorEastAsia" w:eastAsiaTheme="minorEastAsia" w:hAnsiTheme="minorEastAsia" w:cstheme="minorEastAsia" w:hint="eastAsia"/>
          <w:sz w:val="24"/>
        </w:rPr>
        <w:lastRenderedPageBreak/>
        <w:t>照射共存。其中甲状腺约</w:t>
      </w:r>
      <w:r>
        <w:rPr>
          <w:rFonts w:asciiTheme="minorEastAsia" w:eastAsiaTheme="minorEastAsia" w:hAnsiTheme="minorEastAsia" w:cstheme="minorEastAsia" w:hint="eastAsia"/>
          <w:sz w:val="24"/>
        </w:rPr>
        <w:t>90</w:t>
      </w:r>
      <w:r>
        <w:rPr>
          <w:rFonts w:asciiTheme="minorEastAsia" w:eastAsiaTheme="minorEastAsia" w:hAnsiTheme="minorEastAsia" w:cstheme="minorEastAsia" w:hint="eastAsia"/>
          <w:sz w:val="24"/>
        </w:rPr>
        <w:t>％的剂量通过β射线递送，γ射线则对全身剂量贡献更显著；③碘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核素生物半衰期较长，服药后的患者，成为活体放射源，其放射出的γ射线会对周围人员产生外照射，患者的排泄物和呼出气体会造成环境污染。</w:t>
      </w:r>
    </w:p>
    <w:p w:rsidR="00513813" w:rsidRDefault="00AB3F63">
      <w:pPr>
        <w:autoSpaceDE w:val="0"/>
        <w:autoSpaceDN w:val="0"/>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核素是人工核裂变产物，正常情况下在自然界中不会存在。其来源有：①用碲金属或其化合物（如二氧化碲）做靶材料，在反应堆中照射，通过（</w:t>
      </w:r>
      <w:r>
        <w:rPr>
          <w:rFonts w:asciiTheme="minorEastAsia" w:eastAsiaTheme="minorEastAsia" w:hAnsiTheme="minorEastAsia" w:cstheme="minorEastAsia" w:hint="eastAsia"/>
          <w:sz w:val="24"/>
        </w:rPr>
        <w:t>n</w:t>
      </w:r>
      <w:r>
        <w:rPr>
          <w:rFonts w:asciiTheme="minorEastAsia" w:eastAsiaTheme="minorEastAsia" w:hAnsiTheme="minorEastAsia" w:cstheme="minorEastAsia" w:hint="eastAsia"/>
          <w:sz w:val="24"/>
        </w:rPr>
        <w:t>，γ）反应生成碲</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，碲</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再经过β衰变而获得碘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，即</w:t>
      </w:r>
      <w:r>
        <w:rPr>
          <w:rFonts w:asciiTheme="minorEastAsia" w:eastAsiaTheme="minorEastAsia" w:hAnsiTheme="minorEastAsia" w:cstheme="minorEastAsia" w:hint="eastAsia"/>
          <w:sz w:val="24"/>
        </w:rPr>
        <w:t>Te(n</w:t>
      </w:r>
      <w:r>
        <w:rPr>
          <w:rFonts w:asciiTheme="minorEastAsia" w:eastAsiaTheme="minorEastAsia" w:hAnsiTheme="minorEastAsia" w:cstheme="minorEastAsia" w:hint="eastAsia"/>
          <w:sz w:val="24"/>
        </w:rPr>
        <w:t>，β）</w:t>
      </w:r>
      <w:r>
        <w:rPr>
          <w:rFonts w:asciiTheme="minorEastAsia" w:eastAsiaTheme="minorEastAsia" w:hAnsiTheme="minorEastAsia" w:cstheme="minorEastAsia" w:hint="eastAsia"/>
          <w:sz w:val="24"/>
        </w:rPr>
        <w:t>TeI</w:t>
      </w:r>
      <w:r>
        <w:rPr>
          <w:rFonts w:asciiTheme="minorEastAsia" w:eastAsiaTheme="minorEastAsia" w:hAnsiTheme="minorEastAsia" w:cstheme="minorEastAsia" w:hint="eastAsia"/>
          <w:sz w:val="24"/>
        </w:rPr>
        <w:t>。此方法可以获得较纯的产品，没有α杂质和其他裂变产物的污染，世界上许多国家都采用这个方法。②用富集的铀</w:t>
      </w:r>
      <w:r>
        <w:rPr>
          <w:rFonts w:asciiTheme="minorEastAsia" w:eastAsiaTheme="minorEastAsia" w:hAnsiTheme="minorEastAsia" w:cstheme="minorEastAsia" w:hint="eastAsia"/>
          <w:sz w:val="24"/>
        </w:rPr>
        <w:t>-235</w:t>
      </w:r>
      <w:r>
        <w:rPr>
          <w:rFonts w:asciiTheme="minorEastAsia" w:eastAsiaTheme="minorEastAsia" w:hAnsiTheme="minorEastAsia" w:cstheme="minorEastAsia" w:hint="eastAsia"/>
          <w:sz w:val="24"/>
        </w:rPr>
        <w:t>做靶材料，通过核的裂变</w:t>
      </w:r>
      <w:r>
        <w:rPr>
          <w:rFonts w:asciiTheme="minorEastAsia" w:eastAsiaTheme="minorEastAsia" w:hAnsiTheme="minorEastAsia" w:cstheme="minorEastAsia" w:hint="eastAsia"/>
          <w:sz w:val="24"/>
        </w:rPr>
        <w:t>U(n,f)I</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U(n,f)TeI</w:t>
      </w:r>
      <w:r>
        <w:rPr>
          <w:rFonts w:asciiTheme="minorEastAsia" w:eastAsiaTheme="minorEastAsia" w:hAnsiTheme="minorEastAsia" w:cstheme="minorEastAsia" w:hint="eastAsia"/>
          <w:sz w:val="24"/>
        </w:rPr>
        <w:t>而得到碘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的总裂变产额约</w:t>
      </w:r>
      <w:r>
        <w:rPr>
          <w:rFonts w:asciiTheme="minorEastAsia" w:eastAsiaTheme="minorEastAsia" w:hAnsiTheme="minorEastAsia" w:cstheme="minorEastAsia" w:hint="eastAsia"/>
          <w:sz w:val="24"/>
        </w:rPr>
        <w:t>0.82%</w:t>
      </w:r>
      <w:r>
        <w:rPr>
          <w:rFonts w:asciiTheme="minorEastAsia" w:eastAsiaTheme="minorEastAsia" w:hAnsiTheme="minorEastAsia" w:cstheme="minorEastAsia" w:hint="eastAsia"/>
          <w:sz w:val="24"/>
        </w:rPr>
        <w:t>。用此方法制备碘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时，除可能有其它放射性碘同位素的污染外，还</w:t>
      </w:r>
      <w:r>
        <w:rPr>
          <w:rFonts w:asciiTheme="minorEastAsia" w:eastAsiaTheme="minorEastAsia" w:hAnsiTheme="minorEastAsia" w:cstheme="minorEastAsia" w:hint="eastAsia"/>
          <w:sz w:val="24"/>
        </w:rPr>
        <w:t>会有α杂质和β杂质，必须进行有效的纯化，只有少数国家使用。③</w:t>
      </w:r>
      <w:proofErr w:type="gramStart"/>
      <w:r>
        <w:rPr>
          <w:rFonts w:asciiTheme="minorEastAsia" w:eastAsiaTheme="minorEastAsia" w:hAnsiTheme="minorEastAsia" w:cstheme="minorEastAsia" w:hint="eastAsia"/>
          <w:sz w:val="24"/>
        </w:rPr>
        <w:t>从靶材料</w:t>
      </w:r>
      <w:proofErr w:type="gramEnd"/>
      <w:r>
        <w:rPr>
          <w:rFonts w:asciiTheme="minorEastAsia" w:eastAsiaTheme="minorEastAsia" w:hAnsiTheme="minorEastAsia" w:cstheme="minorEastAsia" w:hint="eastAsia"/>
          <w:sz w:val="24"/>
        </w:rPr>
        <w:t>二氧化碲中将碘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提取出来的方法有干馏法、色谱法、萃取法和蒸馏法等，应用较多的是干馏法和蒸馏法。蒸馏法是将辐照过的二氧化碲溶解于氢氧化钠溶液，加入过氧化氢、</w:t>
      </w:r>
      <w:proofErr w:type="gramStart"/>
      <w:r>
        <w:rPr>
          <w:rFonts w:asciiTheme="minorEastAsia" w:eastAsiaTheme="minorEastAsia" w:hAnsiTheme="minorEastAsia" w:cstheme="minorEastAsia" w:hint="eastAsia"/>
          <w:sz w:val="24"/>
        </w:rPr>
        <w:t>钼</w:t>
      </w:r>
      <w:proofErr w:type="gramEnd"/>
      <w:r>
        <w:rPr>
          <w:rFonts w:asciiTheme="minorEastAsia" w:eastAsiaTheme="minorEastAsia" w:hAnsiTheme="minorEastAsia" w:cstheme="minorEastAsia" w:hint="eastAsia"/>
          <w:sz w:val="24"/>
        </w:rPr>
        <w:t>盐等，然后在硫酸介质中进行蒸馏。含有碘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的馏分用加有还原剂的氢氧化钠吸收，碘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便以</w:t>
      </w:r>
      <w:r>
        <w:rPr>
          <w:rFonts w:asciiTheme="minorEastAsia" w:eastAsiaTheme="minorEastAsia" w:hAnsiTheme="minorEastAsia" w:cstheme="minorEastAsia" w:hint="eastAsia"/>
          <w:sz w:val="24"/>
        </w:rPr>
        <w:t>NaI</w:t>
      </w:r>
      <w:r>
        <w:rPr>
          <w:rFonts w:asciiTheme="minorEastAsia" w:eastAsiaTheme="minorEastAsia" w:hAnsiTheme="minorEastAsia" w:cstheme="minorEastAsia" w:hint="eastAsia"/>
          <w:sz w:val="24"/>
        </w:rPr>
        <w:t>溶液的形式得到。</w:t>
      </w:r>
      <w:r>
        <w:rPr>
          <w:rFonts w:asciiTheme="minorEastAsia" w:eastAsiaTheme="minorEastAsia" w:hAnsiTheme="minorEastAsia" w:cstheme="minorEastAsia" w:hint="eastAsia"/>
          <w:sz w:val="24"/>
        </w:rPr>
        <w:t>NaI</w:t>
      </w:r>
      <w:r>
        <w:rPr>
          <w:rFonts w:asciiTheme="minorEastAsia" w:eastAsiaTheme="minorEastAsia" w:hAnsiTheme="minorEastAsia" w:cstheme="minorEastAsia" w:hint="eastAsia"/>
          <w:sz w:val="24"/>
        </w:rPr>
        <w:t>溶液是碘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核素的初级产品。</w:t>
      </w:r>
    </w:p>
    <w:p w:rsidR="00513813" w:rsidRDefault="00AB3F63">
      <w:pPr>
        <w:autoSpaceDE w:val="0"/>
        <w:autoSpaceDN w:val="0"/>
        <w:adjustRightInd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4.2.2</w:t>
      </w:r>
      <w:r>
        <w:rPr>
          <w:rFonts w:asciiTheme="minorEastAsia" w:eastAsiaTheme="minorEastAsia" w:hAnsiTheme="minorEastAsia" w:cstheme="minorEastAsia" w:hint="eastAsia"/>
          <w:b/>
          <w:bCs/>
          <w:sz w:val="24"/>
        </w:rPr>
        <w:t>调研碘</w:t>
      </w:r>
      <w:r>
        <w:rPr>
          <w:rFonts w:asciiTheme="minorEastAsia" w:eastAsiaTheme="minorEastAsia" w:hAnsiTheme="minorEastAsia" w:cstheme="minorEastAsia" w:hint="eastAsia"/>
          <w:b/>
          <w:bCs/>
          <w:sz w:val="24"/>
        </w:rPr>
        <w:t>-131</w:t>
      </w:r>
      <w:r>
        <w:rPr>
          <w:rFonts w:asciiTheme="minorEastAsia" w:eastAsiaTheme="minorEastAsia" w:hAnsiTheme="minorEastAsia" w:cstheme="minorEastAsia" w:hint="eastAsia"/>
          <w:b/>
          <w:bCs/>
          <w:sz w:val="24"/>
        </w:rPr>
        <w:t>核素临床应用</w:t>
      </w:r>
    </w:p>
    <w:p w:rsidR="00513813" w:rsidRDefault="00AB3F63">
      <w:pPr>
        <w:autoSpaceDE w:val="0"/>
        <w:autoSpaceDN w:val="0"/>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核素主要用于甲状腺疾病的诊断和治疗。碘是甲状腺合成甲状腺激素的重要原料之一，人</w:t>
      </w:r>
      <w:r>
        <w:rPr>
          <w:rFonts w:asciiTheme="minorEastAsia" w:eastAsiaTheme="minorEastAsia" w:hAnsiTheme="minorEastAsia" w:cstheme="minorEastAsia" w:hint="eastAsia"/>
          <w:sz w:val="24"/>
        </w:rPr>
        <w:t>体摄入的碘</w:t>
      </w:r>
      <w:r>
        <w:rPr>
          <w:rFonts w:asciiTheme="minorEastAsia" w:eastAsiaTheme="minorEastAsia" w:hAnsiTheme="minorEastAsia" w:cstheme="minorEastAsia" w:hint="eastAsia"/>
          <w:sz w:val="24"/>
        </w:rPr>
        <w:t>90</w:t>
      </w:r>
      <w:r>
        <w:rPr>
          <w:rFonts w:asciiTheme="minorEastAsia" w:eastAsiaTheme="minorEastAsia" w:hAnsiTheme="minorEastAsia" w:cstheme="minorEastAsia" w:hint="eastAsia"/>
          <w:sz w:val="24"/>
        </w:rPr>
        <w:t>％以上被甲状腺滤泡上皮细胞选择性吸收。放射性碘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的生物化学特性和稳定同位素</w:t>
      </w:r>
      <w:proofErr w:type="gramStart"/>
      <w:r>
        <w:rPr>
          <w:rFonts w:asciiTheme="minorEastAsia" w:eastAsiaTheme="minorEastAsia" w:hAnsiTheme="minorEastAsia" w:cstheme="minorEastAsia" w:hint="eastAsia"/>
          <w:sz w:val="24"/>
        </w:rPr>
        <w:t>碘完全</w:t>
      </w:r>
      <w:proofErr w:type="gramEnd"/>
      <w:r>
        <w:rPr>
          <w:rFonts w:asciiTheme="minorEastAsia" w:eastAsiaTheme="minorEastAsia" w:hAnsiTheme="minorEastAsia" w:cstheme="minorEastAsia" w:hint="eastAsia"/>
          <w:sz w:val="24"/>
        </w:rPr>
        <w:t>相同，所以口服或注射碘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进入体内后，也可以被甲状腺摄取、转化，浓聚在甲状腺组织中，对甲状腺组织产生辐射生物效应，破坏功能亢进的甲状腺组织或甲状腺癌转移灶，当放射性药物质量得到保证，使用的放射性药物剂量恰当，则对甲状腺机能亢进症或甲状腺癌转移的治疗，将取得很好的疗效；利用γ射线具有的穿透能力，能从体外测定甲状腺组织摄取碘的能力，以判断甲状腺组织的功能，或借助仪器在体外看到甲状腺的影像，以判断甲状腺的位置、</w:t>
      </w:r>
      <w:r>
        <w:rPr>
          <w:rFonts w:asciiTheme="minorEastAsia" w:eastAsiaTheme="minorEastAsia" w:hAnsiTheme="minorEastAsia" w:cstheme="minorEastAsia" w:hint="eastAsia"/>
          <w:sz w:val="24"/>
        </w:rPr>
        <w:t>大小、形态。</w:t>
      </w:r>
    </w:p>
    <w:p w:rsidR="00513813" w:rsidRDefault="00AB3F63">
      <w:pPr>
        <w:autoSpaceDE w:val="0"/>
        <w:autoSpaceDN w:val="0"/>
        <w:adjustRightIn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甲状腺诊疗中常用的含碘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核素的药物主要是</w:t>
      </w:r>
      <w:r>
        <w:rPr>
          <w:rFonts w:asciiTheme="minorEastAsia" w:eastAsiaTheme="minorEastAsia" w:hAnsiTheme="minorEastAsia" w:cstheme="minorEastAsia" w:hint="eastAsia"/>
          <w:sz w:val="24"/>
        </w:rPr>
        <w:t>Na</w:t>
      </w:r>
      <w:r>
        <w:rPr>
          <w:rFonts w:asciiTheme="minorEastAsia" w:eastAsiaTheme="minorEastAsia" w:hAnsiTheme="minorEastAsia" w:cstheme="minorEastAsia" w:hint="eastAsia"/>
          <w:sz w:val="24"/>
          <w:vertAlign w:val="superscript"/>
        </w:rPr>
        <w:t>131</w:t>
      </w:r>
      <w:r>
        <w:rPr>
          <w:rFonts w:asciiTheme="minorEastAsia" w:eastAsiaTheme="minorEastAsia" w:hAnsiTheme="minorEastAsia" w:cstheme="minorEastAsia" w:hint="eastAsia"/>
          <w:sz w:val="24"/>
        </w:rPr>
        <w:t>I</w:t>
      </w:r>
      <w:r>
        <w:rPr>
          <w:rFonts w:asciiTheme="minorEastAsia" w:eastAsiaTheme="minorEastAsia" w:hAnsiTheme="minorEastAsia" w:cstheme="minorEastAsia" w:hint="eastAsia"/>
          <w:sz w:val="24"/>
        </w:rPr>
        <w:t>（碘化钠）胶囊、</w:t>
      </w:r>
      <w:r>
        <w:rPr>
          <w:rFonts w:asciiTheme="minorEastAsia" w:eastAsiaTheme="minorEastAsia" w:hAnsiTheme="minorEastAsia" w:cstheme="minorEastAsia" w:hint="eastAsia"/>
          <w:sz w:val="24"/>
        </w:rPr>
        <w:t>Na</w:t>
      </w:r>
      <w:r>
        <w:rPr>
          <w:rFonts w:asciiTheme="minorEastAsia" w:eastAsiaTheme="minorEastAsia" w:hAnsiTheme="minorEastAsia" w:cstheme="minorEastAsia" w:hint="eastAsia"/>
          <w:sz w:val="24"/>
          <w:vertAlign w:val="superscript"/>
        </w:rPr>
        <w:t>131</w:t>
      </w:r>
      <w:r>
        <w:rPr>
          <w:rFonts w:asciiTheme="minorEastAsia" w:eastAsiaTheme="minorEastAsia" w:hAnsiTheme="minorEastAsia" w:cstheme="minorEastAsia" w:hint="eastAsia"/>
          <w:sz w:val="24"/>
        </w:rPr>
        <w:t>I</w:t>
      </w:r>
      <w:r>
        <w:rPr>
          <w:rFonts w:asciiTheme="minorEastAsia" w:eastAsiaTheme="minorEastAsia" w:hAnsiTheme="minorEastAsia" w:cstheme="minorEastAsia" w:hint="eastAsia"/>
          <w:sz w:val="24"/>
        </w:rPr>
        <w:t>（碘化钠）口服溶液，见表</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。目前，医疗机构应用最广泛的为实施甲状腺系统治疗，包括甲状腺功能亢进症或甲状腺癌的碘化钠治疗。甲状腺癌往往扩散到局</w:t>
      </w:r>
      <w:r>
        <w:rPr>
          <w:rFonts w:asciiTheme="minorEastAsia" w:eastAsiaTheme="minorEastAsia" w:hAnsiTheme="minorEastAsia" w:cstheme="minorEastAsia" w:hint="eastAsia"/>
          <w:sz w:val="24"/>
        </w:rPr>
        <w:lastRenderedPageBreak/>
        <w:t>部淋巴结、肺和</w:t>
      </w:r>
      <w:proofErr w:type="gramStart"/>
      <w:r>
        <w:rPr>
          <w:rFonts w:asciiTheme="minorEastAsia" w:eastAsiaTheme="minorEastAsia" w:hAnsiTheme="minorEastAsia" w:cstheme="minorEastAsia" w:hint="eastAsia"/>
          <w:sz w:val="24"/>
        </w:rPr>
        <w:t>骨。</w:t>
      </w:r>
      <w:proofErr w:type="gramEnd"/>
      <w:r>
        <w:rPr>
          <w:rFonts w:asciiTheme="minorEastAsia" w:eastAsiaTheme="minorEastAsia" w:hAnsiTheme="minorEastAsia" w:cstheme="minorEastAsia" w:hint="eastAsia"/>
          <w:sz w:val="24"/>
        </w:rPr>
        <w:t>许多甲状腺癌能够聚集碘，虽然其能力低于正常甲状腺组织。大多数甲状腺癌的典型治疗方法是将癌灶和全甲状腺手术切除，然后给予放射性碘治疗，以摧毁残留的能够聚集碘的癌细胞。要达到缓解或治愈，常常需要几个疗程的放射性碘治疗。施行甲状腺全切术或次全切术患者，通常行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“清甲”或“清灶”治疗。“清甲”</w:t>
      </w:r>
      <w:proofErr w:type="gramStart"/>
      <w:r>
        <w:rPr>
          <w:rFonts w:asciiTheme="minorEastAsia" w:eastAsiaTheme="minorEastAsia" w:hAnsiTheme="minorEastAsia" w:cstheme="minorEastAsia" w:hint="eastAsia"/>
          <w:sz w:val="24"/>
        </w:rPr>
        <w:t>是指碘</w:t>
      </w:r>
      <w:proofErr w:type="gramEnd"/>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摧毁术后残留的正常甲状腺组织，“清甲”的剂量</w:t>
      </w:r>
      <w:r>
        <w:rPr>
          <w:rFonts w:asciiTheme="minorEastAsia" w:eastAsiaTheme="minorEastAsia" w:hAnsiTheme="minorEastAsia" w:cstheme="minorEastAsia" w:hint="eastAsia"/>
          <w:sz w:val="24"/>
        </w:rPr>
        <w:t>较低，为</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100mCi</w:t>
      </w:r>
      <w:r>
        <w:rPr>
          <w:rFonts w:asciiTheme="minorEastAsia" w:eastAsiaTheme="minorEastAsia" w:hAnsiTheme="minorEastAsia" w:cstheme="minorEastAsia" w:hint="eastAsia"/>
          <w:sz w:val="24"/>
        </w:rPr>
        <w:t>。“清甲”治疗的碘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尽管用量少，但是甲状腺吸收多，部分碘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在体内滞留时间相对较长。“清灶”是指用碘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治疗甲状腺床残留甲状腺癌、甲状腺床复发灶和转移灶。“清灶”的剂量较大，甲状腺癌复发或淋巴结转移的治疗剂量为</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150mCi</w:t>
      </w:r>
      <w:r>
        <w:rPr>
          <w:rFonts w:asciiTheme="minorEastAsia" w:eastAsiaTheme="minorEastAsia" w:hAnsiTheme="minorEastAsia" w:cstheme="minorEastAsia" w:hint="eastAsia"/>
          <w:sz w:val="24"/>
        </w:rPr>
        <w:t>，肺部或骨转移治疗剂量为</w:t>
      </w:r>
      <w:r>
        <w:rPr>
          <w:rFonts w:asciiTheme="minorEastAsia" w:eastAsiaTheme="minorEastAsia" w:hAnsiTheme="minorEastAsia" w:cstheme="minorEastAsia" w:hint="eastAsia"/>
          <w:sz w:val="24"/>
        </w:rPr>
        <w:t>200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150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250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mCi</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w:t>
      </w:r>
      <w:proofErr w:type="gramEnd"/>
      <w:r>
        <w:rPr>
          <w:rFonts w:asciiTheme="minorEastAsia" w:eastAsiaTheme="minorEastAsia" w:hAnsiTheme="minorEastAsia" w:cstheme="minorEastAsia" w:hint="eastAsia"/>
          <w:sz w:val="24"/>
        </w:rPr>
        <w:t>清灶“治疗的碘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用量大，但是甲状腺吸收少，多数很快从体内排除。</w:t>
      </w:r>
    </w:p>
    <w:p w:rsidR="00513813" w:rsidRDefault="00AB3F63">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4.2.3</w:t>
      </w:r>
      <w:r>
        <w:rPr>
          <w:rFonts w:asciiTheme="minorEastAsia" w:eastAsiaTheme="minorEastAsia" w:hAnsiTheme="minorEastAsia" w:cstheme="minorEastAsia" w:hint="eastAsia"/>
          <w:b/>
          <w:bCs/>
          <w:sz w:val="24"/>
        </w:rPr>
        <w:t>调研</w:t>
      </w:r>
      <w:r>
        <w:rPr>
          <w:rFonts w:asciiTheme="minorEastAsia" w:eastAsiaTheme="minorEastAsia" w:hAnsiTheme="minorEastAsia" w:cstheme="minorEastAsia" w:hint="eastAsia"/>
          <w:b/>
          <w:bCs/>
          <w:sz w:val="24"/>
        </w:rPr>
        <w:t>北京某医疗机构</w:t>
      </w:r>
      <w:r>
        <w:rPr>
          <w:rFonts w:asciiTheme="minorEastAsia" w:eastAsiaTheme="minorEastAsia" w:hAnsiTheme="minorEastAsia" w:cstheme="minorEastAsia" w:hint="eastAsia"/>
          <w:b/>
          <w:bCs/>
          <w:sz w:val="24"/>
        </w:rPr>
        <w:t>相关工作情况</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选取北京某</w:t>
      </w:r>
      <w:proofErr w:type="gramStart"/>
      <w:r>
        <w:rPr>
          <w:rFonts w:asciiTheme="minorEastAsia" w:eastAsiaTheme="minorEastAsia" w:hAnsiTheme="minorEastAsia" w:cstheme="minorEastAsia" w:hint="eastAsia"/>
          <w:sz w:val="24"/>
        </w:rPr>
        <w:t>一甲癌治疗</w:t>
      </w:r>
      <w:proofErr w:type="gramEnd"/>
      <w:r>
        <w:rPr>
          <w:rFonts w:asciiTheme="minorEastAsia" w:eastAsiaTheme="minorEastAsia" w:hAnsiTheme="minorEastAsia" w:cstheme="minorEastAsia" w:hint="eastAsia"/>
          <w:sz w:val="24"/>
        </w:rPr>
        <w:t>医院于</w:t>
      </w:r>
      <w:r>
        <w:rPr>
          <w:rFonts w:asciiTheme="minorEastAsia" w:eastAsiaTheme="minorEastAsia" w:hAnsiTheme="minorEastAsia" w:cstheme="minorEastAsia" w:hint="eastAsia"/>
          <w:sz w:val="24"/>
        </w:rPr>
        <w:t>2021</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日进行了实地调研，对辐射工</w:t>
      </w:r>
      <w:r>
        <w:rPr>
          <w:rFonts w:asciiTheme="minorEastAsia" w:eastAsiaTheme="minorEastAsia" w:hAnsiTheme="minorEastAsia" w:cstheme="minorEastAsia" w:hint="eastAsia"/>
          <w:sz w:val="24"/>
        </w:rPr>
        <w:t>作场所及周围环境进行了辐射监测。</w:t>
      </w:r>
    </w:p>
    <w:p w:rsidR="00513813" w:rsidRDefault="00AB3F6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清</w:t>
      </w:r>
      <w:proofErr w:type="gramStart"/>
      <w:r>
        <w:rPr>
          <w:rFonts w:asciiTheme="minorEastAsia" w:eastAsiaTheme="minorEastAsia" w:hAnsiTheme="minorEastAsia" w:cstheme="minorEastAsia" w:hint="eastAsia"/>
          <w:sz w:val="24"/>
        </w:rPr>
        <w:t>况</w:t>
      </w:r>
      <w:proofErr w:type="gramEnd"/>
      <w:r>
        <w:rPr>
          <w:rFonts w:asciiTheme="minorEastAsia" w:eastAsiaTheme="minorEastAsia" w:hAnsiTheme="minorEastAsia" w:cstheme="minorEastAsia" w:hint="eastAsia"/>
          <w:sz w:val="24"/>
        </w:rPr>
        <w:t>调查</w:t>
      </w:r>
    </w:p>
    <w:p w:rsidR="00513813" w:rsidRDefault="00AB3F63">
      <w:pPr>
        <w:pStyle w:val="Default"/>
        <w:spacing w:line="360" w:lineRule="auto"/>
        <w:ind w:firstLine="480"/>
        <w:jc w:val="center"/>
        <w:rPr>
          <w:rFonts w:ascii="Times New Roman" w:eastAsia="仿宋" w:cs="Times New Roman"/>
          <w:b/>
          <w:color w:val="auto"/>
          <w:kern w:val="2"/>
        </w:rPr>
      </w:pPr>
      <w:r>
        <w:rPr>
          <w:rFonts w:ascii="Times New Roman" w:eastAsia="仿宋" w:cs="Times New Roman"/>
          <w:b/>
          <w:color w:val="auto"/>
          <w:kern w:val="2"/>
        </w:rPr>
        <w:t>表</w:t>
      </w:r>
      <w:r>
        <w:rPr>
          <w:rFonts w:ascii="Times New Roman" w:eastAsia="仿宋" w:cs="Times New Roman" w:hint="eastAsia"/>
          <w:b/>
          <w:color w:val="auto"/>
          <w:kern w:val="2"/>
        </w:rPr>
        <w:t>2</w:t>
      </w:r>
      <w:r>
        <w:rPr>
          <w:rFonts w:ascii="Times New Roman" w:eastAsia="仿宋" w:cs="Times New Roman"/>
          <w:b/>
          <w:color w:val="auto"/>
          <w:kern w:val="2"/>
        </w:rPr>
        <w:t xml:space="preserve"> </w:t>
      </w:r>
      <w:r>
        <w:rPr>
          <w:rFonts w:ascii="Times New Roman" w:eastAsia="仿宋" w:cs="Times New Roman"/>
          <w:b/>
          <w:color w:val="auto"/>
          <w:kern w:val="2"/>
        </w:rPr>
        <w:t>核医学科调查表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3430"/>
        <w:gridCol w:w="1041"/>
      </w:tblGrid>
      <w:tr w:rsidR="00513813">
        <w:trPr>
          <w:jc w:val="center"/>
        </w:trPr>
        <w:tc>
          <w:tcPr>
            <w:tcW w:w="2374" w:type="pct"/>
            <w:vMerge w:val="restart"/>
            <w:shd w:val="clear" w:color="auto" w:fill="auto"/>
            <w:vAlign w:val="center"/>
          </w:tcPr>
          <w:p w:rsidR="00513813" w:rsidRDefault="00AB3F63">
            <w:pPr>
              <w:jc w:val="center"/>
              <w:rPr>
                <w:rFonts w:eastAsia="仿宋"/>
                <w:sz w:val="24"/>
              </w:rPr>
            </w:pPr>
            <w:r>
              <w:rPr>
                <w:rFonts w:eastAsia="仿宋"/>
                <w:sz w:val="24"/>
              </w:rPr>
              <w:t>给药间</w:t>
            </w:r>
          </w:p>
          <w:p w:rsidR="00513813" w:rsidRDefault="00AB3F63">
            <w:pPr>
              <w:jc w:val="center"/>
              <w:rPr>
                <w:rFonts w:eastAsia="仿宋"/>
                <w:sz w:val="24"/>
              </w:rPr>
            </w:pPr>
            <w:r>
              <w:rPr>
                <w:rFonts w:eastAsia="仿宋"/>
                <w:sz w:val="24"/>
              </w:rPr>
              <w:t>病房</w:t>
            </w:r>
          </w:p>
          <w:p w:rsidR="00513813" w:rsidRDefault="00AB3F63">
            <w:pPr>
              <w:jc w:val="center"/>
              <w:rPr>
                <w:rFonts w:eastAsia="仿宋"/>
                <w:sz w:val="24"/>
              </w:rPr>
            </w:pPr>
            <w:r>
              <w:rPr>
                <w:rFonts w:eastAsia="仿宋"/>
                <w:sz w:val="24"/>
              </w:rPr>
              <w:t>及环境</w:t>
            </w:r>
          </w:p>
        </w:tc>
        <w:tc>
          <w:tcPr>
            <w:tcW w:w="2013" w:type="pct"/>
            <w:shd w:val="clear" w:color="auto" w:fill="auto"/>
            <w:vAlign w:val="center"/>
          </w:tcPr>
          <w:p w:rsidR="00513813" w:rsidRDefault="00AB3F63">
            <w:pPr>
              <w:jc w:val="center"/>
              <w:rPr>
                <w:rFonts w:eastAsia="仿宋"/>
                <w:sz w:val="24"/>
              </w:rPr>
            </w:pPr>
            <w:r>
              <w:rPr>
                <w:rFonts w:eastAsia="仿宋"/>
                <w:sz w:val="24"/>
              </w:rPr>
              <w:t>测量时住院病患，人</w:t>
            </w:r>
          </w:p>
        </w:tc>
        <w:tc>
          <w:tcPr>
            <w:tcW w:w="611" w:type="pct"/>
            <w:shd w:val="clear" w:color="auto" w:fill="auto"/>
            <w:vAlign w:val="center"/>
          </w:tcPr>
          <w:p w:rsidR="00513813" w:rsidRDefault="00AB3F63">
            <w:pPr>
              <w:jc w:val="center"/>
              <w:rPr>
                <w:rFonts w:eastAsia="仿宋"/>
                <w:sz w:val="24"/>
              </w:rPr>
            </w:pPr>
            <w:r>
              <w:rPr>
                <w:rFonts w:eastAsia="仿宋" w:hint="eastAsia"/>
                <w:sz w:val="24"/>
              </w:rPr>
              <w:t>2</w:t>
            </w:r>
          </w:p>
        </w:tc>
      </w:tr>
      <w:tr w:rsidR="00513813">
        <w:trPr>
          <w:jc w:val="center"/>
        </w:trPr>
        <w:tc>
          <w:tcPr>
            <w:tcW w:w="2374" w:type="pct"/>
            <w:vMerge/>
            <w:shd w:val="clear" w:color="auto" w:fill="auto"/>
            <w:vAlign w:val="center"/>
          </w:tcPr>
          <w:p w:rsidR="00513813" w:rsidRDefault="00513813">
            <w:pPr>
              <w:jc w:val="center"/>
              <w:rPr>
                <w:rFonts w:eastAsia="仿宋"/>
                <w:sz w:val="24"/>
              </w:rPr>
            </w:pPr>
          </w:p>
        </w:tc>
        <w:tc>
          <w:tcPr>
            <w:tcW w:w="2013" w:type="pct"/>
            <w:shd w:val="clear" w:color="auto" w:fill="auto"/>
            <w:vAlign w:val="center"/>
          </w:tcPr>
          <w:p w:rsidR="00513813" w:rsidRDefault="00AB3F63">
            <w:pPr>
              <w:jc w:val="center"/>
              <w:rPr>
                <w:rFonts w:eastAsia="仿宋"/>
                <w:sz w:val="24"/>
              </w:rPr>
            </w:pPr>
            <w:r>
              <w:rPr>
                <w:rFonts w:eastAsia="仿宋"/>
                <w:sz w:val="24"/>
              </w:rPr>
              <w:t>单个患者平均用药量，</w:t>
            </w:r>
            <w:r>
              <w:rPr>
                <w:rFonts w:eastAsia="仿宋"/>
                <w:sz w:val="24"/>
              </w:rPr>
              <w:t>mCi</w:t>
            </w:r>
          </w:p>
        </w:tc>
        <w:tc>
          <w:tcPr>
            <w:tcW w:w="611" w:type="pct"/>
            <w:shd w:val="clear" w:color="auto" w:fill="auto"/>
            <w:vAlign w:val="center"/>
          </w:tcPr>
          <w:p w:rsidR="00513813" w:rsidRDefault="00AB3F63">
            <w:pPr>
              <w:jc w:val="center"/>
              <w:rPr>
                <w:rFonts w:eastAsia="仿宋"/>
                <w:sz w:val="24"/>
              </w:rPr>
            </w:pPr>
            <w:r>
              <w:rPr>
                <w:rFonts w:eastAsia="仿宋" w:hint="eastAsia"/>
                <w:sz w:val="24"/>
              </w:rPr>
              <w:t>100</w:t>
            </w:r>
          </w:p>
        </w:tc>
      </w:tr>
      <w:tr w:rsidR="00513813">
        <w:trPr>
          <w:jc w:val="center"/>
        </w:trPr>
        <w:tc>
          <w:tcPr>
            <w:tcW w:w="2374" w:type="pct"/>
            <w:vMerge/>
            <w:shd w:val="clear" w:color="auto" w:fill="auto"/>
            <w:vAlign w:val="center"/>
          </w:tcPr>
          <w:p w:rsidR="00513813" w:rsidRDefault="00513813">
            <w:pPr>
              <w:jc w:val="center"/>
              <w:rPr>
                <w:rFonts w:eastAsia="仿宋"/>
                <w:sz w:val="24"/>
              </w:rPr>
            </w:pPr>
          </w:p>
        </w:tc>
        <w:tc>
          <w:tcPr>
            <w:tcW w:w="2013" w:type="pct"/>
            <w:shd w:val="clear" w:color="auto" w:fill="auto"/>
            <w:vAlign w:val="center"/>
          </w:tcPr>
          <w:p w:rsidR="00513813" w:rsidRDefault="00AB3F63">
            <w:pPr>
              <w:jc w:val="center"/>
              <w:rPr>
                <w:rFonts w:eastAsia="仿宋"/>
                <w:sz w:val="24"/>
              </w:rPr>
            </w:pPr>
            <w:r>
              <w:rPr>
                <w:rFonts w:eastAsia="仿宋"/>
                <w:sz w:val="24"/>
              </w:rPr>
              <w:t>单个患者住院时长，</w:t>
            </w:r>
            <w:r>
              <w:rPr>
                <w:rFonts w:eastAsia="仿宋"/>
                <w:sz w:val="24"/>
              </w:rPr>
              <w:t>d</w:t>
            </w:r>
          </w:p>
        </w:tc>
        <w:tc>
          <w:tcPr>
            <w:tcW w:w="611" w:type="pct"/>
            <w:shd w:val="clear" w:color="auto" w:fill="auto"/>
            <w:vAlign w:val="center"/>
          </w:tcPr>
          <w:p w:rsidR="00513813" w:rsidRDefault="00AB3F63">
            <w:pPr>
              <w:jc w:val="center"/>
              <w:rPr>
                <w:rFonts w:eastAsia="仿宋"/>
                <w:sz w:val="24"/>
              </w:rPr>
            </w:pPr>
            <w:r>
              <w:rPr>
                <w:rFonts w:eastAsia="仿宋" w:hint="eastAsia"/>
                <w:sz w:val="24"/>
              </w:rPr>
              <w:t>3</w:t>
            </w:r>
          </w:p>
        </w:tc>
      </w:tr>
      <w:tr w:rsidR="00513813">
        <w:trPr>
          <w:jc w:val="center"/>
        </w:trPr>
        <w:tc>
          <w:tcPr>
            <w:tcW w:w="2374" w:type="pct"/>
            <w:vMerge/>
            <w:shd w:val="clear" w:color="auto" w:fill="auto"/>
            <w:vAlign w:val="center"/>
          </w:tcPr>
          <w:p w:rsidR="00513813" w:rsidRDefault="00513813">
            <w:pPr>
              <w:jc w:val="center"/>
              <w:rPr>
                <w:rFonts w:eastAsia="仿宋"/>
                <w:sz w:val="24"/>
              </w:rPr>
            </w:pPr>
          </w:p>
        </w:tc>
        <w:tc>
          <w:tcPr>
            <w:tcW w:w="2013" w:type="pct"/>
            <w:shd w:val="clear" w:color="auto" w:fill="auto"/>
            <w:vAlign w:val="center"/>
          </w:tcPr>
          <w:p w:rsidR="00513813" w:rsidRDefault="00AB3F63">
            <w:pPr>
              <w:jc w:val="center"/>
              <w:rPr>
                <w:rFonts w:eastAsia="仿宋"/>
                <w:sz w:val="24"/>
              </w:rPr>
            </w:pPr>
            <w:r>
              <w:rPr>
                <w:rFonts w:eastAsia="仿宋"/>
                <w:sz w:val="24"/>
              </w:rPr>
              <w:t>测量时给药室存药量，</w:t>
            </w:r>
            <w:r>
              <w:rPr>
                <w:rFonts w:eastAsia="仿宋"/>
                <w:sz w:val="24"/>
              </w:rPr>
              <w:t>mCi</w:t>
            </w:r>
          </w:p>
        </w:tc>
        <w:tc>
          <w:tcPr>
            <w:tcW w:w="611" w:type="pct"/>
            <w:shd w:val="clear" w:color="auto" w:fill="auto"/>
            <w:vAlign w:val="center"/>
          </w:tcPr>
          <w:p w:rsidR="00513813" w:rsidRDefault="00AB3F63">
            <w:pPr>
              <w:jc w:val="center"/>
              <w:rPr>
                <w:rFonts w:eastAsia="仿宋"/>
                <w:sz w:val="24"/>
              </w:rPr>
            </w:pPr>
            <w:r>
              <w:rPr>
                <w:rFonts w:eastAsia="仿宋" w:hint="eastAsia"/>
                <w:sz w:val="24"/>
              </w:rPr>
              <w:t>840</w:t>
            </w:r>
          </w:p>
        </w:tc>
      </w:tr>
    </w:tbl>
    <w:p w:rsidR="00513813" w:rsidRDefault="00513813">
      <w:pPr>
        <w:spacing w:line="360" w:lineRule="auto"/>
        <w:rPr>
          <w:rFonts w:asciiTheme="minorEastAsia" w:eastAsiaTheme="minorEastAsia" w:hAnsiTheme="minorEastAsia" w:cstheme="minorEastAsia"/>
          <w:sz w:val="24"/>
        </w:rPr>
      </w:pPr>
    </w:p>
    <w:p w:rsidR="00513813" w:rsidRDefault="00AB3F6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监测对像</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高活室（</w:t>
      </w:r>
      <w:proofErr w:type="gramStart"/>
      <w:r>
        <w:rPr>
          <w:rFonts w:asciiTheme="minorEastAsia" w:eastAsiaTheme="minorEastAsia" w:hAnsiTheme="minorEastAsia" w:cstheme="minorEastAsia" w:hint="eastAsia"/>
          <w:sz w:val="24"/>
        </w:rPr>
        <w:t>服碘室</w:t>
      </w:r>
      <w:proofErr w:type="gramEnd"/>
      <w:r>
        <w:rPr>
          <w:rFonts w:asciiTheme="minorEastAsia" w:eastAsiaTheme="minorEastAsia" w:hAnsiTheme="minorEastAsia" w:cstheme="minorEastAsia" w:hint="eastAsia"/>
          <w:sz w:val="24"/>
        </w:rPr>
        <w:t>）、病房、病区走廊；排风口；衰变池；医院周围。</w:t>
      </w:r>
    </w:p>
    <w:p w:rsidR="00513813" w:rsidRDefault="00AB3F6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监测项目</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sz w:val="24"/>
        </w:rPr>
        <w:t>γ</w:t>
      </w:r>
      <w:r>
        <w:rPr>
          <w:rFonts w:asciiTheme="minorEastAsia" w:eastAsiaTheme="minorEastAsia" w:hAnsiTheme="minorEastAsia" w:cstheme="minorEastAsia"/>
          <w:sz w:val="24"/>
        </w:rPr>
        <w:t>剂量率</w:t>
      </w: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表面污染；</w:t>
      </w:r>
    </w:p>
    <w:p w:rsidR="00513813" w:rsidRDefault="00AB3F6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监测依据</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《电离辐射防护与辐射源安全基本标准》（</w:t>
      </w:r>
      <w:r>
        <w:rPr>
          <w:rFonts w:asciiTheme="minorEastAsia" w:eastAsiaTheme="minorEastAsia" w:hAnsiTheme="minorEastAsia" w:cstheme="minorEastAsia" w:hint="eastAsia"/>
          <w:sz w:val="24"/>
        </w:rPr>
        <w:t>GB18871-2002</w:t>
      </w:r>
      <w:r>
        <w:rPr>
          <w:rFonts w:asciiTheme="minorEastAsia" w:eastAsiaTheme="minorEastAsia" w:hAnsiTheme="minorEastAsia" w:cstheme="minorEastAsia" w:hint="eastAsia"/>
          <w:sz w:val="24"/>
        </w:rPr>
        <w:t>）；</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《核医学辐射防护与安全要求》</w:t>
      </w:r>
      <w:r>
        <w:rPr>
          <w:rFonts w:asciiTheme="minorEastAsia" w:eastAsiaTheme="minorEastAsia" w:hAnsiTheme="minorEastAsia" w:cstheme="minorEastAsia" w:hint="eastAsia"/>
          <w:sz w:val="24"/>
        </w:rPr>
        <w:t>HJ1188-2021</w:t>
      </w:r>
      <w:r>
        <w:rPr>
          <w:rFonts w:asciiTheme="minorEastAsia" w:eastAsiaTheme="minorEastAsia" w:hAnsiTheme="minorEastAsia" w:cstheme="minorEastAsia" w:hint="eastAsia"/>
          <w:sz w:val="24"/>
        </w:rPr>
        <w:t>；</w:t>
      </w:r>
    </w:p>
    <w:p w:rsidR="00513813" w:rsidRDefault="00AB3F63">
      <w:pPr>
        <w:spacing w:line="360" w:lineRule="auto"/>
        <w:ind w:firstLineChars="200" w:firstLine="480"/>
        <w:rPr>
          <w:rFonts w:asciiTheme="minorEastAsia" w:eastAsiaTheme="minorEastAsia" w:hAnsiTheme="minorEastAsia" w:cstheme="minorEastAsia"/>
          <w:sz w:val="24"/>
        </w:rPr>
      </w:pPr>
      <w:r>
        <w:rPr>
          <w:rFonts w:hint="eastAsia"/>
          <w:sz w:val="24"/>
          <w:szCs w:val="21"/>
        </w:rPr>
        <w:t>《核医学放射防护要求》</w:t>
      </w:r>
      <w:r>
        <w:rPr>
          <w:rFonts w:asciiTheme="minorEastAsia" w:eastAsiaTheme="minorEastAsia" w:hAnsiTheme="minorEastAsia" w:cstheme="minorEastAsia" w:hint="eastAsia"/>
          <w:sz w:val="24"/>
        </w:rPr>
        <w:t>GBZ 120-2021</w:t>
      </w:r>
      <w:r>
        <w:rPr>
          <w:rFonts w:asciiTheme="minorEastAsia" w:eastAsiaTheme="minorEastAsia" w:hAnsiTheme="minorEastAsia" w:cstheme="minorEastAsia" w:hint="eastAsia"/>
          <w:sz w:val="24"/>
        </w:rPr>
        <w:t>；</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《辐射环境监测技术规范》</w:t>
      </w:r>
      <w:r>
        <w:rPr>
          <w:rFonts w:asciiTheme="minorEastAsia" w:eastAsiaTheme="minorEastAsia" w:hAnsiTheme="minorEastAsia" w:cstheme="minorEastAsia" w:hint="eastAsia"/>
          <w:sz w:val="24"/>
        </w:rPr>
        <w:t>HJ/T 61-2021</w:t>
      </w:r>
      <w:r>
        <w:rPr>
          <w:rFonts w:asciiTheme="minorEastAsia" w:eastAsiaTheme="minorEastAsia" w:hAnsiTheme="minorEastAsia" w:cstheme="minorEastAsia" w:hint="eastAsia"/>
          <w:sz w:val="24"/>
        </w:rPr>
        <w:t>。</w:t>
      </w:r>
    </w:p>
    <w:p w:rsidR="00513813" w:rsidRDefault="00AB3F6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调查结果</w:t>
      </w:r>
    </w:p>
    <w:p w:rsidR="00513813" w:rsidRDefault="00AB3F6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w:t>
      </w:r>
      <w:r>
        <w:rPr>
          <w:rFonts w:asciiTheme="minorEastAsia" w:eastAsiaTheme="minorEastAsia" w:hAnsiTheme="minorEastAsia" w:cstheme="minorEastAsia"/>
          <w:sz w:val="24"/>
        </w:rPr>
        <w:t>活室（</w:t>
      </w:r>
      <w:proofErr w:type="gramStart"/>
      <w:r>
        <w:rPr>
          <w:rFonts w:asciiTheme="minorEastAsia" w:eastAsiaTheme="minorEastAsia" w:hAnsiTheme="minorEastAsia" w:cstheme="minorEastAsia"/>
          <w:sz w:val="24"/>
        </w:rPr>
        <w:t>服碘室</w:t>
      </w:r>
      <w:proofErr w:type="gramEnd"/>
      <w:r>
        <w:rPr>
          <w:rFonts w:asciiTheme="minorEastAsia" w:eastAsiaTheme="minorEastAsia" w:hAnsiTheme="minorEastAsia" w:cstheme="minorEastAsia"/>
          <w:sz w:val="24"/>
        </w:rPr>
        <w:t>）及操作间</w:t>
      </w:r>
      <w:r>
        <w:rPr>
          <w:rFonts w:asciiTheme="minorEastAsia" w:eastAsiaTheme="minorEastAsia" w:hAnsiTheme="minorEastAsia" w:cstheme="minorEastAsia" w:hint="eastAsia"/>
          <w:sz w:val="24"/>
        </w:rPr>
        <w:t>：通风柜内有</w:t>
      </w:r>
      <w:r>
        <w:rPr>
          <w:rFonts w:asciiTheme="minorEastAsia" w:eastAsiaTheme="minorEastAsia" w:hAnsiTheme="minorEastAsia" w:cstheme="minorEastAsia" w:hint="eastAsia"/>
          <w:sz w:val="24"/>
        </w:rPr>
        <w:t>31GBq</w:t>
      </w:r>
      <w:r>
        <w:rPr>
          <w:rFonts w:asciiTheme="minorEastAsia" w:eastAsiaTheme="minorEastAsia" w:hAnsiTheme="minorEastAsia" w:cstheme="minorEastAsia" w:hint="eastAsia"/>
          <w:sz w:val="24"/>
        </w:rPr>
        <w:t>（约为</w:t>
      </w:r>
      <w:r>
        <w:rPr>
          <w:rFonts w:asciiTheme="minorEastAsia" w:eastAsiaTheme="minorEastAsia" w:hAnsiTheme="minorEastAsia" w:cstheme="minorEastAsia" w:hint="eastAsia"/>
          <w:sz w:val="24"/>
        </w:rPr>
        <w:t>840mCi</w:t>
      </w:r>
      <w:r>
        <w:rPr>
          <w:rFonts w:asciiTheme="minorEastAsia" w:eastAsiaTheme="minorEastAsia" w:hAnsiTheme="minorEastAsia" w:cstheme="minorEastAsia" w:hint="eastAsia"/>
          <w:sz w:val="24"/>
        </w:rPr>
        <w:t>）的碘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药物</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通风柜工作人员操作位</w:t>
      </w:r>
      <w:r>
        <w:rPr>
          <w:rFonts w:asciiTheme="minorEastAsia" w:eastAsiaTheme="minorEastAsia" w:hAnsiTheme="minorEastAsia" w:cstheme="minorEastAsia" w:hint="eastAsia"/>
          <w:sz w:val="24"/>
        </w:rPr>
        <w:t>0.50</w:t>
      </w:r>
      <w:r>
        <w:rPr>
          <w:rFonts w:asciiTheme="minorEastAsia" w:eastAsiaTheme="minorEastAsia" w:hAnsiTheme="minorEastAsia" w:cstheme="minorEastAsia" w:hint="eastAsia"/>
          <w:sz w:val="24"/>
        </w:rPr>
        <w:t>μ</w:t>
      </w:r>
      <w:r>
        <w:rPr>
          <w:rFonts w:asciiTheme="minorEastAsia" w:eastAsiaTheme="minorEastAsia" w:hAnsiTheme="minorEastAsia" w:cstheme="minorEastAsia" w:hint="eastAsia"/>
          <w:sz w:val="24"/>
        </w:rPr>
        <w:t>Sv/h</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通风柜外表面</w:t>
      </w:r>
      <w:r>
        <w:rPr>
          <w:rFonts w:asciiTheme="minorEastAsia" w:eastAsiaTheme="minorEastAsia" w:hAnsiTheme="minorEastAsia" w:cstheme="minorEastAsia" w:hint="eastAsia"/>
          <w:sz w:val="24"/>
        </w:rPr>
        <w:t>5cm1.44-1.55</w:t>
      </w:r>
      <w:r>
        <w:rPr>
          <w:rFonts w:asciiTheme="minorEastAsia" w:eastAsiaTheme="minorEastAsia" w:hAnsiTheme="minorEastAsia" w:cstheme="minorEastAsia" w:hint="eastAsia"/>
          <w:sz w:val="24"/>
        </w:rPr>
        <w:t>μ</w:t>
      </w:r>
      <w:r>
        <w:rPr>
          <w:rFonts w:asciiTheme="minorEastAsia" w:eastAsiaTheme="minorEastAsia" w:hAnsiTheme="minorEastAsia" w:cstheme="minorEastAsia" w:hint="eastAsia"/>
          <w:sz w:val="24"/>
        </w:rPr>
        <w:t>Sv/h</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铅桶外表面</w:t>
      </w:r>
      <w:r>
        <w:rPr>
          <w:rFonts w:asciiTheme="minorEastAsia" w:eastAsiaTheme="minorEastAsia" w:hAnsiTheme="minorEastAsia" w:cstheme="minorEastAsia" w:hint="eastAsia"/>
          <w:sz w:val="24"/>
        </w:rPr>
        <w:t>5cm0.37</w:t>
      </w:r>
      <w:r>
        <w:rPr>
          <w:rFonts w:asciiTheme="minorEastAsia" w:eastAsiaTheme="minorEastAsia" w:hAnsiTheme="minorEastAsia" w:cstheme="minorEastAsia" w:hint="eastAsia"/>
          <w:sz w:val="24"/>
        </w:rPr>
        <w:t>μ</w:t>
      </w:r>
      <w:r>
        <w:rPr>
          <w:rFonts w:asciiTheme="minorEastAsia" w:eastAsiaTheme="minorEastAsia" w:hAnsiTheme="minorEastAsia" w:cstheme="minorEastAsia" w:hint="eastAsia"/>
          <w:sz w:val="24"/>
        </w:rPr>
        <w:t>Sv/h</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防护门外表面</w:t>
      </w:r>
      <w:r>
        <w:rPr>
          <w:rFonts w:asciiTheme="minorEastAsia" w:eastAsiaTheme="minorEastAsia" w:hAnsiTheme="minorEastAsia" w:cstheme="minorEastAsia" w:hint="eastAsia"/>
          <w:sz w:val="24"/>
        </w:rPr>
        <w:t>30cm0.53-0.82</w:t>
      </w:r>
      <w:r>
        <w:rPr>
          <w:rFonts w:asciiTheme="minorEastAsia" w:eastAsiaTheme="minorEastAsia" w:hAnsiTheme="minorEastAsia" w:cstheme="minorEastAsia" w:hint="eastAsia"/>
          <w:sz w:val="24"/>
        </w:rPr>
        <w:t>μ</w:t>
      </w:r>
      <w:r>
        <w:rPr>
          <w:rFonts w:asciiTheme="minorEastAsia" w:eastAsiaTheme="minorEastAsia" w:hAnsiTheme="minorEastAsia" w:cstheme="minorEastAsia" w:hint="eastAsia"/>
          <w:sz w:val="24"/>
        </w:rPr>
        <w:t>Sv/h</w:t>
      </w:r>
    </w:p>
    <w:p w:rsidR="00513813" w:rsidRDefault="00AB3F6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服药室：</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名正在口服</w:t>
      </w:r>
      <w:r>
        <w:rPr>
          <w:rFonts w:asciiTheme="minorEastAsia" w:eastAsiaTheme="minorEastAsia" w:hAnsiTheme="minorEastAsia" w:cstheme="minorEastAsia" w:hint="eastAsia"/>
          <w:sz w:val="24"/>
        </w:rPr>
        <w:t>3.7GBq</w:t>
      </w:r>
      <w:r>
        <w:rPr>
          <w:rFonts w:asciiTheme="minorEastAsia" w:eastAsiaTheme="minorEastAsia" w:hAnsiTheme="minorEastAsia" w:cstheme="minorEastAsia" w:hint="eastAsia"/>
          <w:sz w:val="24"/>
        </w:rPr>
        <w:t>（约为</w:t>
      </w:r>
      <w:r>
        <w:rPr>
          <w:rFonts w:asciiTheme="minorEastAsia" w:eastAsiaTheme="minorEastAsia" w:hAnsiTheme="minorEastAsia" w:cstheme="minorEastAsia" w:hint="eastAsia"/>
          <w:sz w:val="24"/>
        </w:rPr>
        <w:t>100mCi</w:t>
      </w:r>
      <w:r>
        <w:rPr>
          <w:rFonts w:asciiTheme="minorEastAsia" w:eastAsiaTheme="minorEastAsia" w:hAnsiTheme="minorEastAsia" w:cstheme="minorEastAsia" w:hint="eastAsia"/>
          <w:sz w:val="24"/>
        </w:rPr>
        <w:t>）碘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药物的患者</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防护门外表面</w:t>
      </w:r>
      <w:r>
        <w:rPr>
          <w:rFonts w:asciiTheme="minorEastAsia" w:eastAsiaTheme="minorEastAsia" w:hAnsiTheme="minorEastAsia" w:cstheme="minorEastAsia" w:hint="eastAsia"/>
          <w:sz w:val="24"/>
        </w:rPr>
        <w:t>30cm1.82</w:t>
      </w:r>
      <w:r>
        <w:rPr>
          <w:rFonts w:asciiTheme="minorEastAsia" w:eastAsiaTheme="minorEastAsia" w:hAnsiTheme="minorEastAsia" w:cstheme="minorEastAsia" w:hint="eastAsia"/>
          <w:sz w:val="24"/>
        </w:rPr>
        <w:t>μ</w:t>
      </w:r>
      <w:r>
        <w:rPr>
          <w:rFonts w:asciiTheme="minorEastAsia" w:eastAsiaTheme="minorEastAsia" w:hAnsiTheme="minorEastAsia" w:cstheme="minorEastAsia" w:hint="eastAsia"/>
          <w:sz w:val="24"/>
        </w:rPr>
        <w:t>Sv/h</w:t>
      </w:r>
    </w:p>
    <w:p w:rsidR="00513813" w:rsidRDefault="00AB3F6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被服室：（带有药物残留的被服若干）</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防护门外表面</w:t>
      </w:r>
      <w:r>
        <w:rPr>
          <w:rFonts w:asciiTheme="minorEastAsia" w:eastAsiaTheme="minorEastAsia" w:hAnsiTheme="minorEastAsia" w:cstheme="minorEastAsia" w:hint="eastAsia"/>
          <w:sz w:val="24"/>
        </w:rPr>
        <w:t>30cm0.16-0.22</w:t>
      </w:r>
      <w:r>
        <w:rPr>
          <w:rFonts w:asciiTheme="minorEastAsia" w:eastAsiaTheme="minorEastAsia" w:hAnsiTheme="minorEastAsia" w:cstheme="minorEastAsia" w:hint="eastAsia"/>
          <w:sz w:val="24"/>
        </w:rPr>
        <w:t>μ</w:t>
      </w:r>
      <w:r>
        <w:rPr>
          <w:rFonts w:asciiTheme="minorEastAsia" w:eastAsiaTheme="minorEastAsia" w:hAnsiTheme="minorEastAsia" w:cstheme="minorEastAsia" w:hint="eastAsia"/>
          <w:sz w:val="24"/>
        </w:rPr>
        <w:t>Sv/h</w:t>
      </w:r>
    </w:p>
    <w:p w:rsidR="00513813" w:rsidRDefault="00AB3F6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病房β表面污染水平：</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治疗室桌子表面</w:t>
      </w:r>
      <w:r>
        <w:rPr>
          <w:rFonts w:asciiTheme="minorEastAsia" w:eastAsiaTheme="minorEastAsia" w:hAnsiTheme="minorEastAsia" w:cstheme="minorEastAsia" w:hint="eastAsia"/>
          <w:sz w:val="24"/>
        </w:rPr>
        <w:t>0.26Bq/cm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、地面＜</w:t>
      </w:r>
      <w:r>
        <w:rPr>
          <w:rFonts w:asciiTheme="minorEastAsia" w:eastAsiaTheme="minorEastAsia" w:hAnsiTheme="minorEastAsia" w:cstheme="minorEastAsia" w:hint="eastAsia"/>
          <w:sz w:val="24"/>
        </w:rPr>
        <w:t>0.16</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、墙面＜</w:t>
      </w:r>
      <w:r>
        <w:rPr>
          <w:rFonts w:asciiTheme="minorEastAsia" w:eastAsiaTheme="minorEastAsia" w:hAnsiTheme="minorEastAsia" w:cstheme="minorEastAsia" w:hint="eastAsia"/>
          <w:sz w:val="24"/>
        </w:rPr>
        <w:t>0.16</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206</w:t>
      </w:r>
      <w:r>
        <w:rPr>
          <w:rFonts w:asciiTheme="minorEastAsia" w:eastAsiaTheme="minorEastAsia" w:hAnsiTheme="minorEastAsia" w:cstheme="minorEastAsia" w:hint="eastAsia"/>
          <w:sz w:val="24"/>
        </w:rPr>
        <w:t>病房床面</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0.16</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、地面</w:t>
      </w:r>
      <w:r>
        <w:rPr>
          <w:rFonts w:asciiTheme="minorEastAsia" w:eastAsiaTheme="minorEastAsia" w:hAnsiTheme="minorEastAsia" w:cstheme="minorEastAsia" w:hint="eastAsia"/>
          <w:sz w:val="24"/>
        </w:rPr>
        <w:t>0.17</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、椅子表面</w:t>
      </w:r>
      <w:r>
        <w:rPr>
          <w:rFonts w:asciiTheme="minorEastAsia" w:eastAsiaTheme="minorEastAsia" w:hAnsiTheme="minorEastAsia" w:cstheme="minorEastAsia" w:hint="eastAsia"/>
          <w:sz w:val="24"/>
        </w:rPr>
        <w:t>0.17</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207</w:t>
      </w:r>
      <w:r>
        <w:rPr>
          <w:rFonts w:asciiTheme="minorEastAsia" w:eastAsiaTheme="minorEastAsia" w:hAnsiTheme="minorEastAsia" w:cstheme="minorEastAsia" w:hint="eastAsia"/>
          <w:sz w:val="24"/>
        </w:rPr>
        <w:t>病房床面</w:t>
      </w:r>
      <w:r>
        <w:rPr>
          <w:rFonts w:asciiTheme="minorEastAsia" w:eastAsiaTheme="minorEastAsia" w:hAnsiTheme="minorEastAsia" w:cstheme="minorEastAsia" w:hint="eastAsia"/>
          <w:sz w:val="24"/>
        </w:rPr>
        <w:t>0.18</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、地面</w:t>
      </w:r>
      <w:r>
        <w:rPr>
          <w:rFonts w:asciiTheme="minorEastAsia" w:eastAsiaTheme="minorEastAsia" w:hAnsiTheme="minorEastAsia" w:cstheme="minorEastAsia" w:hint="eastAsia"/>
          <w:sz w:val="24"/>
        </w:rPr>
        <w:t>0.16</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、椅子表面</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0.16</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208</w:t>
      </w:r>
      <w:r>
        <w:rPr>
          <w:rFonts w:asciiTheme="minorEastAsia" w:eastAsiaTheme="minorEastAsia" w:hAnsiTheme="minorEastAsia" w:cstheme="minorEastAsia" w:hint="eastAsia"/>
          <w:sz w:val="24"/>
        </w:rPr>
        <w:t>病房床面</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0.16</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、地面</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0.16</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、椅子表面</w:t>
      </w:r>
      <w:r>
        <w:rPr>
          <w:rFonts w:asciiTheme="minorEastAsia" w:eastAsiaTheme="minorEastAsia" w:hAnsiTheme="minorEastAsia" w:cstheme="minorEastAsia" w:hint="eastAsia"/>
          <w:sz w:val="24"/>
        </w:rPr>
        <w:t>0.22</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209</w:t>
      </w:r>
      <w:r>
        <w:rPr>
          <w:rFonts w:asciiTheme="minorEastAsia" w:eastAsiaTheme="minorEastAsia" w:hAnsiTheme="minorEastAsia" w:cstheme="minorEastAsia" w:hint="eastAsia"/>
          <w:sz w:val="24"/>
        </w:rPr>
        <w:t>病房床面</w:t>
      </w:r>
      <w:r>
        <w:rPr>
          <w:rFonts w:asciiTheme="minorEastAsia" w:eastAsiaTheme="minorEastAsia" w:hAnsiTheme="minorEastAsia" w:cstheme="minorEastAsia" w:hint="eastAsia"/>
          <w:sz w:val="24"/>
        </w:rPr>
        <w:t>0.21</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、地面</w:t>
      </w:r>
      <w:r>
        <w:rPr>
          <w:rFonts w:asciiTheme="minorEastAsia" w:eastAsiaTheme="minorEastAsia" w:hAnsiTheme="minorEastAsia" w:cstheme="minorEastAsia" w:hint="eastAsia"/>
          <w:sz w:val="24"/>
        </w:rPr>
        <w:t>0.17</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、椅</w:t>
      </w:r>
      <w:r>
        <w:rPr>
          <w:rFonts w:asciiTheme="minorEastAsia" w:eastAsiaTheme="minorEastAsia" w:hAnsiTheme="minorEastAsia" w:cstheme="minorEastAsia" w:hint="eastAsia"/>
          <w:sz w:val="24"/>
        </w:rPr>
        <w:t>子表面</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0.16</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210</w:t>
      </w:r>
      <w:r>
        <w:rPr>
          <w:rFonts w:asciiTheme="minorEastAsia" w:eastAsiaTheme="minorEastAsia" w:hAnsiTheme="minorEastAsia" w:cstheme="minorEastAsia" w:hint="eastAsia"/>
          <w:sz w:val="24"/>
        </w:rPr>
        <w:t>病房床面</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0.16</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、地面</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0.16</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、椅子表面</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0.16</w:t>
      </w:r>
      <w:r>
        <w:rPr>
          <w:rFonts w:asciiTheme="minorEastAsia" w:eastAsiaTheme="minorEastAsia" w:hAnsiTheme="minorEastAsia" w:cstheme="minorEastAsia" w:hint="eastAsia"/>
          <w:sz w:val="24"/>
        </w:rPr>
        <w:t>Bq/cm</w:t>
      </w:r>
      <w:r>
        <w:rPr>
          <w:rFonts w:asciiTheme="minorEastAsia" w:eastAsiaTheme="minorEastAsia" w:hAnsiTheme="minorEastAsia" w:cstheme="minorEastAsia" w:hint="eastAsia"/>
          <w:sz w:val="24"/>
          <w:vertAlign w:val="superscript"/>
        </w:rPr>
        <w:t>2</w:t>
      </w:r>
    </w:p>
    <w:p w:rsidR="00513813" w:rsidRDefault="00AB3F63">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4.2.4</w:t>
      </w:r>
      <w:r>
        <w:rPr>
          <w:rFonts w:asciiTheme="minorEastAsia" w:eastAsiaTheme="minorEastAsia" w:hAnsiTheme="minorEastAsia" w:cstheme="minorEastAsia" w:hint="eastAsia"/>
          <w:b/>
          <w:bCs/>
          <w:sz w:val="24"/>
        </w:rPr>
        <w:t>调研国外相关工作情况</w:t>
      </w:r>
    </w:p>
    <w:p w:rsidR="00513813" w:rsidRDefault="00AB3F6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对国际组织（</w:t>
      </w:r>
      <w:r>
        <w:rPr>
          <w:rFonts w:asciiTheme="minorEastAsia" w:eastAsiaTheme="minorEastAsia" w:hAnsiTheme="minorEastAsia" w:cstheme="minorEastAsia" w:hint="eastAsia"/>
          <w:sz w:val="24"/>
        </w:rPr>
        <w:t>IAEA</w:t>
      </w:r>
      <w:r>
        <w:rPr>
          <w:rFonts w:asciiTheme="minorEastAsia" w:eastAsiaTheme="minorEastAsia" w:hAnsiTheme="minorEastAsia" w:cstheme="minorEastAsia" w:hint="eastAsia"/>
          <w:sz w:val="24"/>
        </w:rPr>
        <w:t>等）碘</w:t>
      </w:r>
      <w:r>
        <w:rPr>
          <w:rFonts w:asciiTheme="minorEastAsia" w:eastAsiaTheme="minorEastAsia" w:hAnsiTheme="minorEastAsia" w:cstheme="minorEastAsia" w:hint="eastAsia"/>
          <w:sz w:val="24"/>
        </w:rPr>
        <w:t>-131</w:t>
      </w:r>
      <w:r>
        <w:rPr>
          <w:rFonts w:asciiTheme="minorEastAsia" w:eastAsiaTheme="minorEastAsia" w:hAnsiTheme="minorEastAsia" w:cstheme="minorEastAsia" w:hint="eastAsia"/>
          <w:sz w:val="24"/>
        </w:rPr>
        <w:t>核素在医疗机构诊断与治疗中的使用情况进行全面系统的查阅、研究和分析，了解国际上和发达应用及辐射安全监管现状，提出今后工作的发展方向与对策。</w:t>
      </w:r>
    </w:p>
    <w:p w:rsidR="00513813" w:rsidRDefault="00513813"/>
    <w:p w:rsidR="00513813" w:rsidRDefault="00AB3F63">
      <w:pPr>
        <w:pStyle w:val="1"/>
      </w:pPr>
      <w:bookmarkStart w:id="28" w:name="_Toc32298"/>
      <w:r>
        <w:rPr>
          <w:rFonts w:hint="eastAsia"/>
        </w:rPr>
        <w:t>5</w:t>
      </w:r>
      <w:r>
        <w:t xml:space="preserve"> </w:t>
      </w:r>
      <w:r>
        <w:rPr>
          <w:rFonts w:hint="eastAsia"/>
        </w:rPr>
        <w:t>编制原则和编制依据</w:t>
      </w:r>
      <w:bookmarkEnd w:id="25"/>
      <w:bookmarkEnd w:id="28"/>
    </w:p>
    <w:p w:rsidR="00513813" w:rsidRDefault="00AB3F63">
      <w:pPr>
        <w:pStyle w:val="2"/>
        <w:numPr>
          <w:ilvl w:val="0"/>
          <w:numId w:val="0"/>
        </w:numPr>
        <w:rPr>
          <w:rFonts w:eastAsia="黑体"/>
          <w:b w:val="0"/>
          <w:bCs w:val="0"/>
          <w:sz w:val="32"/>
        </w:rPr>
      </w:pPr>
      <w:bookmarkStart w:id="29" w:name="_Toc103617114"/>
      <w:bookmarkStart w:id="30" w:name="_Toc13303"/>
      <w:r>
        <w:rPr>
          <w:rFonts w:eastAsia="黑体" w:hint="eastAsia"/>
          <w:b w:val="0"/>
          <w:bCs w:val="0"/>
          <w:sz w:val="32"/>
        </w:rPr>
        <w:t>5</w:t>
      </w:r>
      <w:r>
        <w:rPr>
          <w:rFonts w:eastAsia="黑体"/>
          <w:b w:val="0"/>
          <w:bCs w:val="0"/>
          <w:sz w:val="32"/>
        </w:rPr>
        <w:t xml:space="preserve">.1 </w:t>
      </w:r>
      <w:r>
        <w:rPr>
          <w:rFonts w:eastAsia="黑体"/>
          <w:b w:val="0"/>
          <w:bCs w:val="0"/>
          <w:sz w:val="32"/>
        </w:rPr>
        <w:t>编制原则</w:t>
      </w:r>
      <w:bookmarkEnd w:id="29"/>
      <w:bookmarkEnd w:id="30"/>
    </w:p>
    <w:p w:rsidR="00513813" w:rsidRDefault="00AB3F63">
      <w:pPr>
        <w:spacing w:line="360" w:lineRule="auto"/>
        <w:rPr>
          <w:b/>
          <w:bCs/>
          <w:sz w:val="24"/>
          <w:szCs w:val="21"/>
        </w:rPr>
      </w:pPr>
      <w:bookmarkStart w:id="31" w:name="_Toc131516445"/>
      <w:bookmarkStart w:id="32" w:name="_Toc13427"/>
      <w:bookmarkStart w:id="33" w:name="_Toc17235"/>
      <w:r>
        <w:rPr>
          <w:rFonts w:hint="eastAsia"/>
          <w:b/>
          <w:bCs/>
          <w:sz w:val="24"/>
          <w:szCs w:val="21"/>
        </w:rPr>
        <w:t>5</w:t>
      </w:r>
      <w:r>
        <w:rPr>
          <w:rFonts w:hint="eastAsia"/>
          <w:b/>
          <w:bCs/>
          <w:sz w:val="24"/>
          <w:szCs w:val="21"/>
        </w:rPr>
        <w:t>.2.1</w:t>
      </w:r>
      <w:r>
        <w:rPr>
          <w:rFonts w:hint="eastAsia"/>
          <w:b/>
          <w:bCs/>
          <w:sz w:val="24"/>
          <w:szCs w:val="21"/>
        </w:rPr>
        <w:t>衔接相关法律法规</w:t>
      </w:r>
      <w:bookmarkEnd w:id="31"/>
      <w:bookmarkEnd w:id="32"/>
      <w:bookmarkEnd w:id="33"/>
    </w:p>
    <w:p w:rsidR="00513813" w:rsidRDefault="00AB3F63">
      <w:pPr>
        <w:spacing w:line="360" w:lineRule="auto"/>
        <w:ind w:firstLineChars="200" w:firstLine="480"/>
        <w:rPr>
          <w:sz w:val="24"/>
          <w:szCs w:val="21"/>
        </w:rPr>
      </w:pPr>
      <w:r>
        <w:rPr>
          <w:rFonts w:hint="eastAsia"/>
          <w:sz w:val="24"/>
          <w:szCs w:val="21"/>
        </w:rPr>
        <w:t>以国家和北京市现行生态环境相关法律、法规、政策和</w:t>
      </w:r>
      <w:r>
        <w:rPr>
          <w:rFonts w:hint="eastAsia"/>
          <w:sz w:val="24"/>
          <w:szCs w:val="21"/>
        </w:rPr>
        <w:t>标准</w:t>
      </w:r>
      <w:r>
        <w:rPr>
          <w:rFonts w:hint="eastAsia"/>
          <w:sz w:val="24"/>
          <w:szCs w:val="21"/>
        </w:rPr>
        <w:t>中</w:t>
      </w:r>
      <w:r>
        <w:rPr>
          <w:rFonts w:hint="eastAsia"/>
          <w:sz w:val="24"/>
          <w:szCs w:val="21"/>
        </w:rPr>
        <w:t>核医学和非密封性核素使用的防护与安全</w:t>
      </w:r>
      <w:r>
        <w:rPr>
          <w:rFonts w:hint="eastAsia"/>
          <w:sz w:val="24"/>
          <w:szCs w:val="21"/>
        </w:rPr>
        <w:t>相关要求为依据，符合各项法规要求，与现行相关标</w:t>
      </w:r>
      <w:r>
        <w:rPr>
          <w:rFonts w:hint="eastAsia"/>
          <w:sz w:val="24"/>
          <w:szCs w:val="21"/>
        </w:rPr>
        <w:lastRenderedPageBreak/>
        <w:t>准协调衔接</w:t>
      </w:r>
      <w:r>
        <w:rPr>
          <w:rFonts w:hint="eastAsia"/>
          <w:sz w:val="24"/>
          <w:szCs w:val="21"/>
        </w:rPr>
        <w:t>，</w:t>
      </w:r>
      <w:r>
        <w:rPr>
          <w:rFonts w:hint="eastAsia"/>
          <w:sz w:val="24"/>
          <w:szCs w:val="21"/>
        </w:rPr>
        <w:t>满足环境监督管理要求。</w:t>
      </w:r>
    </w:p>
    <w:p w:rsidR="00513813" w:rsidRDefault="00AB3F63">
      <w:pPr>
        <w:spacing w:line="360" w:lineRule="auto"/>
        <w:rPr>
          <w:b/>
          <w:bCs/>
          <w:sz w:val="24"/>
          <w:szCs w:val="21"/>
        </w:rPr>
      </w:pPr>
      <w:bookmarkStart w:id="34" w:name="_Toc16964"/>
      <w:bookmarkStart w:id="35" w:name="_Toc131516446"/>
      <w:bookmarkStart w:id="36" w:name="_Toc28247"/>
      <w:r>
        <w:rPr>
          <w:rFonts w:hint="eastAsia"/>
          <w:b/>
          <w:bCs/>
          <w:sz w:val="24"/>
          <w:szCs w:val="21"/>
        </w:rPr>
        <w:t>5</w:t>
      </w:r>
      <w:r>
        <w:rPr>
          <w:rFonts w:hint="eastAsia"/>
          <w:b/>
          <w:bCs/>
          <w:sz w:val="24"/>
          <w:szCs w:val="21"/>
        </w:rPr>
        <w:t>.2.2</w:t>
      </w:r>
      <w:r>
        <w:rPr>
          <w:rFonts w:hint="eastAsia"/>
          <w:b/>
          <w:bCs/>
          <w:sz w:val="24"/>
          <w:szCs w:val="21"/>
        </w:rPr>
        <w:t>科学性、可行性和系统性</w:t>
      </w:r>
      <w:bookmarkEnd w:id="34"/>
      <w:bookmarkEnd w:id="35"/>
      <w:bookmarkEnd w:id="36"/>
    </w:p>
    <w:p w:rsidR="00513813" w:rsidRDefault="00AB3F63">
      <w:pPr>
        <w:spacing w:line="360" w:lineRule="auto"/>
        <w:ind w:firstLineChars="200" w:firstLine="480"/>
        <w:rPr>
          <w:sz w:val="24"/>
          <w:szCs w:val="21"/>
        </w:rPr>
      </w:pPr>
      <w:bookmarkStart w:id="37" w:name="_Toc131516447"/>
      <w:bookmarkStart w:id="38" w:name="_Toc23033"/>
      <w:bookmarkStart w:id="39" w:name="_Toc26145"/>
      <w:r>
        <w:rPr>
          <w:rFonts w:hint="eastAsia"/>
          <w:sz w:val="24"/>
          <w:szCs w:val="21"/>
        </w:rPr>
        <w:t>本标准的制定工作遵循“统一性、协调性、适用性、一致性、规范性”的原则，本着先进性、科学性、合理性和可操作性的原则，按照</w:t>
      </w:r>
      <w:r>
        <w:rPr>
          <w:rFonts w:hint="eastAsia"/>
          <w:sz w:val="24"/>
          <w:szCs w:val="21"/>
        </w:rPr>
        <w:t>GB/T 1.1</w:t>
      </w:r>
      <w:r>
        <w:rPr>
          <w:rFonts w:hint="eastAsia"/>
          <w:sz w:val="24"/>
          <w:szCs w:val="21"/>
        </w:rPr>
        <w:t>—</w:t>
      </w:r>
      <w:r>
        <w:rPr>
          <w:rFonts w:hint="eastAsia"/>
          <w:sz w:val="24"/>
          <w:szCs w:val="21"/>
        </w:rPr>
        <w:t>2020</w:t>
      </w:r>
      <w:r>
        <w:rPr>
          <w:rFonts w:hint="eastAsia"/>
          <w:sz w:val="24"/>
          <w:szCs w:val="21"/>
        </w:rPr>
        <w:t>《标准化工作导则</w:t>
      </w:r>
      <w:r>
        <w:rPr>
          <w:rFonts w:hint="eastAsia"/>
          <w:sz w:val="24"/>
          <w:szCs w:val="21"/>
        </w:rPr>
        <w:t xml:space="preserve"> </w:t>
      </w:r>
      <w:r>
        <w:rPr>
          <w:rFonts w:hint="eastAsia"/>
          <w:sz w:val="24"/>
          <w:szCs w:val="21"/>
        </w:rPr>
        <w:t>第一部分：标准化文件的结构和起草规则》给出的规则编写。</w:t>
      </w:r>
    </w:p>
    <w:p w:rsidR="00513813" w:rsidRDefault="00AB3F63">
      <w:pPr>
        <w:spacing w:line="360" w:lineRule="auto"/>
        <w:rPr>
          <w:b/>
          <w:bCs/>
          <w:sz w:val="24"/>
          <w:szCs w:val="21"/>
        </w:rPr>
      </w:pPr>
      <w:r>
        <w:rPr>
          <w:rFonts w:hint="eastAsia"/>
          <w:b/>
          <w:bCs/>
          <w:sz w:val="24"/>
          <w:szCs w:val="21"/>
        </w:rPr>
        <w:t>5</w:t>
      </w:r>
      <w:r>
        <w:rPr>
          <w:rFonts w:hint="eastAsia"/>
          <w:b/>
          <w:bCs/>
          <w:sz w:val="24"/>
          <w:szCs w:val="21"/>
        </w:rPr>
        <w:t>.2.3</w:t>
      </w:r>
      <w:bookmarkEnd w:id="37"/>
      <w:bookmarkEnd w:id="38"/>
      <w:bookmarkEnd w:id="39"/>
      <w:r>
        <w:rPr>
          <w:rFonts w:hint="eastAsia"/>
          <w:b/>
          <w:bCs/>
          <w:sz w:val="24"/>
          <w:szCs w:val="21"/>
        </w:rPr>
        <w:t xml:space="preserve"> </w:t>
      </w:r>
      <w:r>
        <w:rPr>
          <w:rFonts w:hint="eastAsia"/>
          <w:b/>
          <w:bCs/>
          <w:sz w:val="24"/>
          <w:szCs w:val="21"/>
        </w:rPr>
        <w:t>保护环境和公众的</w:t>
      </w:r>
    </w:p>
    <w:p w:rsidR="00513813" w:rsidRDefault="00AB3F63">
      <w:pPr>
        <w:spacing w:line="360" w:lineRule="auto"/>
        <w:ind w:firstLineChars="200" w:firstLine="480"/>
        <w:rPr>
          <w:sz w:val="24"/>
          <w:szCs w:val="21"/>
        </w:rPr>
      </w:pPr>
      <w:r>
        <w:rPr>
          <w:rFonts w:hint="eastAsia"/>
          <w:sz w:val="24"/>
          <w:szCs w:val="21"/>
        </w:rPr>
        <w:t>指导北京市</w:t>
      </w:r>
      <w:r>
        <w:rPr>
          <w:sz w:val="24"/>
          <w:szCs w:val="21"/>
        </w:rPr>
        <w:t>医疗机构使用碘</w:t>
      </w:r>
      <w:r>
        <w:rPr>
          <w:sz w:val="24"/>
          <w:szCs w:val="21"/>
        </w:rPr>
        <w:t>-131</w:t>
      </w:r>
      <w:r>
        <w:rPr>
          <w:sz w:val="24"/>
          <w:szCs w:val="21"/>
        </w:rPr>
        <w:t>核素开展核医学住院治疗活动的</w:t>
      </w:r>
      <w:r>
        <w:rPr>
          <w:rFonts w:hint="eastAsia"/>
          <w:sz w:val="24"/>
          <w:szCs w:val="21"/>
        </w:rPr>
        <w:t>总则、选址、布局、工作场所的辐射安全与防护、放射性废物管理、辐射监测、应急处理要求等相关</w:t>
      </w:r>
      <w:r>
        <w:rPr>
          <w:rFonts w:hint="eastAsia"/>
          <w:sz w:val="24"/>
          <w:szCs w:val="21"/>
        </w:rPr>
        <w:t>内容，明确了建设工作中</w:t>
      </w:r>
      <w:r>
        <w:rPr>
          <w:sz w:val="24"/>
          <w:szCs w:val="21"/>
        </w:rPr>
        <w:t>工作场所设计、建设及开展相关活动的辐射防护与安全管理。</w:t>
      </w:r>
    </w:p>
    <w:p w:rsidR="00513813" w:rsidRDefault="00AB3F63">
      <w:pPr>
        <w:pStyle w:val="2"/>
        <w:numPr>
          <w:ilvl w:val="0"/>
          <w:numId w:val="0"/>
        </w:numPr>
        <w:rPr>
          <w:rFonts w:eastAsia="黑体"/>
          <w:b w:val="0"/>
          <w:bCs w:val="0"/>
          <w:sz w:val="32"/>
        </w:rPr>
      </w:pPr>
      <w:bookmarkStart w:id="40" w:name="_Toc29652"/>
      <w:r>
        <w:rPr>
          <w:rFonts w:eastAsia="黑体" w:hint="eastAsia"/>
          <w:b w:val="0"/>
          <w:bCs w:val="0"/>
          <w:sz w:val="32"/>
        </w:rPr>
        <w:t>5</w:t>
      </w:r>
      <w:r>
        <w:rPr>
          <w:rFonts w:eastAsia="黑体" w:hint="eastAsia"/>
          <w:b w:val="0"/>
          <w:bCs w:val="0"/>
          <w:sz w:val="32"/>
        </w:rPr>
        <w:t>.2</w:t>
      </w:r>
      <w:r>
        <w:rPr>
          <w:rFonts w:eastAsia="黑体" w:hint="eastAsia"/>
          <w:b w:val="0"/>
          <w:bCs w:val="0"/>
          <w:sz w:val="32"/>
        </w:rPr>
        <w:t>制定依据</w:t>
      </w:r>
      <w:bookmarkEnd w:id="40"/>
    </w:p>
    <w:p w:rsidR="00513813" w:rsidRDefault="00AB3F63">
      <w:pPr>
        <w:spacing w:line="360" w:lineRule="auto"/>
        <w:ind w:firstLineChars="200" w:firstLine="480"/>
        <w:rPr>
          <w:sz w:val="24"/>
          <w:szCs w:val="21"/>
        </w:rPr>
      </w:pPr>
      <w:r>
        <w:rPr>
          <w:rFonts w:hint="eastAsia"/>
          <w:sz w:val="24"/>
          <w:szCs w:val="21"/>
        </w:rPr>
        <w:t>依据以下</w:t>
      </w:r>
      <w:r>
        <w:rPr>
          <w:rFonts w:hint="eastAsia"/>
          <w:sz w:val="24"/>
          <w:szCs w:val="21"/>
        </w:rPr>
        <w:t>国家标准</w:t>
      </w:r>
      <w:r>
        <w:rPr>
          <w:rFonts w:hint="eastAsia"/>
          <w:sz w:val="24"/>
          <w:szCs w:val="21"/>
        </w:rPr>
        <w:t>，结合北京市</w:t>
      </w:r>
      <w:r>
        <w:rPr>
          <w:rFonts w:hint="eastAsia"/>
          <w:sz w:val="24"/>
          <w:szCs w:val="21"/>
        </w:rPr>
        <w:t>辐射与安全管理体系</w:t>
      </w:r>
      <w:r>
        <w:rPr>
          <w:rFonts w:hint="eastAsia"/>
          <w:sz w:val="24"/>
          <w:szCs w:val="21"/>
        </w:rPr>
        <w:t>和经验编制本规范</w:t>
      </w:r>
    </w:p>
    <w:p w:rsidR="00513813" w:rsidRDefault="00AB3F63">
      <w:pPr>
        <w:spacing w:line="360" w:lineRule="auto"/>
        <w:rPr>
          <w:b/>
          <w:bCs/>
          <w:sz w:val="24"/>
          <w:szCs w:val="21"/>
        </w:rPr>
      </w:pPr>
      <w:r>
        <w:rPr>
          <w:rFonts w:hint="eastAsia"/>
          <w:b/>
          <w:bCs/>
          <w:sz w:val="24"/>
          <w:szCs w:val="21"/>
        </w:rPr>
        <w:t>5.2.1</w:t>
      </w:r>
      <w:r>
        <w:rPr>
          <w:rFonts w:hint="eastAsia"/>
          <w:b/>
          <w:bCs/>
          <w:sz w:val="24"/>
          <w:szCs w:val="21"/>
        </w:rPr>
        <w:t>电离辐射防护与辐射源安全基本标准</w:t>
      </w:r>
      <w:r>
        <w:rPr>
          <w:rFonts w:hint="eastAsia"/>
          <w:b/>
          <w:bCs/>
          <w:sz w:val="24"/>
          <w:szCs w:val="21"/>
        </w:rPr>
        <w:t>GB 18871-2002</w:t>
      </w:r>
    </w:p>
    <w:p w:rsidR="00513813" w:rsidRDefault="00AB3F63">
      <w:pPr>
        <w:spacing w:line="360" w:lineRule="auto"/>
        <w:ind w:firstLineChars="200" w:firstLine="482"/>
        <w:rPr>
          <w:b/>
          <w:bCs/>
          <w:sz w:val="24"/>
          <w:szCs w:val="21"/>
        </w:rPr>
      </w:pPr>
      <w:r>
        <w:rPr>
          <w:rFonts w:hint="eastAsia"/>
          <w:b/>
          <w:bCs/>
          <w:sz w:val="24"/>
          <w:szCs w:val="21"/>
        </w:rPr>
        <w:t>《电离辐射防护与辐射源安全基本标准》</w:t>
      </w:r>
      <w:r>
        <w:rPr>
          <w:rFonts w:hint="eastAsia"/>
          <w:b/>
          <w:bCs/>
          <w:sz w:val="24"/>
          <w:szCs w:val="21"/>
        </w:rPr>
        <w:t>6.4</w:t>
      </w:r>
      <w:r>
        <w:rPr>
          <w:rFonts w:hint="eastAsia"/>
          <w:b/>
          <w:bCs/>
          <w:sz w:val="24"/>
          <w:szCs w:val="21"/>
        </w:rPr>
        <w:t>条作为本标准辐射工作场所分区，并对不同分区进行辐射安全管理的依据。</w:t>
      </w:r>
    </w:p>
    <w:p w:rsidR="00513813" w:rsidRDefault="00AB3F63">
      <w:pPr>
        <w:spacing w:line="360" w:lineRule="auto"/>
        <w:ind w:firstLineChars="200" w:firstLine="480"/>
        <w:rPr>
          <w:sz w:val="24"/>
          <w:szCs w:val="21"/>
        </w:rPr>
      </w:pPr>
      <w:r>
        <w:rPr>
          <w:rFonts w:hint="eastAsia"/>
          <w:sz w:val="24"/>
          <w:szCs w:val="21"/>
        </w:rPr>
        <w:t>6.4</w:t>
      </w:r>
      <w:r>
        <w:rPr>
          <w:rFonts w:hint="eastAsia"/>
          <w:sz w:val="24"/>
          <w:szCs w:val="21"/>
        </w:rPr>
        <w:t>辐射工作场所的分区</w:t>
      </w:r>
    </w:p>
    <w:p w:rsidR="00513813" w:rsidRDefault="00AB3F63">
      <w:pPr>
        <w:spacing w:line="360" w:lineRule="auto"/>
        <w:ind w:firstLineChars="200" w:firstLine="480"/>
        <w:rPr>
          <w:sz w:val="24"/>
          <w:szCs w:val="21"/>
        </w:rPr>
      </w:pPr>
      <w:r>
        <w:rPr>
          <w:rFonts w:hint="eastAsia"/>
          <w:sz w:val="24"/>
          <w:szCs w:val="21"/>
        </w:rPr>
        <w:t>应把辐射工作场所分为控制区和监督区，以便于辐射防护管理和职业照射控制。</w:t>
      </w:r>
    </w:p>
    <w:p w:rsidR="00513813" w:rsidRDefault="00AB3F63">
      <w:pPr>
        <w:spacing w:line="360" w:lineRule="auto"/>
        <w:ind w:firstLineChars="200" w:firstLine="480"/>
        <w:rPr>
          <w:sz w:val="24"/>
          <w:szCs w:val="21"/>
        </w:rPr>
      </w:pPr>
      <w:r>
        <w:rPr>
          <w:rFonts w:hint="eastAsia"/>
          <w:sz w:val="24"/>
          <w:szCs w:val="21"/>
        </w:rPr>
        <w:t xml:space="preserve">6.4.1  </w:t>
      </w:r>
      <w:r>
        <w:rPr>
          <w:rFonts w:hint="eastAsia"/>
          <w:sz w:val="24"/>
          <w:szCs w:val="21"/>
        </w:rPr>
        <w:t>控制区</w:t>
      </w:r>
    </w:p>
    <w:p w:rsidR="00513813" w:rsidRDefault="00AB3F63">
      <w:pPr>
        <w:spacing w:line="360" w:lineRule="auto"/>
        <w:ind w:firstLineChars="200" w:firstLine="480"/>
        <w:rPr>
          <w:sz w:val="24"/>
          <w:szCs w:val="21"/>
        </w:rPr>
      </w:pPr>
      <w:r>
        <w:rPr>
          <w:rFonts w:hint="eastAsia"/>
          <w:sz w:val="24"/>
          <w:szCs w:val="21"/>
        </w:rPr>
        <w:t>6.4.1.1</w:t>
      </w:r>
      <w:r>
        <w:rPr>
          <w:rFonts w:hint="eastAsia"/>
          <w:sz w:val="24"/>
          <w:szCs w:val="21"/>
        </w:rPr>
        <w:t>注册者和许可证持有者应把需要和可能需要专</w:t>
      </w:r>
      <w:r>
        <w:rPr>
          <w:rFonts w:hint="eastAsia"/>
          <w:sz w:val="24"/>
          <w:szCs w:val="21"/>
        </w:rPr>
        <w:t>门防护手段或安全措施的区域定为控制区，以便控制正常工作条件下的正常照射或防止污染扩散，并预防潜在照射或限制潜在照射的范围。</w:t>
      </w:r>
    </w:p>
    <w:p w:rsidR="00513813" w:rsidRDefault="00AB3F63">
      <w:pPr>
        <w:spacing w:line="360" w:lineRule="auto"/>
        <w:ind w:firstLineChars="200" w:firstLine="480"/>
        <w:rPr>
          <w:sz w:val="24"/>
          <w:szCs w:val="21"/>
        </w:rPr>
      </w:pPr>
      <w:r>
        <w:rPr>
          <w:rFonts w:hint="eastAsia"/>
          <w:sz w:val="24"/>
          <w:szCs w:val="21"/>
        </w:rPr>
        <w:t xml:space="preserve">6.4.1.2  </w:t>
      </w:r>
      <w:r>
        <w:rPr>
          <w:rFonts w:hint="eastAsia"/>
          <w:sz w:val="24"/>
          <w:szCs w:val="21"/>
        </w:rPr>
        <w:t>确定控制区的边界时，应考虑预计的正常照射的水平、潜在照射的可能性和大小，以及所需要的防护手段与安全措施的性质和范围。</w:t>
      </w:r>
    </w:p>
    <w:p w:rsidR="00513813" w:rsidRDefault="00AB3F63">
      <w:pPr>
        <w:spacing w:line="360" w:lineRule="auto"/>
        <w:ind w:firstLineChars="200" w:firstLine="480"/>
        <w:rPr>
          <w:sz w:val="24"/>
          <w:szCs w:val="21"/>
        </w:rPr>
      </w:pPr>
      <w:r>
        <w:rPr>
          <w:rFonts w:hint="eastAsia"/>
          <w:sz w:val="24"/>
          <w:szCs w:val="21"/>
        </w:rPr>
        <w:t xml:space="preserve">6.4.1.3  </w:t>
      </w:r>
      <w:r>
        <w:rPr>
          <w:rFonts w:hint="eastAsia"/>
          <w:sz w:val="24"/>
          <w:szCs w:val="21"/>
        </w:rPr>
        <w:t>对于范围比较大的控制区，如果其中的照射或污染水平在不同的局部变化较大，需要实施不同的专门防护手段或安全措施，则可根据需要再划分出不同的子区，以方便管理。</w:t>
      </w:r>
    </w:p>
    <w:p w:rsidR="00513813" w:rsidRDefault="00AB3F63">
      <w:pPr>
        <w:spacing w:line="360" w:lineRule="auto"/>
        <w:ind w:firstLineChars="200" w:firstLine="480"/>
        <w:rPr>
          <w:sz w:val="24"/>
          <w:szCs w:val="21"/>
        </w:rPr>
      </w:pPr>
      <w:r>
        <w:rPr>
          <w:rFonts w:hint="eastAsia"/>
          <w:sz w:val="24"/>
          <w:szCs w:val="21"/>
        </w:rPr>
        <w:lastRenderedPageBreak/>
        <w:t xml:space="preserve">6.4.1.4  </w:t>
      </w:r>
      <w:r>
        <w:rPr>
          <w:rFonts w:hint="eastAsia"/>
          <w:sz w:val="24"/>
          <w:szCs w:val="21"/>
        </w:rPr>
        <w:t>注册者、许可证持有者应：</w:t>
      </w:r>
    </w:p>
    <w:p w:rsidR="00513813" w:rsidRDefault="00AB3F63">
      <w:pPr>
        <w:spacing w:line="360" w:lineRule="auto"/>
        <w:ind w:firstLineChars="200" w:firstLine="480"/>
        <w:rPr>
          <w:sz w:val="24"/>
          <w:szCs w:val="21"/>
        </w:rPr>
      </w:pPr>
      <w:r>
        <w:rPr>
          <w:rFonts w:hint="eastAsia"/>
          <w:sz w:val="24"/>
          <w:szCs w:val="21"/>
        </w:rPr>
        <w:t>a</w:t>
      </w:r>
      <w:r>
        <w:rPr>
          <w:rFonts w:hint="eastAsia"/>
          <w:sz w:val="24"/>
          <w:szCs w:val="21"/>
        </w:rPr>
        <w:t>）采用实体边界划定控制区；采用实体</w:t>
      </w:r>
      <w:r>
        <w:rPr>
          <w:rFonts w:hint="eastAsia"/>
          <w:sz w:val="24"/>
          <w:szCs w:val="21"/>
        </w:rPr>
        <w:t>边界不现实时也可以采用其他适当的手段；</w:t>
      </w:r>
    </w:p>
    <w:p w:rsidR="00513813" w:rsidRDefault="00AB3F63">
      <w:pPr>
        <w:spacing w:line="360" w:lineRule="auto"/>
        <w:ind w:firstLineChars="200" w:firstLine="480"/>
        <w:rPr>
          <w:sz w:val="24"/>
          <w:szCs w:val="21"/>
        </w:rPr>
      </w:pPr>
      <w:r>
        <w:rPr>
          <w:rFonts w:hint="eastAsia"/>
          <w:sz w:val="24"/>
          <w:szCs w:val="21"/>
        </w:rPr>
        <w:t>b</w:t>
      </w:r>
      <w:r>
        <w:rPr>
          <w:rFonts w:hint="eastAsia"/>
          <w:sz w:val="24"/>
          <w:szCs w:val="21"/>
        </w:rPr>
        <w:t>）在源的运行或开启只是间歇性的或仅</w:t>
      </w:r>
      <w:proofErr w:type="gramStart"/>
      <w:r>
        <w:rPr>
          <w:rFonts w:hint="eastAsia"/>
          <w:sz w:val="24"/>
          <w:szCs w:val="21"/>
        </w:rPr>
        <w:t>是把源从</w:t>
      </w:r>
      <w:proofErr w:type="gramEnd"/>
      <w:r>
        <w:rPr>
          <w:rFonts w:hint="eastAsia"/>
          <w:sz w:val="24"/>
          <w:szCs w:val="21"/>
        </w:rPr>
        <w:t>一处移至另一处的情况下，采用与主导情况相适应的方法划定控制区，并对照射时间加以规定；</w:t>
      </w:r>
    </w:p>
    <w:p w:rsidR="00513813" w:rsidRDefault="00AB3F63">
      <w:pPr>
        <w:spacing w:line="360" w:lineRule="auto"/>
        <w:ind w:firstLineChars="200" w:firstLine="480"/>
        <w:rPr>
          <w:sz w:val="24"/>
          <w:szCs w:val="21"/>
        </w:rPr>
      </w:pPr>
      <w:r>
        <w:rPr>
          <w:rFonts w:hint="eastAsia"/>
          <w:sz w:val="24"/>
          <w:szCs w:val="21"/>
        </w:rPr>
        <w:t>c</w:t>
      </w:r>
      <w:r>
        <w:rPr>
          <w:rFonts w:hint="eastAsia"/>
          <w:sz w:val="24"/>
          <w:szCs w:val="21"/>
        </w:rPr>
        <w:t>）在控制区的进出口及其他适当位置处设立醒目的、符合附录</w:t>
      </w:r>
      <w:r>
        <w:rPr>
          <w:rFonts w:hint="eastAsia"/>
          <w:sz w:val="24"/>
          <w:szCs w:val="21"/>
        </w:rPr>
        <w:t>F</w:t>
      </w:r>
      <w:r>
        <w:rPr>
          <w:rFonts w:hint="eastAsia"/>
          <w:sz w:val="24"/>
          <w:szCs w:val="21"/>
        </w:rPr>
        <w:t>（标准的附录）规定的警告标志，并给出相应的辐射水平和污染水平的指示；</w:t>
      </w:r>
    </w:p>
    <w:p w:rsidR="00513813" w:rsidRDefault="00AB3F63">
      <w:pPr>
        <w:spacing w:line="360" w:lineRule="auto"/>
        <w:ind w:firstLineChars="200" w:firstLine="480"/>
        <w:rPr>
          <w:sz w:val="24"/>
          <w:szCs w:val="21"/>
        </w:rPr>
      </w:pPr>
      <w:r>
        <w:rPr>
          <w:rFonts w:hint="eastAsia"/>
          <w:sz w:val="24"/>
          <w:szCs w:val="21"/>
        </w:rPr>
        <w:t>d</w:t>
      </w:r>
      <w:r>
        <w:rPr>
          <w:rFonts w:hint="eastAsia"/>
          <w:sz w:val="24"/>
          <w:szCs w:val="21"/>
        </w:rPr>
        <w:t>）制定职业防护与安全措施，包括适用于控制区的规则与程序；</w:t>
      </w:r>
    </w:p>
    <w:p w:rsidR="00513813" w:rsidRDefault="00AB3F63">
      <w:pPr>
        <w:spacing w:line="360" w:lineRule="auto"/>
        <w:ind w:firstLineChars="200" w:firstLine="480"/>
        <w:rPr>
          <w:sz w:val="24"/>
          <w:szCs w:val="21"/>
        </w:rPr>
      </w:pPr>
      <w:r>
        <w:rPr>
          <w:rFonts w:hint="eastAsia"/>
          <w:sz w:val="24"/>
          <w:szCs w:val="21"/>
        </w:rPr>
        <w:t>e</w:t>
      </w:r>
      <w:r>
        <w:rPr>
          <w:rFonts w:hint="eastAsia"/>
          <w:sz w:val="24"/>
          <w:szCs w:val="21"/>
        </w:rPr>
        <w:t>）运用行政管理程序（如进入控制区的工作许可证制度）和实体屏障（包括门锁和联锁装置）限制进出控制区；限制的严格程度应与预计的照射水平和可能性相适应；</w:t>
      </w:r>
    </w:p>
    <w:p w:rsidR="00513813" w:rsidRDefault="00AB3F63">
      <w:pPr>
        <w:spacing w:line="360" w:lineRule="auto"/>
        <w:ind w:firstLineChars="200" w:firstLine="480"/>
        <w:rPr>
          <w:sz w:val="24"/>
          <w:szCs w:val="21"/>
        </w:rPr>
      </w:pPr>
      <w:r>
        <w:rPr>
          <w:rFonts w:hint="eastAsia"/>
          <w:sz w:val="24"/>
          <w:szCs w:val="21"/>
        </w:rPr>
        <w:t>f</w:t>
      </w:r>
      <w:r>
        <w:rPr>
          <w:rFonts w:hint="eastAsia"/>
          <w:sz w:val="24"/>
          <w:szCs w:val="21"/>
        </w:rPr>
        <w:t>）按需要在控制区的入口处提供防护衣具、监测设备和个人衣物贮存柜；</w:t>
      </w:r>
    </w:p>
    <w:p w:rsidR="00513813" w:rsidRDefault="00AB3F63">
      <w:pPr>
        <w:spacing w:line="360" w:lineRule="auto"/>
        <w:ind w:firstLineChars="200" w:firstLine="480"/>
        <w:rPr>
          <w:sz w:val="24"/>
          <w:szCs w:val="21"/>
        </w:rPr>
      </w:pPr>
      <w:r>
        <w:rPr>
          <w:rFonts w:hint="eastAsia"/>
          <w:sz w:val="24"/>
          <w:szCs w:val="21"/>
        </w:rPr>
        <w:t>g</w:t>
      </w:r>
      <w:r>
        <w:rPr>
          <w:rFonts w:hint="eastAsia"/>
          <w:sz w:val="24"/>
          <w:szCs w:val="21"/>
        </w:rPr>
        <w:t>）按需要在控制区的出口处提供皮肤和工作服的污染监测仪、被携出物品的污染监测设备、冲洗或淋浴设施以及被污染防护衣具的贮存柜；</w:t>
      </w:r>
    </w:p>
    <w:p w:rsidR="00513813" w:rsidRDefault="00AB3F63">
      <w:pPr>
        <w:spacing w:line="360" w:lineRule="auto"/>
        <w:ind w:firstLineChars="200" w:firstLine="480"/>
        <w:rPr>
          <w:sz w:val="24"/>
          <w:szCs w:val="21"/>
        </w:rPr>
      </w:pPr>
      <w:r>
        <w:rPr>
          <w:rFonts w:hint="eastAsia"/>
          <w:sz w:val="24"/>
          <w:szCs w:val="21"/>
        </w:rPr>
        <w:t>h</w:t>
      </w:r>
      <w:r>
        <w:rPr>
          <w:rFonts w:hint="eastAsia"/>
          <w:sz w:val="24"/>
          <w:szCs w:val="21"/>
        </w:rPr>
        <w:t>）定期审查控制区的实际状况，以确定是否有必要改变该区的防护手段或安全措施或该区的边界。</w:t>
      </w:r>
    </w:p>
    <w:p w:rsidR="00513813" w:rsidRDefault="00AB3F63">
      <w:pPr>
        <w:spacing w:line="360" w:lineRule="auto"/>
        <w:ind w:firstLineChars="200" w:firstLine="480"/>
        <w:rPr>
          <w:sz w:val="24"/>
          <w:szCs w:val="21"/>
        </w:rPr>
      </w:pPr>
      <w:r>
        <w:rPr>
          <w:rFonts w:hint="eastAsia"/>
          <w:sz w:val="24"/>
          <w:szCs w:val="21"/>
        </w:rPr>
        <w:t xml:space="preserve">6.4.2  </w:t>
      </w:r>
      <w:r>
        <w:rPr>
          <w:rFonts w:hint="eastAsia"/>
          <w:sz w:val="24"/>
          <w:szCs w:val="21"/>
        </w:rPr>
        <w:t>监督区</w:t>
      </w:r>
    </w:p>
    <w:p w:rsidR="00513813" w:rsidRDefault="00AB3F63">
      <w:pPr>
        <w:spacing w:line="360" w:lineRule="auto"/>
        <w:ind w:firstLineChars="200" w:firstLine="480"/>
        <w:rPr>
          <w:sz w:val="24"/>
          <w:szCs w:val="21"/>
        </w:rPr>
      </w:pPr>
      <w:r>
        <w:rPr>
          <w:rFonts w:hint="eastAsia"/>
          <w:sz w:val="24"/>
          <w:szCs w:val="21"/>
        </w:rPr>
        <w:t xml:space="preserve">6.4.2.1  </w:t>
      </w:r>
      <w:r>
        <w:rPr>
          <w:rFonts w:hint="eastAsia"/>
          <w:sz w:val="24"/>
          <w:szCs w:val="21"/>
        </w:rPr>
        <w:t>注册者和许可证持有者应将下述区域定为监督区：这种区域未被定为控制区，在其中通常不需要专门的防护手段或安全措施，但需要经常对职业照射条件进行监督和评价。</w:t>
      </w:r>
    </w:p>
    <w:p w:rsidR="00513813" w:rsidRDefault="00AB3F63">
      <w:pPr>
        <w:spacing w:line="360" w:lineRule="auto"/>
        <w:ind w:firstLineChars="200" w:firstLine="480"/>
        <w:rPr>
          <w:sz w:val="24"/>
          <w:szCs w:val="21"/>
        </w:rPr>
      </w:pPr>
      <w:r>
        <w:rPr>
          <w:rFonts w:hint="eastAsia"/>
          <w:sz w:val="24"/>
          <w:szCs w:val="21"/>
        </w:rPr>
        <w:t xml:space="preserve">6.4.2.2  </w:t>
      </w:r>
      <w:r>
        <w:rPr>
          <w:rFonts w:hint="eastAsia"/>
          <w:sz w:val="24"/>
          <w:szCs w:val="21"/>
        </w:rPr>
        <w:t>注册者和许可证持有者应：</w:t>
      </w:r>
    </w:p>
    <w:p w:rsidR="00513813" w:rsidRDefault="00AB3F63">
      <w:pPr>
        <w:spacing w:line="360" w:lineRule="auto"/>
        <w:ind w:firstLineChars="200" w:firstLine="480"/>
        <w:rPr>
          <w:sz w:val="24"/>
          <w:szCs w:val="21"/>
        </w:rPr>
      </w:pPr>
      <w:r>
        <w:rPr>
          <w:rFonts w:hint="eastAsia"/>
          <w:sz w:val="24"/>
          <w:szCs w:val="21"/>
        </w:rPr>
        <w:t>a</w:t>
      </w:r>
      <w:r>
        <w:rPr>
          <w:rFonts w:hint="eastAsia"/>
          <w:sz w:val="24"/>
          <w:szCs w:val="21"/>
        </w:rPr>
        <w:t>）采用适当的手段划出监督区的边界；</w:t>
      </w:r>
    </w:p>
    <w:p w:rsidR="00513813" w:rsidRDefault="00AB3F63">
      <w:pPr>
        <w:spacing w:line="360" w:lineRule="auto"/>
        <w:ind w:firstLineChars="200" w:firstLine="480"/>
        <w:rPr>
          <w:sz w:val="24"/>
          <w:szCs w:val="21"/>
        </w:rPr>
      </w:pPr>
      <w:r>
        <w:rPr>
          <w:rFonts w:hint="eastAsia"/>
          <w:sz w:val="24"/>
          <w:szCs w:val="21"/>
        </w:rPr>
        <w:t>b</w:t>
      </w:r>
      <w:r>
        <w:rPr>
          <w:rFonts w:hint="eastAsia"/>
          <w:sz w:val="24"/>
          <w:szCs w:val="21"/>
        </w:rPr>
        <w:t>）在监督区入口处的适当地点设立表明监督区的标牌；</w:t>
      </w:r>
    </w:p>
    <w:p w:rsidR="00513813" w:rsidRDefault="00AB3F63">
      <w:pPr>
        <w:spacing w:line="360" w:lineRule="auto"/>
        <w:ind w:firstLineChars="200" w:firstLine="480"/>
        <w:rPr>
          <w:sz w:val="24"/>
          <w:szCs w:val="21"/>
        </w:rPr>
      </w:pPr>
      <w:r>
        <w:rPr>
          <w:rFonts w:hint="eastAsia"/>
          <w:sz w:val="24"/>
          <w:szCs w:val="21"/>
        </w:rPr>
        <w:t>c</w:t>
      </w:r>
      <w:r>
        <w:rPr>
          <w:rFonts w:hint="eastAsia"/>
          <w:sz w:val="24"/>
          <w:szCs w:val="21"/>
        </w:rPr>
        <w:t>）定期审查该区的条件，以确定是否需要采取防护措施和做出安全规定，或是否需要更改监督区的边界。</w:t>
      </w:r>
    </w:p>
    <w:p w:rsidR="00513813" w:rsidRDefault="00AB3F63">
      <w:pPr>
        <w:spacing w:line="360" w:lineRule="auto"/>
        <w:ind w:firstLineChars="200" w:firstLine="482"/>
        <w:rPr>
          <w:sz w:val="24"/>
          <w:szCs w:val="21"/>
        </w:rPr>
      </w:pPr>
      <w:r>
        <w:rPr>
          <w:rFonts w:hint="eastAsia"/>
          <w:b/>
          <w:bCs/>
          <w:sz w:val="24"/>
          <w:szCs w:val="21"/>
        </w:rPr>
        <w:t>《电离辐射防护与辐射源安全基本标准》附录</w:t>
      </w:r>
      <w:r>
        <w:rPr>
          <w:rFonts w:hint="eastAsia"/>
          <w:b/>
          <w:bCs/>
          <w:sz w:val="24"/>
          <w:szCs w:val="21"/>
        </w:rPr>
        <w:t>B</w:t>
      </w:r>
      <w:r>
        <w:rPr>
          <w:rFonts w:hint="eastAsia"/>
          <w:b/>
          <w:bCs/>
          <w:sz w:val="24"/>
          <w:szCs w:val="21"/>
        </w:rPr>
        <w:t>作为本标准规范工作人员及公众剂量限值的依据。</w:t>
      </w:r>
    </w:p>
    <w:p w:rsidR="00513813" w:rsidRDefault="00AB3F63">
      <w:pPr>
        <w:spacing w:line="360" w:lineRule="auto"/>
        <w:ind w:firstLineChars="200" w:firstLine="480"/>
        <w:rPr>
          <w:sz w:val="24"/>
          <w:szCs w:val="21"/>
        </w:rPr>
      </w:pPr>
      <w:r>
        <w:rPr>
          <w:rFonts w:hint="eastAsia"/>
          <w:sz w:val="24"/>
          <w:szCs w:val="21"/>
        </w:rPr>
        <w:t>附录</w:t>
      </w:r>
      <w:r>
        <w:rPr>
          <w:rFonts w:hint="eastAsia"/>
          <w:sz w:val="24"/>
          <w:szCs w:val="21"/>
        </w:rPr>
        <w:t>B</w:t>
      </w:r>
      <w:r>
        <w:rPr>
          <w:rFonts w:hint="eastAsia"/>
          <w:sz w:val="24"/>
          <w:szCs w:val="21"/>
        </w:rPr>
        <w:t>（标准的附录）剂量限值和表面污染控制水平。</w:t>
      </w:r>
    </w:p>
    <w:p w:rsidR="00513813" w:rsidRDefault="00AB3F63">
      <w:pPr>
        <w:spacing w:line="360" w:lineRule="auto"/>
        <w:ind w:firstLineChars="200" w:firstLine="482"/>
        <w:rPr>
          <w:sz w:val="24"/>
          <w:szCs w:val="21"/>
        </w:rPr>
      </w:pPr>
      <w:r>
        <w:rPr>
          <w:rFonts w:hint="eastAsia"/>
          <w:b/>
          <w:bCs/>
          <w:sz w:val="24"/>
          <w:szCs w:val="21"/>
        </w:rPr>
        <w:t>《电离辐射防护与辐射源安全基本标准》附录</w:t>
      </w:r>
      <w:r>
        <w:rPr>
          <w:rFonts w:hint="eastAsia"/>
          <w:b/>
          <w:bCs/>
          <w:sz w:val="24"/>
          <w:szCs w:val="21"/>
        </w:rPr>
        <w:t>B</w:t>
      </w:r>
      <w:r>
        <w:rPr>
          <w:rFonts w:hint="eastAsia"/>
          <w:b/>
          <w:bCs/>
          <w:sz w:val="24"/>
          <w:szCs w:val="21"/>
        </w:rPr>
        <w:t>作为本标准规范场所表面</w:t>
      </w:r>
      <w:r>
        <w:rPr>
          <w:rFonts w:hint="eastAsia"/>
          <w:b/>
          <w:bCs/>
          <w:sz w:val="24"/>
          <w:szCs w:val="21"/>
        </w:rPr>
        <w:lastRenderedPageBreak/>
        <w:t>污染限值的依据。</w:t>
      </w:r>
    </w:p>
    <w:p w:rsidR="00513813" w:rsidRDefault="00AB3F63">
      <w:pPr>
        <w:spacing w:line="360" w:lineRule="auto"/>
        <w:ind w:firstLineChars="200" w:firstLine="480"/>
        <w:rPr>
          <w:sz w:val="24"/>
          <w:szCs w:val="21"/>
        </w:rPr>
      </w:pPr>
      <w:r>
        <w:rPr>
          <w:rFonts w:hint="eastAsia"/>
          <w:sz w:val="24"/>
          <w:szCs w:val="21"/>
        </w:rPr>
        <w:t>附录</w:t>
      </w:r>
      <w:r>
        <w:rPr>
          <w:rFonts w:hint="eastAsia"/>
          <w:sz w:val="24"/>
          <w:szCs w:val="21"/>
        </w:rPr>
        <w:t>B</w:t>
      </w:r>
      <w:r>
        <w:rPr>
          <w:rFonts w:hint="eastAsia"/>
          <w:sz w:val="24"/>
          <w:szCs w:val="21"/>
        </w:rPr>
        <w:t>（标准的附录）剂量限值和表面污染控制水平。</w:t>
      </w:r>
    </w:p>
    <w:p w:rsidR="00513813" w:rsidRDefault="00AB3F63">
      <w:pPr>
        <w:spacing w:line="360" w:lineRule="auto"/>
        <w:ind w:firstLineChars="200" w:firstLine="482"/>
        <w:rPr>
          <w:b/>
          <w:bCs/>
          <w:sz w:val="24"/>
          <w:szCs w:val="21"/>
        </w:rPr>
      </w:pPr>
      <w:r>
        <w:rPr>
          <w:rFonts w:hint="eastAsia"/>
          <w:b/>
          <w:bCs/>
          <w:sz w:val="24"/>
          <w:szCs w:val="21"/>
        </w:rPr>
        <w:t>《电离辐射防护与辐射源安全基本</w:t>
      </w:r>
      <w:r>
        <w:rPr>
          <w:rFonts w:hint="eastAsia"/>
          <w:b/>
          <w:bCs/>
          <w:sz w:val="24"/>
          <w:szCs w:val="21"/>
        </w:rPr>
        <w:t>标准》附录</w:t>
      </w:r>
      <w:r>
        <w:rPr>
          <w:rFonts w:hint="eastAsia"/>
          <w:b/>
          <w:bCs/>
          <w:sz w:val="24"/>
          <w:szCs w:val="21"/>
        </w:rPr>
        <w:t>C</w:t>
      </w:r>
      <w:r>
        <w:rPr>
          <w:rFonts w:hint="eastAsia"/>
          <w:b/>
          <w:bCs/>
          <w:sz w:val="24"/>
          <w:szCs w:val="21"/>
        </w:rPr>
        <w:t>作为本标准分密封源工作场所分级的依据。</w:t>
      </w:r>
    </w:p>
    <w:p w:rsidR="00513813" w:rsidRDefault="00AB3F63">
      <w:pPr>
        <w:spacing w:line="360" w:lineRule="auto"/>
        <w:ind w:firstLineChars="200" w:firstLine="480"/>
        <w:rPr>
          <w:sz w:val="24"/>
          <w:szCs w:val="21"/>
        </w:rPr>
      </w:pPr>
      <w:r>
        <w:rPr>
          <w:rFonts w:hint="eastAsia"/>
          <w:sz w:val="24"/>
          <w:szCs w:val="21"/>
        </w:rPr>
        <w:t>附录</w:t>
      </w:r>
      <w:r>
        <w:rPr>
          <w:rFonts w:hint="eastAsia"/>
          <w:sz w:val="24"/>
          <w:szCs w:val="21"/>
        </w:rPr>
        <w:t>C</w:t>
      </w:r>
      <w:r>
        <w:rPr>
          <w:rFonts w:hint="eastAsia"/>
          <w:sz w:val="24"/>
          <w:szCs w:val="21"/>
        </w:rPr>
        <w:t>（标准的附录）非密封源工作场所的分级。</w:t>
      </w:r>
    </w:p>
    <w:p w:rsidR="00513813" w:rsidRDefault="00AB3F63">
      <w:pPr>
        <w:spacing w:line="360" w:lineRule="auto"/>
        <w:rPr>
          <w:b/>
          <w:bCs/>
          <w:sz w:val="24"/>
          <w:szCs w:val="21"/>
        </w:rPr>
      </w:pPr>
      <w:r>
        <w:rPr>
          <w:rFonts w:hint="eastAsia"/>
          <w:b/>
          <w:bCs/>
          <w:sz w:val="24"/>
          <w:szCs w:val="21"/>
        </w:rPr>
        <w:t>4.2.2</w:t>
      </w:r>
      <w:r>
        <w:rPr>
          <w:rFonts w:hint="eastAsia"/>
          <w:b/>
          <w:bCs/>
          <w:sz w:val="24"/>
          <w:szCs w:val="21"/>
        </w:rPr>
        <w:t>核医学辐射防护与安全要求</w:t>
      </w:r>
      <w:r>
        <w:rPr>
          <w:rFonts w:hint="eastAsia"/>
          <w:b/>
          <w:bCs/>
          <w:sz w:val="24"/>
          <w:szCs w:val="21"/>
        </w:rPr>
        <w:t xml:space="preserve"> </w:t>
      </w:r>
      <w:r>
        <w:rPr>
          <w:rFonts w:hint="eastAsia"/>
          <w:b/>
          <w:bCs/>
          <w:sz w:val="24"/>
          <w:szCs w:val="21"/>
        </w:rPr>
        <w:t>HJ</w:t>
      </w:r>
      <w:r>
        <w:rPr>
          <w:rFonts w:hint="eastAsia"/>
          <w:b/>
          <w:bCs/>
          <w:sz w:val="24"/>
          <w:szCs w:val="21"/>
        </w:rPr>
        <w:t xml:space="preserve"> </w:t>
      </w:r>
      <w:r>
        <w:rPr>
          <w:rFonts w:hint="eastAsia"/>
          <w:b/>
          <w:bCs/>
          <w:sz w:val="24"/>
          <w:szCs w:val="21"/>
        </w:rPr>
        <w:t>1188</w:t>
      </w:r>
      <w:r>
        <w:rPr>
          <w:rFonts w:hint="eastAsia"/>
          <w:b/>
          <w:bCs/>
          <w:sz w:val="24"/>
          <w:szCs w:val="21"/>
        </w:rPr>
        <w:t>-2021</w:t>
      </w:r>
    </w:p>
    <w:p w:rsidR="00513813" w:rsidRDefault="00AB3F63">
      <w:pPr>
        <w:spacing w:line="360" w:lineRule="auto"/>
        <w:ind w:firstLineChars="200" w:firstLine="482"/>
        <w:rPr>
          <w:b/>
          <w:bCs/>
          <w:sz w:val="24"/>
          <w:szCs w:val="21"/>
        </w:rPr>
      </w:pPr>
      <w:r>
        <w:rPr>
          <w:rFonts w:hint="eastAsia"/>
          <w:b/>
          <w:bCs/>
          <w:sz w:val="24"/>
          <w:szCs w:val="21"/>
        </w:rPr>
        <w:t>《</w:t>
      </w:r>
      <w:r>
        <w:rPr>
          <w:rFonts w:hint="eastAsia"/>
          <w:b/>
          <w:bCs/>
          <w:sz w:val="24"/>
          <w:szCs w:val="21"/>
        </w:rPr>
        <w:t>核医学辐射防护与安全要求</w:t>
      </w:r>
      <w:r>
        <w:rPr>
          <w:rFonts w:hint="eastAsia"/>
          <w:b/>
          <w:bCs/>
          <w:sz w:val="24"/>
          <w:szCs w:val="21"/>
        </w:rPr>
        <w:t>》</w:t>
      </w:r>
      <w:r>
        <w:rPr>
          <w:rFonts w:hint="eastAsia"/>
          <w:b/>
          <w:bCs/>
          <w:sz w:val="24"/>
          <w:szCs w:val="21"/>
        </w:rPr>
        <w:t>4.5</w:t>
      </w:r>
      <w:r>
        <w:rPr>
          <w:rFonts w:hint="eastAsia"/>
          <w:b/>
          <w:bCs/>
          <w:sz w:val="24"/>
          <w:szCs w:val="21"/>
        </w:rPr>
        <w:t>服药患者出院要求作为本标准患者出院要求和出院监测方式的依据。</w:t>
      </w:r>
    </w:p>
    <w:p w:rsidR="00513813" w:rsidRDefault="00AB3F63">
      <w:pPr>
        <w:spacing w:line="360" w:lineRule="auto"/>
        <w:ind w:firstLineChars="200" w:firstLine="480"/>
        <w:rPr>
          <w:sz w:val="24"/>
          <w:szCs w:val="21"/>
        </w:rPr>
      </w:pPr>
      <w:r>
        <w:rPr>
          <w:rFonts w:hint="eastAsia"/>
          <w:sz w:val="24"/>
          <w:szCs w:val="21"/>
        </w:rPr>
        <w:t xml:space="preserve">4.5 </w:t>
      </w:r>
      <w:r>
        <w:rPr>
          <w:rFonts w:hint="eastAsia"/>
          <w:sz w:val="24"/>
          <w:szCs w:val="21"/>
        </w:rPr>
        <w:t>服药患者出院要求</w:t>
      </w:r>
    </w:p>
    <w:p w:rsidR="00513813" w:rsidRDefault="00AB3F63">
      <w:pPr>
        <w:spacing w:line="360" w:lineRule="auto"/>
        <w:ind w:firstLineChars="200" w:firstLine="480"/>
        <w:rPr>
          <w:sz w:val="24"/>
          <w:szCs w:val="21"/>
        </w:rPr>
      </w:pPr>
      <w:r>
        <w:rPr>
          <w:rFonts w:hint="eastAsia"/>
          <w:sz w:val="24"/>
          <w:szCs w:val="21"/>
        </w:rPr>
        <w:t xml:space="preserve">4.5.1 </w:t>
      </w:r>
      <w:r>
        <w:rPr>
          <w:rFonts w:hint="eastAsia"/>
          <w:sz w:val="24"/>
          <w:szCs w:val="21"/>
        </w:rPr>
        <w:t>为确保放射性核素治疗患者出院后，不至于使接触患者的家庭成员及公众超过相关的剂量约束或剂量限值，出院患者体内放射性核素活度应符合附录</w:t>
      </w:r>
      <w:r>
        <w:rPr>
          <w:rFonts w:hint="eastAsia"/>
          <w:sz w:val="24"/>
          <w:szCs w:val="21"/>
        </w:rPr>
        <w:t xml:space="preserve"> B </w:t>
      </w:r>
      <w:r>
        <w:rPr>
          <w:rFonts w:hint="eastAsia"/>
          <w:sz w:val="24"/>
          <w:szCs w:val="21"/>
        </w:rPr>
        <w:t>的相关规定。</w:t>
      </w:r>
    </w:p>
    <w:p w:rsidR="00513813" w:rsidRDefault="00AB3F63">
      <w:pPr>
        <w:spacing w:line="360" w:lineRule="auto"/>
        <w:ind w:firstLineChars="200" w:firstLine="480"/>
        <w:rPr>
          <w:sz w:val="24"/>
          <w:szCs w:val="21"/>
        </w:rPr>
      </w:pPr>
      <w:r>
        <w:rPr>
          <w:rFonts w:hint="eastAsia"/>
          <w:sz w:val="24"/>
          <w:szCs w:val="21"/>
        </w:rPr>
        <w:t xml:space="preserve">4.5.2 </w:t>
      </w:r>
      <w:r>
        <w:rPr>
          <w:rFonts w:hint="eastAsia"/>
          <w:sz w:val="24"/>
          <w:szCs w:val="21"/>
        </w:rPr>
        <w:t>接受碘</w:t>
      </w:r>
      <w:r>
        <w:rPr>
          <w:rFonts w:hint="eastAsia"/>
          <w:sz w:val="24"/>
          <w:szCs w:val="21"/>
        </w:rPr>
        <w:t xml:space="preserve">-131 </w:t>
      </w:r>
      <w:r>
        <w:rPr>
          <w:rFonts w:hint="eastAsia"/>
          <w:sz w:val="24"/>
          <w:szCs w:val="21"/>
        </w:rPr>
        <w:t>治疗的患者，应在其体内的放射性活度降至</w:t>
      </w:r>
      <w:r>
        <w:rPr>
          <w:rFonts w:hint="eastAsia"/>
          <w:sz w:val="24"/>
          <w:szCs w:val="21"/>
        </w:rPr>
        <w:t xml:space="preserve"> </w:t>
      </w:r>
      <w:r>
        <w:rPr>
          <w:rFonts w:hint="eastAsia"/>
          <w:sz w:val="24"/>
          <w:szCs w:val="21"/>
        </w:rPr>
        <w:t xml:space="preserve">400 MBq </w:t>
      </w:r>
      <w:r>
        <w:rPr>
          <w:rFonts w:hint="eastAsia"/>
          <w:sz w:val="24"/>
          <w:szCs w:val="21"/>
        </w:rPr>
        <w:t>以下或距离患者体表</w:t>
      </w:r>
      <w:r>
        <w:rPr>
          <w:rFonts w:hint="eastAsia"/>
          <w:sz w:val="24"/>
          <w:szCs w:val="21"/>
        </w:rPr>
        <w:t xml:space="preserve"> 1 </w:t>
      </w:r>
      <w:r>
        <w:rPr>
          <w:rFonts w:hint="eastAsia"/>
          <w:sz w:val="24"/>
          <w:szCs w:val="21"/>
        </w:rPr>
        <w:t>米处的周围剂量当量率不大于</w:t>
      </w:r>
      <w:r>
        <w:rPr>
          <w:rFonts w:hint="eastAsia"/>
          <w:sz w:val="24"/>
          <w:szCs w:val="21"/>
        </w:rPr>
        <w:t xml:space="preserve"> 25 </w:t>
      </w:r>
      <w:r>
        <w:rPr>
          <w:rFonts w:hint="eastAsia"/>
          <w:sz w:val="24"/>
          <w:szCs w:val="21"/>
        </w:rPr>
        <w:t>μ</w:t>
      </w:r>
      <w:r>
        <w:rPr>
          <w:rFonts w:hint="eastAsia"/>
          <w:sz w:val="24"/>
          <w:szCs w:val="21"/>
        </w:rPr>
        <w:t xml:space="preserve">Sv/h </w:t>
      </w:r>
      <w:r>
        <w:rPr>
          <w:rFonts w:hint="eastAsia"/>
          <w:sz w:val="24"/>
          <w:szCs w:val="21"/>
        </w:rPr>
        <w:t>方可出院。</w:t>
      </w:r>
    </w:p>
    <w:p w:rsidR="00513813" w:rsidRDefault="00AB3F63">
      <w:pPr>
        <w:spacing w:line="360" w:lineRule="auto"/>
        <w:ind w:firstLineChars="200" w:firstLine="482"/>
        <w:rPr>
          <w:b/>
          <w:bCs/>
          <w:sz w:val="24"/>
          <w:szCs w:val="21"/>
        </w:rPr>
      </w:pPr>
      <w:r>
        <w:rPr>
          <w:rFonts w:hint="eastAsia"/>
          <w:b/>
          <w:bCs/>
          <w:sz w:val="24"/>
          <w:szCs w:val="21"/>
        </w:rPr>
        <w:t>《</w:t>
      </w:r>
      <w:r>
        <w:rPr>
          <w:rFonts w:hint="eastAsia"/>
          <w:b/>
          <w:bCs/>
          <w:sz w:val="24"/>
          <w:szCs w:val="21"/>
        </w:rPr>
        <w:t>核医学辐射防护与安全要求</w:t>
      </w:r>
      <w:r>
        <w:rPr>
          <w:rFonts w:hint="eastAsia"/>
          <w:b/>
          <w:bCs/>
          <w:sz w:val="24"/>
          <w:szCs w:val="21"/>
        </w:rPr>
        <w:t>》</w:t>
      </w:r>
      <w:r>
        <w:rPr>
          <w:rFonts w:hint="eastAsia"/>
          <w:b/>
          <w:bCs/>
          <w:sz w:val="24"/>
          <w:szCs w:val="21"/>
        </w:rPr>
        <w:t>5</w:t>
      </w:r>
      <w:r>
        <w:rPr>
          <w:rFonts w:hint="eastAsia"/>
          <w:b/>
          <w:bCs/>
          <w:sz w:val="24"/>
          <w:szCs w:val="21"/>
        </w:rPr>
        <w:t>选址和布局作为本标准中碘</w:t>
      </w:r>
      <w:r>
        <w:rPr>
          <w:rFonts w:hint="eastAsia"/>
          <w:b/>
          <w:bCs/>
          <w:sz w:val="24"/>
          <w:szCs w:val="21"/>
        </w:rPr>
        <w:t>-131</w:t>
      </w:r>
      <w:r>
        <w:rPr>
          <w:rFonts w:hint="eastAsia"/>
          <w:b/>
          <w:bCs/>
          <w:sz w:val="24"/>
          <w:szCs w:val="21"/>
        </w:rPr>
        <w:t>核素病房选址和布局的依据。</w:t>
      </w:r>
    </w:p>
    <w:p w:rsidR="00513813" w:rsidRDefault="00AB3F63">
      <w:pPr>
        <w:spacing w:line="360" w:lineRule="auto"/>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 xml:space="preserve">5.1 </w:t>
      </w:r>
      <w:r>
        <w:rPr>
          <w:rFonts w:asciiTheme="minorEastAsia" w:eastAsiaTheme="minorEastAsia" w:hAnsiTheme="minorEastAsia" w:cstheme="minorEastAsia" w:hint="eastAsia"/>
          <w:sz w:val="24"/>
          <w:szCs w:val="21"/>
        </w:rPr>
        <w:t>选址</w:t>
      </w:r>
    </w:p>
    <w:p w:rsidR="00513813" w:rsidRDefault="00AB3F63">
      <w:pPr>
        <w:spacing w:line="360" w:lineRule="auto"/>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 xml:space="preserve">5.1.1 </w:t>
      </w:r>
      <w:r>
        <w:rPr>
          <w:rFonts w:asciiTheme="minorEastAsia" w:eastAsiaTheme="minorEastAsia" w:hAnsiTheme="minorEastAsia" w:cstheme="minorEastAsia" w:hint="eastAsia"/>
          <w:sz w:val="24"/>
          <w:szCs w:val="21"/>
        </w:rPr>
        <w:t>核医学工作场所宜建在医疗机构内单独的建筑物内，或集中于无人长期居留的建筑物的一端或底层，设置相应的物理隔离和单独的人员、物流通道。</w:t>
      </w:r>
    </w:p>
    <w:p w:rsidR="00513813" w:rsidRDefault="00AB3F63">
      <w:pPr>
        <w:spacing w:line="360" w:lineRule="auto"/>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 xml:space="preserve">5.1.2 </w:t>
      </w:r>
      <w:r>
        <w:rPr>
          <w:rFonts w:asciiTheme="minorEastAsia" w:eastAsiaTheme="minorEastAsia" w:hAnsiTheme="minorEastAsia" w:cstheme="minorEastAsia" w:hint="eastAsia"/>
          <w:sz w:val="24"/>
          <w:szCs w:val="21"/>
        </w:rPr>
        <w:t>核医学工作场所不宜毗邻产科、儿科、食堂等部门及人员密集区，并应与非放射性工作场所有明确的分界隔离。</w:t>
      </w:r>
    </w:p>
    <w:p w:rsidR="00513813" w:rsidRDefault="00AB3F63">
      <w:pPr>
        <w:spacing w:line="360" w:lineRule="auto"/>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 xml:space="preserve">5.1.3 </w:t>
      </w:r>
      <w:r>
        <w:rPr>
          <w:rFonts w:asciiTheme="minorEastAsia" w:eastAsiaTheme="minorEastAsia" w:hAnsiTheme="minorEastAsia" w:cstheme="minorEastAsia" w:hint="eastAsia"/>
          <w:sz w:val="24"/>
          <w:szCs w:val="21"/>
        </w:rPr>
        <w:t>核医学工作场所排风口的位置尽可能远离周边高</w:t>
      </w:r>
      <w:r>
        <w:rPr>
          <w:rFonts w:asciiTheme="minorEastAsia" w:eastAsiaTheme="minorEastAsia" w:hAnsiTheme="minorEastAsia" w:cstheme="minorEastAsia" w:hint="eastAsia"/>
          <w:sz w:val="24"/>
          <w:szCs w:val="21"/>
        </w:rPr>
        <w:t>层建筑。</w:t>
      </w:r>
    </w:p>
    <w:p w:rsidR="00513813" w:rsidRDefault="00AB3F63">
      <w:pPr>
        <w:spacing w:line="360" w:lineRule="auto"/>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 xml:space="preserve">5.2 </w:t>
      </w:r>
      <w:r>
        <w:rPr>
          <w:rFonts w:asciiTheme="minorEastAsia" w:eastAsiaTheme="minorEastAsia" w:hAnsiTheme="minorEastAsia" w:cstheme="minorEastAsia" w:hint="eastAsia"/>
          <w:sz w:val="24"/>
          <w:szCs w:val="21"/>
        </w:rPr>
        <w:t>布局</w:t>
      </w:r>
    </w:p>
    <w:p w:rsidR="00513813" w:rsidRDefault="00AB3F63">
      <w:pPr>
        <w:spacing w:line="360" w:lineRule="auto"/>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 xml:space="preserve">5.2.1 </w:t>
      </w:r>
      <w:r>
        <w:rPr>
          <w:rFonts w:asciiTheme="minorEastAsia" w:eastAsiaTheme="minorEastAsia" w:hAnsiTheme="minorEastAsia" w:cstheme="minorEastAsia" w:hint="eastAsia"/>
          <w:sz w:val="24"/>
          <w:szCs w:val="21"/>
        </w:rPr>
        <w:t>核医学工作场所应合理布局，住院治疗场所和门诊诊断场所应相对分开布置；同一工作场所内应根据诊疗流程合理设计各功能区域的布局，控制区应相对集中，</w:t>
      </w:r>
      <w:proofErr w:type="gramStart"/>
      <w:r>
        <w:rPr>
          <w:rFonts w:asciiTheme="minorEastAsia" w:eastAsiaTheme="minorEastAsia" w:hAnsiTheme="minorEastAsia" w:cstheme="minorEastAsia" w:hint="eastAsia"/>
          <w:sz w:val="24"/>
          <w:szCs w:val="21"/>
        </w:rPr>
        <w:t>高活室集中</w:t>
      </w:r>
      <w:proofErr w:type="gramEnd"/>
      <w:r>
        <w:rPr>
          <w:rFonts w:asciiTheme="minorEastAsia" w:eastAsiaTheme="minorEastAsia" w:hAnsiTheme="minorEastAsia" w:cstheme="minorEastAsia" w:hint="eastAsia"/>
          <w:sz w:val="24"/>
          <w:szCs w:val="21"/>
        </w:rPr>
        <w:t>在一端，防止交叉污染。尽量减小放射性药物、放射性废物的存放范围，限制给药后患者的活动空间。</w:t>
      </w:r>
    </w:p>
    <w:p w:rsidR="00513813" w:rsidRDefault="00AB3F63">
      <w:pPr>
        <w:spacing w:line="360" w:lineRule="auto"/>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 xml:space="preserve">5.2.2 </w:t>
      </w:r>
      <w:r>
        <w:rPr>
          <w:rFonts w:asciiTheme="minorEastAsia" w:eastAsiaTheme="minorEastAsia" w:hAnsiTheme="minorEastAsia" w:cstheme="minorEastAsia" w:hint="eastAsia"/>
          <w:sz w:val="24"/>
          <w:szCs w:val="21"/>
        </w:rPr>
        <w:t>核医学工作场所应设立相对独立的工作人员、患者、放射性药物和放射性废物路径。工作人员通道和患者通道分开，减少给药后患者对其他人员的照</w:t>
      </w:r>
      <w:r>
        <w:rPr>
          <w:rFonts w:asciiTheme="minorEastAsia" w:eastAsiaTheme="minorEastAsia" w:hAnsiTheme="minorEastAsia" w:cstheme="minorEastAsia" w:hint="eastAsia"/>
          <w:sz w:val="24"/>
          <w:szCs w:val="21"/>
        </w:rPr>
        <w:lastRenderedPageBreak/>
        <w:t>射。注射放射性药物后患者与注射放射性药物前患者不交叉，人员与放射性药物通道不交叉，放射性药物和放射性废物运送通道应尽可能短捷。</w:t>
      </w:r>
    </w:p>
    <w:p w:rsidR="00513813" w:rsidRDefault="00AB3F63">
      <w:pPr>
        <w:spacing w:line="360" w:lineRule="auto"/>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 xml:space="preserve">5.2.3 </w:t>
      </w:r>
      <w:r>
        <w:rPr>
          <w:rFonts w:asciiTheme="minorEastAsia" w:eastAsiaTheme="minorEastAsia" w:hAnsiTheme="minorEastAsia" w:cstheme="minorEastAsia" w:hint="eastAsia"/>
          <w:sz w:val="24"/>
          <w:szCs w:val="21"/>
        </w:rPr>
        <w:t>核医学工作场所宜采取合适的措施，控制无关人员随意进入控制区和给药后患者的随意流动，避免工作人员和公众受到不必要的照射。控制区的出入口应设立卫生缓冲区，为工作人员和患者提供必要的可更换衣物、防护用品、冲洗设施和表面污染监测设备。控制区内应设有给</w:t>
      </w:r>
      <w:r>
        <w:rPr>
          <w:rFonts w:asciiTheme="minorEastAsia" w:eastAsiaTheme="minorEastAsia" w:hAnsiTheme="minorEastAsia" w:cstheme="minorEastAsia" w:hint="eastAsia"/>
          <w:sz w:val="24"/>
          <w:szCs w:val="21"/>
        </w:rPr>
        <w:t>药后患者的专用卫生间。</w:t>
      </w:r>
    </w:p>
    <w:p w:rsidR="00513813" w:rsidRDefault="00AB3F63">
      <w:pPr>
        <w:spacing w:line="360" w:lineRule="auto"/>
        <w:ind w:firstLineChars="200" w:firstLine="482"/>
        <w:rPr>
          <w:b/>
          <w:bCs/>
          <w:sz w:val="24"/>
          <w:szCs w:val="21"/>
        </w:rPr>
      </w:pPr>
      <w:r>
        <w:rPr>
          <w:rFonts w:hint="eastAsia"/>
          <w:b/>
          <w:bCs/>
          <w:sz w:val="24"/>
          <w:szCs w:val="21"/>
        </w:rPr>
        <w:t>《</w:t>
      </w:r>
      <w:r>
        <w:rPr>
          <w:rFonts w:hint="eastAsia"/>
          <w:b/>
          <w:bCs/>
          <w:sz w:val="24"/>
          <w:szCs w:val="21"/>
        </w:rPr>
        <w:t>核医学辐射防护与安全要求</w:t>
      </w:r>
      <w:r>
        <w:rPr>
          <w:rFonts w:hint="eastAsia"/>
          <w:b/>
          <w:bCs/>
          <w:sz w:val="24"/>
          <w:szCs w:val="21"/>
        </w:rPr>
        <w:t>》</w:t>
      </w:r>
      <w:r>
        <w:rPr>
          <w:rFonts w:hint="eastAsia"/>
          <w:b/>
          <w:bCs/>
          <w:sz w:val="24"/>
          <w:szCs w:val="21"/>
        </w:rPr>
        <w:t>7.3.2.2</w:t>
      </w:r>
      <w:r>
        <w:rPr>
          <w:rFonts w:hint="eastAsia"/>
          <w:b/>
          <w:bCs/>
          <w:sz w:val="24"/>
          <w:szCs w:val="21"/>
        </w:rPr>
        <w:t>碘</w:t>
      </w:r>
      <w:r>
        <w:rPr>
          <w:rFonts w:hint="eastAsia"/>
          <w:b/>
          <w:bCs/>
          <w:sz w:val="24"/>
          <w:szCs w:val="21"/>
        </w:rPr>
        <w:t>-131</w:t>
      </w:r>
      <w:r>
        <w:rPr>
          <w:rFonts w:hint="eastAsia"/>
          <w:b/>
          <w:bCs/>
          <w:sz w:val="24"/>
          <w:szCs w:val="21"/>
        </w:rPr>
        <w:t>治疗病房的核医学工作场所应设置槽式废液衰变</w:t>
      </w:r>
      <w:proofErr w:type="gramStart"/>
      <w:r>
        <w:rPr>
          <w:rFonts w:hint="eastAsia"/>
          <w:b/>
          <w:bCs/>
          <w:sz w:val="24"/>
          <w:szCs w:val="21"/>
        </w:rPr>
        <w:t>池作为</w:t>
      </w:r>
      <w:proofErr w:type="gramEnd"/>
      <w:r>
        <w:rPr>
          <w:rFonts w:hint="eastAsia"/>
          <w:b/>
          <w:bCs/>
          <w:sz w:val="24"/>
          <w:szCs w:val="21"/>
        </w:rPr>
        <w:t>本标准中衰变</w:t>
      </w:r>
      <w:proofErr w:type="gramStart"/>
      <w:r>
        <w:rPr>
          <w:rFonts w:hint="eastAsia"/>
          <w:b/>
          <w:bCs/>
          <w:sz w:val="24"/>
          <w:szCs w:val="21"/>
        </w:rPr>
        <w:t>池设置</w:t>
      </w:r>
      <w:proofErr w:type="gramEnd"/>
      <w:r>
        <w:rPr>
          <w:rFonts w:hint="eastAsia"/>
          <w:b/>
          <w:bCs/>
          <w:sz w:val="24"/>
          <w:szCs w:val="21"/>
        </w:rPr>
        <w:t>和要求的依据。</w:t>
      </w:r>
    </w:p>
    <w:p w:rsidR="00513813" w:rsidRDefault="00AB3F63">
      <w:pPr>
        <w:spacing w:line="360" w:lineRule="auto"/>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 xml:space="preserve">7.3.2.2 </w:t>
      </w:r>
      <w:r>
        <w:rPr>
          <w:rFonts w:asciiTheme="minorEastAsia" w:eastAsiaTheme="minorEastAsia" w:hAnsiTheme="minorEastAsia" w:cstheme="minorEastAsia" w:hint="eastAsia"/>
          <w:sz w:val="24"/>
          <w:szCs w:val="21"/>
        </w:rPr>
        <w:t>含碘</w:t>
      </w:r>
      <w:r>
        <w:rPr>
          <w:rFonts w:asciiTheme="minorEastAsia" w:eastAsiaTheme="minorEastAsia" w:hAnsiTheme="minorEastAsia" w:cstheme="minorEastAsia" w:hint="eastAsia"/>
          <w:sz w:val="24"/>
          <w:szCs w:val="21"/>
        </w:rPr>
        <w:t xml:space="preserve">-131 </w:t>
      </w:r>
      <w:r>
        <w:rPr>
          <w:rFonts w:asciiTheme="minorEastAsia" w:eastAsiaTheme="minorEastAsia" w:hAnsiTheme="minorEastAsia" w:cstheme="minorEastAsia" w:hint="eastAsia"/>
          <w:sz w:val="24"/>
          <w:szCs w:val="21"/>
        </w:rPr>
        <w:t>治疗病房的核医学工作场所应设置槽式废液衰变池。槽式废液衰变池应由污泥池和槽式衰变池组成，衰变池本体设计为</w:t>
      </w:r>
      <w:r>
        <w:rPr>
          <w:rFonts w:asciiTheme="minorEastAsia" w:eastAsiaTheme="minorEastAsia" w:hAnsiTheme="minorEastAsia" w:cstheme="minorEastAsia" w:hint="eastAsia"/>
          <w:sz w:val="24"/>
          <w:szCs w:val="21"/>
        </w:rPr>
        <w:t xml:space="preserve"> 2 </w:t>
      </w:r>
      <w:r>
        <w:rPr>
          <w:rFonts w:asciiTheme="minorEastAsia" w:eastAsiaTheme="minorEastAsia" w:hAnsiTheme="minorEastAsia" w:cstheme="minorEastAsia" w:hint="eastAsia"/>
          <w:sz w:val="24"/>
          <w:szCs w:val="21"/>
        </w:rPr>
        <w:t>组或以上槽式池体，交替贮存、衰变和排放废液。在废液池上预设取样口。有防止废液溢出、污泥硬化淤积、堵塞进出水口、废液衰变池超压的措施。</w:t>
      </w:r>
    </w:p>
    <w:p w:rsidR="00513813" w:rsidRDefault="00AB3F63">
      <w:pPr>
        <w:pStyle w:val="2"/>
        <w:numPr>
          <w:ilvl w:val="0"/>
          <w:numId w:val="0"/>
        </w:numPr>
        <w:spacing w:line="416" w:lineRule="auto"/>
        <w:rPr>
          <w:rFonts w:eastAsia="黑体"/>
          <w:b w:val="0"/>
          <w:kern w:val="0"/>
          <w:sz w:val="32"/>
        </w:rPr>
      </w:pPr>
      <w:bookmarkStart w:id="41" w:name="_Toc19037"/>
      <w:r>
        <w:rPr>
          <w:rFonts w:eastAsia="黑体" w:hint="eastAsia"/>
          <w:b w:val="0"/>
          <w:kern w:val="0"/>
          <w:sz w:val="32"/>
        </w:rPr>
        <w:t>5</w:t>
      </w:r>
      <w:r>
        <w:rPr>
          <w:rFonts w:eastAsia="黑体" w:hint="eastAsia"/>
          <w:b w:val="0"/>
          <w:kern w:val="0"/>
          <w:sz w:val="32"/>
        </w:rPr>
        <w:t>.3</w:t>
      </w:r>
      <w:r>
        <w:rPr>
          <w:rFonts w:eastAsia="黑体" w:hint="eastAsia"/>
          <w:b w:val="0"/>
          <w:kern w:val="0"/>
          <w:sz w:val="32"/>
        </w:rPr>
        <w:t>与现行法律、法规、标准的关系</w:t>
      </w:r>
      <w:bookmarkEnd w:id="41"/>
    </w:p>
    <w:p w:rsidR="00513813" w:rsidRDefault="00AB3F63">
      <w:pPr>
        <w:spacing w:line="360" w:lineRule="auto"/>
        <w:ind w:firstLineChars="200" w:firstLine="482"/>
        <w:rPr>
          <w:b/>
          <w:bCs/>
          <w:sz w:val="24"/>
          <w:szCs w:val="21"/>
        </w:rPr>
      </w:pPr>
      <w:r>
        <w:rPr>
          <w:rFonts w:hint="eastAsia"/>
          <w:b/>
          <w:bCs/>
          <w:sz w:val="24"/>
          <w:szCs w:val="21"/>
        </w:rPr>
        <w:t>5</w:t>
      </w:r>
      <w:r>
        <w:rPr>
          <w:rFonts w:hint="eastAsia"/>
          <w:b/>
          <w:bCs/>
          <w:sz w:val="24"/>
          <w:szCs w:val="21"/>
        </w:rPr>
        <w:t>.3.1</w:t>
      </w:r>
      <w:r>
        <w:rPr>
          <w:rFonts w:hint="eastAsia"/>
          <w:b/>
          <w:bCs/>
          <w:sz w:val="24"/>
          <w:szCs w:val="21"/>
        </w:rPr>
        <w:t>与现行法律、法规的关系</w:t>
      </w:r>
    </w:p>
    <w:p w:rsidR="00513813" w:rsidRDefault="00AB3F63">
      <w:pPr>
        <w:spacing w:line="360" w:lineRule="auto"/>
        <w:ind w:firstLineChars="200" w:firstLine="480"/>
        <w:rPr>
          <w:sz w:val="24"/>
          <w:szCs w:val="21"/>
        </w:rPr>
      </w:pPr>
      <w:r>
        <w:rPr>
          <w:rFonts w:hint="eastAsia"/>
          <w:sz w:val="24"/>
          <w:szCs w:val="21"/>
        </w:rPr>
        <w:t>本标准与</w:t>
      </w:r>
      <w:r>
        <w:rPr>
          <w:rFonts w:hint="eastAsia"/>
          <w:sz w:val="24"/>
          <w:szCs w:val="21"/>
        </w:rPr>
        <w:t>《中华人民共和国放射性污染防治法》</w:t>
      </w:r>
      <w:r>
        <w:rPr>
          <w:rFonts w:hint="eastAsia"/>
          <w:sz w:val="24"/>
          <w:szCs w:val="21"/>
        </w:rPr>
        <w:t>、</w:t>
      </w:r>
      <w:r>
        <w:rPr>
          <w:rFonts w:hint="eastAsia"/>
          <w:sz w:val="24"/>
          <w:szCs w:val="21"/>
        </w:rPr>
        <w:t>《放射性同位素与射线装置安全和防护条例》</w:t>
      </w:r>
      <w:r>
        <w:rPr>
          <w:rFonts w:hint="eastAsia"/>
          <w:sz w:val="24"/>
          <w:szCs w:val="21"/>
        </w:rPr>
        <w:t>、</w:t>
      </w:r>
      <w:r>
        <w:rPr>
          <w:rFonts w:hint="eastAsia"/>
          <w:sz w:val="24"/>
          <w:szCs w:val="21"/>
        </w:rPr>
        <w:t>《</w:t>
      </w:r>
      <w:r>
        <w:rPr>
          <w:rFonts w:hint="eastAsia"/>
          <w:sz w:val="24"/>
          <w:szCs w:val="21"/>
        </w:rPr>
        <w:t>放射性同位素与射线装置安全和防护管理办法</w:t>
      </w:r>
      <w:r>
        <w:rPr>
          <w:rFonts w:hint="eastAsia"/>
          <w:sz w:val="24"/>
          <w:szCs w:val="21"/>
        </w:rPr>
        <w:t>》</w:t>
      </w:r>
      <w:r>
        <w:rPr>
          <w:rFonts w:hint="eastAsia"/>
          <w:sz w:val="24"/>
          <w:szCs w:val="21"/>
        </w:rPr>
        <w:t>协调一致，没有冲突。</w:t>
      </w:r>
    </w:p>
    <w:p w:rsidR="00513813" w:rsidRDefault="00AB3F63">
      <w:pPr>
        <w:spacing w:line="360" w:lineRule="auto"/>
        <w:ind w:firstLineChars="200" w:firstLine="482"/>
        <w:rPr>
          <w:b/>
          <w:bCs/>
          <w:sz w:val="24"/>
          <w:szCs w:val="21"/>
        </w:rPr>
      </w:pPr>
      <w:r>
        <w:rPr>
          <w:rFonts w:hint="eastAsia"/>
          <w:b/>
          <w:bCs/>
          <w:sz w:val="24"/>
          <w:szCs w:val="21"/>
        </w:rPr>
        <w:t>5</w:t>
      </w:r>
      <w:r>
        <w:rPr>
          <w:rFonts w:hint="eastAsia"/>
          <w:b/>
          <w:bCs/>
          <w:sz w:val="24"/>
          <w:szCs w:val="21"/>
        </w:rPr>
        <w:t>.3.2</w:t>
      </w:r>
      <w:r>
        <w:rPr>
          <w:rFonts w:hint="eastAsia"/>
          <w:b/>
          <w:bCs/>
          <w:sz w:val="24"/>
          <w:szCs w:val="21"/>
        </w:rPr>
        <w:t>与现行标准的关系</w:t>
      </w:r>
    </w:p>
    <w:p w:rsidR="00513813" w:rsidRDefault="00AB3F63">
      <w:pPr>
        <w:spacing w:line="360" w:lineRule="auto"/>
        <w:ind w:firstLineChars="200" w:firstLine="480"/>
        <w:rPr>
          <w:sz w:val="24"/>
          <w:szCs w:val="21"/>
        </w:rPr>
      </w:pPr>
      <w:r>
        <w:rPr>
          <w:rFonts w:hint="eastAsia"/>
          <w:sz w:val="24"/>
          <w:szCs w:val="21"/>
        </w:rPr>
        <w:t>本标准部分要求高于《核医学辐射防护与安全要求》（</w:t>
      </w:r>
      <w:r>
        <w:rPr>
          <w:rFonts w:hint="eastAsia"/>
          <w:sz w:val="24"/>
          <w:szCs w:val="21"/>
        </w:rPr>
        <w:t>HJ</w:t>
      </w:r>
      <w:r>
        <w:rPr>
          <w:rFonts w:hint="eastAsia"/>
          <w:sz w:val="24"/>
          <w:szCs w:val="21"/>
        </w:rPr>
        <w:t xml:space="preserve"> </w:t>
      </w:r>
      <w:r>
        <w:rPr>
          <w:rFonts w:hint="eastAsia"/>
          <w:sz w:val="24"/>
          <w:szCs w:val="21"/>
        </w:rPr>
        <w:t>1188</w:t>
      </w:r>
      <w:r>
        <w:rPr>
          <w:rFonts w:hint="eastAsia"/>
          <w:sz w:val="24"/>
          <w:szCs w:val="21"/>
        </w:rPr>
        <w:t>）、</w:t>
      </w:r>
      <w:r>
        <w:rPr>
          <w:rFonts w:hint="eastAsia"/>
          <w:sz w:val="24"/>
          <w:szCs w:val="21"/>
        </w:rPr>
        <w:t>《核医学放射防护要求》</w:t>
      </w:r>
      <w:r>
        <w:rPr>
          <w:rFonts w:hint="eastAsia"/>
          <w:sz w:val="24"/>
          <w:szCs w:val="21"/>
        </w:rPr>
        <w:t>（</w:t>
      </w:r>
      <w:r>
        <w:rPr>
          <w:rFonts w:hint="eastAsia"/>
          <w:sz w:val="24"/>
          <w:szCs w:val="21"/>
        </w:rPr>
        <w:t>GBZ 120</w:t>
      </w:r>
      <w:r>
        <w:rPr>
          <w:rFonts w:hint="eastAsia"/>
          <w:sz w:val="24"/>
          <w:szCs w:val="21"/>
        </w:rPr>
        <w:t>）</w:t>
      </w:r>
      <w:r>
        <w:rPr>
          <w:rFonts w:hint="eastAsia"/>
          <w:sz w:val="24"/>
          <w:szCs w:val="21"/>
        </w:rPr>
        <w:t>,</w:t>
      </w:r>
      <w:r>
        <w:rPr>
          <w:rFonts w:hint="eastAsia"/>
          <w:sz w:val="24"/>
          <w:szCs w:val="21"/>
        </w:rPr>
        <w:t>本标准为相关强制性国家标准部分内容补充和细化说明。</w:t>
      </w:r>
    </w:p>
    <w:p w:rsidR="00513813" w:rsidRDefault="00AB3F63">
      <w:pPr>
        <w:pStyle w:val="1"/>
      </w:pPr>
      <w:bookmarkStart w:id="42" w:name="_Toc103617125"/>
      <w:bookmarkStart w:id="43" w:name="_Toc5781"/>
      <w:r>
        <w:rPr>
          <w:rFonts w:hint="eastAsia"/>
        </w:rPr>
        <w:t>6</w:t>
      </w:r>
      <w:r>
        <w:t xml:space="preserve"> </w:t>
      </w:r>
      <w:r>
        <w:rPr>
          <w:rFonts w:hint="eastAsia"/>
        </w:rPr>
        <w:t>文件的主要技术内容</w:t>
      </w:r>
      <w:bookmarkEnd w:id="42"/>
      <w:bookmarkEnd w:id="43"/>
    </w:p>
    <w:p w:rsidR="00513813" w:rsidRDefault="00AB3F63">
      <w:pPr>
        <w:pStyle w:val="2"/>
        <w:numPr>
          <w:ilvl w:val="0"/>
          <w:numId w:val="0"/>
        </w:numPr>
        <w:spacing w:line="416" w:lineRule="auto"/>
        <w:rPr>
          <w:rFonts w:eastAsia="黑体"/>
          <w:b w:val="0"/>
          <w:kern w:val="0"/>
          <w:sz w:val="32"/>
        </w:rPr>
      </w:pPr>
      <w:bookmarkStart w:id="44" w:name="_Toc103617126"/>
      <w:bookmarkStart w:id="45" w:name="_Toc19427"/>
      <w:r>
        <w:rPr>
          <w:rFonts w:eastAsia="黑体" w:hint="eastAsia"/>
          <w:b w:val="0"/>
          <w:kern w:val="0"/>
          <w:sz w:val="32"/>
        </w:rPr>
        <w:t>6</w:t>
      </w:r>
      <w:r>
        <w:rPr>
          <w:rFonts w:eastAsia="黑体" w:hint="eastAsia"/>
          <w:b w:val="0"/>
          <w:kern w:val="0"/>
          <w:sz w:val="32"/>
        </w:rPr>
        <w:t>.1</w:t>
      </w:r>
      <w:r>
        <w:rPr>
          <w:rFonts w:eastAsia="黑体" w:hint="eastAsia"/>
          <w:b w:val="0"/>
          <w:kern w:val="0"/>
          <w:sz w:val="32"/>
        </w:rPr>
        <w:t>文件内容框架</w:t>
      </w:r>
      <w:bookmarkEnd w:id="44"/>
      <w:bookmarkEnd w:id="45"/>
    </w:p>
    <w:p w:rsidR="00513813" w:rsidRDefault="00AB3F63">
      <w:pPr>
        <w:spacing w:line="360" w:lineRule="auto"/>
        <w:ind w:firstLineChars="200" w:firstLine="480"/>
        <w:rPr>
          <w:sz w:val="24"/>
          <w:szCs w:val="21"/>
        </w:rPr>
      </w:pPr>
      <w:r>
        <w:rPr>
          <w:rFonts w:hint="eastAsia"/>
          <w:sz w:val="24"/>
          <w:szCs w:val="21"/>
        </w:rPr>
        <w:t>本标准包括范围，规范性引用文件，术语和定义，</w:t>
      </w:r>
      <w:r>
        <w:rPr>
          <w:rFonts w:hint="eastAsia"/>
          <w:sz w:val="24"/>
          <w:szCs w:val="21"/>
        </w:rPr>
        <w:t>总则</w:t>
      </w:r>
      <w:r>
        <w:rPr>
          <w:rFonts w:hint="eastAsia"/>
          <w:sz w:val="24"/>
          <w:szCs w:val="21"/>
        </w:rPr>
        <w:t>，</w:t>
      </w:r>
      <w:r>
        <w:rPr>
          <w:rFonts w:hint="eastAsia"/>
          <w:sz w:val="24"/>
          <w:szCs w:val="21"/>
        </w:rPr>
        <w:t>选址、布局</w:t>
      </w:r>
      <w:r>
        <w:rPr>
          <w:rFonts w:hint="eastAsia"/>
          <w:sz w:val="24"/>
          <w:szCs w:val="21"/>
        </w:rPr>
        <w:t>，</w:t>
      </w:r>
      <w:r>
        <w:rPr>
          <w:rFonts w:hint="eastAsia"/>
          <w:sz w:val="24"/>
          <w:szCs w:val="21"/>
        </w:rPr>
        <w:t>工作场所的辐射安全与防护</w:t>
      </w:r>
      <w:r>
        <w:rPr>
          <w:rFonts w:hint="eastAsia"/>
          <w:sz w:val="24"/>
          <w:szCs w:val="21"/>
        </w:rPr>
        <w:t>，</w:t>
      </w:r>
      <w:r>
        <w:rPr>
          <w:rFonts w:hint="eastAsia"/>
          <w:sz w:val="24"/>
          <w:szCs w:val="21"/>
        </w:rPr>
        <w:t>放射性废物管理</w:t>
      </w:r>
      <w:r>
        <w:rPr>
          <w:rFonts w:hint="eastAsia"/>
          <w:sz w:val="24"/>
          <w:szCs w:val="21"/>
        </w:rPr>
        <w:t>，</w:t>
      </w:r>
      <w:r>
        <w:rPr>
          <w:rFonts w:hint="eastAsia"/>
          <w:sz w:val="24"/>
          <w:szCs w:val="21"/>
        </w:rPr>
        <w:t>辐射监测</w:t>
      </w:r>
      <w:r>
        <w:rPr>
          <w:rFonts w:hint="eastAsia"/>
          <w:sz w:val="24"/>
          <w:szCs w:val="21"/>
        </w:rPr>
        <w:t>，</w:t>
      </w:r>
      <w:r>
        <w:rPr>
          <w:rFonts w:hint="eastAsia"/>
          <w:sz w:val="24"/>
          <w:szCs w:val="21"/>
        </w:rPr>
        <w:t>应急处理要求，附录</w:t>
      </w:r>
      <w:r>
        <w:rPr>
          <w:rFonts w:hint="eastAsia"/>
          <w:sz w:val="24"/>
          <w:szCs w:val="21"/>
        </w:rPr>
        <w:t>A</w:t>
      </w:r>
      <w:r>
        <w:rPr>
          <w:rFonts w:hint="eastAsia"/>
          <w:sz w:val="24"/>
          <w:szCs w:val="21"/>
        </w:rPr>
        <w:lastRenderedPageBreak/>
        <w:t>和附录</w:t>
      </w:r>
      <w:r>
        <w:rPr>
          <w:rFonts w:hint="eastAsia"/>
          <w:sz w:val="24"/>
          <w:szCs w:val="21"/>
        </w:rPr>
        <w:t>B</w:t>
      </w:r>
      <w:r>
        <w:rPr>
          <w:rFonts w:hint="eastAsia"/>
          <w:sz w:val="24"/>
          <w:szCs w:val="21"/>
        </w:rPr>
        <w:t>共</w:t>
      </w:r>
      <w:r>
        <w:rPr>
          <w:rFonts w:hint="eastAsia"/>
          <w:sz w:val="24"/>
          <w:szCs w:val="21"/>
        </w:rPr>
        <w:t>十一</w:t>
      </w:r>
      <w:r>
        <w:rPr>
          <w:rFonts w:hint="eastAsia"/>
          <w:sz w:val="24"/>
          <w:szCs w:val="21"/>
        </w:rPr>
        <w:t>部分。</w:t>
      </w:r>
    </w:p>
    <w:p w:rsidR="00513813" w:rsidRDefault="00AB3F63">
      <w:pPr>
        <w:spacing w:line="360" w:lineRule="auto"/>
        <w:ind w:firstLineChars="200" w:firstLine="482"/>
        <w:rPr>
          <w:sz w:val="24"/>
          <w:szCs w:val="21"/>
        </w:rPr>
      </w:pPr>
      <w:r>
        <w:rPr>
          <w:rFonts w:hint="eastAsia"/>
          <w:b/>
          <w:bCs/>
          <w:sz w:val="24"/>
          <w:szCs w:val="21"/>
        </w:rPr>
        <w:t>（</w:t>
      </w:r>
      <w:r>
        <w:rPr>
          <w:rFonts w:hint="eastAsia"/>
          <w:b/>
          <w:bCs/>
          <w:sz w:val="24"/>
          <w:szCs w:val="21"/>
        </w:rPr>
        <w:t>1</w:t>
      </w:r>
      <w:r>
        <w:rPr>
          <w:rFonts w:hint="eastAsia"/>
          <w:b/>
          <w:bCs/>
          <w:sz w:val="24"/>
          <w:szCs w:val="21"/>
        </w:rPr>
        <w:t>）范围</w:t>
      </w:r>
      <w:r>
        <w:rPr>
          <w:rFonts w:hint="eastAsia"/>
          <w:sz w:val="24"/>
          <w:szCs w:val="21"/>
        </w:rPr>
        <w:t>：本标准的主要内容和适用范围。</w:t>
      </w:r>
    </w:p>
    <w:p w:rsidR="00513813" w:rsidRDefault="00AB3F63">
      <w:pPr>
        <w:spacing w:line="360" w:lineRule="auto"/>
        <w:ind w:firstLineChars="200" w:firstLine="482"/>
        <w:rPr>
          <w:sz w:val="24"/>
          <w:szCs w:val="21"/>
        </w:rPr>
      </w:pPr>
      <w:r>
        <w:rPr>
          <w:rFonts w:hint="eastAsia"/>
          <w:b/>
          <w:bCs/>
          <w:sz w:val="24"/>
          <w:szCs w:val="21"/>
        </w:rPr>
        <w:t>（</w:t>
      </w:r>
      <w:r>
        <w:rPr>
          <w:rFonts w:hint="eastAsia"/>
          <w:b/>
          <w:bCs/>
          <w:sz w:val="24"/>
          <w:szCs w:val="21"/>
        </w:rPr>
        <w:t>2</w:t>
      </w:r>
      <w:r>
        <w:rPr>
          <w:rFonts w:hint="eastAsia"/>
          <w:b/>
          <w:bCs/>
          <w:sz w:val="24"/>
          <w:szCs w:val="21"/>
        </w:rPr>
        <w:t>）规范性引用文件</w:t>
      </w:r>
      <w:r>
        <w:rPr>
          <w:rFonts w:hint="eastAsia"/>
          <w:sz w:val="24"/>
          <w:szCs w:val="21"/>
        </w:rPr>
        <w:t>：本标准中引用的标准。</w:t>
      </w:r>
    </w:p>
    <w:p w:rsidR="00513813" w:rsidRDefault="00AB3F63">
      <w:pPr>
        <w:spacing w:line="360" w:lineRule="auto"/>
        <w:ind w:firstLineChars="200" w:firstLine="482"/>
        <w:rPr>
          <w:sz w:val="24"/>
          <w:szCs w:val="21"/>
        </w:rPr>
      </w:pPr>
      <w:r>
        <w:rPr>
          <w:rFonts w:hint="eastAsia"/>
          <w:b/>
          <w:bCs/>
          <w:sz w:val="24"/>
          <w:szCs w:val="21"/>
        </w:rPr>
        <w:t>（</w:t>
      </w:r>
      <w:r>
        <w:rPr>
          <w:rFonts w:hint="eastAsia"/>
          <w:b/>
          <w:bCs/>
          <w:sz w:val="24"/>
          <w:szCs w:val="21"/>
        </w:rPr>
        <w:t>3</w:t>
      </w:r>
      <w:r>
        <w:rPr>
          <w:rFonts w:hint="eastAsia"/>
          <w:b/>
          <w:bCs/>
          <w:sz w:val="24"/>
          <w:szCs w:val="21"/>
        </w:rPr>
        <w:t>）术语和定义</w:t>
      </w:r>
      <w:r>
        <w:rPr>
          <w:rFonts w:hint="eastAsia"/>
          <w:sz w:val="24"/>
          <w:szCs w:val="21"/>
        </w:rPr>
        <w:t>：本标准中关键词的解释。</w:t>
      </w:r>
    </w:p>
    <w:p w:rsidR="00513813" w:rsidRDefault="00AB3F63">
      <w:pPr>
        <w:spacing w:line="360" w:lineRule="auto"/>
        <w:ind w:firstLineChars="200" w:firstLine="482"/>
        <w:rPr>
          <w:sz w:val="24"/>
          <w:szCs w:val="21"/>
        </w:rPr>
      </w:pPr>
      <w:r>
        <w:rPr>
          <w:rFonts w:hint="eastAsia"/>
          <w:b/>
          <w:bCs/>
          <w:sz w:val="24"/>
          <w:szCs w:val="21"/>
        </w:rPr>
        <w:t>（</w:t>
      </w:r>
      <w:r>
        <w:rPr>
          <w:rFonts w:hint="eastAsia"/>
          <w:b/>
          <w:bCs/>
          <w:sz w:val="24"/>
          <w:szCs w:val="21"/>
        </w:rPr>
        <w:t>4</w:t>
      </w:r>
      <w:r>
        <w:rPr>
          <w:rFonts w:hint="eastAsia"/>
          <w:b/>
          <w:bCs/>
          <w:sz w:val="24"/>
          <w:szCs w:val="21"/>
        </w:rPr>
        <w:t>）</w:t>
      </w:r>
      <w:r>
        <w:rPr>
          <w:rFonts w:hint="eastAsia"/>
          <w:b/>
          <w:bCs/>
          <w:sz w:val="24"/>
          <w:szCs w:val="21"/>
        </w:rPr>
        <w:t>总则</w:t>
      </w:r>
      <w:r>
        <w:rPr>
          <w:rFonts w:hint="eastAsia"/>
          <w:sz w:val="24"/>
          <w:szCs w:val="21"/>
        </w:rPr>
        <w:t>：本标准中</w:t>
      </w:r>
      <w:r>
        <w:rPr>
          <w:rFonts w:hint="eastAsia"/>
          <w:sz w:val="24"/>
          <w:szCs w:val="21"/>
        </w:rPr>
        <w:t>辐射防护的</w:t>
      </w:r>
      <w:r>
        <w:rPr>
          <w:rFonts w:hint="eastAsia"/>
          <w:sz w:val="24"/>
          <w:szCs w:val="21"/>
        </w:rPr>
        <w:t>基本原则。</w:t>
      </w:r>
    </w:p>
    <w:p w:rsidR="00513813" w:rsidRDefault="00AB3F63">
      <w:pPr>
        <w:spacing w:line="360" w:lineRule="auto"/>
        <w:ind w:firstLineChars="200" w:firstLine="482"/>
        <w:rPr>
          <w:sz w:val="24"/>
          <w:szCs w:val="21"/>
        </w:rPr>
      </w:pPr>
      <w:r>
        <w:rPr>
          <w:rFonts w:hint="eastAsia"/>
          <w:b/>
          <w:bCs/>
          <w:sz w:val="24"/>
          <w:szCs w:val="21"/>
        </w:rPr>
        <w:t>（</w:t>
      </w:r>
      <w:r>
        <w:rPr>
          <w:rFonts w:hint="eastAsia"/>
          <w:b/>
          <w:bCs/>
          <w:sz w:val="24"/>
          <w:szCs w:val="21"/>
        </w:rPr>
        <w:t>5</w:t>
      </w:r>
      <w:r>
        <w:rPr>
          <w:rFonts w:hint="eastAsia"/>
          <w:b/>
          <w:bCs/>
          <w:sz w:val="24"/>
          <w:szCs w:val="21"/>
        </w:rPr>
        <w:t>）</w:t>
      </w:r>
      <w:r>
        <w:rPr>
          <w:rFonts w:hint="eastAsia"/>
          <w:b/>
          <w:bCs/>
          <w:sz w:val="24"/>
          <w:szCs w:val="21"/>
        </w:rPr>
        <w:t>选址、布局</w:t>
      </w:r>
      <w:r>
        <w:rPr>
          <w:rFonts w:hint="eastAsia"/>
          <w:sz w:val="24"/>
          <w:szCs w:val="21"/>
        </w:rPr>
        <w:t>：本标准规定了医疗机构开展碘</w:t>
      </w:r>
      <w:r>
        <w:rPr>
          <w:rFonts w:hint="eastAsia"/>
          <w:sz w:val="24"/>
          <w:szCs w:val="21"/>
        </w:rPr>
        <w:t>-131</w:t>
      </w:r>
      <w:r>
        <w:rPr>
          <w:rFonts w:hint="eastAsia"/>
          <w:sz w:val="24"/>
          <w:szCs w:val="21"/>
        </w:rPr>
        <w:t>核素治疗病房工作的选址和布局要求。</w:t>
      </w:r>
    </w:p>
    <w:p w:rsidR="00513813" w:rsidRDefault="00AB3F63">
      <w:pPr>
        <w:spacing w:line="360" w:lineRule="auto"/>
        <w:ind w:firstLineChars="200" w:firstLine="482"/>
        <w:rPr>
          <w:sz w:val="24"/>
          <w:szCs w:val="21"/>
        </w:rPr>
      </w:pPr>
      <w:r>
        <w:rPr>
          <w:rFonts w:hint="eastAsia"/>
          <w:b/>
          <w:bCs/>
          <w:sz w:val="24"/>
          <w:szCs w:val="21"/>
        </w:rPr>
        <w:t>（</w:t>
      </w:r>
      <w:r>
        <w:rPr>
          <w:rFonts w:hint="eastAsia"/>
          <w:b/>
          <w:bCs/>
          <w:sz w:val="24"/>
          <w:szCs w:val="21"/>
        </w:rPr>
        <w:t>6</w:t>
      </w:r>
      <w:r>
        <w:rPr>
          <w:rFonts w:hint="eastAsia"/>
          <w:b/>
          <w:bCs/>
          <w:sz w:val="24"/>
          <w:szCs w:val="21"/>
        </w:rPr>
        <w:t>）工作场所的辐射安全与防护</w:t>
      </w:r>
      <w:r>
        <w:rPr>
          <w:rFonts w:hint="eastAsia"/>
          <w:sz w:val="24"/>
          <w:szCs w:val="21"/>
        </w:rPr>
        <w:t>：本标准规定了医疗机构开展碘</w:t>
      </w:r>
      <w:r>
        <w:rPr>
          <w:rFonts w:hint="eastAsia"/>
          <w:sz w:val="24"/>
          <w:szCs w:val="21"/>
        </w:rPr>
        <w:t>-131</w:t>
      </w:r>
      <w:r>
        <w:rPr>
          <w:rFonts w:hint="eastAsia"/>
          <w:sz w:val="24"/>
          <w:szCs w:val="21"/>
        </w:rPr>
        <w:t>核素治疗病房工作的屏蔽要求、场所安全措施要求、密闭和通风要求。</w:t>
      </w:r>
    </w:p>
    <w:p w:rsidR="00513813" w:rsidRDefault="00AB3F63">
      <w:pPr>
        <w:spacing w:line="360" w:lineRule="auto"/>
        <w:ind w:firstLineChars="200" w:firstLine="482"/>
        <w:rPr>
          <w:sz w:val="24"/>
          <w:szCs w:val="21"/>
        </w:rPr>
      </w:pPr>
      <w:r>
        <w:rPr>
          <w:rFonts w:hint="eastAsia"/>
          <w:b/>
          <w:bCs/>
          <w:sz w:val="24"/>
          <w:szCs w:val="21"/>
        </w:rPr>
        <w:t>（</w:t>
      </w:r>
      <w:r>
        <w:rPr>
          <w:rFonts w:hint="eastAsia"/>
          <w:b/>
          <w:bCs/>
          <w:sz w:val="24"/>
          <w:szCs w:val="21"/>
        </w:rPr>
        <w:t>7</w:t>
      </w:r>
      <w:r>
        <w:rPr>
          <w:rFonts w:hint="eastAsia"/>
          <w:b/>
          <w:bCs/>
          <w:sz w:val="24"/>
          <w:szCs w:val="21"/>
        </w:rPr>
        <w:t>）放射性废物管理</w:t>
      </w:r>
      <w:r>
        <w:rPr>
          <w:rFonts w:hint="eastAsia"/>
          <w:sz w:val="24"/>
          <w:szCs w:val="21"/>
        </w:rPr>
        <w:t>：本标准规定了医疗机构开展碘</w:t>
      </w:r>
      <w:r>
        <w:rPr>
          <w:rFonts w:hint="eastAsia"/>
          <w:sz w:val="24"/>
          <w:szCs w:val="21"/>
        </w:rPr>
        <w:t>-131</w:t>
      </w:r>
      <w:r>
        <w:rPr>
          <w:rFonts w:hint="eastAsia"/>
          <w:sz w:val="24"/>
          <w:szCs w:val="21"/>
        </w:rPr>
        <w:t>核素治疗病房工作的放射性三</w:t>
      </w:r>
      <w:r>
        <w:rPr>
          <w:rFonts w:hint="eastAsia"/>
          <w:sz w:val="24"/>
          <w:szCs w:val="21"/>
        </w:rPr>
        <w:t>废管理要求。</w:t>
      </w:r>
    </w:p>
    <w:p w:rsidR="00513813" w:rsidRDefault="00AB3F63">
      <w:pPr>
        <w:spacing w:line="360" w:lineRule="auto"/>
        <w:ind w:firstLineChars="200" w:firstLine="482"/>
        <w:rPr>
          <w:sz w:val="24"/>
          <w:szCs w:val="21"/>
        </w:rPr>
      </w:pPr>
      <w:r>
        <w:rPr>
          <w:rFonts w:hint="eastAsia"/>
          <w:b/>
          <w:bCs/>
          <w:sz w:val="24"/>
          <w:szCs w:val="21"/>
        </w:rPr>
        <w:t>（</w:t>
      </w:r>
      <w:r>
        <w:rPr>
          <w:rFonts w:hint="eastAsia"/>
          <w:b/>
          <w:bCs/>
          <w:sz w:val="24"/>
          <w:szCs w:val="21"/>
        </w:rPr>
        <w:t>8</w:t>
      </w:r>
      <w:r>
        <w:rPr>
          <w:rFonts w:hint="eastAsia"/>
          <w:b/>
          <w:bCs/>
          <w:sz w:val="24"/>
          <w:szCs w:val="21"/>
        </w:rPr>
        <w:t>）</w:t>
      </w:r>
      <w:r>
        <w:rPr>
          <w:rFonts w:hint="eastAsia"/>
          <w:b/>
          <w:bCs/>
          <w:sz w:val="24"/>
          <w:szCs w:val="21"/>
        </w:rPr>
        <w:t>辐射</w:t>
      </w:r>
      <w:r>
        <w:rPr>
          <w:rFonts w:hint="eastAsia"/>
          <w:b/>
          <w:bCs/>
          <w:sz w:val="24"/>
          <w:szCs w:val="21"/>
        </w:rPr>
        <w:t>监测</w:t>
      </w:r>
      <w:r>
        <w:rPr>
          <w:rFonts w:hint="eastAsia"/>
          <w:sz w:val="24"/>
          <w:szCs w:val="21"/>
        </w:rPr>
        <w:t>：本标准规定了医疗机构开展碘</w:t>
      </w:r>
      <w:r>
        <w:rPr>
          <w:rFonts w:hint="eastAsia"/>
          <w:sz w:val="24"/>
          <w:szCs w:val="21"/>
        </w:rPr>
        <w:t>-131</w:t>
      </w:r>
      <w:r>
        <w:rPr>
          <w:rFonts w:hint="eastAsia"/>
          <w:sz w:val="24"/>
          <w:szCs w:val="21"/>
        </w:rPr>
        <w:t>核素治疗病房工作的工作场所监测和环境监测要求。</w:t>
      </w:r>
    </w:p>
    <w:p w:rsidR="00513813" w:rsidRDefault="00AB3F63">
      <w:pPr>
        <w:spacing w:line="360" w:lineRule="auto"/>
        <w:ind w:firstLineChars="200" w:firstLine="482"/>
        <w:rPr>
          <w:sz w:val="24"/>
          <w:szCs w:val="21"/>
        </w:rPr>
      </w:pPr>
      <w:r>
        <w:rPr>
          <w:rFonts w:hint="eastAsia"/>
          <w:b/>
          <w:bCs/>
          <w:sz w:val="24"/>
          <w:szCs w:val="21"/>
        </w:rPr>
        <w:t>（</w:t>
      </w:r>
      <w:r>
        <w:rPr>
          <w:rFonts w:hint="eastAsia"/>
          <w:b/>
          <w:bCs/>
          <w:sz w:val="24"/>
          <w:szCs w:val="21"/>
        </w:rPr>
        <w:t>9</w:t>
      </w:r>
      <w:r>
        <w:rPr>
          <w:rFonts w:hint="eastAsia"/>
          <w:b/>
          <w:bCs/>
          <w:sz w:val="24"/>
          <w:szCs w:val="21"/>
        </w:rPr>
        <w:t>）应急处理要求</w:t>
      </w:r>
      <w:r>
        <w:rPr>
          <w:rFonts w:hint="eastAsia"/>
          <w:sz w:val="24"/>
          <w:szCs w:val="21"/>
        </w:rPr>
        <w:t>：本标准规范了医疗机构开展碘</w:t>
      </w:r>
      <w:r>
        <w:rPr>
          <w:rFonts w:hint="eastAsia"/>
          <w:sz w:val="24"/>
          <w:szCs w:val="21"/>
        </w:rPr>
        <w:t>-131</w:t>
      </w:r>
      <w:r>
        <w:rPr>
          <w:rFonts w:hint="eastAsia"/>
          <w:sz w:val="24"/>
          <w:szCs w:val="21"/>
        </w:rPr>
        <w:t>核素治疗病房工作的应急预案、应急演练和应急去污用品。</w:t>
      </w:r>
    </w:p>
    <w:p w:rsidR="00513813" w:rsidRDefault="00AB3F63">
      <w:pPr>
        <w:spacing w:line="360" w:lineRule="auto"/>
        <w:ind w:firstLineChars="200" w:firstLine="482"/>
        <w:rPr>
          <w:sz w:val="24"/>
          <w:szCs w:val="21"/>
        </w:rPr>
      </w:pPr>
      <w:r>
        <w:rPr>
          <w:rFonts w:hint="eastAsia"/>
          <w:b/>
          <w:bCs/>
          <w:sz w:val="24"/>
          <w:szCs w:val="21"/>
        </w:rPr>
        <w:t>（</w:t>
      </w:r>
      <w:r>
        <w:rPr>
          <w:rFonts w:hint="eastAsia"/>
          <w:b/>
          <w:bCs/>
          <w:sz w:val="24"/>
          <w:szCs w:val="21"/>
        </w:rPr>
        <w:t>10</w:t>
      </w:r>
      <w:r>
        <w:rPr>
          <w:rFonts w:hint="eastAsia"/>
          <w:b/>
          <w:bCs/>
          <w:sz w:val="24"/>
          <w:szCs w:val="21"/>
        </w:rPr>
        <w:t>）</w:t>
      </w:r>
      <w:r>
        <w:rPr>
          <w:rFonts w:hint="eastAsia"/>
          <w:b/>
          <w:bCs/>
          <w:sz w:val="24"/>
          <w:szCs w:val="21"/>
        </w:rPr>
        <w:t>附录</w:t>
      </w:r>
      <w:r>
        <w:rPr>
          <w:rFonts w:hint="eastAsia"/>
          <w:b/>
          <w:bCs/>
          <w:sz w:val="24"/>
          <w:szCs w:val="21"/>
        </w:rPr>
        <w:t>A</w:t>
      </w:r>
      <w:r>
        <w:rPr>
          <w:rFonts w:hint="eastAsia"/>
          <w:sz w:val="24"/>
          <w:szCs w:val="21"/>
        </w:rPr>
        <w:t>：辐射屏蔽计算方法推荐</w:t>
      </w:r>
    </w:p>
    <w:p w:rsidR="00513813" w:rsidRDefault="00AB3F63">
      <w:pPr>
        <w:spacing w:line="360" w:lineRule="auto"/>
        <w:ind w:firstLineChars="200" w:firstLine="482"/>
        <w:rPr>
          <w:sz w:val="24"/>
          <w:szCs w:val="21"/>
        </w:rPr>
      </w:pPr>
      <w:r>
        <w:rPr>
          <w:rFonts w:hint="eastAsia"/>
          <w:b/>
          <w:bCs/>
          <w:sz w:val="24"/>
          <w:szCs w:val="21"/>
        </w:rPr>
        <w:t>（</w:t>
      </w:r>
      <w:r>
        <w:rPr>
          <w:rFonts w:hint="eastAsia"/>
          <w:b/>
          <w:bCs/>
          <w:sz w:val="24"/>
          <w:szCs w:val="21"/>
        </w:rPr>
        <w:t>11</w:t>
      </w:r>
      <w:r>
        <w:rPr>
          <w:rFonts w:hint="eastAsia"/>
          <w:b/>
          <w:bCs/>
          <w:sz w:val="24"/>
          <w:szCs w:val="21"/>
        </w:rPr>
        <w:t>）</w:t>
      </w:r>
      <w:r>
        <w:rPr>
          <w:rFonts w:hint="eastAsia"/>
          <w:b/>
          <w:bCs/>
          <w:sz w:val="24"/>
          <w:szCs w:val="21"/>
        </w:rPr>
        <w:t>附录</w:t>
      </w:r>
      <w:r>
        <w:rPr>
          <w:rFonts w:hint="eastAsia"/>
          <w:b/>
          <w:bCs/>
          <w:sz w:val="24"/>
          <w:szCs w:val="21"/>
        </w:rPr>
        <w:t>B</w:t>
      </w:r>
      <w:r>
        <w:rPr>
          <w:rFonts w:hint="eastAsia"/>
          <w:sz w:val="24"/>
          <w:szCs w:val="21"/>
        </w:rPr>
        <w:t>：槽式衰变池容积计算方法参考</w:t>
      </w:r>
    </w:p>
    <w:p w:rsidR="00513813" w:rsidRDefault="00AB3F63">
      <w:pPr>
        <w:pStyle w:val="2"/>
        <w:numPr>
          <w:ilvl w:val="0"/>
          <w:numId w:val="0"/>
        </w:numPr>
        <w:spacing w:line="416" w:lineRule="auto"/>
        <w:rPr>
          <w:rFonts w:eastAsia="黑体"/>
          <w:b w:val="0"/>
          <w:kern w:val="0"/>
          <w:sz w:val="32"/>
        </w:rPr>
      </w:pPr>
      <w:bookmarkStart w:id="46" w:name="_Toc103617127"/>
      <w:bookmarkStart w:id="47" w:name="_Toc458"/>
      <w:r>
        <w:rPr>
          <w:rFonts w:eastAsia="黑体" w:hint="eastAsia"/>
          <w:b w:val="0"/>
          <w:kern w:val="0"/>
          <w:sz w:val="32"/>
        </w:rPr>
        <w:t>6</w:t>
      </w:r>
      <w:r>
        <w:rPr>
          <w:rFonts w:eastAsia="黑体" w:hint="eastAsia"/>
          <w:b w:val="0"/>
          <w:kern w:val="0"/>
          <w:sz w:val="32"/>
        </w:rPr>
        <w:t>.2</w:t>
      </w:r>
      <w:r>
        <w:rPr>
          <w:rFonts w:eastAsia="黑体" w:hint="eastAsia"/>
          <w:b w:val="0"/>
          <w:kern w:val="0"/>
          <w:sz w:val="32"/>
        </w:rPr>
        <w:t>适用范围</w:t>
      </w:r>
      <w:bookmarkEnd w:id="46"/>
      <w:bookmarkEnd w:id="47"/>
    </w:p>
    <w:p w:rsidR="00513813" w:rsidRDefault="00AB3F63">
      <w:pPr>
        <w:spacing w:line="360" w:lineRule="auto"/>
        <w:ind w:firstLineChars="200" w:firstLine="480"/>
        <w:rPr>
          <w:sz w:val="24"/>
          <w:szCs w:val="21"/>
        </w:rPr>
      </w:pPr>
      <w:r>
        <w:rPr>
          <w:rFonts w:hint="eastAsia"/>
          <w:sz w:val="24"/>
          <w:szCs w:val="21"/>
        </w:rPr>
        <w:t>本文件规定了医疗机构使用碘</w:t>
      </w:r>
      <w:r>
        <w:rPr>
          <w:rFonts w:hint="eastAsia"/>
          <w:sz w:val="24"/>
          <w:szCs w:val="21"/>
        </w:rPr>
        <w:t>-131</w:t>
      </w:r>
      <w:r>
        <w:rPr>
          <w:rFonts w:hint="eastAsia"/>
          <w:sz w:val="24"/>
          <w:szCs w:val="21"/>
        </w:rPr>
        <w:t>核素开展核医学住院治疗活动的总则、选址、布局、工作场所的辐射安全与防护、放射性废物管理、辐射监测、应急处理要求等相关内容。</w:t>
      </w:r>
    </w:p>
    <w:p w:rsidR="00513813" w:rsidRDefault="00AB3F63">
      <w:pPr>
        <w:spacing w:line="360" w:lineRule="auto"/>
        <w:ind w:firstLineChars="200" w:firstLine="480"/>
        <w:rPr>
          <w:sz w:val="24"/>
          <w:szCs w:val="21"/>
        </w:rPr>
      </w:pPr>
      <w:r>
        <w:rPr>
          <w:rFonts w:hint="eastAsia"/>
          <w:sz w:val="24"/>
          <w:szCs w:val="21"/>
        </w:rPr>
        <w:t>本文件适用于医疗机构碘</w:t>
      </w:r>
      <w:r>
        <w:rPr>
          <w:rFonts w:hint="eastAsia"/>
          <w:sz w:val="24"/>
          <w:szCs w:val="21"/>
        </w:rPr>
        <w:t>-131</w:t>
      </w:r>
      <w:r>
        <w:rPr>
          <w:rFonts w:hint="eastAsia"/>
          <w:sz w:val="24"/>
          <w:szCs w:val="21"/>
        </w:rPr>
        <w:t>核素治疗病房工作场所设计、建设及开展相关活动的辐射防护与安全管理。</w:t>
      </w:r>
    </w:p>
    <w:p w:rsidR="00513813" w:rsidRDefault="00AB3F63">
      <w:pPr>
        <w:pStyle w:val="2"/>
        <w:numPr>
          <w:ilvl w:val="0"/>
          <w:numId w:val="0"/>
        </w:numPr>
        <w:spacing w:line="416" w:lineRule="auto"/>
        <w:rPr>
          <w:rFonts w:eastAsia="黑体"/>
          <w:b w:val="0"/>
          <w:kern w:val="0"/>
          <w:sz w:val="32"/>
        </w:rPr>
      </w:pPr>
      <w:bookmarkStart w:id="48" w:name="_Toc13204"/>
      <w:r>
        <w:rPr>
          <w:rFonts w:eastAsia="黑体" w:hint="eastAsia"/>
          <w:b w:val="0"/>
          <w:kern w:val="0"/>
          <w:sz w:val="32"/>
        </w:rPr>
        <w:t>6</w:t>
      </w:r>
      <w:r>
        <w:rPr>
          <w:rFonts w:eastAsia="黑体" w:hint="eastAsia"/>
          <w:b w:val="0"/>
          <w:kern w:val="0"/>
          <w:sz w:val="32"/>
        </w:rPr>
        <w:t>.3</w:t>
      </w:r>
      <w:r>
        <w:rPr>
          <w:rFonts w:eastAsia="黑体" w:hint="eastAsia"/>
          <w:b w:val="0"/>
          <w:kern w:val="0"/>
          <w:sz w:val="32"/>
        </w:rPr>
        <w:t>规范性引用文件</w:t>
      </w:r>
      <w:bookmarkEnd w:id="48"/>
    </w:p>
    <w:p w:rsidR="00513813" w:rsidRDefault="00AB3F63">
      <w:pPr>
        <w:spacing w:line="360" w:lineRule="auto"/>
        <w:ind w:firstLineChars="200" w:firstLine="480"/>
        <w:rPr>
          <w:sz w:val="24"/>
          <w:szCs w:val="21"/>
        </w:rPr>
      </w:pPr>
      <w:r>
        <w:rPr>
          <w:rFonts w:hint="eastAsia"/>
          <w:sz w:val="24"/>
          <w:szCs w:val="21"/>
        </w:rPr>
        <w:t xml:space="preserve">GB 18871 </w:t>
      </w:r>
      <w:r>
        <w:rPr>
          <w:rFonts w:hint="eastAsia"/>
          <w:sz w:val="24"/>
          <w:szCs w:val="21"/>
        </w:rPr>
        <w:t>电离辐射防护与辐射源安全基本标准</w:t>
      </w:r>
    </w:p>
    <w:p w:rsidR="00513813" w:rsidRDefault="00AB3F63">
      <w:pPr>
        <w:spacing w:line="360" w:lineRule="auto"/>
        <w:ind w:firstLineChars="200" w:firstLine="480"/>
        <w:rPr>
          <w:sz w:val="24"/>
          <w:szCs w:val="21"/>
        </w:rPr>
      </w:pPr>
      <w:r>
        <w:rPr>
          <w:rFonts w:hint="eastAsia"/>
          <w:sz w:val="24"/>
          <w:szCs w:val="21"/>
        </w:rPr>
        <w:t xml:space="preserve">GBZ 120  </w:t>
      </w:r>
      <w:r>
        <w:rPr>
          <w:rFonts w:hint="eastAsia"/>
          <w:sz w:val="24"/>
          <w:szCs w:val="21"/>
        </w:rPr>
        <w:t>核医学放射防护要求</w:t>
      </w:r>
    </w:p>
    <w:p w:rsidR="00513813" w:rsidRDefault="00AB3F63">
      <w:pPr>
        <w:spacing w:line="360" w:lineRule="auto"/>
        <w:ind w:firstLineChars="200" w:firstLine="480"/>
        <w:rPr>
          <w:sz w:val="24"/>
          <w:szCs w:val="21"/>
        </w:rPr>
      </w:pPr>
      <w:r>
        <w:rPr>
          <w:rFonts w:hint="eastAsia"/>
          <w:sz w:val="24"/>
          <w:szCs w:val="21"/>
        </w:rPr>
        <w:lastRenderedPageBreak/>
        <w:t xml:space="preserve">HJ 61  </w:t>
      </w:r>
      <w:r>
        <w:rPr>
          <w:rFonts w:hint="eastAsia"/>
          <w:sz w:val="24"/>
          <w:szCs w:val="21"/>
        </w:rPr>
        <w:t>辐射环境监测技术规范</w:t>
      </w:r>
    </w:p>
    <w:p w:rsidR="00513813" w:rsidRDefault="00AB3F63">
      <w:pPr>
        <w:spacing w:line="360" w:lineRule="auto"/>
        <w:ind w:firstLineChars="200" w:firstLine="480"/>
        <w:rPr>
          <w:sz w:val="24"/>
          <w:szCs w:val="21"/>
        </w:rPr>
      </w:pPr>
      <w:r>
        <w:rPr>
          <w:rFonts w:hint="eastAsia"/>
          <w:sz w:val="24"/>
          <w:szCs w:val="21"/>
        </w:rPr>
        <w:t xml:space="preserve">HJ 1188  </w:t>
      </w:r>
      <w:r>
        <w:rPr>
          <w:rFonts w:hint="eastAsia"/>
          <w:sz w:val="24"/>
          <w:szCs w:val="21"/>
        </w:rPr>
        <w:t>核医学辐射防护与安全要求</w:t>
      </w:r>
    </w:p>
    <w:p w:rsidR="00513813" w:rsidRDefault="00AB3F63">
      <w:pPr>
        <w:pStyle w:val="2"/>
        <w:numPr>
          <w:ilvl w:val="0"/>
          <w:numId w:val="0"/>
        </w:numPr>
        <w:spacing w:line="416" w:lineRule="auto"/>
        <w:rPr>
          <w:rFonts w:eastAsia="黑体"/>
          <w:b w:val="0"/>
          <w:kern w:val="0"/>
          <w:sz w:val="32"/>
        </w:rPr>
      </w:pPr>
      <w:bookmarkStart w:id="49" w:name="_Toc25834"/>
      <w:r>
        <w:rPr>
          <w:rFonts w:eastAsia="黑体" w:hint="eastAsia"/>
          <w:b w:val="0"/>
          <w:kern w:val="0"/>
          <w:sz w:val="32"/>
        </w:rPr>
        <w:t>6</w:t>
      </w:r>
      <w:r>
        <w:rPr>
          <w:rFonts w:eastAsia="黑体" w:hint="eastAsia"/>
          <w:b w:val="0"/>
          <w:kern w:val="0"/>
          <w:sz w:val="32"/>
        </w:rPr>
        <w:t>.4</w:t>
      </w:r>
      <w:r>
        <w:rPr>
          <w:rFonts w:eastAsia="黑体" w:hint="eastAsia"/>
          <w:b w:val="0"/>
          <w:kern w:val="0"/>
          <w:sz w:val="32"/>
        </w:rPr>
        <w:t>术语及定义</w:t>
      </w:r>
      <w:bookmarkEnd w:id="49"/>
    </w:p>
    <w:p w:rsidR="00513813" w:rsidRDefault="00AB3F63">
      <w:pPr>
        <w:spacing w:line="360" w:lineRule="auto"/>
        <w:ind w:firstLineChars="200" w:firstLine="480"/>
        <w:rPr>
          <w:sz w:val="24"/>
          <w:szCs w:val="21"/>
        </w:rPr>
      </w:pPr>
      <w:r>
        <w:rPr>
          <w:rFonts w:hint="eastAsia"/>
          <w:sz w:val="24"/>
          <w:szCs w:val="21"/>
        </w:rPr>
        <w:t>本标准统一规范了碘</w:t>
      </w:r>
      <w:r>
        <w:rPr>
          <w:rFonts w:hint="eastAsia"/>
          <w:sz w:val="24"/>
          <w:szCs w:val="21"/>
        </w:rPr>
        <w:t>-131</w:t>
      </w:r>
      <w:r>
        <w:rPr>
          <w:rFonts w:hint="eastAsia"/>
          <w:sz w:val="24"/>
          <w:szCs w:val="21"/>
        </w:rPr>
        <w:t>核素</w:t>
      </w:r>
      <w:r>
        <w:rPr>
          <w:rFonts w:hint="eastAsia"/>
          <w:sz w:val="24"/>
          <w:szCs w:val="21"/>
        </w:rPr>
        <w:t>治疗和</w:t>
      </w:r>
      <w:proofErr w:type="gramStart"/>
      <w:r>
        <w:rPr>
          <w:rFonts w:hint="eastAsia"/>
          <w:sz w:val="24"/>
          <w:szCs w:val="21"/>
        </w:rPr>
        <w:t>碘</w:t>
      </w:r>
      <w:r>
        <w:rPr>
          <w:rFonts w:hint="eastAsia"/>
          <w:sz w:val="24"/>
          <w:szCs w:val="21"/>
        </w:rPr>
        <w:t>-</w:t>
      </w:r>
      <w:proofErr w:type="gramEnd"/>
      <w:r>
        <w:rPr>
          <w:rFonts w:hint="eastAsia"/>
          <w:sz w:val="24"/>
          <w:szCs w:val="21"/>
        </w:rPr>
        <w:t>131</w:t>
      </w:r>
      <w:r>
        <w:rPr>
          <w:rFonts w:hint="eastAsia"/>
          <w:sz w:val="24"/>
          <w:szCs w:val="21"/>
        </w:rPr>
        <w:t>核素治疗病房的定义内容</w:t>
      </w:r>
      <w:r>
        <w:rPr>
          <w:rFonts w:hint="eastAsia"/>
          <w:sz w:val="24"/>
          <w:szCs w:val="21"/>
        </w:rPr>
        <w:t>。</w:t>
      </w:r>
    </w:p>
    <w:p w:rsidR="00513813" w:rsidRDefault="00AB3F63">
      <w:pPr>
        <w:spacing w:line="360" w:lineRule="auto"/>
        <w:rPr>
          <w:b/>
          <w:bCs/>
          <w:sz w:val="24"/>
          <w:szCs w:val="21"/>
        </w:rPr>
      </w:pPr>
      <w:bookmarkStart w:id="50" w:name="_Toc10585"/>
      <w:bookmarkStart w:id="51" w:name="_Toc131516460"/>
      <w:bookmarkStart w:id="52" w:name="_Toc13900"/>
      <w:r>
        <w:rPr>
          <w:rFonts w:hint="eastAsia"/>
          <w:b/>
          <w:bCs/>
          <w:sz w:val="24"/>
          <w:szCs w:val="21"/>
        </w:rPr>
        <w:t>6</w:t>
      </w:r>
      <w:r>
        <w:rPr>
          <w:rFonts w:hint="eastAsia"/>
          <w:b/>
          <w:bCs/>
          <w:sz w:val="24"/>
          <w:szCs w:val="21"/>
        </w:rPr>
        <w:t>.4.1</w:t>
      </w:r>
      <w:bookmarkEnd w:id="50"/>
      <w:bookmarkEnd w:id="51"/>
      <w:bookmarkEnd w:id="52"/>
      <w:r>
        <w:rPr>
          <w:rFonts w:hint="eastAsia"/>
          <w:b/>
          <w:bCs/>
          <w:sz w:val="24"/>
          <w:szCs w:val="21"/>
        </w:rPr>
        <w:t>碘</w:t>
      </w:r>
      <w:r>
        <w:rPr>
          <w:rFonts w:hint="eastAsia"/>
          <w:b/>
          <w:bCs/>
          <w:sz w:val="24"/>
          <w:szCs w:val="21"/>
        </w:rPr>
        <w:t>-131</w:t>
      </w:r>
      <w:r>
        <w:rPr>
          <w:rFonts w:hint="eastAsia"/>
          <w:b/>
          <w:bCs/>
          <w:sz w:val="24"/>
          <w:szCs w:val="21"/>
        </w:rPr>
        <w:t>核素治疗</w:t>
      </w:r>
      <w:r>
        <w:rPr>
          <w:rFonts w:hint="eastAsia"/>
          <w:b/>
          <w:bCs/>
          <w:sz w:val="24"/>
          <w:szCs w:val="21"/>
        </w:rPr>
        <w:t xml:space="preserve"> Iodine-131 radionuclide treatment</w:t>
      </w:r>
    </w:p>
    <w:p w:rsidR="00513813" w:rsidRDefault="00AB3F63">
      <w:pPr>
        <w:spacing w:line="360" w:lineRule="auto"/>
        <w:ind w:firstLineChars="200" w:firstLine="480"/>
        <w:rPr>
          <w:sz w:val="24"/>
          <w:szCs w:val="21"/>
        </w:rPr>
      </w:pPr>
      <w:bookmarkStart w:id="53" w:name="_Toc131516461"/>
      <w:bookmarkStart w:id="54" w:name="_Toc9562"/>
      <w:bookmarkStart w:id="55" w:name="_Toc23965"/>
      <w:r>
        <w:rPr>
          <w:rFonts w:hint="eastAsia"/>
          <w:sz w:val="24"/>
          <w:szCs w:val="21"/>
        </w:rPr>
        <w:t>参考了全国高等学校教材（供</w:t>
      </w:r>
      <w:r>
        <w:rPr>
          <w:rFonts w:hint="eastAsia"/>
          <w:sz w:val="24"/>
          <w:szCs w:val="21"/>
        </w:rPr>
        <w:t>8</w:t>
      </w:r>
      <w:r>
        <w:rPr>
          <w:rFonts w:hint="eastAsia"/>
          <w:sz w:val="24"/>
          <w:szCs w:val="21"/>
        </w:rPr>
        <w:t>年制及</w:t>
      </w:r>
      <w:r>
        <w:rPr>
          <w:rFonts w:hint="eastAsia"/>
          <w:sz w:val="24"/>
          <w:szCs w:val="21"/>
        </w:rPr>
        <w:t>7</w:t>
      </w:r>
      <w:r>
        <w:rPr>
          <w:rFonts w:hint="eastAsia"/>
          <w:sz w:val="24"/>
          <w:szCs w:val="21"/>
        </w:rPr>
        <w:t>年制临床医学等专业用）《核医学》（第</w:t>
      </w:r>
      <w:r>
        <w:rPr>
          <w:rFonts w:hint="eastAsia"/>
          <w:sz w:val="24"/>
          <w:szCs w:val="21"/>
        </w:rPr>
        <w:t>3</w:t>
      </w:r>
      <w:r>
        <w:rPr>
          <w:rFonts w:hint="eastAsia"/>
          <w:sz w:val="24"/>
          <w:szCs w:val="21"/>
        </w:rPr>
        <w:t>版）中第二十一章内分泌系统疾病的放射性核素治疗的相关内容</w:t>
      </w:r>
      <w:r>
        <w:rPr>
          <w:rFonts w:hint="eastAsia"/>
          <w:sz w:val="24"/>
          <w:szCs w:val="21"/>
        </w:rPr>
        <w:t>提出了</w:t>
      </w:r>
      <w:r>
        <w:rPr>
          <w:rFonts w:hint="eastAsia"/>
          <w:sz w:val="24"/>
          <w:szCs w:val="21"/>
        </w:rPr>
        <w:t>碘</w:t>
      </w:r>
      <w:r>
        <w:rPr>
          <w:rFonts w:hint="eastAsia"/>
          <w:sz w:val="24"/>
          <w:szCs w:val="21"/>
        </w:rPr>
        <w:t>-131</w:t>
      </w:r>
      <w:r>
        <w:rPr>
          <w:rFonts w:hint="eastAsia"/>
          <w:sz w:val="24"/>
          <w:szCs w:val="21"/>
        </w:rPr>
        <w:t>核素治疗</w:t>
      </w:r>
      <w:r>
        <w:rPr>
          <w:rFonts w:hint="eastAsia"/>
          <w:sz w:val="24"/>
          <w:szCs w:val="21"/>
        </w:rPr>
        <w:t>的相关定义</w:t>
      </w:r>
      <w:r>
        <w:rPr>
          <w:rFonts w:hint="eastAsia"/>
          <w:sz w:val="24"/>
          <w:szCs w:val="21"/>
        </w:rPr>
        <w:t>。</w:t>
      </w:r>
    </w:p>
    <w:p w:rsidR="00513813" w:rsidRDefault="00AB3F63">
      <w:pPr>
        <w:spacing w:line="360" w:lineRule="auto"/>
        <w:rPr>
          <w:b/>
          <w:bCs/>
          <w:sz w:val="24"/>
          <w:szCs w:val="21"/>
        </w:rPr>
      </w:pPr>
      <w:r>
        <w:rPr>
          <w:rFonts w:hint="eastAsia"/>
          <w:b/>
          <w:bCs/>
          <w:sz w:val="24"/>
          <w:szCs w:val="21"/>
        </w:rPr>
        <w:t>6</w:t>
      </w:r>
      <w:r>
        <w:rPr>
          <w:rFonts w:hint="eastAsia"/>
          <w:b/>
          <w:bCs/>
          <w:sz w:val="24"/>
          <w:szCs w:val="21"/>
        </w:rPr>
        <w:t>.4.2</w:t>
      </w:r>
      <w:bookmarkEnd w:id="53"/>
      <w:bookmarkEnd w:id="54"/>
      <w:bookmarkEnd w:id="55"/>
      <w:r>
        <w:rPr>
          <w:rFonts w:hint="eastAsia"/>
          <w:b/>
          <w:bCs/>
          <w:sz w:val="24"/>
          <w:szCs w:val="21"/>
        </w:rPr>
        <w:t>碘</w:t>
      </w:r>
      <w:r>
        <w:rPr>
          <w:rFonts w:hint="eastAsia"/>
          <w:b/>
          <w:bCs/>
          <w:sz w:val="24"/>
          <w:szCs w:val="21"/>
        </w:rPr>
        <w:t>-131</w:t>
      </w:r>
      <w:r>
        <w:rPr>
          <w:rFonts w:hint="eastAsia"/>
          <w:b/>
          <w:bCs/>
          <w:sz w:val="24"/>
          <w:szCs w:val="21"/>
        </w:rPr>
        <w:t>核素治疗病房</w:t>
      </w:r>
      <w:r>
        <w:rPr>
          <w:rFonts w:hint="eastAsia"/>
          <w:b/>
          <w:bCs/>
          <w:sz w:val="24"/>
          <w:szCs w:val="21"/>
        </w:rPr>
        <w:t xml:space="preserve"> Iodine-131  radionuclide treatment wards</w:t>
      </w:r>
    </w:p>
    <w:p w:rsidR="00513813" w:rsidRDefault="00AB3F63">
      <w:pPr>
        <w:spacing w:line="360" w:lineRule="auto"/>
        <w:ind w:firstLineChars="200" w:firstLine="480"/>
        <w:rPr>
          <w:sz w:val="24"/>
          <w:szCs w:val="21"/>
          <w:highlight w:val="red"/>
        </w:rPr>
      </w:pPr>
      <w:r>
        <w:rPr>
          <w:rFonts w:hint="eastAsia"/>
          <w:sz w:val="24"/>
          <w:szCs w:val="21"/>
        </w:rPr>
        <w:t>根据</w:t>
      </w:r>
      <w:r>
        <w:rPr>
          <w:rFonts w:hint="eastAsia"/>
          <w:sz w:val="24"/>
          <w:szCs w:val="21"/>
        </w:rPr>
        <w:t>碘</w:t>
      </w:r>
      <w:r>
        <w:rPr>
          <w:rFonts w:hint="eastAsia"/>
          <w:sz w:val="24"/>
          <w:szCs w:val="21"/>
        </w:rPr>
        <w:t>-131</w:t>
      </w:r>
      <w:r>
        <w:rPr>
          <w:rFonts w:hint="eastAsia"/>
          <w:sz w:val="24"/>
          <w:szCs w:val="21"/>
        </w:rPr>
        <w:t>核素治疗</w:t>
      </w:r>
      <w:r>
        <w:rPr>
          <w:rFonts w:hint="eastAsia"/>
          <w:sz w:val="24"/>
          <w:szCs w:val="21"/>
        </w:rPr>
        <w:t>的相关定义提出的住院治疗场所及所在区域的定义</w:t>
      </w:r>
      <w:r>
        <w:rPr>
          <w:rFonts w:hint="eastAsia"/>
          <w:sz w:val="24"/>
          <w:szCs w:val="21"/>
        </w:rPr>
        <w:t>。</w:t>
      </w:r>
      <w:r>
        <w:rPr>
          <w:rFonts w:hint="eastAsia"/>
          <w:sz w:val="24"/>
          <w:szCs w:val="21"/>
        </w:rPr>
        <w:t xml:space="preserve"> </w:t>
      </w:r>
    </w:p>
    <w:p w:rsidR="00513813" w:rsidRDefault="00AB3F63">
      <w:pPr>
        <w:pStyle w:val="2"/>
        <w:numPr>
          <w:ilvl w:val="0"/>
          <w:numId w:val="0"/>
        </w:numPr>
        <w:spacing w:line="416" w:lineRule="auto"/>
        <w:rPr>
          <w:rFonts w:eastAsia="黑体"/>
          <w:b w:val="0"/>
          <w:kern w:val="0"/>
          <w:sz w:val="32"/>
        </w:rPr>
      </w:pPr>
      <w:bookmarkStart w:id="56" w:name="_Toc31034"/>
      <w:r>
        <w:rPr>
          <w:rFonts w:eastAsia="黑体" w:hint="eastAsia"/>
          <w:b w:val="0"/>
          <w:kern w:val="0"/>
          <w:sz w:val="32"/>
        </w:rPr>
        <w:t>6</w:t>
      </w:r>
      <w:r>
        <w:rPr>
          <w:rFonts w:eastAsia="黑体" w:hint="eastAsia"/>
          <w:b w:val="0"/>
          <w:kern w:val="0"/>
          <w:sz w:val="32"/>
        </w:rPr>
        <w:t>.5</w:t>
      </w:r>
      <w:r>
        <w:rPr>
          <w:rFonts w:eastAsia="黑体" w:hint="eastAsia"/>
          <w:b w:val="0"/>
          <w:kern w:val="0"/>
          <w:sz w:val="32"/>
        </w:rPr>
        <w:t>总则</w:t>
      </w:r>
      <w:bookmarkEnd w:id="56"/>
    </w:p>
    <w:p w:rsidR="00513813" w:rsidRDefault="00AB3F63">
      <w:pPr>
        <w:spacing w:line="360" w:lineRule="auto"/>
        <w:rPr>
          <w:b/>
          <w:bCs/>
          <w:sz w:val="24"/>
          <w:szCs w:val="21"/>
        </w:rPr>
      </w:pPr>
      <w:bookmarkStart w:id="57" w:name="_Toc131516468"/>
      <w:bookmarkStart w:id="58" w:name="_Toc29142"/>
      <w:r>
        <w:rPr>
          <w:rFonts w:hint="eastAsia"/>
          <w:b/>
          <w:bCs/>
          <w:sz w:val="24"/>
          <w:szCs w:val="21"/>
        </w:rPr>
        <w:t>6</w:t>
      </w:r>
      <w:r>
        <w:rPr>
          <w:rFonts w:hint="eastAsia"/>
          <w:b/>
          <w:bCs/>
          <w:sz w:val="24"/>
          <w:szCs w:val="21"/>
        </w:rPr>
        <w:t>.5.1</w:t>
      </w:r>
      <w:bookmarkEnd w:id="57"/>
      <w:bookmarkEnd w:id="58"/>
      <w:r>
        <w:rPr>
          <w:rFonts w:hint="eastAsia"/>
          <w:b/>
          <w:bCs/>
          <w:sz w:val="24"/>
          <w:szCs w:val="21"/>
        </w:rPr>
        <w:t>一般要求</w:t>
      </w:r>
    </w:p>
    <w:p w:rsidR="00513813" w:rsidRDefault="00AB3F63">
      <w:pPr>
        <w:spacing w:line="360" w:lineRule="auto"/>
        <w:ind w:firstLineChars="200" w:firstLine="480"/>
        <w:rPr>
          <w:sz w:val="24"/>
          <w:szCs w:val="21"/>
        </w:rPr>
      </w:pPr>
      <w:r>
        <w:rPr>
          <w:rFonts w:hint="eastAsia"/>
          <w:sz w:val="24"/>
          <w:szCs w:val="21"/>
        </w:rPr>
        <w:t>要求医疗机构应对所开展的碘</w:t>
      </w:r>
      <w:r>
        <w:rPr>
          <w:rFonts w:hint="eastAsia"/>
          <w:sz w:val="24"/>
          <w:szCs w:val="21"/>
        </w:rPr>
        <w:t>-131</w:t>
      </w:r>
      <w:r>
        <w:rPr>
          <w:rFonts w:hint="eastAsia"/>
          <w:sz w:val="24"/>
          <w:szCs w:val="21"/>
        </w:rPr>
        <w:t>核素治疗病房的辐射防护与安全工作全面负责</w:t>
      </w:r>
      <w:r>
        <w:rPr>
          <w:rFonts w:hint="eastAsia"/>
          <w:sz w:val="24"/>
          <w:szCs w:val="21"/>
        </w:rPr>
        <w:t>。</w:t>
      </w:r>
      <w:r>
        <w:rPr>
          <w:rFonts w:hint="eastAsia"/>
          <w:sz w:val="24"/>
          <w:szCs w:val="21"/>
        </w:rPr>
        <w:t>参考了《电离辐射防护与辐射源安全基本标准》</w:t>
      </w:r>
      <w:r>
        <w:rPr>
          <w:rFonts w:hint="eastAsia"/>
          <w:sz w:val="24"/>
        </w:rPr>
        <w:t>（</w:t>
      </w:r>
      <w:r>
        <w:rPr>
          <w:rFonts w:hint="eastAsia"/>
          <w:sz w:val="24"/>
        </w:rPr>
        <w:t>GB</w:t>
      </w:r>
      <w:r>
        <w:rPr>
          <w:rFonts w:hint="eastAsia"/>
          <w:sz w:val="24"/>
        </w:rPr>
        <w:t xml:space="preserve"> 18871</w:t>
      </w:r>
      <w:r>
        <w:rPr>
          <w:rFonts w:hint="eastAsia"/>
          <w:sz w:val="24"/>
        </w:rPr>
        <w:t>）</w:t>
      </w:r>
      <w:r>
        <w:rPr>
          <w:rFonts w:hint="eastAsia"/>
          <w:sz w:val="24"/>
          <w:szCs w:val="21"/>
        </w:rPr>
        <w:t>和《核医学辐射防护与安全要求》（</w:t>
      </w:r>
      <w:r>
        <w:rPr>
          <w:rFonts w:hint="eastAsia"/>
          <w:sz w:val="24"/>
          <w:szCs w:val="21"/>
        </w:rPr>
        <w:t>HJ 1188</w:t>
      </w:r>
      <w:r>
        <w:rPr>
          <w:rFonts w:hint="eastAsia"/>
          <w:sz w:val="24"/>
          <w:szCs w:val="21"/>
        </w:rPr>
        <w:t>）对核技术利用单位的部分总则一般要求内容，重点规范了开展碘</w:t>
      </w:r>
      <w:r>
        <w:rPr>
          <w:rFonts w:hint="eastAsia"/>
          <w:sz w:val="24"/>
          <w:szCs w:val="21"/>
        </w:rPr>
        <w:t>-131</w:t>
      </w:r>
      <w:r>
        <w:rPr>
          <w:rFonts w:hint="eastAsia"/>
          <w:sz w:val="24"/>
          <w:szCs w:val="21"/>
        </w:rPr>
        <w:t>核素治疗病房的医疗机构相关工作内容。</w:t>
      </w:r>
    </w:p>
    <w:p w:rsidR="00513813" w:rsidRDefault="00AB3F63">
      <w:pPr>
        <w:spacing w:line="360" w:lineRule="auto"/>
        <w:rPr>
          <w:b/>
          <w:bCs/>
          <w:sz w:val="24"/>
          <w:szCs w:val="21"/>
        </w:rPr>
      </w:pPr>
      <w:bookmarkStart w:id="59" w:name="_Toc6387"/>
      <w:bookmarkStart w:id="60" w:name="_Toc131516469"/>
      <w:r>
        <w:rPr>
          <w:rFonts w:hint="eastAsia"/>
          <w:b/>
          <w:bCs/>
          <w:sz w:val="24"/>
          <w:szCs w:val="21"/>
        </w:rPr>
        <w:t>6</w:t>
      </w:r>
      <w:r>
        <w:rPr>
          <w:rFonts w:hint="eastAsia"/>
          <w:b/>
          <w:bCs/>
          <w:sz w:val="24"/>
          <w:szCs w:val="21"/>
        </w:rPr>
        <w:t>.5.2</w:t>
      </w:r>
      <w:bookmarkEnd w:id="59"/>
      <w:bookmarkEnd w:id="60"/>
      <w:r>
        <w:rPr>
          <w:rFonts w:hint="eastAsia"/>
          <w:b/>
          <w:bCs/>
          <w:sz w:val="24"/>
          <w:szCs w:val="21"/>
        </w:rPr>
        <w:t>辐射工作场所分级</w:t>
      </w:r>
    </w:p>
    <w:p w:rsidR="00513813" w:rsidRDefault="00AB3F63">
      <w:pPr>
        <w:spacing w:line="360" w:lineRule="auto"/>
        <w:ind w:firstLineChars="200" w:firstLine="480"/>
        <w:rPr>
          <w:sz w:val="24"/>
          <w:szCs w:val="21"/>
        </w:rPr>
      </w:pPr>
      <w:r>
        <w:rPr>
          <w:rFonts w:hint="eastAsia"/>
          <w:sz w:val="24"/>
          <w:szCs w:val="21"/>
        </w:rPr>
        <w:t>参照《电离辐射防护与辐射源安全基本标准》</w:t>
      </w:r>
      <w:r>
        <w:rPr>
          <w:rFonts w:hint="eastAsia"/>
          <w:sz w:val="24"/>
        </w:rPr>
        <w:t>（</w:t>
      </w:r>
      <w:r>
        <w:rPr>
          <w:rFonts w:hint="eastAsia"/>
          <w:sz w:val="24"/>
        </w:rPr>
        <w:t>GB 18871</w:t>
      </w:r>
      <w:r>
        <w:rPr>
          <w:rFonts w:hint="eastAsia"/>
          <w:sz w:val="24"/>
        </w:rPr>
        <w:t>-2002</w:t>
      </w:r>
      <w:r>
        <w:rPr>
          <w:rFonts w:hint="eastAsia"/>
          <w:sz w:val="24"/>
        </w:rPr>
        <w:t>）</w:t>
      </w:r>
      <w:r>
        <w:rPr>
          <w:rFonts w:hint="eastAsia"/>
          <w:sz w:val="24"/>
        </w:rPr>
        <w:t>附录</w:t>
      </w:r>
      <w:r>
        <w:rPr>
          <w:rFonts w:hint="eastAsia"/>
          <w:sz w:val="24"/>
        </w:rPr>
        <w:t>C</w:t>
      </w:r>
      <w:r>
        <w:rPr>
          <w:rFonts w:hint="eastAsia"/>
          <w:sz w:val="24"/>
        </w:rPr>
        <w:t>非密封源工作场所</w:t>
      </w:r>
      <w:proofErr w:type="gramStart"/>
      <w:r>
        <w:rPr>
          <w:rFonts w:hint="eastAsia"/>
          <w:sz w:val="24"/>
        </w:rPr>
        <w:t>分级中</w:t>
      </w:r>
      <w:proofErr w:type="gramEnd"/>
      <w:r>
        <w:rPr>
          <w:rFonts w:hint="eastAsia"/>
          <w:sz w:val="24"/>
          <w:szCs w:val="21"/>
        </w:rPr>
        <w:t>公式和修正因子，经计算后给出了碘</w:t>
      </w:r>
      <w:r>
        <w:rPr>
          <w:rFonts w:hint="eastAsia"/>
          <w:sz w:val="24"/>
          <w:szCs w:val="21"/>
        </w:rPr>
        <w:t>-131</w:t>
      </w:r>
      <w:r>
        <w:rPr>
          <w:rFonts w:hint="eastAsia"/>
          <w:sz w:val="24"/>
          <w:szCs w:val="21"/>
        </w:rPr>
        <w:t>核素治疗病房非密封放射性物质工作场所的分级标准</w:t>
      </w:r>
      <w:r>
        <w:rPr>
          <w:rFonts w:hint="eastAsia"/>
          <w:sz w:val="24"/>
          <w:szCs w:val="21"/>
        </w:rPr>
        <w:t>。</w:t>
      </w:r>
    </w:p>
    <w:p w:rsidR="00513813" w:rsidRDefault="00AB3F63">
      <w:pPr>
        <w:spacing w:line="360" w:lineRule="auto"/>
        <w:rPr>
          <w:b/>
          <w:bCs/>
          <w:sz w:val="24"/>
          <w:szCs w:val="21"/>
        </w:rPr>
      </w:pPr>
      <w:r>
        <w:rPr>
          <w:rFonts w:hint="eastAsia"/>
          <w:b/>
          <w:bCs/>
          <w:sz w:val="24"/>
          <w:szCs w:val="21"/>
        </w:rPr>
        <w:t>6.5.3</w:t>
      </w:r>
      <w:r>
        <w:rPr>
          <w:rFonts w:hint="eastAsia"/>
          <w:b/>
          <w:bCs/>
          <w:sz w:val="24"/>
          <w:szCs w:val="21"/>
        </w:rPr>
        <w:t>辐射工作场所分区</w:t>
      </w:r>
    </w:p>
    <w:p w:rsidR="00513813" w:rsidRDefault="00AB3F63">
      <w:pPr>
        <w:spacing w:line="360" w:lineRule="auto"/>
        <w:ind w:firstLineChars="200" w:firstLine="480"/>
        <w:rPr>
          <w:sz w:val="24"/>
          <w:szCs w:val="21"/>
        </w:rPr>
      </w:pPr>
      <w:r>
        <w:rPr>
          <w:rFonts w:hint="eastAsia"/>
          <w:sz w:val="24"/>
          <w:szCs w:val="21"/>
        </w:rPr>
        <w:t>参照《电离辐射防护与辐射源安全基本标准》</w:t>
      </w:r>
      <w:r>
        <w:rPr>
          <w:rFonts w:hint="eastAsia"/>
          <w:sz w:val="24"/>
        </w:rPr>
        <w:t>（</w:t>
      </w:r>
      <w:r>
        <w:rPr>
          <w:rFonts w:hint="eastAsia"/>
          <w:sz w:val="24"/>
        </w:rPr>
        <w:t>GB 18871</w:t>
      </w:r>
      <w:r>
        <w:rPr>
          <w:rFonts w:hint="eastAsia"/>
          <w:sz w:val="24"/>
        </w:rPr>
        <w:t>-2002</w:t>
      </w:r>
      <w:r>
        <w:rPr>
          <w:rFonts w:hint="eastAsia"/>
          <w:sz w:val="24"/>
        </w:rPr>
        <w:t>）</w:t>
      </w:r>
      <w:r>
        <w:rPr>
          <w:rFonts w:hint="eastAsia"/>
          <w:sz w:val="24"/>
        </w:rPr>
        <w:t>6.4</w:t>
      </w:r>
      <w:r>
        <w:rPr>
          <w:rFonts w:hint="eastAsia"/>
          <w:sz w:val="24"/>
          <w:szCs w:val="21"/>
        </w:rPr>
        <w:t>中的原则规范了碘</w:t>
      </w:r>
      <w:r>
        <w:rPr>
          <w:rFonts w:hint="eastAsia"/>
          <w:sz w:val="24"/>
          <w:szCs w:val="21"/>
        </w:rPr>
        <w:t>-131</w:t>
      </w:r>
      <w:r>
        <w:rPr>
          <w:rFonts w:hint="eastAsia"/>
          <w:sz w:val="24"/>
          <w:szCs w:val="21"/>
        </w:rPr>
        <w:t>核素</w:t>
      </w:r>
      <w:r>
        <w:rPr>
          <w:rFonts w:hint="eastAsia"/>
          <w:sz w:val="24"/>
          <w:szCs w:val="21"/>
        </w:rPr>
        <w:t>治疗病房的控制区监督区分区要求和相应的标识要求。场所名称功能参考医院实地调查情况，一般性功能房间。</w:t>
      </w:r>
    </w:p>
    <w:p w:rsidR="00513813" w:rsidRDefault="00AB3F63">
      <w:pPr>
        <w:spacing w:line="360" w:lineRule="auto"/>
        <w:rPr>
          <w:b/>
          <w:bCs/>
          <w:sz w:val="24"/>
          <w:szCs w:val="21"/>
        </w:rPr>
      </w:pPr>
      <w:r>
        <w:rPr>
          <w:rFonts w:hint="eastAsia"/>
          <w:b/>
          <w:bCs/>
          <w:sz w:val="24"/>
          <w:szCs w:val="21"/>
        </w:rPr>
        <w:t>6.5.4</w:t>
      </w:r>
      <w:r>
        <w:rPr>
          <w:rFonts w:hint="eastAsia"/>
          <w:b/>
          <w:bCs/>
          <w:sz w:val="24"/>
          <w:szCs w:val="21"/>
        </w:rPr>
        <w:t>剂量限值、剂量约束值和年摄入量限值</w:t>
      </w:r>
    </w:p>
    <w:p w:rsidR="00513813" w:rsidRDefault="00AB3F63">
      <w:pPr>
        <w:spacing w:line="360" w:lineRule="auto"/>
        <w:ind w:firstLineChars="200" w:firstLine="480"/>
        <w:rPr>
          <w:sz w:val="24"/>
          <w:szCs w:val="21"/>
        </w:rPr>
      </w:pPr>
      <w:r>
        <w:rPr>
          <w:rFonts w:hint="eastAsia"/>
          <w:sz w:val="24"/>
          <w:szCs w:val="21"/>
        </w:rPr>
        <w:t>本文件根据《电离辐射防护与辐射源安全基本标准》</w:t>
      </w:r>
      <w:r>
        <w:rPr>
          <w:rFonts w:hint="eastAsia"/>
          <w:sz w:val="24"/>
        </w:rPr>
        <w:t>（</w:t>
      </w:r>
      <w:r>
        <w:rPr>
          <w:rFonts w:hint="eastAsia"/>
          <w:sz w:val="24"/>
        </w:rPr>
        <w:t>GB 18871</w:t>
      </w:r>
      <w:r>
        <w:rPr>
          <w:rFonts w:hint="eastAsia"/>
          <w:sz w:val="24"/>
        </w:rPr>
        <w:t>）</w:t>
      </w:r>
      <w:r>
        <w:rPr>
          <w:rFonts w:hint="eastAsia"/>
          <w:sz w:val="24"/>
          <w:szCs w:val="21"/>
        </w:rPr>
        <w:t>中的要</w:t>
      </w:r>
      <w:r>
        <w:rPr>
          <w:rFonts w:hint="eastAsia"/>
          <w:sz w:val="24"/>
          <w:szCs w:val="21"/>
        </w:rPr>
        <w:lastRenderedPageBreak/>
        <w:t>求给出了职业照射和公众照射的剂量限值和剂量约束值，给出了各区域位置放射性表面污染控制水平。</w:t>
      </w:r>
    </w:p>
    <w:p w:rsidR="00513813" w:rsidRDefault="00AB3F63">
      <w:pPr>
        <w:spacing w:line="360" w:lineRule="auto"/>
        <w:ind w:firstLineChars="200" w:firstLine="480"/>
        <w:rPr>
          <w:sz w:val="24"/>
          <w:szCs w:val="21"/>
        </w:rPr>
      </w:pPr>
      <w:r>
        <w:rPr>
          <w:rFonts w:hint="eastAsia"/>
          <w:sz w:val="24"/>
          <w:szCs w:val="21"/>
        </w:rPr>
        <w:t>本文件根据《两种粒度放射性气溶胶年摄入量限值》（</w:t>
      </w:r>
      <w:r>
        <w:rPr>
          <w:rFonts w:hint="eastAsia"/>
          <w:sz w:val="24"/>
          <w:szCs w:val="21"/>
        </w:rPr>
        <w:t>GBZ/T 154-2006</w:t>
      </w:r>
      <w:r>
        <w:rPr>
          <w:rFonts w:hint="eastAsia"/>
          <w:sz w:val="24"/>
          <w:szCs w:val="21"/>
        </w:rPr>
        <w:t>）和《公众成员的放射性核素年摄入量限值》（</w:t>
      </w:r>
      <w:r>
        <w:rPr>
          <w:rFonts w:hint="eastAsia"/>
          <w:sz w:val="24"/>
          <w:szCs w:val="21"/>
        </w:rPr>
        <w:t xml:space="preserve">WS/T </w:t>
      </w:r>
      <w:r>
        <w:rPr>
          <w:rFonts w:hint="eastAsia"/>
          <w:sz w:val="24"/>
          <w:szCs w:val="21"/>
        </w:rPr>
        <w:t>613</w:t>
      </w:r>
      <w:r>
        <w:rPr>
          <w:rFonts w:hint="eastAsia"/>
          <w:sz w:val="24"/>
          <w:szCs w:val="21"/>
        </w:rPr>
        <w:t>）中的参数和计算公式推算出职业人员和公众的年摄入量限值。计算过程如下：</w:t>
      </w:r>
    </w:p>
    <w:p w:rsidR="00513813" w:rsidRDefault="00AB3F63">
      <w:pPr>
        <w:spacing w:line="360" w:lineRule="auto"/>
        <w:ind w:firstLineChars="200" w:firstLine="480"/>
        <w:rPr>
          <w:sz w:val="24"/>
          <w:szCs w:val="21"/>
        </w:rPr>
      </w:pPr>
      <w:r>
        <w:rPr>
          <w:sz w:val="24"/>
          <w:szCs w:val="21"/>
        </w:rPr>
        <w:t xml:space="preserve">                     </w:t>
      </w:r>
      <w:r>
        <w:rPr>
          <w:rFonts w:ascii="Arial" w:hAnsi="Arial" w:cs="Arial"/>
          <w:position w:val="-34"/>
          <w:sz w:val="28"/>
          <w:szCs w:val="28"/>
        </w:rPr>
        <w:object w:dxaOrig="1211"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7.75pt" o:ole="">
            <v:imagedata r:id="rId11" o:title=""/>
          </v:shape>
          <o:OLEObject Type="Embed" ProgID="Equation.3" ShapeID="_x0000_i1025" DrawAspect="Content" ObjectID="_1755066344" r:id="rId12"/>
        </w:object>
      </w:r>
      <w:r>
        <w:rPr>
          <w:rFonts w:ascii="Arial" w:hAnsi="Arial" w:cs="Arial" w:hint="eastAsia"/>
          <w:position w:val="-34"/>
          <w:sz w:val="28"/>
          <w:szCs w:val="28"/>
        </w:rPr>
        <w:t xml:space="preserve">       </w:t>
      </w:r>
      <w:r>
        <w:rPr>
          <w:sz w:val="24"/>
          <w:szCs w:val="21"/>
        </w:rPr>
        <w:t>（</w:t>
      </w:r>
      <w:r>
        <w:rPr>
          <w:sz w:val="24"/>
          <w:szCs w:val="21"/>
        </w:rPr>
        <w:t>1</w:t>
      </w:r>
      <w:r>
        <w:rPr>
          <w:sz w:val="24"/>
          <w:szCs w:val="21"/>
        </w:rPr>
        <w:t>）</w:t>
      </w:r>
    </w:p>
    <w:p w:rsidR="00513813" w:rsidRDefault="00AB3F63">
      <w:pPr>
        <w:spacing w:line="360" w:lineRule="auto"/>
        <w:ind w:firstLineChars="200" w:firstLine="480"/>
        <w:rPr>
          <w:sz w:val="24"/>
          <w:szCs w:val="21"/>
        </w:rPr>
      </w:pPr>
      <w:r>
        <w:rPr>
          <w:sz w:val="24"/>
          <w:szCs w:val="21"/>
        </w:rPr>
        <w:t>式中：</w:t>
      </w:r>
      <w:r>
        <w:rPr>
          <w:sz w:val="24"/>
          <w:szCs w:val="21"/>
        </w:rPr>
        <w:t>5×10-3——</w:t>
      </w:r>
      <w:r>
        <w:rPr>
          <w:sz w:val="24"/>
          <w:szCs w:val="21"/>
        </w:rPr>
        <w:t>职业照射剂量约束值（取</w:t>
      </w:r>
      <w:r>
        <w:rPr>
          <w:sz w:val="24"/>
          <w:szCs w:val="21"/>
        </w:rPr>
        <w:t>5 mSv</w:t>
      </w:r>
      <w:r>
        <w:rPr>
          <w:sz w:val="24"/>
          <w:szCs w:val="21"/>
        </w:rPr>
        <w:t>），</w:t>
      </w:r>
      <w:r>
        <w:rPr>
          <w:sz w:val="24"/>
          <w:szCs w:val="21"/>
        </w:rPr>
        <w:t>Sv/a</w:t>
      </w:r>
      <w:r>
        <w:rPr>
          <w:sz w:val="24"/>
          <w:szCs w:val="21"/>
        </w:rPr>
        <w:t>；</w:t>
      </w:r>
    </w:p>
    <w:p w:rsidR="00513813" w:rsidRDefault="00AB3F63">
      <w:pPr>
        <w:spacing w:line="360" w:lineRule="auto"/>
        <w:ind w:firstLineChars="200" w:firstLine="480"/>
        <w:rPr>
          <w:sz w:val="24"/>
          <w:szCs w:val="21"/>
        </w:rPr>
      </w:pPr>
      <w:r>
        <w:rPr>
          <w:sz w:val="24"/>
          <w:szCs w:val="21"/>
        </w:rPr>
        <w:t>e(g)j,φ——</w:t>
      </w:r>
      <w:r>
        <w:rPr>
          <w:sz w:val="24"/>
          <w:szCs w:val="21"/>
        </w:rPr>
        <w:t>粒度为</w:t>
      </w:r>
      <w:r>
        <w:rPr>
          <w:sz w:val="24"/>
          <w:szCs w:val="21"/>
        </w:rPr>
        <w:t>φ</w:t>
      </w:r>
      <w:r>
        <w:rPr>
          <w:sz w:val="24"/>
          <w:szCs w:val="21"/>
        </w:rPr>
        <w:t>的核素</w:t>
      </w:r>
      <w:r>
        <w:rPr>
          <w:sz w:val="24"/>
          <w:szCs w:val="21"/>
        </w:rPr>
        <w:t>j</w:t>
      </w:r>
      <w:proofErr w:type="gramStart"/>
      <w:r>
        <w:rPr>
          <w:sz w:val="24"/>
          <w:szCs w:val="21"/>
        </w:rPr>
        <w:t>待积有效</w:t>
      </w:r>
      <w:proofErr w:type="gramEnd"/>
      <w:r>
        <w:rPr>
          <w:sz w:val="24"/>
          <w:szCs w:val="21"/>
        </w:rPr>
        <w:t>剂量换算因子（</w:t>
      </w:r>
      <w:r>
        <w:rPr>
          <w:sz w:val="24"/>
          <w:szCs w:val="21"/>
        </w:rPr>
        <w:t>AMAD =1μm</w:t>
      </w:r>
      <w:r>
        <w:rPr>
          <w:sz w:val="24"/>
          <w:szCs w:val="21"/>
        </w:rPr>
        <w:t>），</w:t>
      </w:r>
      <w:r>
        <w:rPr>
          <w:sz w:val="24"/>
          <w:szCs w:val="21"/>
        </w:rPr>
        <w:t>Sv/Bq</w:t>
      </w:r>
      <w:r>
        <w:rPr>
          <w:sz w:val="24"/>
          <w:szCs w:val="21"/>
        </w:rPr>
        <w:t>，对于</w:t>
      </w:r>
      <w:r>
        <w:rPr>
          <w:sz w:val="24"/>
          <w:szCs w:val="21"/>
        </w:rPr>
        <w:t>131I</w:t>
      </w:r>
      <w:r>
        <w:rPr>
          <w:sz w:val="24"/>
          <w:szCs w:val="21"/>
        </w:rPr>
        <w:t>核素，</w:t>
      </w:r>
      <w:r>
        <w:rPr>
          <w:sz w:val="24"/>
          <w:szCs w:val="21"/>
        </w:rPr>
        <w:t>e(g)j,φ</w:t>
      </w:r>
      <w:r>
        <w:rPr>
          <w:sz w:val="24"/>
          <w:szCs w:val="21"/>
        </w:rPr>
        <w:t>因子为</w:t>
      </w:r>
      <w:r>
        <w:rPr>
          <w:sz w:val="24"/>
          <w:szCs w:val="21"/>
        </w:rPr>
        <w:t>1.1E-8Sv/Bq</w:t>
      </w:r>
      <w:r>
        <w:rPr>
          <w:sz w:val="24"/>
          <w:szCs w:val="21"/>
        </w:rPr>
        <w:t>（</w:t>
      </w:r>
      <w:r>
        <w:rPr>
          <w:sz w:val="24"/>
          <w:szCs w:val="21"/>
        </w:rPr>
        <w:t>AMAD =5μm</w:t>
      </w:r>
      <w:r>
        <w:rPr>
          <w:sz w:val="24"/>
          <w:szCs w:val="21"/>
        </w:rPr>
        <w:t>）。根据（</w:t>
      </w:r>
      <w:r>
        <w:rPr>
          <w:sz w:val="24"/>
          <w:szCs w:val="21"/>
        </w:rPr>
        <w:t>1</w:t>
      </w:r>
      <w:r>
        <w:rPr>
          <w:sz w:val="24"/>
          <w:szCs w:val="21"/>
        </w:rPr>
        <w:t>）式计算得</w:t>
      </w:r>
      <w:r>
        <w:rPr>
          <w:sz w:val="24"/>
          <w:szCs w:val="21"/>
        </w:rPr>
        <w:t>ALIj,φ=4.55E+5 Bq/a</w:t>
      </w:r>
      <w:r>
        <w:rPr>
          <w:sz w:val="24"/>
          <w:szCs w:val="21"/>
        </w:rPr>
        <w:t>。</w:t>
      </w:r>
    </w:p>
    <w:p w:rsidR="00513813" w:rsidRDefault="00AB3F63">
      <w:pPr>
        <w:spacing w:line="360" w:lineRule="auto"/>
        <w:ind w:firstLineChars="200" w:firstLine="480"/>
        <w:rPr>
          <w:sz w:val="24"/>
          <w:szCs w:val="21"/>
        </w:rPr>
      </w:pPr>
      <w:r>
        <w:rPr>
          <w:sz w:val="24"/>
          <w:szCs w:val="21"/>
        </w:rPr>
        <w:t>根据（</w:t>
      </w:r>
      <w:r>
        <w:rPr>
          <w:sz w:val="24"/>
          <w:szCs w:val="21"/>
        </w:rPr>
        <w:t>1</w:t>
      </w:r>
      <w:r>
        <w:rPr>
          <w:sz w:val="24"/>
          <w:szCs w:val="21"/>
        </w:rPr>
        <w:t>）式替换职业照</w:t>
      </w:r>
      <w:r>
        <w:rPr>
          <w:sz w:val="24"/>
          <w:szCs w:val="21"/>
        </w:rPr>
        <w:t>射剂量约束值为公众照射约束值得到（</w:t>
      </w:r>
      <w:r>
        <w:rPr>
          <w:sz w:val="24"/>
          <w:szCs w:val="21"/>
        </w:rPr>
        <w:t>2</w:t>
      </w:r>
      <w:r>
        <w:rPr>
          <w:sz w:val="24"/>
          <w:szCs w:val="21"/>
        </w:rPr>
        <w:t>）式：</w:t>
      </w:r>
    </w:p>
    <w:p w:rsidR="00513813" w:rsidRDefault="00AB3F63">
      <w:pPr>
        <w:spacing w:line="360" w:lineRule="auto"/>
        <w:ind w:firstLineChars="200" w:firstLine="480"/>
        <w:rPr>
          <w:sz w:val="24"/>
          <w:szCs w:val="21"/>
        </w:rPr>
      </w:pPr>
      <w:r>
        <w:rPr>
          <w:sz w:val="24"/>
          <w:szCs w:val="21"/>
        </w:rPr>
        <w:t xml:space="preserve">                     </w:t>
      </w:r>
      <w:r>
        <w:rPr>
          <w:rFonts w:ascii="Arial" w:hAnsi="Arial" w:cs="Arial"/>
          <w:position w:val="-34"/>
          <w:sz w:val="28"/>
          <w:szCs w:val="28"/>
        </w:rPr>
        <w:object w:dxaOrig="1211" w:dyaOrig="560">
          <v:shape id="_x0000_i1026" type="#_x0000_t75" style="width:60.75pt;height:27.75pt" o:ole="">
            <v:imagedata r:id="rId11" o:title=""/>
          </v:shape>
          <o:OLEObject Type="Embed" ProgID="Equation.3" ShapeID="_x0000_i1026" DrawAspect="Content" ObjectID="_1755066345" r:id="rId13"/>
        </w:object>
      </w:r>
      <w:r>
        <w:rPr>
          <w:rFonts w:ascii="Arial" w:hAnsi="Arial" w:cs="Arial" w:hint="eastAsia"/>
          <w:position w:val="-34"/>
          <w:sz w:val="28"/>
          <w:szCs w:val="28"/>
        </w:rPr>
        <w:t xml:space="preserve">       </w:t>
      </w:r>
      <w:r>
        <w:rPr>
          <w:sz w:val="24"/>
          <w:szCs w:val="21"/>
        </w:rPr>
        <w:t>（</w:t>
      </w:r>
      <w:r>
        <w:rPr>
          <w:sz w:val="24"/>
          <w:szCs w:val="21"/>
        </w:rPr>
        <w:t>2</w:t>
      </w:r>
      <w:r>
        <w:rPr>
          <w:sz w:val="24"/>
          <w:szCs w:val="21"/>
        </w:rPr>
        <w:t>）</w:t>
      </w:r>
    </w:p>
    <w:p w:rsidR="00513813" w:rsidRDefault="00AB3F63">
      <w:pPr>
        <w:spacing w:line="360" w:lineRule="auto"/>
        <w:rPr>
          <w:sz w:val="24"/>
          <w:szCs w:val="21"/>
        </w:rPr>
      </w:pPr>
      <w:r>
        <w:rPr>
          <w:sz w:val="24"/>
          <w:szCs w:val="21"/>
        </w:rPr>
        <w:t>式中：</w:t>
      </w:r>
      <w:r>
        <w:rPr>
          <w:sz w:val="24"/>
          <w:szCs w:val="21"/>
        </w:rPr>
        <w:t>1×10-4——</w:t>
      </w:r>
      <w:r>
        <w:rPr>
          <w:sz w:val="24"/>
          <w:szCs w:val="21"/>
        </w:rPr>
        <w:t>公众人员照射剂量约束值（取</w:t>
      </w:r>
      <w:r>
        <w:rPr>
          <w:sz w:val="24"/>
          <w:szCs w:val="21"/>
        </w:rPr>
        <w:t>0.1 mSv</w:t>
      </w:r>
      <w:r>
        <w:rPr>
          <w:sz w:val="24"/>
          <w:szCs w:val="21"/>
        </w:rPr>
        <w:t>），</w:t>
      </w:r>
      <w:r>
        <w:rPr>
          <w:sz w:val="24"/>
          <w:szCs w:val="21"/>
        </w:rPr>
        <w:t>Sv/a</w:t>
      </w:r>
      <w:r>
        <w:rPr>
          <w:sz w:val="24"/>
          <w:szCs w:val="21"/>
        </w:rPr>
        <w:t>；</w:t>
      </w:r>
    </w:p>
    <w:p w:rsidR="00513813" w:rsidRDefault="00AB3F63">
      <w:pPr>
        <w:spacing w:line="360" w:lineRule="auto"/>
        <w:ind w:firstLineChars="200" w:firstLine="480"/>
        <w:rPr>
          <w:sz w:val="24"/>
          <w:szCs w:val="21"/>
        </w:rPr>
      </w:pPr>
      <w:r>
        <w:rPr>
          <w:sz w:val="24"/>
          <w:szCs w:val="21"/>
        </w:rPr>
        <w:t>e(g)j,φ——</w:t>
      </w:r>
      <w:r>
        <w:rPr>
          <w:sz w:val="24"/>
          <w:szCs w:val="21"/>
        </w:rPr>
        <w:t>粒度为</w:t>
      </w:r>
      <w:r>
        <w:rPr>
          <w:sz w:val="24"/>
          <w:szCs w:val="21"/>
        </w:rPr>
        <w:t>φ</w:t>
      </w:r>
      <w:r>
        <w:rPr>
          <w:sz w:val="24"/>
          <w:szCs w:val="21"/>
        </w:rPr>
        <w:t>的核素</w:t>
      </w:r>
      <w:r>
        <w:rPr>
          <w:sz w:val="24"/>
          <w:szCs w:val="21"/>
        </w:rPr>
        <w:t>j</w:t>
      </w:r>
      <w:proofErr w:type="gramStart"/>
      <w:r>
        <w:rPr>
          <w:sz w:val="24"/>
          <w:szCs w:val="21"/>
        </w:rPr>
        <w:t>待积有效</w:t>
      </w:r>
      <w:proofErr w:type="gramEnd"/>
      <w:r>
        <w:rPr>
          <w:sz w:val="24"/>
          <w:szCs w:val="21"/>
        </w:rPr>
        <w:t>剂量换算因子（</w:t>
      </w:r>
      <w:r>
        <w:rPr>
          <w:sz w:val="24"/>
          <w:szCs w:val="21"/>
        </w:rPr>
        <w:t>AMAD =1μm</w:t>
      </w:r>
      <w:r>
        <w:rPr>
          <w:sz w:val="24"/>
          <w:szCs w:val="21"/>
        </w:rPr>
        <w:t>），</w:t>
      </w:r>
      <w:r>
        <w:rPr>
          <w:sz w:val="24"/>
          <w:szCs w:val="21"/>
        </w:rPr>
        <w:t>Sv/Bq</w:t>
      </w:r>
      <w:r>
        <w:rPr>
          <w:sz w:val="24"/>
          <w:szCs w:val="21"/>
        </w:rPr>
        <w:t>，对于</w:t>
      </w:r>
      <w:r>
        <w:rPr>
          <w:sz w:val="24"/>
          <w:szCs w:val="21"/>
        </w:rPr>
        <w:t>131I</w:t>
      </w:r>
      <w:r>
        <w:rPr>
          <w:sz w:val="24"/>
          <w:szCs w:val="21"/>
        </w:rPr>
        <w:t>核素，</w:t>
      </w:r>
      <w:r>
        <w:rPr>
          <w:sz w:val="24"/>
          <w:szCs w:val="21"/>
        </w:rPr>
        <w:t>e(g)j,φ</w:t>
      </w:r>
      <w:r>
        <w:rPr>
          <w:sz w:val="24"/>
          <w:szCs w:val="21"/>
        </w:rPr>
        <w:t>因子为</w:t>
      </w:r>
      <w:r>
        <w:rPr>
          <w:sz w:val="24"/>
          <w:szCs w:val="21"/>
        </w:rPr>
        <w:t>7.6E-9Sv/Bq</w:t>
      </w:r>
      <w:r>
        <w:rPr>
          <w:sz w:val="24"/>
          <w:szCs w:val="21"/>
        </w:rPr>
        <w:t>（</w:t>
      </w:r>
      <w:r>
        <w:rPr>
          <w:sz w:val="24"/>
          <w:szCs w:val="21"/>
        </w:rPr>
        <w:t>AMAD =1μm</w:t>
      </w:r>
      <w:r>
        <w:rPr>
          <w:sz w:val="24"/>
          <w:szCs w:val="21"/>
        </w:rPr>
        <w:t>）。根据（</w:t>
      </w:r>
      <w:r>
        <w:rPr>
          <w:rFonts w:hint="eastAsia"/>
          <w:sz w:val="24"/>
          <w:szCs w:val="21"/>
        </w:rPr>
        <w:t>2</w:t>
      </w:r>
      <w:r>
        <w:rPr>
          <w:sz w:val="24"/>
          <w:szCs w:val="21"/>
        </w:rPr>
        <w:t>）式计算得</w:t>
      </w:r>
      <w:r>
        <w:rPr>
          <w:sz w:val="24"/>
          <w:szCs w:val="21"/>
        </w:rPr>
        <w:t>ALIj,φ=1.3E+4 Bq/a</w:t>
      </w:r>
      <w:r>
        <w:rPr>
          <w:sz w:val="24"/>
          <w:szCs w:val="21"/>
        </w:rPr>
        <w:t>。</w:t>
      </w:r>
    </w:p>
    <w:p w:rsidR="00513813" w:rsidRDefault="00AB3F63">
      <w:pPr>
        <w:spacing w:line="360" w:lineRule="auto"/>
        <w:rPr>
          <w:b/>
          <w:bCs/>
          <w:sz w:val="24"/>
          <w:szCs w:val="21"/>
        </w:rPr>
      </w:pPr>
      <w:r>
        <w:rPr>
          <w:rFonts w:hint="eastAsia"/>
          <w:b/>
          <w:bCs/>
          <w:sz w:val="24"/>
          <w:szCs w:val="21"/>
        </w:rPr>
        <w:t>6.5.5</w:t>
      </w:r>
      <w:r>
        <w:rPr>
          <w:rFonts w:hint="eastAsia"/>
          <w:b/>
          <w:bCs/>
          <w:sz w:val="24"/>
          <w:szCs w:val="21"/>
        </w:rPr>
        <w:t>服药患者出院要求</w:t>
      </w:r>
    </w:p>
    <w:p w:rsidR="00513813" w:rsidRDefault="00AB3F63">
      <w:pPr>
        <w:spacing w:line="360" w:lineRule="auto"/>
        <w:ind w:firstLineChars="200" w:firstLine="480"/>
        <w:rPr>
          <w:sz w:val="24"/>
          <w:szCs w:val="21"/>
        </w:rPr>
      </w:pPr>
      <w:r>
        <w:rPr>
          <w:rFonts w:hint="eastAsia"/>
          <w:sz w:val="24"/>
          <w:szCs w:val="21"/>
        </w:rPr>
        <w:t>根据《核医学辐射防护与安全要求》（</w:t>
      </w:r>
      <w:r>
        <w:rPr>
          <w:rFonts w:hint="eastAsia"/>
          <w:sz w:val="24"/>
          <w:szCs w:val="21"/>
        </w:rPr>
        <w:t>HJ 1188</w:t>
      </w:r>
      <w:r>
        <w:rPr>
          <w:rFonts w:hint="eastAsia"/>
          <w:sz w:val="24"/>
          <w:szCs w:val="21"/>
        </w:rPr>
        <w:t>）和《核医学放射防护要求》（</w:t>
      </w:r>
      <w:r>
        <w:rPr>
          <w:rFonts w:hint="eastAsia"/>
          <w:sz w:val="24"/>
          <w:szCs w:val="21"/>
        </w:rPr>
        <w:t>GBZ 120</w:t>
      </w:r>
      <w:r>
        <w:rPr>
          <w:rFonts w:hint="eastAsia"/>
          <w:sz w:val="24"/>
          <w:szCs w:val="21"/>
        </w:rPr>
        <w:t>）中对核医学患者出院要求的内容规范了接受碘</w:t>
      </w:r>
      <w:r>
        <w:rPr>
          <w:rFonts w:hint="eastAsia"/>
          <w:sz w:val="24"/>
          <w:szCs w:val="21"/>
        </w:rPr>
        <w:t xml:space="preserve">-131 </w:t>
      </w:r>
      <w:r>
        <w:rPr>
          <w:rFonts w:hint="eastAsia"/>
          <w:sz w:val="24"/>
          <w:szCs w:val="21"/>
        </w:rPr>
        <w:t>治疗的患者出院的相关要求。</w:t>
      </w:r>
    </w:p>
    <w:p w:rsidR="00513813" w:rsidRDefault="00AB3F63">
      <w:pPr>
        <w:pStyle w:val="2"/>
        <w:numPr>
          <w:ilvl w:val="0"/>
          <w:numId w:val="0"/>
        </w:numPr>
        <w:spacing w:line="416" w:lineRule="auto"/>
        <w:rPr>
          <w:rFonts w:eastAsia="黑体"/>
          <w:b w:val="0"/>
          <w:kern w:val="0"/>
          <w:sz w:val="32"/>
        </w:rPr>
      </w:pPr>
      <w:bookmarkStart w:id="61" w:name="_Toc3585"/>
      <w:r>
        <w:rPr>
          <w:rFonts w:eastAsia="黑体" w:hint="eastAsia"/>
          <w:b w:val="0"/>
          <w:kern w:val="0"/>
          <w:sz w:val="32"/>
        </w:rPr>
        <w:t>6</w:t>
      </w:r>
      <w:r>
        <w:rPr>
          <w:rFonts w:eastAsia="黑体" w:hint="eastAsia"/>
          <w:b w:val="0"/>
          <w:kern w:val="0"/>
          <w:sz w:val="32"/>
        </w:rPr>
        <w:t>.6</w:t>
      </w:r>
      <w:r>
        <w:rPr>
          <w:rFonts w:eastAsia="黑体" w:hint="eastAsia"/>
          <w:b w:val="0"/>
          <w:kern w:val="0"/>
          <w:sz w:val="32"/>
        </w:rPr>
        <w:t>选址、布局</w:t>
      </w:r>
      <w:bookmarkEnd w:id="61"/>
    </w:p>
    <w:p w:rsidR="00513813" w:rsidRDefault="00AB3F63">
      <w:pPr>
        <w:spacing w:line="360" w:lineRule="auto"/>
        <w:ind w:firstLineChars="200" w:firstLine="480"/>
        <w:rPr>
          <w:sz w:val="24"/>
          <w:szCs w:val="21"/>
        </w:rPr>
      </w:pPr>
      <w:r>
        <w:rPr>
          <w:rFonts w:hint="eastAsia"/>
          <w:sz w:val="24"/>
          <w:szCs w:val="21"/>
        </w:rPr>
        <w:t>本标准规定了医疗机构开展碘</w:t>
      </w:r>
      <w:r>
        <w:rPr>
          <w:rFonts w:hint="eastAsia"/>
          <w:sz w:val="24"/>
          <w:szCs w:val="21"/>
        </w:rPr>
        <w:t>-131</w:t>
      </w:r>
      <w:r>
        <w:rPr>
          <w:rFonts w:hint="eastAsia"/>
          <w:sz w:val="24"/>
          <w:szCs w:val="21"/>
        </w:rPr>
        <w:t>核素治疗病房工作的选址和布局要求。</w:t>
      </w:r>
    </w:p>
    <w:p w:rsidR="00513813" w:rsidRDefault="00AB3F63">
      <w:pPr>
        <w:spacing w:line="360" w:lineRule="auto"/>
        <w:rPr>
          <w:b/>
          <w:bCs/>
          <w:sz w:val="24"/>
          <w:szCs w:val="21"/>
        </w:rPr>
      </w:pPr>
      <w:bookmarkStart w:id="62" w:name="_Toc131516471"/>
      <w:bookmarkStart w:id="63" w:name="_Toc32537"/>
      <w:r>
        <w:rPr>
          <w:rFonts w:hint="eastAsia"/>
          <w:b/>
          <w:bCs/>
          <w:sz w:val="24"/>
          <w:szCs w:val="21"/>
        </w:rPr>
        <w:t>6</w:t>
      </w:r>
      <w:r>
        <w:rPr>
          <w:rFonts w:hint="eastAsia"/>
          <w:b/>
          <w:bCs/>
          <w:sz w:val="24"/>
          <w:szCs w:val="21"/>
        </w:rPr>
        <w:t>.6.1</w:t>
      </w:r>
      <w:bookmarkEnd w:id="62"/>
      <w:bookmarkEnd w:id="63"/>
      <w:r>
        <w:rPr>
          <w:rFonts w:hint="eastAsia"/>
          <w:b/>
          <w:bCs/>
          <w:sz w:val="24"/>
          <w:szCs w:val="21"/>
        </w:rPr>
        <w:t>选址</w:t>
      </w:r>
    </w:p>
    <w:p w:rsidR="00513813" w:rsidRDefault="00AB3F63">
      <w:pPr>
        <w:spacing w:line="360" w:lineRule="auto"/>
        <w:ind w:firstLineChars="200" w:firstLine="480"/>
        <w:rPr>
          <w:sz w:val="24"/>
          <w:szCs w:val="21"/>
        </w:rPr>
      </w:pPr>
      <w:r>
        <w:rPr>
          <w:rFonts w:hint="eastAsia"/>
          <w:sz w:val="24"/>
          <w:szCs w:val="21"/>
        </w:rPr>
        <w:t>根据《核医学辐射防护与安全要求》（</w:t>
      </w:r>
      <w:r>
        <w:rPr>
          <w:rFonts w:hint="eastAsia"/>
          <w:sz w:val="24"/>
          <w:szCs w:val="21"/>
        </w:rPr>
        <w:t>HJ 1188</w:t>
      </w:r>
      <w:r>
        <w:rPr>
          <w:rFonts w:hint="eastAsia"/>
          <w:sz w:val="24"/>
          <w:szCs w:val="21"/>
        </w:rPr>
        <w:t>）和《核医学放射防护要求》（</w:t>
      </w:r>
      <w:r>
        <w:rPr>
          <w:rFonts w:hint="eastAsia"/>
          <w:sz w:val="24"/>
          <w:szCs w:val="21"/>
        </w:rPr>
        <w:t>GBZ 120</w:t>
      </w:r>
      <w:r>
        <w:rPr>
          <w:rFonts w:hint="eastAsia"/>
          <w:sz w:val="24"/>
          <w:szCs w:val="21"/>
        </w:rPr>
        <w:t>）中对核医学选址的要求以及北京市</w:t>
      </w:r>
      <w:r>
        <w:rPr>
          <w:rFonts w:hint="eastAsia"/>
          <w:sz w:val="24"/>
          <w:szCs w:val="21"/>
        </w:rPr>
        <w:t>43</w:t>
      </w:r>
      <w:r>
        <w:rPr>
          <w:rFonts w:hint="eastAsia"/>
          <w:sz w:val="24"/>
          <w:szCs w:val="21"/>
        </w:rPr>
        <w:t>个开展了核医学科的医疗机构选址特点对碘</w:t>
      </w:r>
      <w:r>
        <w:rPr>
          <w:rFonts w:hint="eastAsia"/>
          <w:sz w:val="24"/>
          <w:szCs w:val="21"/>
        </w:rPr>
        <w:t>-131</w:t>
      </w:r>
      <w:r>
        <w:rPr>
          <w:rFonts w:hint="eastAsia"/>
          <w:sz w:val="24"/>
          <w:szCs w:val="21"/>
        </w:rPr>
        <w:t>核素治疗病房选址提出了相应的要求</w:t>
      </w:r>
      <w:r>
        <w:rPr>
          <w:rFonts w:hint="eastAsia"/>
          <w:sz w:val="24"/>
          <w:szCs w:val="21"/>
        </w:rPr>
        <w:t>。</w:t>
      </w:r>
    </w:p>
    <w:p w:rsidR="00513813" w:rsidRDefault="00AB3F63">
      <w:pPr>
        <w:spacing w:line="360" w:lineRule="auto"/>
        <w:rPr>
          <w:b/>
          <w:bCs/>
          <w:sz w:val="24"/>
          <w:szCs w:val="21"/>
        </w:rPr>
      </w:pPr>
      <w:bookmarkStart w:id="64" w:name="_Toc131516472"/>
      <w:bookmarkStart w:id="65" w:name="_Toc16600"/>
      <w:r>
        <w:rPr>
          <w:rFonts w:hint="eastAsia"/>
          <w:b/>
          <w:bCs/>
          <w:sz w:val="24"/>
          <w:szCs w:val="21"/>
        </w:rPr>
        <w:t>6</w:t>
      </w:r>
      <w:r>
        <w:rPr>
          <w:rFonts w:hint="eastAsia"/>
          <w:b/>
          <w:bCs/>
          <w:sz w:val="24"/>
          <w:szCs w:val="21"/>
        </w:rPr>
        <w:t>.</w:t>
      </w:r>
      <w:r>
        <w:rPr>
          <w:rFonts w:hint="eastAsia"/>
          <w:b/>
          <w:bCs/>
          <w:sz w:val="24"/>
          <w:szCs w:val="21"/>
        </w:rPr>
        <w:t>6</w:t>
      </w:r>
      <w:r>
        <w:rPr>
          <w:rFonts w:hint="eastAsia"/>
          <w:b/>
          <w:bCs/>
          <w:sz w:val="24"/>
          <w:szCs w:val="21"/>
        </w:rPr>
        <w:t>.2</w:t>
      </w:r>
      <w:bookmarkEnd w:id="64"/>
      <w:bookmarkEnd w:id="65"/>
      <w:r>
        <w:rPr>
          <w:rFonts w:hint="eastAsia"/>
          <w:b/>
          <w:bCs/>
          <w:sz w:val="24"/>
          <w:szCs w:val="21"/>
        </w:rPr>
        <w:t>布局</w:t>
      </w:r>
    </w:p>
    <w:p w:rsidR="00513813" w:rsidRDefault="00AB3F63">
      <w:pPr>
        <w:spacing w:line="360" w:lineRule="auto"/>
        <w:ind w:firstLineChars="200" w:firstLine="480"/>
        <w:rPr>
          <w:sz w:val="24"/>
          <w:szCs w:val="21"/>
        </w:rPr>
      </w:pPr>
      <w:r>
        <w:rPr>
          <w:rFonts w:hint="eastAsia"/>
          <w:sz w:val="24"/>
          <w:szCs w:val="21"/>
        </w:rPr>
        <w:lastRenderedPageBreak/>
        <w:t>参照《核医学辐射防护与安全要求》（</w:t>
      </w:r>
      <w:r>
        <w:rPr>
          <w:rFonts w:hint="eastAsia"/>
          <w:sz w:val="24"/>
          <w:szCs w:val="21"/>
        </w:rPr>
        <w:t>HJ 1188</w:t>
      </w:r>
      <w:r>
        <w:rPr>
          <w:rFonts w:hint="eastAsia"/>
          <w:sz w:val="24"/>
          <w:szCs w:val="21"/>
        </w:rPr>
        <w:t>）和《核医学放射防护要求》（</w:t>
      </w:r>
      <w:r>
        <w:rPr>
          <w:rFonts w:hint="eastAsia"/>
          <w:sz w:val="24"/>
          <w:szCs w:val="21"/>
        </w:rPr>
        <w:t>GBZ 120</w:t>
      </w:r>
      <w:r>
        <w:rPr>
          <w:rFonts w:hint="eastAsia"/>
          <w:sz w:val="24"/>
          <w:szCs w:val="21"/>
        </w:rPr>
        <w:t>）中对核医学科布局的管理要求和北京市开展碘</w:t>
      </w:r>
      <w:r>
        <w:rPr>
          <w:rFonts w:hint="eastAsia"/>
          <w:sz w:val="24"/>
          <w:szCs w:val="21"/>
        </w:rPr>
        <w:t>-131</w:t>
      </w:r>
      <w:r>
        <w:rPr>
          <w:rFonts w:hint="eastAsia"/>
          <w:sz w:val="24"/>
          <w:szCs w:val="21"/>
        </w:rPr>
        <w:t>核素治疗病房工作的医疗机构现场调查，提出了布局要求。尤其是为避免患者排泄物或者呕吐物混入沐浴用水中，要求新建核素治疗病房的医疗机构患者淋浴产生废水按照放射性废液进行处理。</w:t>
      </w:r>
    </w:p>
    <w:p w:rsidR="00513813" w:rsidRDefault="00AB3F63">
      <w:pPr>
        <w:pStyle w:val="2"/>
        <w:numPr>
          <w:ilvl w:val="0"/>
          <w:numId w:val="0"/>
        </w:numPr>
        <w:spacing w:line="416" w:lineRule="auto"/>
      </w:pPr>
      <w:bookmarkStart w:id="66" w:name="_Toc14967"/>
      <w:r>
        <w:rPr>
          <w:rFonts w:eastAsia="黑体" w:hint="eastAsia"/>
          <w:b w:val="0"/>
          <w:kern w:val="0"/>
          <w:sz w:val="32"/>
        </w:rPr>
        <w:t>6</w:t>
      </w:r>
      <w:r>
        <w:rPr>
          <w:rFonts w:eastAsia="黑体" w:hint="eastAsia"/>
          <w:b w:val="0"/>
          <w:kern w:val="0"/>
          <w:sz w:val="32"/>
        </w:rPr>
        <w:t>.7</w:t>
      </w:r>
      <w:r>
        <w:rPr>
          <w:rFonts w:eastAsia="黑体" w:hint="eastAsia"/>
          <w:b w:val="0"/>
          <w:kern w:val="0"/>
          <w:sz w:val="32"/>
        </w:rPr>
        <w:t>工作场所的辐射安全与防护</w:t>
      </w:r>
      <w:bookmarkEnd w:id="66"/>
    </w:p>
    <w:p w:rsidR="00513813" w:rsidRDefault="00AB3F63">
      <w:pPr>
        <w:spacing w:line="360" w:lineRule="auto"/>
        <w:ind w:firstLineChars="200" w:firstLine="480"/>
        <w:rPr>
          <w:sz w:val="24"/>
        </w:rPr>
      </w:pPr>
      <w:r>
        <w:rPr>
          <w:rFonts w:hint="eastAsia"/>
          <w:sz w:val="24"/>
        </w:rPr>
        <w:t>本标准</w:t>
      </w:r>
      <w:r>
        <w:rPr>
          <w:sz w:val="24"/>
        </w:rPr>
        <w:t>根据《电离辐射防护与辐射源安全基本标准》</w:t>
      </w:r>
      <w:r>
        <w:rPr>
          <w:rFonts w:hint="eastAsia"/>
          <w:sz w:val="24"/>
        </w:rPr>
        <w:t>（</w:t>
      </w:r>
      <w:r>
        <w:rPr>
          <w:rFonts w:hint="eastAsia"/>
          <w:sz w:val="24"/>
        </w:rPr>
        <w:t>GB 18871</w:t>
      </w:r>
      <w:r>
        <w:rPr>
          <w:rFonts w:hint="eastAsia"/>
          <w:sz w:val="24"/>
        </w:rPr>
        <w:t>）</w:t>
      </w:r>
      <w:r>
        <w:rPr>
          <w:rFonts w:hint="eastAsia"/>
          <w:sz w:val="24"/>
        </w:rPr>
        <w:t>、</w:t>
      </w:r>
      <w:r>
        <w:rPr>
          <w:sz w:val="24"/>
        </w:rPr>
        <w:t>《核医学辐射防护与安全要求》</w:t>
      </w:r>
      <w:r>
        <w:rPr>
          <w:rFonts w:hint="eastAsia"/>
          <w:sz w:val="24"/>
        </w:rPr>
        <w:t>（</w:t>
      </w:r>
      <w:r>
        <w:rPr>
          <w:sz w:val="24"/>
        </w:rPr>
        <w:t>HJ 1188</w:t>
      </w:r>
      <w:r>
        <w:rPr>
          <w:rFonts w:hint="eastAsia"/>
          <w:sz w:val="24"/>
        </w:rPr>
        <w:t>）</w:t>
      </w:r>
      <w:r>
        <w:rPr>
          <w:sz w:val="24"/>
        </w:rPr>
        <w:t>和《核医学放射防护要求》</w:t>
      </w:r>
      <w:r>
        <w:rPr>
          <w:rFonts w:hint="eastAsia"/>
          <w:sz w:val="24"/>
        </w:rPr>
        <w:t>（</w:t>
      </w:r>
      <w:r>
        <w:rPr>
          <w:sz w:val="24"/>
        </w:rPr>
        <w:t>GBZ 120</w:t>
      </w:r>
      <w:r>
        <w:rPr>
          <w:rFonts w:hint="eastAsia"/>
          <w:sz w:val="24"/>
        </w:rPr>
        <w:t>）中对放射性核</w:t>
      </w:r>
      <w:r>
        <w:rPr>
          <w:rFonts w:hint="eastAsia"/>
          <w:sz w:val="24"/>
        </w:rPr>
        <w:t>素使用场所的相关防护要求以及碘</w:t>
      </w:r>
      <w:r>
        <w:rPr>
          <w:rFonts w:hint="eastAsia"/>
          <w:sz w:val="24"/>
        </w:rPr>
        <w:t>-131</w:t>
      </w:r>
      <w:r>
        <w:rPr>
          <w:rFonts w:hint="eastAsia"/>
          <w:sz w:val="24"/>
        </w:rPr>
        <w:t>核素病房实践应用中的特有情况规定了医疗机构开展碘</w:t>
      </w:r>
      <w:r>
        <w:rPr>
          <w:rFonts w:hint="eastAsia"/>
          <w:sz w:val="24"/>
        </w:rPr>
        <w:t>-131</w:t>
      </w:r>
      <w:r>
        <w:rPr>
          <w:rFonts w:hint="eastAsia"/>
          <w:sz w:val="24"/>
        </w:rPr>
        <w:t>核素治疗病房工作的屏蔽要求、场所安全措施要求、患者住院治疗期间辐射安全管理、密闭和通风要求。</w:t>
      </w:r>
    </w:p>
    <w:p w:rsidR="00513813" w:rsidRDefault="00AB3F63">
      <w:pPr>
        <w:pStyle w:val="2"/>
        <w:numPr>
          <w:ilvl w:val="0"/>
          <w:numId w:val="0"/>
        </w:numPr>
        <w:spacing w:line="416" w:lineRule="auto"/>
        <w:rPr>
          <w:rFonts w:eastAsia="黑体"/>
          <w:b w:val="0"/>
          <w:kern w:val="0"/>
          <w:sz w:val="32"/>
          <w:highlight w:val="red"/>
        </w:rPr>
      </w:pPr>
      <w:bookmarkStart w:id="67" w:name="_Toc5350"/>
      <w:r>
        <w:rPr>
          <w:rFonts w:eastAsia="黑体" w:hint="eastAsia"/>
          <w:b w:val="0"/>
          <w:kern w:val="0"/>
          <w:sz w:val="32"/>
        </w:rPr>
        <w:t>6</w:t>
      </w:r>
      <w:r>
        <w:rPr>
          <w:rFonts w:eastAsia="黑体" w:hint="eastAsia"/>
          <w:b w:val="0"/>
          <w:kern w:val="0"/>
          <w:sz w:val="32"/>
        </w:rPr>
        <w:t>.8</w:t>
      </w:r>
      <w:r>
        <w:rPr>
          <w:rFonts w:eastAsia="黑体" w:hint="eastAsia"/>
          <w:b w:val="0"/>
          <w:kern w:val="0"/>
          <w:sz w:val="32"/>
        </w:rPr>
        <w:t>放射性废物管理</w:t>
      </w:r>
      <w:bookmarkEnd w:id="67"/>
    </w:p>
    <w:p w:rsidR="00513813" w:rsidRDefault="00AB3F63">
      <w:pPr>
        <w:spacing w:line="360" w:lineRule="auto"/>
        <w:ind w:firstLineChars="200" w:firstLine="480"/>
        <w:rPr>
          <w:sz w:val="24"/>
        </w:rPr>
      </w:pPr>
      <w:r>
        <w:rPr>
          <w:rFonts w:hint="eastAsia"/>
          <w:sz w:val="24"/>
        </w:rPr>
        <w:t>本标准根据《电离辐射防护与辐射源安全基本标准》</w:t>
      </w:r>
      <w:r>
        <w:rPr>
          <w:rFonts w:hint="eastAsia"/>
          <w:sz w:val="24"/>
        </w:rPr>
        <w:t>（</w:t>
      </w:r>
      <w:r>
        <w:rPr>
          <w:rFonts w:hint="eastAsia"/>
          <w:sz w:val="24"/>
        </w:rPr>
        <w:t>GB 18871</w:t>
      </w:r>
      <w:r>
        <w:rPr>
          <w:rFonts w:hint="eastAsia"/>
          <w:sz w:val="24"/>
        </w:rPr>
        <w:t>）</w:t>
      </w:r>
      <w:r>
        <w:rPr>
          <w:rFonts w:hint="eastAsia"/>
          <w:sz w:val="24"/>
        </w:rPr>
        <w:t>和</w:t>
      </w:r>
      <w:r>
        <w:rPr>
          <w:rFonts w:hint="eastAsia"/>
          <w:sz w:val="24"/>
        </w:rPr>
        <w:t>《核医学辐射防护与安全要求》</w:t>
      </w:r>
      <w:r>
        <w:rPr>
          <w:rFonts w:hint="eastAsia"/>
          <w:sz w:val="24"/>
        </w:rPr>
        <w:t>（</w:t>
      </w:r>
      <w:r>
        <w:rPr>
          <w:rFonts w:hint="eastAsia"/>
          <w:sz w:val="24"/>
        </w:rPr>
        <w:t>HJ 1188</w:t>
      </w:r>
      <w:r>
        <w:rPr>
          <w:rFonts w:hint="eastAsia"/>
          <w:sz w:val="24"/>
        </w:rPr>
        <w:t>）</w:t>
      </w:r>
      <w:r>
        <w:rPr>
          <w:rFonts w:hint="eastAsia"/>
          <w:sz w:val="24"/>
        </w:rPr>
        <w:t>对非密封源工作场所的三废处理要求和核医学三废处理要求提出了对碘</w:t>
      </w:r>
      <w:r>
        <w:rPr>
          <w:rFonts w:hint="eastAsia"/>
          <w:sz w:val="24"/>
        </w:rPr>
        <w:t>-131</w:t>
      </w:r>
      <w:r>
        <w:rPr>
          <w:rFonts w:hint="eastAsia"/>
          <w:sz w:val="24"/>
        </w:rPr>
        <w:t>核素治疗病房放射性废物的收集、贮存和处理要求</w:t>
      </w:r>
      <w:r>
        <w:rPr>
          <w:rFonts w:hint="eastAsia"/>
          <w:sz w:val="24"/>
        </w:rPr>
        <w:t>。</w:t>
      </w:r>
    </w:p>
    <w:p w:rsidR="00513813" w:rsidRDefault="00AB3F63">
      <w:pPr>
        <w:spacing w:line="360" w:lineRule="auto"/>
        <w:rPr>
          <w:b/>
          <w:bCs/>
          <w:sz w:val="24"/>
          <w:szCs w:val="21"/>
        </w:rPr>
      </w:pPr>
      <w:r>
        <w:rPr>
          <w:rFonts w:hint="eastAsia"/>
          <w:b/>
          <w:bCs/>
          <w:sz w:val="24"/>
          <w:szCs w:val="21"/>
        </w:rPr>
        <w:t>6.8.1</w:t>
      </w:r>
      <w:r>
        <w:rPr>
          <w:rFonts w:hint="eastAsia"/>
          <w:b/>
          <w:bCs/>
          <w:sz w:val="24"/>
          <w:szCs w:val="21"/>
        </w:rPr>
        <w:t>放射性固体废物的管理</w:t>
      </w:r>
    </w:p>
    <w:p w:rsidR="00513813" w:rsidRDefault="00AB3F63">
      <w:pPr>
        <w:spacing w:line="360" w:lineRule="auto"/>
        <w:ind w:firstLineChars="200" w:firstLine="480"/>
        <w:rPr>
          <w:sz w:val="24"/>
        </w:rPr>
      </w:pPr>
      <w:r>
        <w:rPr>
          <w:rFonts w:hint="eastAsia"/>
          <w:sz w:val="24"/>
        </w:rPr>
        <w:t>对碘</w:t>
      </w:r>
      <w:r>
        <w:rPr>
          <w:rFonts w:hint="eastAsia"/>
          <w:sz w:val="24"/>
        </w:rPr>
        <w:t>-131</w:t>
      </w:r>
      <w:r>
        <w:rPr>
          <w:rFonts w:hint="eastAsia"/>
          <w:sz w:val="24"/>
        </w:rPr>
        <w:t>核素治疗病房所产生的固体废物进行归纳总结，提出管理要求和解控要求，提出废物存放环境要求和贮存方式等要求。</w:t>
      </w:r>
    </w:p>
    <w:p w:rsidR="00513813" w:rsidRDefault="00AB3F63">
      <w:pPr>
        <w:spacing w:line="360" w:lineRule="auto"/>
        <w:rPr>
          <w:b/>
          <w:bCs/>
          <w:sz w:val="24"/>
        </w:rPr>
      </w:pPr>
      <w:r>
        <w:rPr>
          <w:rFonts w:hint="eastAsia"/>
          <w:b/>
          <w:bCs/>
          <w:sz w:val="24"/>
        </w:rPr>
        <w:t>6.8.2</w:t>
      </w:r>
      <w:r>
        <w:rPr>
          <w:rFonts w:hint="eastAsia"/>
          <w:b/>
          <w:bCs/>
          <w:sz w:val="24"/>
        </w:rPr>
        <w:t>放射性液体废物的管理</w:t>
      </w:r>
    </w:p>
    <w:p w:rsidR="00513813" w:rsidRDefault="00AB3F63">
      <w:pPr>
        <w:spacing w:line="360" w:lineRule="auto"/>
        <w:ind w:firstLineChars="200" w:firstLine="480"/>
        <w:rPr>
          <w:sz w:val="24"/>
        </w:rPr>
      </w:pPr>
      <w:r>
        <w:rPr>
          <w:rFonts w:hint="eastAsia"/>
          <w:sz w:val="24"/>
        </w:rPr>
        <w:t>对碘</w:t>
      </w:r>
      <w:r>
        <w:rPr>
          <w:rFonts w:hint="eastAsia"/>
          <w:sz w:val="24"/>
        </w:rPr>
        <w:t>-131</w:t>
      </w:r>
      <w:r>
        <w:rPr>
          <w:rFonts w:hint="eastAsia"/>
          <w:sz w:val="24"/>
        </w:rPr>
        <w:t>核素治疗病房所产生的放射性废液进行归纳总结，提出管理要求和解控要求，提出衰变</w:t>
      </w:r>
      <w:proofErr w:type="gramStart"/>
      <w:r>
        <w:rPr>
          <w:rFonts w:hint="eastAsia"/>
          <w:sz w:val="24"/>
        </w:rPr>
        <w:t>池相关</w:t>
      </w:r>
      <w:proofErr w:type="gramEnd"/>
      <w:r>
        <w:rPr>
          <w:rFonts w:hint="eastAsia"/>
          <w:sz w:val="24"/>
        </w:rPr>
        <w:t>要求。</w:t>
      </w:r>
    </w:p>
    <w:p w:rsidR="00513813" w:rsidRDefault="00513813">
      <w:pPr>
        <w:spacing w:line="360" w:lineRule="auto"/>
        <w:rPr>
          <w:sz w:val="24"/>
        </w:rPr>
      </w:pPr>
    </w:p>
    <w:p w:rsidR="00513813" w:rsidRDefault="00AB3F63">
      <w:pPr>
        <w:spacing w:line="360" w:lineRule="auto"/>
        <w:rPr>
          <w:b/>
          <w:bCs/>
          <w:sz w:val="24"/>
        </w:rPr>
      </w:pPr>
      <w:r>
        <w:rPr>
          <w:rFonts w:hint="eastAsia"/>
          <w:b/>
          <w:bCs/>
          <w:sz w:val="24"/>
        </w:rPr>
        <w:t>6.8.3</w:t>
      </w:r>
      <w:r>
        <w:rPr>
          <w:rFonts w:hint="eastAsia"/>
          <w:b/>
          <w:bCs/>
          <w:sz w:val="24"/>
        </w:rPr>
        <w:t>放射性气体废物的管理</w:t>
      </w:r>
    </w:p>
    <w:p w:rsidR="00513813" w:rsidRDefault="00AB3F63">
      <w:pPr>
        <w:spacing w:line="360" w:lineRule="auto"/>
        <w:ind w:firstLineChars="200" w:firstLine="480"/>
        <w:rPr>
          <w:sz w:val="24"/>
        </w:rPr>
      </w:pPr>
      <w:r>
        <w:rPr>
          <w:rFonts w:hint="eastAsia"/>
          <w:sz w:val="24"/>
        </w:rPr>
        <w:t>提出</w:t>
      </w:r>
      <w:r>
        <w:rPr>
          <w:sz w:val="24"/>
        </w:rPr>
        <w:t>碘</w:t>
      </w:r>
      <w:r>
        <w:rPr>
          <w:sz w:val="24"/>
        </w:rPr>
        <w:t>-131</w:t>
      </w:r>
      <w:r>
        <w:rPr>
          <w:sz w:val="24"/>
        </w:rPr>
        <w:t>核素治疗病房</w:t>
      </w:r>
      <w:r>
        <w:rPr>
          <w:rFonts w:hint="eastAsia"/>
          <w:sz w:val="24"/>
        </w:rPr>
        <w:t>需要进行相应的碘</w:t>
      </w:r>
      <w:r>
        <w:rPr>
          <w:rFonts w:hint="eastAsia"/>
          <w:sz w:val="24"/>
        </w:rPr>
        <w:t>-131</w:t>
      </w:r>
      <w:r>
        <w:rPr>
          <w:rFonts w:hint="eastAsia"/>
          <w:sz w:val="24"/>
        </w:rPr>
        <w:t>气溶胶活度浓度监测，应定期对排风口的活性炭过滤器进行更换，且更换下来的滤芯按固体废物进行处理。</w:t>
      </w:r>
    </w:p>
    <w:p w:rsidR="00513813" w:rsidRDefault="00AB3F63">
      <w:pPr>
        <w:pStyle w:val="2"/>
        <w:numPr>
          <w:ilvl w:val="0"/>
          <w:numId w:val="0"/>
        </w:numPr>
        <w:spacing w:line="416" w:lineRule="auto"/>
        <w:rPr>
          <w:rFonts w:eastAsia="黑体"/>
          <w:b w:val="0"/>
          <w:kern w:val="0"/>
          <w:sz w:val="32"/>
          <w:highlight w:val="red"/>
        </w:rPr>
      </w:pPr>
      <w:bookmarkStart w:id="68" w:name="_Toc17814"/>
      <w:r>
        <w:rPr>
          <w:rFonts w:eastAsia="黑体" w:hint="eastAsia"/>
          <w:b w:val="0"/>
          <w:kern w:val="0"/>
          <w:sz w:val="32"/>
        </w:rPr>
        <w:lastRenderedPageBreak/>
        <w:t>6</w:t>
      </w:r>
      <w:r>
        <w:rPr>
          <w:rFonts w:eastAsia="黑体" w:hint="eastAsia"/>
          <w:b w:val="0"/>
          <w:kern w:val="0"/>
          <w:sz w:val="32"/>
        </w:rPr>
        <w:t>.9</w:t>
      </w:r>
      <w:r>
        <w:rPr>
          <w:rFonts w:eastAsia="黑体" w:hint="eastAsia"/>
          <w:b w:val="0"/>
          <w:kern w:val="0"/>
          <w:sz w:val="32"/>
        </w:rPr>
        <w:t>辐射监测</w:t>
      </w:r>
      <w:bookmarkEnd w:id="68"/>
    </w:p>
    <w:p w:rsidR="00513813" w:rsidRDefault="00AB3F63">
      <w:pPr>
        <w:spacing w:line="360" w:lineRule="auto"/>
        <w:ind w:firstLineChars="200" w:firstLine="480"/>
        <w:rPr>
          <w:sz w:val="24"/>
          <w:highlight w:val="red"/>
        </w:rPr>
      </w:pPr>
      <w:r>
        <w:rPr>
          <w:rFonts w:hint="eastAsia"/>
          <w:sz w:val="24"/>
        </w:rPr>
        <w:t>本标准根据</w:t>
      </w:r>
      <w:r>
        <w:rPr>
          <w:rFonts w:hint="eastAsia"/>
          <w:sz w:val="24"/>
        </w:rPr>
        <w:t>《电离辐射防护与辐射源安全基本标准》</w:t>
      </w:r>
      <w:r>
        <w:rPr>
          <w:rFonts w:hint="eastAsia"/>
          <w:sz w:val="24"/>
        </w:rPr>
        <w:t>（</w:t>
      </w:r>
      <w:r>
        <w:rPr>
          <w:rFonts w:hint="eastAsia"/>
          <w:sz w:val="24"/>
        </w:rPr>
        <w:t>GB 18871</w:t>
      </w:r>
      <w:r>
        <w:rPr>
          <w:rFonts w:hint="eastAsia"/>
          <w:sz w:val="24"/>
        </w:rPr>
        <w:t>）</w:t>
      </w:r>
      <w:r>
        <w:rPr>
          <w:rFonts w:hint="eastAsia"/>
          <w:sz w:val="24"/>
        </w:rPr>
        <w:t>、《核医学辐射防护与安全要求》</w:t>
      </w:r>
      <w:r>
        <w:rPr>
          <w:rFonts w:hint="eastAsia"/>
          <w:sz w:val="24"/>
        </w:rPr>
        <w:t>（</w:t>
      </w:r>
      <w:r>
        <w:rPr>
          <w:rFonts w:hint="eastAsia"/>
          <w:sz w:val="24"/>
        </w:rPr>
        <w:t>HJ 1188</w:t>
      </w:r>
      <w:r>
        <w:rPr>
          <w:rFonts w:hint="eastAsia"/>
          <w:sz w:val="24"/>
        </w:rPr>
        <w:t>）</w:t>
      </w:r>
      <w:r>
        <w:rPr>
          <w:rFonts w:hint="eastAsia"/>
          <w:sz w:val="24"/>
        </w:rPr>
        <w:t>中的相关要求提出</w:t>
      </w:r>
      <w:r>
        <w:rPr>
          <w:sz w:val="24"/>
        </w:rPr>
        <w:t>碘</w:t>
      </w:r>
      <w:r>
        <w:rPr>
          <w:sz w:val="24"/>
        </w:rPr>
        <w:t>-131</w:t>
      </w:r>
      <w:r>
        <w:rPr>
          <w:sz w:val="24"/>
        </w:rPr>
        <w:t>核素治疗病房</w:t>
      </w:r>
      <w:r>
        <w:rPr>
          <w:rFonts w:hint="eastAsia"/>
          <w:sz w:val="24"/>
        </w:rPr>
        <w:t>的日常监测、环境年度监测、个人剂量监测等监测的周期和方式，根据《辐射环境监测技术规范》（</w:t>
      </w:r>
      <w:r>
        <w:rPr>
          <w:rFonts w:hint="eastAsia"/>
          <w:sz w:val="24"/>
        </w:rPr>
        <w:t>HJ 61</w:t>
      </w:r>
      <w:r>
        <w:rPr>
          <w:rFonts w:hint="eastAsia"/>
          <w:sz w:val="24"/>
        </w:rPr>
        <w:t>）中的核技术利用辐射监测要求规范了监测用的设备、方法和项目，规范了相应的监测关注点。</w:t>
      </w:r>
    </w:p>
    <w:p w:rsidR="00513813" w:rsidRDefault="00AB3F63">
      <w:pPr>
        <w:pStyle w:val="2"/>
        <w:numPr>
          <w:ilvl w:val="0"/>
          <w:numId w:val="0"/>
        </w:numPr>
        <w:spacing w:line="416" w:lineRule="auto"/>
        <w:rPr>
          <w:rFonts w:eastAsia="黑体"/>
          <w:b w:val="0"/>
          <w:kern w:val="0"/>
          <w:sz w:val="32"/>
        </w:rPr>
      </w:pPr>
      <w:bookmarkStart w:id="69" w:name="_Toc5438"/>
      <w:r>
        <w:rPr>
          <w:rFonts w:eastAsia="黑体" w:hint="eastAsia"/>
          <w:b w:val="0"/>
          <w:kern w:val="0"/>
          <w:sz w:val="32"/>
        </w:rPr>
        <w:t>6</w:t>
      </w:r>
      <w:r>
        <w:rPr>
          <w:rFonts w:eastAsia="黑体" w:hint="eastAsia"/>
          <w:b w:val="0"/>
          <w:kern w:val="0"/>
          <w:sz w:val="32"/>
        </w:rPr>
        <w:t>.10</w:t>
      </w:r>
      <w:r>
        <w:rPr>
          <w:rFonts w:eastAsia="黑体" w:hint="eastAsia"/>
          <w:b w:val="0"/>
          <w:kern w:val="0"/>
          <w:sz w:val="32"/>
        </w:rPr>
        <w:t>应急处理要求</w:t>
      </w:r>
      <w:bookmarkEnd w:id="69"/>
    </w:p>
    <w:p w:rsidR="00513813" w:rsidRDefault="00AB3F63">
      <w:pPr>
        <w:spacing w:line="360" w:lineRule="auto"/>
        <w:ind w:firstLineChars="200" w:firstLine="480"/>
        <w:rPr>
          <w:sz w:val="24"/>
        </w:rPr>
      </w:pPr>
      <w:r>
        <w:rPr>
          <w:rFonts w:hint="eastAsia"/>
          <w:sz w:val="24"/>
        </w:rPr>
        <w:t>本标准根据《电离辐射防护与辐射源安全基本标准》</w:t>
      </w:r>
      <w:r>
        <w:rPr>
          <w:rFonts w:hint="eastAsia"/>
          <w:sz w:val="24"/>
        </w:rPr>
        <w:t>（</w:t>
      </w:r>
      <w:r>
        <w:rPr>
          <w:rFonts w:hint="eastAsia"/>
          <w:sz w:val="24"/>
        </w:rPr>
        <w:t>GB 18871</w:t>
      </w:r>
      <w:r>
        <w:rPr>
          <w:rFonts w:hint="eastAsia"/>
          <w:sz w:val="24"/>
        </w:rPr>
        <w:t>）</w:t>
      </w:r>
      <w:r>
        <w:rPr>
          <w:rFonts w:hint="eastAsia"/>
          <w:sz w:val="24"/>
        </w:rPr>
        <w:t>和《核医学放射防护要求》</w:t>
      </w:r>
      <w:r>
        <w:rPr>
          <w:rFonts w:hint="eastAsia"/>
          <w:sz w:val="24"/>
        </w:rPr>
        <w:t>（</w:t>
      </w:r>
      <w:r>
        <w:rPr>
          <w:rFonts w:hint="eastAsia"/>
          <w:sz w:val="24"/>
        </w:rPr>
        <w:t>GBZ 12</w:t>
      </w:r>
      <w:r>
        <w:rPr>
          <w:rFonts w:hint="eastAsia"/>
          <w:sz w:val="24"/>
        </w:rPr>
        <w:t>0</w:t>
      </w:r>
      <w:r>
        <w:rPr>
          <w:rFonts w:hint="eastAsia"/>
          <w:sz w:val="24"/>
        </w:rPr>
        <w:t>）中对核技术利用场所的应急处理要求规范了开展碘</w:t>
      </w:r>
      <w:r>
        <w:rPr>
          <w:sz w:val="24"/>
        </w:rPr>
        <w:t>-131</w:t>
      </w:r>
      <w:r>
        <w:rPr>
          <w:sz w:val="24"/>
        </w:rPr>
        <w:t>核素治疗病房</w:t>
      </w:r>
      <w:r>
        <w:rPr>
          <w:rFonts w:hint="eastAsia"/>
          <w:sz w:val="24"/>
        </w:rPr>
        <w:t>的医疗机构应准备好应急预案，定期进行应急演练，准备好应急去污用品。</w:t>
      </w:r>
    </w:p>
    <w:p w:rsidR="00513813" w:rsidRDefault="00AB3F63">
      <w:pPr>
        <w:pStyle w:val="2"/>
        <w:numPr>
          <w:ilvl w:val="0"/>
          <w:numId w:val="0"/>
        </w:numPr>
        <w:spacing w:line="416" w:lineRule="auto"/>
        <w:rPr>
          <w:rFonts w:eastAsia="黑体"/>
          <w:b w:val="0"/>
          <w:kern w:val="0"/>
          <w:sz w:val="32"/>
        </w:rPr>
      </w:pPr>
      <w:bookmarkStart w:id="70" w:name="_Toc23561"/>
      <w:r>
        <w:rPr>
          <w:rFonts w:eastAsia="黑体" w:hint="eastAsia"/>
          <w:b w:val="0"/>
          <w:kern w:val="0"/>
          <w:sz w:val="32"/>
        </w:rPr>
        <w:t>6.11</w:t>
      </w:r>
      <w:r>
        <w:rPr>
          <w:rFonts w:eastAsia="黑体" w:hint="eastAsia"/>
          <w:b w:val="0"/>
          <w:kern w:val="0"/>
          <w:sz w:val="32"/>
        </w:rPr>
        <w:t>附录</w:t>
      </w:r>
      <w:r>
        <w:rPr>
          <w:rFonts w:eastAsia="黑体" w:hint="eastAsia"/>
          <w:b w:val="0"/>
          <w:kern w:val="0"/>
          <w:sz w:val="32"/>
        </w:rPr>
        <w:t>A</w:t>
      </w:r>
      <w:bookmarkEnd w:id="70"/>
    </w:p>
    <w:p w:rsidR="00513813" w:rsidRDefault="00AB3F63">
      <w:pPr>
        <w:spacing w:line="360" w:lineRule="auto"/>
        <w:ind w:firstLineChars="200" w:firstLine="480"/>
        <w:rPr>
          <w:sz w:val="24"/>
        </w:rPr>
      </w:pPr>
      <w:r>
        <w:rPr>
          <w:sz w:val="24"/>
        </w:rPr>
        <w:t>本标准根据《电离辐射防护与辐射源安全基本标准》</w:t>
      </w:r>
      <w:r>
        <w:rPr>
          <w:rFonts w:hint="eastAsia"/>
          <w:sz w:val="24"/>
        </w:rPr>
        <w:t>（</w:t>
      </w:r>
      <w:r>
        <w:rPr>
          <w:sz w:val="24"/>
        </w:rPr>
        <w:t>GB 18871</w:t>
      </w:r>
      <w:r>
        <w:rPr>
          <w:rFonts w:hint="eastAsia"/>
          <w:sz w:val="24"/>
        </w:rPr>
        <w:t>）</w:t>
      </w:r>
      <w:r>
        <w:rPr>
          <w:sz w:val="24"/>
        </w:rPr>
        <w:t>和《核医学放射防护要求》</w:t>
      </w:r>
      <w:r>
        <w:rPr>
          <w:rFonts w:hint="eastAsia"/>
          <w:sz w:val="24"/>
        </w:rPr>
        <w:t>（</w:t>
      </w:r>
      <w:r>
        <w:rPr>
          <w:sz w:val="24"/>
        </w:rPr>
        <w:t>GBZ 120</w:t>
      </w:r>
      <w:r>
        <w:rPr>
          <w:rFonts w:hint="eastAsia"/>
          <w:sz w:val="24"/>
        </w:rPr>
        <w:t>）中对非密封源工作场所的防护屏蔽计算的内容规范了碘</w:t>
      </w:r>
      <w:r>
        <w:rPr>
          <w:rFonts w:hint="eastAsia"/>
          <w:sz w:val="24"/>
        </w:rPr>
        <w:t>-131</w:t>
      </w:r>
      <w:r>
        <w:rPr>
          <w:rFonts w:hint="eastAsia"/>
          <w:sz w:val="24"/>
        </w:rPr>
        <w:t>核素治疗病房屏蔽计算的一般参数和计算公式。</w:t>
      </w:r>
    </w:p>
    <w:p w:rsidR="00513813" w:rsidRDefault="00AB3F63">
      <w:pPr>
        <w:pStyle w:val="2"/>
        <w:numPr>
          <w:ilvl w:val="0"/>
          <w:numId w:val="0"/>
        </w:numPr>
        <w:spacing w:line="416" w:lineRule="auto"/>
        <w:rPr>
          <w:rFonts w:eastAsia="黑体"/>
          <w:b w:val="0"/>
          <w:kern w:val="0"/>
          <w:sz w:val="32"/>
        </w:rPr>
      </w:pPr>
      <w:bookmarkStart w:id="71" w:name="_Toc5521"/>
      <w:r>
        <w:rPr>
          <w:rFonts w:eastAsia="黑体" w:hint="eastAsia"/>
          <w:b w:val="0"/>
          <w:kern w:val="0"/>
          <w:sz w:val="32"/>
        </w:rPr>
        <w:t>6.12</w:t>
      </w:r>
      <w:r>
        <w:rPr>
          <w:rFonts w:eastAsia="黑体" w:hint="eastAsia"/>
          <w:b w:val="0"/>
          <w:kern w:val="0"/>
          <w:sz w:val="32"/>
        </w:rPr>
        <w:t>附录</w:t>
      </w:r>
      <w:r>
        <w:rPr>
          <w:rFonts w:eastAsia="黑体" w:hint="eastAsia"/>
          <w:b w:val="0"/>
          <w:kern w:val="0"/>
          <w:sz w:val="32"/>
        </w:rPr>
        <w:t>B</w:t>
      </w:r>
      <w:bookmarkEnd w:id="71"/>
    </w:p>
    <w:p w:rsidR="00513813" w:rsidRDefault="00AB3F63">
      <w:pPr>
        <w:spacing w:line="360" w:lineRule="auto"/>
        <w:ind w:firstLineChars="200" w:firstLine="480"/>
        <w:rPr>
          <w:sz w:val="24"/>
        </w:rPr>
      </w:pPr>
      <w:r>
        <w:rPr>
          <w:sz w:val="24"/>
        </w:rPr>
        <w:t>本标准</w:t>
      </w:r>
      <w:r>
        <w:rPr>
          <w:rFonts w:hint="eastAsia"/>
          <w:sz w:val="24"/>
        </w:rPr>
        <w:t>参考《中国放射医学与防护杂志》“核医学放射性废水槽式衰变池容积的评价与设计”一文提出了槽式衰变池容积计算方法，并给出容积推荐表。</w:t>
      </w:r>
    </w:p>
    <w:p w:rsidR="00513813" w:rsidRDefault="00AB3F63">
      <w:pPr>
        <w:pStyle w:val="1"/>
      </w:pPr>
      <w:bookmarkStart w:id="72" w:name="_Toc29100"/>
      <w:r>
        <w:rPr>
          <w:rFonts w:hint="eastAsia"/>
        </w:rPr>
        <w:t>7</w:t>
      </w:r>
      <w:r>
        <w:t xml:space="preserve"> </w:t>
      </w:r>
      <w:r>
        <w:rPr>
          <w:rFonts w:hint="eastAsia"/>
        </w:rPr>
        <w:t>重大意见分歧的处理依据和结果</w:t>
      </w:r>
      <w:bookmarkEnd w:id="72"/>
    </w:p>
    <w:p w:rsidR="00513813" w:rsidRDefault="00AB3F63">
      <w:pPr>
        <w:spacing w:line="360" w:lineRule="auto"/>
        <w:ind w:firstLineChars="200" w:firstLine="480"/>
        <w:rPr>
          <w:sz w:val="24"/>
          <w:szCs w:val="21"/>
        </w:rPr>
      </w:pPr>
      <w:r>
        <w:rPr>
          <w:rFonts w:hint="eastAsia"/>
          <w:sz w:val="24"/>
          <w:szCs w:val="21"/>
        </w:rPr>
        <w:t>无。</w:t>
      </w:r>
    </w:p>
    <w:p w:rsidR="00513813" w:rsidRDefault="00AB3F63">
      <w:pPr>
        <w:pStyle w:val="1"/>
      </w:pPr>
      <w:bookmarkStart w:id="73" w:name="_Toc27636"/>
      <w:r>
        <w:rPr>
          <w:rFonts w:hint="eastAsia"/>
        </w:rPr>
        <w:lastRenderedPageBreak/>
        <w:t xml:space="preserve">8 </w:t>
      </w:r>
      <w:r>
        <w:rPr>
          <w:rFonts w:hint="eastAsia"/>
        </w:rPr>
        <w:t>与国内外同类标准的对比情况</w:t>
      </w:r>
      <w:bookmarkEnd w:id="73"/>
    </w:p>
    <w:p w:rsidR="00513813" w:rsidRDefault="00AB3F63">
      <w:pPr>
        <w:spacing w:line="360" w:lineRule="auto"/>
        <w:ind w:firstLineChars="200" w:firstLine="480"/>
        <w:rPr>
          <w:sz w:val="24"/>
          <w:szCs w:val="21"/>
        </w:rPr>
      </w:pPr>
      <w:r>
        <w:rPr>
          <w:rFonts w:hint="eastAsia"/>
          <w:sz w:val="24"/>
          <w:szCs w:val="21"/>
        </w:rPr>
        <w:t>目前，国内现行的关于</w:t>
      </w:r>
      <w:proofErr w:type="gramStart"/>
      <w:r>
        <w:rPr>
          <w:rFonts w:hint="eastAsia"/>
          <w:sz w:val="24"/>
          <w:szCs w:val="21"/>
        </w:rPr>
        <w:t>核医学科碘</w:t>
      </w:r>
      <w:proofErr w:type="gramEnd"/>
      <w:r>
        <w:rPr>
          <w:rFonts w:hint="eastAsia"/>
          <w:sz w:val="24"/>
          <w:szCs w:val="21"/>
        </w:rPr>
        <w:t>-131</w:t>
      </w:r>
      <w:r>
        <w:rPr>
          <w:rFonts w:hint="eastAsia"/>
          <w:sz w:val="24"/>
          <w:szCs w:val="21"/>
        </w:rPr>
        <w:t>核素治疗病房的</w:t>
      </w:r>
      <w:r>
        <w:rPr>
          <w:rFonts w:hint="eastAsia"/>
          <w:sz w:val="24"/>
          <w:szCs w:val="21"/>
        </w:rPr>
        <w:t>标准主要有</w:t>
      </w:r>
      <w:r>
        <w:rPr>
          <w:rFonts w:hint="eastAsia"/>
          <w:sz w:val="24"/>
          <w:szCs w:val="21"/>
        </w:rPr>
        <w:t>二份</w:t>
      </w:r>
      <w:r>
        <w:rPr>
          <w:rFonts w:hint="eastAsia"/>
          <w:sz w:val="24"/>
          <w:szCs w:val="21"/>
        </w:rPr>
        <w:t>，分别是《核医学辐射防护与安全要求》（</w:t>
      </w:r>
      <w:r>
        <w:rPr>
          <w:rFonts w:hint="eastAsia"/>
          <w:sz w:val="24"/>
          <w:szCs w:val="21"/>
        </w:rPr>
        <w:t>HJ1188</w:t>
      </w:r>
      <w:r>
        <w:rPr>
          <w:rFonts w:hint="eastAsia"/>
          <w:sz w:val="24"/>
          <w:szCs w:val="21"/>
        </w:rPr>
        <w:t>）</w:t>
      </w:r>
      <w:r>
        <w:rPr>
          <w:sz w:val="24"/>
          <w:szCs w:val="21"/>
        </w:rPr>
        <w:t>、《</w:t>
      </w:r>
      <w:r>
        <w:rPr>
          <w:rFonts w:hint="eastAsia"/>
          <w:sz w:val="24"/>
          <w:szCs w:val="21"/>
        </w:rPr>
        <w:t>核医学放射防护要求</w:t>
      </w:r>
      <w:r>
        <w:rPr>
          <w:sz w:val="24"/>
          <w:szCs w:val="21"/>
        </w:rPr>
        <w:t>》</w:t>
      </w:r>
      <w:r>
        <w:rPr>
          <w:rFonts w:hint="eastAsia"/>
          <w:sz w:val="24"/>
          <w:szCs w:val="21"/>
        </w:rPr>
        <w:t>（</w:t>
      </w:r>
      <w:r>
        <w:rPr>
          <w:rFonts w:hint="eastAsia"/>
          <w:sz w:val="24"/>
          <w:szCs w:val="21"/>
        </w:rPr>
        <w:t>GBZ 120</w:t>
      </w:r>
      <w:r>
        <w:rPr>
          <w:rFonts w:hint="eastAsia"/>
          <w:sz w:val="24"/>
          <w:szCs w:val="21"/>
        </w:rPr>
        <w:t>）</w:t>
      </w:r>
      <w:r>
        <w:rPr>
          <w:rFonts w:hint="eastAsia"/>
          <w:sz w:val="24"/>
          <w:szCs w:val="21"/>
        </w:rPr>
        <w:t>。</w:t>
      </w:r>
      <w:r>
        <w:rPr>
          <w:rFonts w:hint="eastAsia"/>
          <w:sz w:val="24"/>
          <w:szCs w:val="21"/>
        </w:rPr>
        <w:t>与</w:t>
      </w:r>
      <w:r>
        <w:rPr>
          <w:rFonts w:hint="eastAsia"/>
          <w:sz w:val="24"/>
          <w:szCs w:val="21"/>
        </w:rPr>
        <w:t>这两份</w:t>
      </w:r>
      <w:r>
        <w:rPr>
          <w:rFonts w:hint="eastAsia"/>
          <w:sz w:val="24"/>
          <w:szCs w:val="21"/>
        </w:rPr>
        <w:t>标准相比，本标准在适用范围</w:t>
      </w:r>
      <w:r>
        <w:rPr>
          <w:rFonts w:hint="eastAsia"/>
          <w:sz w:val="24"/>
          <w:szCs w:val="21"/>
        </w:rPr>
        <w:t>方</w:t>
      </w:r>
      <w:r>
        <w:rPr>
          <w:rFonts w:hint="eastAsia"/>
          <w:sz w:val="24"/>
          <w:szCs w:val="21"/>
        </w:rPr>
        <w:t>面存在差异</w:t>
      </w:r>
      <w:r>
        <w:rPr>
          <w:rFonts w:hint="eastAsia"/>
          <w:sz w:val="24"/>
          <w:szCs w:val="21"/>
        </w:rPr>
        <w:t>，</w:t>
      </w:r>
      <w:r>
        <w:rPr>
          <w:rFonts w:hint="eastAsia"/>
          <w:sz w:val="24"/>
          <w:szCs w:val="21"/>
        </w:rPr>
        <w:t>本标准对核医学科中碘</w:t>
      </w:r>
      <w:r>
        <w:rPr>
          <w:rFonts w:hint="eastAsia"/>
          <w:sz w:val="24"/>
          <w:szCs w:val="21"/>
        </w:rPr>
        <w:t>-131</w:t>
      </w:r>
      <w:r>
        <w:rPr>
          <w:rFonts w:hint="eastAsia"/>
          <w:sz w:val="24"/>
          <w:szCs w:val="21"/>
        </w:rPr>
        <w:t>核素治疗病房的建设提出了更详细的规范和指导意见，对核医学这一诊疗项目的辐射安全和防护以及放射性三废处理提出更明确的要求</w:t>
      </w:r>
      <w:r>
        <w:rPr>
          <w:rFonts w:hint="eastAsia"/>
          <w:sz w:val="24"/>
          <w:szCs w:val="21"/>
        </w:rPr>
        <w:t>。</w:t>
      </w:r>
    </w:p>
    <w:p w:rsidR="00513813" w:rsidRDefault="00AB3F63">
      <w:pPr>
        <w:spacing w:line="360" w:lineRule="auto"/>
        <w:ind w:firstLineChars="200" w:firstLine="480"/>
        <w:rPr>
          <w:sz w:val="24"/>
          <w:szCs w:val="21"/>
        </w:rPr>
      </w:pPr>
      <w:r>
        <w:rPr>
          <w:rFonts w:hint="eastAsia"/>
          <w:sz w:val="24"/>
          <w:szCs w:val="21"/>
        </w:rPr>
        <w:t>国际上现行的有关于标准</w:t>
      </w:r>
      <w:proofErr w:type="gramStart"/>
      <w:r>
        <w:rPr>
          <w:rFonts w:hint="eastAsia"/>
          <w:sz w:val="24"/>
          <w:szCs w:val="21"/>
        </w:rPr>
        <w:t>核医学科碘</w:t>
      </w:r>
      <w:proofErr w:type="gramEnd"/>
      <w:r>
        <w:rPr>
          <w:rFonts w:hint="eastAsia"/>
          <w:sz w:val="24"/>
          <w:szCs w:val="21"/>
        </w:rPr>
        <w:t>-131</w:t>
      </w:r>
      <w:r>
        <w:rPr>
          <w:rFonts w:hint="eastAsia"/>
          <w:sz w:val="24"/>
          <w:szCs w:val="21"/>
        </w:rPr>
        <w:t>核素治疗病房的</w:t>
      </w:r>
      <w:r>
        <w:rPr>
          <w:rFonts w:hint="eastAsia"/>
          <w:sz w:val="24"/>
          <w:szCs w:val="21"/>
        </w:rPr>
        <w:t>标准</w:t>
      </w:r>
      <w:r>
        <w:rPr>
          <w:rFonts w:hint="eastAsia"/>
          <w:sz w:val="24"/>
          <w:szCs w:val="21"/>
        </w:rPr>
        <w:t>主要有</w:t>
      </w:r>
      <w:r>
        <w:rPr>
          <w:rFonts w:hint="eastAsia"/>
          <w:sz w:val="24"/>
          <w:szCs w:val="21"/>
        </w:rPr>
        <w:t>IAEA 63</w:t>
      </w:r>
      <w:r>
        <w:rPr>
          <w:rFonts w:hint="eastAsia"/>
          <w:sz w:val="24"/>
          <w:szCs w:val="21"/>
        </w:rPr>
        <w:t>：《放射性核素治疗后患者出院管理》以及</w:t>
      </w:r>
      <w:r>
        <w:rPr>
          <w:rFonts w:hint="eastAsia"/>
          <w:sz w:val="24"/>
          <w:szCs w:val="21"/>
        </w:rPr>
        <w:t>ICRP</w:t>
      </w:r>
      <w:r>
        <w:rPr>
          <w:rFonts w:hint="eastAsia"/>
          <w:sz w:val="24"/>
          <w:szCs w:val="21"/>
        </w:rPr>
        <w:t xml:space="preserve"> 94 Release of patients after therapy with unsealed radionuclides-</w:t>
      </w:r>
      <w:r>
        <w:rPr>
          <w:rFonts w:hint="eastAsia"/>
          <w:sz w:val="24"/>
          <w:szCs w:val="21"/>
        </w:rPr>
        <w:t>《非密封源治疗后患者的出院考虑》等由国际原子能机构和国际放射防护委员会发布的推荐标准</w:t>
      </w:r>
      <w:r>
        <w:rPr>
          <w:rFonts w:hint="eastAsia"/>
          <w:sz w:val="24"/>
          <w:szCs w:val="21"/>
        </w:rPr>
        <w:t>。</w:t>
      </w:r>
    </w:p>
    <w:p w:rsidR="00513813" w:rsidRDefault="00AB3F63">
      <w:pPr>
        <w:rPr>
          <w:sz w:val="24"/>
          <w:szCs w:val="21"/>
        </w:rPr>
        <w:sectPr w:rsidR="00513813">
          <w:footerReference w:type="default" r:id="rId14"/>
          <w:pgSz w:w="11906" w:h="16838"/>
          <w:pgMar w:top="1440" w:right="1803" w:bottom="1440" w:left="1803" w:header="851" w:footer="992" w:gutter="0"/>
          <w:cols w:space="0"/>
          <w:docGrid w:type="lines" w:linePitch="319"/>
        </w:sectPr>
      </w:pPr>
      <w:r>
        <w:rPr>
          <w:rFonts w:hint="eastAsia"/>
          <w:sz w:val="24"/>
          <w:szCs w:val="21"/>
        </w:rPr>
        <w:br w:type="page"/>
      </w:r>
    </w:p>
    <w:p w:rsidR="00513813" w:rsidRDefault="00513813">
      <w:pPr>
        <w:rPr>
          <w:sz w:val="24"/>
          <w:szCs w:val="21"/>
        </w:rPr>
      </w:pPr>
    </w:p>
    <w:p w:rsidR="00513813" w:rsidRDefault="00AB3F63">
      <w:pPr>
        <w:spacing w:line="360" w:lineRule="auto"/>
        <w:jc w:val="center"/>
        <w:rPr>
          <w:rFonts w:eastAsia="仿宋_GB2312"/>
          <w:b/>
          <w:bCs/>
          <w:sz w:val="30"/>
          <w:szCs w:val="30"/>
        </w:rPr>
      </w:pPr>
      <w:r>
        <w:rPr>
          <w:rFonts w:ascii="黑体" w:eastAsia="黑体" w:hint="eastAsia"/>
          <w:kern w:val="0"/>
          <w:szCs w:val="20"/>
        </w:rPr>
        <w:t>表</w:t>
      </w:r>
      <w:r>
        <w:rPr>
          <w:rFonts w:ascii="黑体" w:eastAsia="黑体" w:hint="eastAsia"/>
          <w:kern w:val="0"/>
          <w:szCs w:val="20"/>
        </w:rPr>
        <w:t>3</w:t>
      </w:r>
      <w:r>
        <w:rPr>
          <w:rFonts w:ascii="黑体" w:eastAsia="黑体" w:hint="eastAsia"/>
          <w:kern w:val="0"/>
          <w:szCs w:val="20"/>
        </w:rPr>
        <w:t xml:space="preserve"> </w:t>
      </w:r>
      <w:r>
        <w:rPr>
          <w:rFonts w:ascii="黑体" w:eastAsia="黑体" w:hint="eastAsia"/>
          <w:kern w:val="0"/>
          <w:szCs w:val="20"/>
        </w:rPr>
        <w:t>本标准与国内外相关标准的对比</w:t>
      </w:r>
    </w:p>
    <w:tbl>
      <w:tblPr>
        <w:tblStyle w:val="af2"/>
        <w:tblW w:w="14127" w:type="dxa"/>
        <w:jc w:val="center"/>
        <w:tblLayout w:type="fixed"/>
        <w:tblLook w:val="04A0" w:firstRow="1" w:lastRow="0" w:firstColumn="1" w:lastColumn="0" w:noHBand="0" w:noVBand="1"/>
      </w:tblPr>
      <w:tblGrid>
        <w:gridCol w:w="2222"/>
        <w:gridCol w:w="2200"/>
        <w:gridCol w:w="2128"/>
        <w:gridCol w:w="2177"/>
        <w:gridCol w:w="2590"/>
        <w:gridCol w:w="2810"/>
      </w:tblGrid>
      <w:tr w:rsidR="00513813">
        <w:trPr>
          <w:trHeight w:val="353"/>
          <w:jc w:val="center"/>
        </w:trPr>
        <w:tc>
          <w:tcPr>
            <w:tcW w:w="2222" w:type="dxa"/>
          </w:tcPr>
          <w:p w:rsidR="00513813" w:rsidRDefault="00AB3F63">
            <w:pPr>
              <w:spacing w:line="48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对比指标</w:t>
            </w:r>
          </w:p>
        </w:tc>
        <w:tc>
          <w:tcPr>
            <w:tcW w:w="2200" w:type="dxa"/>
          </w:tcPr>
          <w:p w:rsidR="00513813" w:rsidRDefault="00AB3F63">
            <w:pPr>
              <w:spacing w:line="48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本标准</w:t>
            </w:r>
          </w:p>
        </w:tc>
        <w:tc>
          <w:tcPr>
            <w:tcW w:w="2128" w:type="dxa"/>
          </w:tcPr>
          <w:p w:rsidR="00513813" w:rsidRDefault="00AB3F63">
            <w:pPr>
              <w:spacing w:line="48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HJ 1188-2021</w:t>
            </w:r>
          </w:p>
        </w:tc>
        <w:tc>
          <w:tcPr>
            <w:tcW w:w="2177" w:type="dxa"/>
          </w:tcPr>
          <w:p w:rsidR="00513813" w:rsidRDefault="00AB3F63">
            <w:pPr>
              <w:spacing w:line="48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GBZ 120-2020</w:t>
            </w:r>
          </w:p>
        </w:tc>
        <w:tc>
          <w:tcPr>
            <w:tcW w:w="2590" w:type="dxa"/>
          </w:tcPr>
          <w:p w:rsidR="00513813" w:rsidRDefault="00AB3F63">
            <w:pPr>
              <w:spacing w:line="48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IAEA 63</w:t>
            </w:r>
          </w:p>
        </w:tc>
        <w:tc>
          <w:tcPr>
            <w:tcW w:w="2810" w:type="dxa"/>
          </w:tcPr>
          <w:p w:rsidR="00513813" w:rsidRDefault="00AB3F63">
            <w:pPr>
              <w:spacing w:line="48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ICRP 94</w:t>
            </w:r>
          </w:p>
        </w:tc>
      </w:tr>
      <w:tr w:rsidR="00513813">
        <w:trPr>
          <w:trHeight w:val="352"/>
          <w:jc w:val="center"/>
        </w:trPr>
        <w:tc>
          <w:tcPr>
            <w:tcW w:w="2222" w:type="dxa"/>
          </w:tcPr>
          <w:p w:rsidR="00513813" w:rsidRDefault="00AB3F63">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标准名称</w:t>
            </w:r>
          </w:p>
        </w:tc>
        <w:tc>
          <w:tcPr>
            <w:tcW w:w="2200" w:type="dxa"/>
          </w:tcPr>
          <w:p w:rsidR="00513813" w:rsidRDefault="00B83578">
            <w:pPr>
              <w:rPr>
                <w:rFonts w:ascii="仿宋_GB2312" w:eastAsia="仿宋_GB2312" w:hAnsi="仿宋_GB2312" w:cs="仿宋_GB2312"/>
                <w:sz w:val="24"/>
              </w:rPr>
            </w:pPr>
            <w:r>
              <w:rPr>
                <w:rFonts w:ascii="仿宋_GB2312" w:eastAsia="仿宋_GB2312" w:hAnsi="仿宋_GB2312" w:cs="仿宋_GB2312" w:hint="eastAsia"/>
                <w:sz w:val="24"/>
              </w:rPr>
              <w:t>碘-131核素治疗病房的辐射防护与安全管理要求</w:t>
            </w:r>
          </w:p>
        </w:tc>
        <w:tc>
          <w:tcPr>
            <w:tcW w:w="2128"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核医学辐射防护与安全要求</w:t>
            </w:r>
          </w:p>
        </w:tc>
        <w:tc>
          <w:tcPr>
            <w:tcW w:w="2177"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核医学放射防护要求</w:t>
            </w:r>
          </w:p>
        </w:tc>
        <w:tc>
          <w:tcPr>
            <w:tcW w:w="2590"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Releaseof</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Patients After Radionuclide Therapy</w:t>
            </w:r>
            <w:r>
              <w:rPr>
                <w:rFonts w:ascii="仿宋_GB2312" w:eastAsia="仿宋_GB2312" w:hAnsi="仿宋_GB2312" w:cs="仿宋_GB2312" w:hint="eastAsia"/>
                <w:sz w:val="24"/>
              </w:rPr>
              <w:t>放射性核素治疗后患者出院管理</w:t>
            </w:r>
          </w:p>
        </w:tc>
        <w:tc>
          <w:tcPr>
            <w:tcW w:w="2810"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Release of patients after therapy with unsealed radionuclides</w:t>
            </w:r>
            <w:r>
              <w:rPr>
                <w:rFonts w:ascii="仿宋_GB2312" w:eastAsia="仿宋_GB2312" w:hAnsi="仿宋_GB2312" w:cs="仿宋_GB2312" w:hint="eastAsia"/>
                <w:sz w:val="24"/>
              </w:rPr>
              <w:t>非密封源治疗后患者的出院考虑</w:t>
            </w:r>
          </w:p>
        </w:tc>
      </w:tr>
      <w:tr w:rsidR="00513813">
        <w:trPr>
          <w:trHeight w:val="352"/>
          <w:jc w:val="center"/>
        </w:trPr>
        <w:tc>
          <w:tcPr>
            <w:tcW w:w="2222" w:type="dxa"/>
          </w:tcPr>
          <w:p w:rsidR="00513813" w:rsidRDefault="00AB3F63">
            <w:pPr>
              <w:jc w:val="center"/>
              <w:rPr>
                <w:rFonts w:ascii="仿宋_GB2312" w:eastAsia="仿宋_GB2312" w:hAnsi="仿宋_GB2312" w:cs="仿宋_GB2312"/>
                <w:b/>
                <w:bCs/>
                <w:sz w:val="24"/>
              </w:rPr>
            </w:pPr>
            <w:r>
              <w:rPr>
                <w:rFonts w:ascii="仿宋_GB2312" w:eastAsia="仿宋_GB2312" w:hAnsi="仿宋_GB2312" w:cs="仿宋_GB2312" w:hint="eastAsia"/>
                <w:b/>
                <w:bCs/>
                <w:sz w:val="24"/>
              </w:rPr>
              <w:t>适用范围</w:t>
            </w:r>
          </w:p>
        </w:tc>
        <w:tc>
          <w:tcPr>
            <w:tcW w:w="2200"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医疗机构使用碘</w:t>
            </w:r>
            <w:r>
              <w:rPr>
                <w:rFonts w:ascii="仿宋_GB2312" w:eastAsia="仿宋_GB2312" w:hAnsi="仿宋_GB2312" w:cs="仿宋_GB2312" w:hint="eastAsia"/>
                <w:sz w:val="24"/>
              </w:rPr>
              <w:t>-131</w:t>
            </w:r>
            <w:r>
              <w:rPr>
                <w:rFonts w:ascii="仿宋_GB2312" w:eastAsia="仿宋_GB2312" w:hAnsi="仿宋_GB2312" w:cs="仿宋_GB2312" w:hint="eastAsia"/>
                <w:sz w:val="24"/>
              </w:rPr>
              <w:t>核素开展核医学住院治疗活动</w:t>
            </w:r>
          </w:p>
        </w:tc>
        <w:tc>
          <w:tcPr>
            <w:tcW w:w="2128"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医疗机构利用放射性药物开展临床核医学诊疗、实验研究以及放射性药物制备活动</w:t>
            </w:r>
          </w:p>
        </w:tc>
        <w:tc>
          <w:tcPr>
            <w:tcW w:w="2177"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医疗机构中核医学诊断、治疗、研究和放射性药物制备</w:t>
            </w:r>
          </w:p>
        </w:tc>
        <w:tc>
          <w:tcPr>
            <w:tcW w:w="2590"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放射性核素治疗后患者</w:t>
            </w:r>
            <w:r>
              <w:rPr>
                <w:rFonts w:ascii="仿宋_GB2312" w:eastAsia="仿宋_GB2312" w:hAnsi="仿宋_GB2312" w:cs="仿宋_GB2312" w:hint="eastAsia"/>
                <w:sz w:val="24"/>
              </w:rPr>
              <w:t>出院的</w:t>
            </w:r>
            <w:r>
              <w:rPr>
                <w:rFonts w:ascii="仿宋_GB2312" w:eastAsia="仿宋_GB2312" w:hAnsi="仿宋_GB2312" w:cs="仿宋_GB2312" w:hint="eastAsia"/>
                <w:sz w:val="24"/>
              </w:rPr>
              <w:t>一些指导</w:t>
            </w:r>
            <w:r>
              <w:rPr>
                <w:rFonts w:ascii="仿宋_GB2312" w:eastAsia="仿宋_GB2312" w:hAnsi="仿宋_GB2312" w:cs="仿宋_GB2312" w:hint="eastAsia"/>
                <w:sz w:val="24"/>
              </w:rPr>
              <w:t>意见以及出院后的常见问题</w:t>
            </w:r>
          </w:p>
        </w:tc>
        <w:tc>
          <w:tcPr>
            <w:tcW w:w="2810"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放射性核素治疗后病人</w:t>
            </w:r>
            <w:r>
              <w:rPr>
                <w:rFonts w:ascii="仿宋_GB2312" w:eastAsia="仿宋_GB2312" w:hAnsi="仿宋_GB2312" w:cs="仿宋_GB2312" w:hint="eastAsia"/>
                <w:sz w:val="24"/>
              </w:rPr>
              <w:t>的出院原则</w:t>
            </w:r>
          </w:p>
        </w:tc>
      </w:tr>
      <w:tr w:rsidR="00513813">
        <w:trPr>
          <w:trHeight w:val="579"/>
          <w:jc w:val="center"/>
        </w:trPr>
        <w:tc>
          <w:tcPr>
            <w:tcW w:w="2222" w:type="dxa"/>
          </w:tcPr>
          <w:p w:rsidR="00513813" w:rsidRDefault="00AB3F63">
            <w:pPr>
              <w:spacing w:line="60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标准发布日期</w:t>
            </w:r>
          </w:p>
        </w:tc>
        <w:tc>
          <w:tcPr>
            <w:tcW w:w="2200" w:type="dxa"/>
            <w:vAlign w:val="center"/>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2023</w:t>
            </w:r>
            <w:r>
              <w:rPr>
                <w:rFonts w:ascii="仿宋_GB2312" w:eastAsia="仿宋_GB2312" w:hAnsi="仿宋_GB2312" w:cs="仿宋_GB2312" w:hint="eastAsia"/>
                <w:sz w:val="24"/>
              </w:rPr>
              <w:t>年发布</w:t>
            </w:r>
          </w:p>
        </w:tc>
        <w:tc>
          <w:tcPr>
            <w:tcW w:w="2128" w:type="dxa"/>
            <w:vAlign w:val="center"/>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2021</w:t>
            </w:r>
            <w:r>
              <w:rPr>
                <w:rFonts w:ascii="仿宋_GB2312" w:eastAsia="仿宋_GB2312" w:hAnsi="仿宋_GB2312" w:cs="仿宋_GB2312" w:hint="eastAsia"/>
                <w:sz w:val="24"/>
              </w:rPr>
              <w:t>年</w:t>
            </w:r>
            <w:r>
              <w:rPr>
                <w:rFonts w:ascii="仿宋_GB2312" w:eastAsia="仿宋_GB2312" w:hAnsi="仿宋_GB2312" w:cs="仿宋_GB2312" w:hint="eastAsia"/>
                <w:sz w:val="24"/>
              </w:rPr>
              <w:t>9</w:t>
            </w:r>
            <w:r>
              <w:rPr>
                <w:rFonts w:ascii="仿宋_GB2312" w:eastAsia="仿宋_GB2312" w:hAnsi="仿宋_GB2312" w:cs="仿宋_GB2312" w:hint="eastAsia"/>
                <w:sz w:val="24"/>
              </w:rPr>
              <w:t>月</w:t>
            </w:r>
            <w:r>
              <w:rPr>
                <w:rFonts w:ascii="仿宋_GB2312" w:eastAsia="仿宋_GB2312" w:hAnsi="仿宋_GB2312" w:cs="仿宋_GB2312" w:hint="eastAsia"/>
                <w:sz w:val="24"/>
              </w:rPr>
              <w:t>6</w:t>
            </w:r>
            <w:r>
              <w:rPr>
                <w:rFonts w:ascii="仿宋_GB2312" w:eastAsia="仿宋_GB2312" w:hAnsi="仿宋_GB2312" w:cs="仿宋_GB2312" w:hint="eastAsia"/>
                <w:sz w:val="24"/>
              </w:rPr>
              <w:t>日</w:t>
            </w:r>
          </w:p>
        </w:tc>
        <w:tc>
          <w:tcPr>
            <w:tcW w:w="2177" w:type="dxa"/>
            <w:vAlign w:val="center"/>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2020</w:t>
            </w:r>
            <w:r>
              <w:rPr>
                <w:rFonts w:ascii="仿宋_GB2312" w:eastAsia="仿宋_GB2312" w:hAnsi="仿宋_GB2312" w:cs="仿宋_GB2312" w:hint="eastAsia"/>
                <w:sz w:val="24"/>
              </w:rPr>
              <w:t>年</w:t>
            </w:r>
            <w:r>
              <w:rPr>
                <w:rFonts w:ascii="仿宋_GB2312" w:eastAsia="仿宋_GB2312" w:hAnsi="仿宋_GB2312" w:cs="仿宋_GB2312" w:hint="eastAsia"/>
                <w:sz w:val="24"/>
              </w:rPr>
              <w:t>10</w:t>
            </w:r>
            <w:r>
              <w:rPr>
                <w:rFonts w:ascii="仿宋_GB2312" w:eastAsia="仿宋_GB2312" w:hAnsi="仿宋_GB2312" w:cs="仿宋_GB2312" w:hint="eastAsia"/>
                <w:sz w:val="24"/>
              </w:rPr>
              <w:t>月</w:t>
            </w:r>
            <w:r>
              <w:rPr>
                <w:rFonts w:ascii="仿宋_GB2312" w:eastAsia="仿宋_GB2312" w:hAnsi="仿宋_GB2312" w:cs="仿宋_GB2312" w:hint="eastAsia"/>
                <w:sz w:val="24"/>
              </w:rPr>
              <w:t>26</w:t>
            </w:r>
            <w:r>
              <w:rPr>
                <w:rFonts w:ascii="仿宋_GB2312" w:eastAsia="仿宋_GB2312" w:hAnsi="仿宋_GB2312" w:cs="仿宋_GB2312" w:hint="eastAsia"/>
                <w:sz w:val="24"/>
              </w:rPr>
              <w:t>日</w:t>
            </w:r>
          </w:p>
        </w:tc>
        <w:tc>
          <w:tcPr>
            <w:tcW w:w="2590" w:type="dxa"/>
            <w:vAlign w:val="center"/>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2009</w:t>
            </w:r>
            <w:r>
              <w:rPr>
                <w:rFonts w:ascii="仿宋_GB2312" w:eastAsia="仿宋_GB2312" w:hAnsi="仿宋_GB2312" w:cs="仿宋_GB2312" w:hint="eastAsia"/>
                <w:sz w:val="24"/>
              </w:rPr>
              <w:t>年</w:t>
            </w:r>
          </w:p>
        </w:tc>
        <w:tc>
          <w:tcPr>
            <w:tcW w:w="2810" w:type="dxa"/>
            <w:vAlign w:val="center"/>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2004</w:t>
            </w:r>
            <w:r>
              <w:rPr>
                <w:rFonts w:ascii="仿宋_GB2312" w:eastAsia="仿宋_GB2312" w:hAnsi="仿宋_GB2312" w:cs="仿宋_GB2312" w:hint="eastAsia"/>
                <w:sz w:val="24"/>
              </w:rPr>
              <w:t>年三月</w:t>
            </w:r>
          </w:p>
        </w:tc>
      </w:tr>
      <w:tr w:rsidR="00513813">
        <w:trPr>
          <w:trHeight w:val="786"/>
          <w:jc w:val="center"/>
        </w:trPr>
        <w:tc>
          <w:tcPr>
            <w:tcW w:w="2222" w:type="dxa"/>
          </w:tcPr>
          <w:p w:rsidR="00513813" w:rsidRDefault="00AB3F63">
            <w:pPr>
              <w:spacing w:line="48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标准侧重点</w:t>
            </w:r>
          </w:p>
        </w:tc>
        <w:tc>
          <w:tcPr>
            <w:tcW w:w="2200" w:type="dxa"/>
          </w:tcPr>
          <w:p w:rsidR="00513813" w:rsidRDefault="00AB3F63">
            <w:pPr>
              <w:rPr>
                <w:rFonts w:ascii="仿宋_GB2312" w:eastAsia="仿宋_GB2312" w:hAnsi="仿宋_GB2312" w:cs="仿宋_GB2312"/>
                <w:sz w:val="24"/>
              </w:rPr>
            </w:pPr>
            <w:proofErr w:type="gramStart"/>
            <w:r>
              <w:rPr>
                <w:rFonts w:ascii="仿宋_GB2312" w:eastAsia="仿宋_GB2312" w:hAnsi="仿宋_GB2312" w:cs="仿宋_GB2312" w:hint="eastAsia"/>
                <w:sz w:val="24"/>
              </w:rPr>
              <w:t>核医学科</w:t>
            </w:r>
            <w:r>
              <w:rPr>
                <w:rFonts w:ascii="仿宋_GB2312" w:eastAsia="仿宋_GB2312" w:hAnsi="仿宋_GB2312" w:cs="仿宋_GB2312" w:hint="eastAsia"/>
                <w:sz w:val="24"/>
              </w:rPr>
              <w:t>碘</w:t>
            </w:r>
            <w:proofErr w:type="gramEnd"/>
            <w:r>
              <w:rPr>
                <w:rFonts w:ascii="仿宋_GB2312" w:eastAsia="仿宋_GB2312" w:hAnsi="仿宋_GB2312" w:cs="仿宋_GB2312" w:hint="eastAsia"/>
                <w:sz w:val="24"/>
              </w:rPr>
              <w:t>-131</w:t>
            </w:r>
            <w:r>
              <w:rPr>
                <w:rFonts w:ascii="仿宋_GB2312" w:eastAsia="仿宋_GB2312" w:hAnsi="仿宋_GB2312" w:cs="仿宋_GB2312" w:hint="eastAsia"/>
                <w:sz w:val="24"/>
              </w:rPr>
              <w:t>核素治疗病房</w:t>
            </w:r>
            <w:r>
              <w:rPr>
                <w:rFonts w:ascii="仿宋_GB2312" w:eastAsia="仿宋_GB2312" w:hAnsi="仿宋_GB2312" w:cs="仿宋_GB2312" w:hint="eastAsia"/>
                <w:sz w:val="24"/>
              </w:rPr>
              <w:t>的建设和辐射防护三废处理</w:t>
            </w:r>
          </w:p>
        </w:tc>
        <w:tc>
          <w:tcPr>
            <w:tcW w:w="2128"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核医学科的辐射防护和三废处理</w:t>
            </w:r>
          </w:p>
        </w:tc>
        <w:tc>
          <w:tcPr>
            <w:tcW w:w="2177"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核医学科工作过程中的放射卫生管理</w:t>
            </w:r>
          </w:p>
        </w:tc>
        <w:tc>
          <w:tcPr>
            <w:tcW w:w="2590"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核素治疗后出院的指导意见</w:t>
            </w:r>
          </w:p>
        </w:tc>
        <w:tc>
          <w:tcPr>
            <w:tcW w:w="2810"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放射性核素治疗后病人</w:t>
            </w:r>
            <w:r>
              <w:rPr>
                <w:rFonts w:ascii="仿宋_GB2312" w:eastAsia="仿宋_GB2312" w:hAnsi="仿宋_GB2312" w:cs="仿宋_GB2312" w:hint="eastAsia"/>
                <w:sz w:val="24"/>
              </w:rPr>
              <w:t>对其他人的辐射影响，不同人群核素治疗的影响（孕妇等）</w:t>
            </w:r>
          </w:p>
        </w:tc>
      </w:tr>
      <w:tr w:rsidR="00513813">
        <w:trPr>
          <w:trHeight w:val="639"/>
          <w:jc w:val="center"/>
        </w:trPr>
        <w:tc>
          <w:tcPr>
            <w:tcW w:w="2222" w:type="dxa"/>
          </w:tcPr>
          <w:p w:rsidR="00513813" w:rsidRDefault="00AB3F63">
            <w:pPr>
              <w:spacing w:line="48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数据资料准备</w:t>
            </w:r>
          </w:p>
        </w:tc>
        <w:tc>
          <w:tcPr>
            <w:tcW w:w="2200"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历史资料、现场踏勘资料、遥感影像</w:t>
            </w:r>
          </w:p>
        </w:tc>
        <w:tc>
          <w:tcPr>
            <w:tcW w:w="2128"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野外踏勘资料、遥感影像资料</w:t>
            </w:r>
          </w:p>
        </w:tc>
        <w:tc>
          <w:tcPr>
            <w:tcW w:w="2177"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现场调查资料、采样分析资料</w:t>
            </w:r>
          </w:p>
        </w:tc>
        <w:tc>
          <w:tcPr>
            <w:tcW w:w="2590"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现场调查资料</w:t>
            </w:r>
          </w:p>
        </w:tc>
        <w:tc>
          <w:tcPr>
            <w:tcW w:w="2810" w:type="dxa"/>
          </w:tcPr>
          <w:p w:rsidR="00513813" w:rsidRDefault="00AB3F63">
            <w:pPr>
              <w:rPr>
                <w:rFonts w:ascii="仿宋_GB2312" w:eastAsia="仿宋_GB2312" w:hAnsi="仿宋_GB2312" w:cs="仿宋_GB2312"/>
                <w:sz w:val="24"/>
              </w:rPr>
            </w:pPr>
            <w:r>
              <w:rPr>
                <w:rFonts w:ascii="仿宋_GB2312" w:eastAsia="仿宋_GB2312" w:hAnsi="仿宋_GB2312" w:cs="仿宋_GB2312" w:hint="eastAsia"/>
                <w:sz w:val="24"/>
              </w:rPr>
              <w:t>外业调查收集资料、遥感影像</w:t>
            </w:r>
          </w:p>
        </w:tc>
      </w:tr>
    </w:tbl>
    <w:p w:rsidR="00513813" w:rsidRDefault="00513813">
      <w:pPr>
        <w:spacing w:line="360" w:lineRule="auto"/>
        <w:rPr>
          <w:sz w:val="24"/>
          <w:szCs w:val="21"/>
        </w:rPr>
      </w:pPr>
    </w:p>
    <w:p w:rsidR="00513813" w:rsidRDefault="00AB3F63">
      <w:pPr>
        <w:rPr>
          <w:sz w:val="24"/>
          <w:szCs w:val="21"/>
        </w:rPr>
        <w:sectPr w:rsidR="00513813">
          <w:pgSz w:w="16838" w:h="11906" w:orient="landscape"/>
          <w:pgMar w:top="1803" w:right="1440" w:bottom="1803" w:left="1440" w:header="851" w:footer="992" w:gutter="0"/>
          <w:cols w:space="0"/>
          <w:docGrid w:type="lines" w:linePitch="319"/>
        </w:sectPr>
      </w:pPr>
      <w:r>
        <w:rPr>
          <w:sz w:val="24"/>
          <w:szCs w:val="21"/>
        </w:rPr>
        <w:br w:type="page"/>
      </w:r>
    </w:p>
    <w:p w:rsidR="00513813" w:rsidRDefault="00AB3F63">
      <w:pPr>
        <w:pStyle w:val="1"/>
      </w:pPr>
      <w:bookmarkStart w:id="74" w:name="_Toc5954"/>
      <w:r>
        <w:rPr>
          <w:rFonts w:hint="eastAsia"/>
        </w:rPr>
        <w:lastRenderedPageBreak/>
        <w:t xml:space="preserve">9 </w:t>
      </w:r>
      <w:r>
        <w:rPr>
          <w:rFonts w:hint="eastAsia"/>
        </w:rPr>
        <w:t>作为推荐性标准的建议及其理由</w:t>
      </w:r>
      <w:bookmarkEnd w:id="74"/>
    </w:p>
    <w:p w:rsidR="00513813" w:rsidRDefault="00AB3F63">
      <w:pPr>
        <w:spacing w:line="360" w:lineRule="auto"/>
        <w:ind w:firstLineChars="200" w:firstLine="480"/>
        <w:rPr>
          <w:sz w:val="24"/>
        </w:rPr>
      </w:pPr>
      <w:r>
        <w:rPr>
          <w:rFonts w:hint="eastAsia"/>
          <w:sz w:val="24"/>
        </w:rPr>
        <w:t>建议地方标准《</w:t>
      </w:r>
      <w:r w:rsidR="00B83578">
        <w:rPr>
          <w:rFonts w:hint="eastAsia"/>
          <w:sz w:val="24"/>
        </w:rPr>
        <w:t>碘</w:t>
      </w:r>
      <w:r w:rsidR="00B83578">
        <w:rPr>
          <w:rFonts w:hint="eastAsia"/>
          <w:sz w:val="24"/>
        </w:rPr>
        <w:t>-131</w:t>
      </w:r>
      <w:r w:rsidR="00B83578">
        <w:rPr>
          <w:rFonts w:hint="eastAsia"/>
          <w:sz w:val="24"/>
        </w:rPr>
        <w:t>核素治疗病房的辐射防护与安全管理要求</w:t>
      </w:r>
      <w:r>
        <w:rPr>
          <w:rFonts w:hint="eastAsia"/>
          <w:sz w:val="24"/>
        </w:rPr>
        <w:t>》作为推荐性标准颁布实施。</w:t>
      </w:r>
    </w:p>
    <w:p w:rsidR="00513813" w:rsidRDefault="00AB3F63">
      <w:pPr>
        <w:spacing w:line="360" w:lineRule="auto"/>
        <w:ind w:firstLineChars="200" w:firstLine="480"/>
        <w:rPr>
          <w:sz w:val="24"/>
        </w:rPr>
      </w:pPr>
      <w:r>
        <w:rPr>
          <w:rFonts w:hint="eastAsia"/>
          <w:sz w:val="24"/>
        </w:rPr>
        <w:t>目前，北京</w:t>
      </w:r>
      <w:r>
        <w:rPr>
          <w:rFonts w:hint="eastAsia"/>
          <w:sz w:val="24"/>
        </w:rPr>
        <w:t>医疗机构</w:t>
      </w:r>
      <w:r>
        <w:rPr>
          <w:rFonts w:hint="eastAsia"/>
          <w:sz w:val="24"/>
        </w:rPr>
        <w:t>开展</w:t>
      </w:r>
      <w:r>
        <w:rPr>
          <w:rFonts w:hint="eastAsia"/>
          <w:sz w:val="24"/>
        </w:rPr>
        <w:t>核医学诊断和治疗的</w:t>
      </w:r>
      <w:r>
        <w:rPr>
          <w:rFonts w:hint="eastAsia"/>
          <w:sz w:val="24"/>
        </w:rPr>
        <w:t>单位</w:t>
      </w:r>
      <w:r>
        <w:rPr>
          <w:rFonts w:hint="eastAsia"/>
          <w:sz w:val="24"/>
        </w:rPr>
        <w:t>42</w:t>
      </w:r>
      <w:r>
        <w:rPr>
          <w:rFonts w:hint="eastAsia"/>
          <w:sz w:val="24"/>
        </w:rPr>
        <w:t>家，</w:t>
      </w:r>
      <w:r>
        <w:rPr>
          <w:rFonts w:hint="eastAsia"/>
          <w:sz w:val="24"/>
        </w:rPr>
        <w:t>其中只有</w:t>
      </w:r>
      <w:r>
        <w:rPr>
          <w:rFonts w:hint="eastAsia"/>
          <w:sz w:val="24"/>
        </w:rPr>
        <w:t>7</w:t>
      </w:r>
      <w:r>
        <w:rPr>
          <w:rFonts w:hint="eastAsia"/>
          <w:sz w:val="24"/>
        </w:rPr>
        <w:t>家医疗机构开展了碘</w:t>
      </w:r>
      <w:r>
        <w:rPr>
          <w:rFonts w:hint="eastAsia"/>
          <w:sz w:val="24"/>
        </w:rPr>
        <w:t>131</w:t>
      </w:r>
      <w:r>
        <w:rPr>
          <w:rFonts w:hint="eastAsia"/>
          <w:sz w:val="24"/>
        </w:rPr>
        <w:t>核素治疗</w:t>
      </w:r>
      <w:r>
        <w:rPr>
          <w:rFonts w:hint="eastAsia"/>
          <w:sz w:val="24"/>
        </w:rPr>
        <w:t>用于甲癌、甲亢治疗。目前，国内对</w:t>
      </w:r>
      <w:r>
        <w:rPr>
          <w:rFonts w:hint="eastAsia"/>
          <w:sz w:val="24"/>
        </w:rPr>
        <w:t>碘</w:t>
      </w:r>
      <w:r>
        <w:rPr>
          <w:rFonts w:hint="eastAsia"/>
          <w:sz w:val="24"/>
        </w:rPr>
        <w:t>-131</w:t>
      </w:r>
      <w:r>
        <w:rPr>
          <w:rFonts w:hint="eastAsia"/>
          <w:sz w:val="24"/>
        </w:rPr>
        <w:t>核素在医疗机构的使用尚未有相应的标准规范和专门的管理要求。北京市医疗机构辐射单位数量众多，碘</w:t>
      </w:r>
      <w:r>
        <w:rPr>
          <w:rFonts w:hint="eastAsia"/>
          <w:sz w:val="24"/>
        </w:rPr>
        <w:t>-131</w:t>
      </w:r>
      <w:r>
        <w:rPr>
          <w:rFonts w:hint="eastAsia"/>
          <w:sz w:val="24"/>
        </w:rPr>
        <w:t>核素用量迅速增长，为了既能满足患者诊断与治疗需求，又能保障首都的辐射安全和公众的健康，建议地方标准《</w:t>
      </w:r>
      <w:r w:rsidR="00B83578">
        <w:rPr>
          <w:rFonts w:hint="eastAsia"/>
          <w:sz w:val="24"/>
        </w:rPr>
        <w:t>碘</w:t>
      </w:r>
      <w:r w:rsidR="00B83578">
        <w:rPr>
          <w:rFonts w:hint="eastAsia"/>
          <w:sz w:val="24"/>
        </w:rPr>
        <w:t>-131</w:t>
      </w:r>
      <w:r w:rsidR="00B83578">
        <w:rPr>
          <w:rFonts w:hint="eastAsia"/>
          <w:sz w:val="24"/>
        </w:rPr>
        <w:t>核素治疗病房的辐射防护与安全管理要求</w:t>
      </w:r>
      <w:r>
        <w:rPr>
          <w:rFonts w:hint="eastAsia"/>
          <w:sz w:val="24"/>
        </w:rPr>
        <w:t>》作为推荐性标准颁布实施。。</w:t>
      </w:r>
    </w:p>
    <w:p w:rsidR="00513813" w:rsidRDefault="00AB3F63">
      <w:pPr>
        <w:pStyle w:val="1"/>
      </w:pPr>
      <w:bookmarkStart w:id="75" w:name="_Toc13590"/>
      <w:r>
        <w:rPr>
          <w:rFonts w:hint="eastAsia"/>
        </w:rPr>
        <w:t xml:space="preserve">10 </w:t>
      </w:r>
      <w:r>
        <w:rPr>
          <w:rFonts w:hint="eastAsia"/>
        </w:rPr>
        <w:t>实施标准的措施</w:t>
      </w:r>
      <w:bookmarkEnd w:id="75"/>
    </w:p>
    <w:p w:rsidR="00513813" w:rsidRDefault="00AB3F63">
      <w:pPr>
        <w:spacing w:line="360" w:lineRule="auto"/>
        <w:ind w:firstLineChars="200" w:firstLine="480"/>
        <w:rPr>
          <w:sz w:val="24"/>
          <w:szCs w:val="21"/>
        </w:rPr>
      </w:pPr>
      <w:r>
        <w:rPr>
          <w:rFonts w:hint="eastAsia"/>
          <w:sz w:val="24"/>
          <w:szCs w:val="21"/>
        </w:rPr>
        <w:t>为确保本标准的顺利实施，切实做到</w:t>
      </w:r>
      <w:r>
        <w:rPr>
          <w:rFonts w:hint="eastAsia"/>
          <w:sz w:val="24"/>
          <w:szCs w:val="21"/>
        </w:rPr>
        <w:t>规范和指导医疗机构</w:t>
      </w:r>
      <w:r>
        <w:rPr>
          <w:rFonts w:hint="eastAsia"/>
          <w:sz w:val="24"/>
        </w:rPr>
        <w:t>碘</w:t>
      </w:r>
      <w:r>
        <w:rPr>
          <w:rFonts w:hint="eastAsia"/>
          <w:sz w:val="24"/>
        </w:rPr>
        <w:t>-131</w:t>
      </w:r>
      <w:r>
        <w:rPr>
          <w:rFonts w:hint="eastAsia"/>
          <w:sz w:val="24"/>
        </w:rPr>
        <w:t>核素治疗病房</w:t>
      </w:r>
      <w:r>
        <w:rPr>
          <w:rFonts w:hint="eastAsia"/>
          <w:sz w:val="24"/>
        </w:rPr>
        <w:t>项目的建设和开展，</w:t>
      </w:r>
      <w:r>
        <w:rPr>
          <w:rFonts w:hint="eastAsia"/>
          <w:sz w:val="24"/>
          <w:szCs w:val="21"/>
        </w:rPr>
        <w:t>建议：</w:t>
      </w:r>
    </w:p>
    <w:p w:rsidR="00513813" w:rsidRDefault="00AB3F63">
      <w:pPr>
        <w:spacing w:line="360" w:lineRule="auto"/>
        <w:ind w:firstLineChars="200" w:firstLine="482"/>
        <w:rPr>
          <w:b/>
          <w:bCs/>
          <w:sz w:val="24"/>
          <w:szCs w:val="21"/>
        </w:rPr>
      </w:pPr>
      <w:r>
        <w:rPr>
          <w:rFonts w:hint="eastAsia"/>
          <w:b/>
          <w:bCs/>
          <w:sz w:val="24"/>
          <w:szCs w:val="21"/>
        </w:rPr>
        <w:t>（</w:t>
      </w:r>
      <w:r>
        <w:rPr>
          <w:rFonts w:hint="eastAsia"/>
          <w:b/>
          <w:bCs/>
          <w:sz w:val="24"/>
          <w:szCs w:val="21"/>
        </w:rPr>
        <w:t>1</w:t>
      </w:r>
      <w:r>
        <w:rPr>
          <w:rFonts w:hint="eastAsia"/>
          <w:b/>
          <w:bCs/>
          <w:sz w:val="24"/>
          <w:szCs w:val="21"/>
        </w:rPr>
        <w:t>）加强对相关方的培训和</w:t>
      </w:r>
      <w:proofErr w:type="gramStart"/>
      <w:r>
        <w:rPr>
          <w:rFonts w:hint="eastAsia"/>
          <w:b/>
          <w:bCs/>
          <w:sz w:val="24"/>
          <w:szCs w:val="21"/>
        </w:rPr>
        <w:t>贯标</w:t>
      </w:r>
      <w:proofErr w:type="gramEnd"/>
      <w:r>
        <w:rPr>
          <w:rFonts w:hint="eastAsia"/>
          <w:b/>
          <w:bCs/>
          <w:sz w:val="24"/>
          <w:szCs w:val="21"/>
        </w:rPr>
        <w:t>。</w:t>
      </w:r>
    </w:p>
    <w:p w:rsidR="00513813" w:rsidRDefault="00AB3F63">
      <w:pPr>
        <w:spacing w:line="360" w:lineRule="auto"/>
        <w:ind w:firstLineChars="200" w:firstLine="480"/>
        <w:rPr>
          <w:sz w:val="24"/>
          <w:szCs w:val="21"/>
        </w:rPr>
      </w:pPr>
      <w:r>
        <w:rPr>
          <w:rFonts w:hint="eastAsia"/>
          <w:sz w:val="24"/>
          <w:szCs w:val="21"/>
        </w:rPr>
        <w:t>加强对环评审批等一线人员的培训和</w:t>
      </w:r>
      <w:proofErr w:type="gramStart"/>
      <w:r>
        <w:rPr>
          <w:rFonts w:hint="eastAsia"/>
          <w:sz w:val="24"/>
          <w:szCs w:val="21"/>
        </w:rPr>
        <w:t>贯标</w:t>
      </w:r>
      <w:proofErr w:type="gramEnd"/>
      <w:r>
        <w:rPr>
          <w:rFonts w:hint="eastAsia"/>
          <w:sz w:val="24"/>
          <w:szCs w:val="21"/>
        </w:rPr>
        <w:t>工作，对新建、扩建、改建建设用地的审批应严格按本标准的要求实施。对环保监察一线人员加强培训和宣贯，推动标准正确有效的实施。</w:t>
      </w:r>
    </w:p>
    <w:p w:rsidR="00513813" w:rsidRDefault="00AB3F63">
      <w:pPr>
        <w:spacing w:line="360" w:lineRule="auto"/>
        <w:ind w:firstLineChars="200" w:firstLine="482"/>
        <w:rPr>
          <w:b/>
          <w:bCs/>
          <w:sz w:val="24"/>
          <w:szCs w:val="21"/>
        </w:rPr>
      </w:pPr>
      <w:r>
        <w:rPr>
          <w:rFonts w:hint="eastAsia"/>
          <w:b/>
          <w:bCs/>
          <w:sz w:val="24"/>
          <w:szCs w:val="21"/>
        </w:rPr>
        <w:t>（</w:t>
      </w:r>
      <w:r>
        <w:rPr>
          <w:rFonts w:hint="eastAsia"/>
          <w:b/>
          <w:bCs/>
          <w:sz w:val="24"/>
          <w:szCs w:val="21"/>
        </w:rPr>
        <w:t>2</w:t>
      </w:r>
      <w:r>
        <w:rPr>
          <w:rFonts w:hint="eastAsia"/>
          <w:b/>
          <w:bCs/>
          <w:sz w:val="24"/>
          <w:szCs w:val="21"/>
        </w:rPr>
        <w:t>）</w:t>
      </w:r>
      <w:r>
        <w:rPr>
          <w:rFonts w:hint="eastAsia"/>
          <w:b/>
          <w:bCs/>
          <w:sz w:val="24"/>
          <w:szCs w:val="21"/>
        </w:rPr>
        <w:t>加强对医疗机构和环境影响评价机构单位的培训和</w:t>
      </w:r>
      <w:proofErr w:type="gramStart"/>
      <w:r>
        <w:rPr>
          <w:rFonts w:hint="eastAsia"/>
          <w:b/>
          <w:bCs/>
          <w:sz w:val="24"/>
          <w:szCs w:val="21"/>
        </w:rPr>
        <w:t>贯标</w:t>
      </w:r>
      <w:proofErr w:type="gramEnd"/>
      <w:r>
        <w:rPr>
          <w:rFonts w:hint="eastAsia"/>
          <w:b/>
          <w:bCs/>
          <w:sz w:val="24"/>
          <w:szCs w:val="21"/>
        </w:rPr>
        <w:t>。</w:t>
      </w:r>
    </w:p>
    <w:p w:rsidR="00513813" w:rsidRDefault="00AB3F63">
      <w:pPr>
        <w:spacing w:line="360" w:lineRule="auto"/>
        <w:ind w:firstLineChars="200" w:firstLine="480"/>
        <w:rPr>
          <w:sz w:val="24"/>
          <w:szCs w:val="21"/>
        </w:rPr>
      </w:pPr>
      <w:r>
        <w:rPr>
          <w:rFonts w:hint="eastAsia"/>
          <w:sz w:val="24"/>
          <w:szCs w:val="21"/>
        </w:rPr>
        <w:t>本标准针对医疗机构碘</w:t>
      </w:r>
      <w:r>
        <w:rPr>
          <w:rFonts w:hint="eastAsia"/>
          <w:sz w:val="24"/>
          <w:szCs w:val="21"/>
        </w:rPr>
        <w:t>-131</w:t>
      </w:r>
      <w:r>
        <w:rPr>
          <w:rFonts w:hint="eastAsia"/>
          <w:sz w:val="24"/>
          <w:szCs w:val="21"/>
        </w:rPr>
        <w:t>核素治疗病房项目的建设进行了规定，应对</w:t>
      </w:r>
      <w:r>
        <w:rPr>
          <w:rFonts w:hint="eastAsia"/>
          <w:sz w:val="24"/>
          <w:szCs w:val="21"/>
        </w:rPr>
        <w:t>环评</w:t>
      </w:r>
      <w:r>
        <w:rPr>
          <w:rFonts w:hint="eastAsia"/>
          <w:sz w:val="24"/>
          <w:szCs w:val="21"/>
        </w:rPr>
        <w:t>单位</w:t>
      </w:r>
      <w:r>
        <w:rPr>
          <w:rFonts w:hint="eastAsia"/>
          <w:sz w:val="24"/>
          <w:szCs w:val="21"/>
        </w:rPr>
        <w:t>技术</w:t>
      </w:r>
      <w:r>
        <w:rPr>
          <w:rFonts w:hint="eastAsia"/>
          <w:sz w:val="24"/>
          <w:szCs w:val="21"/>
        </w:rPr>
        <w:t>人员进行标准的宣贯，增强</w:t>
      </w:r>
      <w:r>
        <w:rPr>
          <w:rFonts w:hint="eastAsia"/>
          <w:sz w:val="24"/>
          <w:szCs w:val="21"/>
        </w:rPr>
        <w:t>环评单位技术</w:t>
      </w:r>
      <w:r>
        <w:rPr>
          <w:rFonts w:hint="eastAsia"/>
          <w:sz w:val="24"/>
          <w:szCs w:val="21"/>
        </w:rPr>
        <w:t>人员对</w:t>
      </w:r>
      <w:r>
        <w:rPr>
          <w:rFonts w:hint="eastAsia"/>
          <w:sz w:val="24"/>
          <w:szCs w:val="21"/>
        </w:rPr>
        <w:t>本标准的</w:t>
      </w:r>
      <w:r>
        <w:rPr>
          <w:rFonts w:hint="eastAsia"/>
          <w:sz w:val="24"/>
          <w:szCs w:val="21"/>
        </w:rPr>
        <w:t>了解；同时，</w:t>
      </w:r>
      <w:r>
        <w:rPr>
          <w:rFonts w:hint="eastAsia"/>
          <w:sz w:val="24"/>
          <w:szCs w:val="21"/>
        </w:rPr>
        <w:t>作为</w:t>
      </w:r>
      <w:r>
        <w:rPr>
          <w:rFonts w:hint="eastAsia"/>
          <w:sz w:val="24"/>
          <w:szCs w:val="21"/>
        </w:rPr>
        <w:t>项目建设</w:t>
      </w:r>
      <w:r>
        <w:rPr>
          <w:rFonts w:hint="eastAsia"/>
          <w:sz w:val="24"/>
          <w:szCs w:val="21"/>
        </w:rPr>
        <w:t>的主体，医疗机构也应主动实施标准，</w:t>
      </w:r>
      <w:r>
        <w:rPr>
          <w:rFonts w:hint="eastAsia"/>
          <w:sz w:val="24"/>
          <w:szCs w:val="21"/>
        </w:rPr>
        <w:t>曾</w:t>
      </w:r>
      <w:proofErr w:type="gramStart"/>
      <w:r>
        <w:rPr>
          <w:rFonts w:hint="eastAsia"/>
          <w:sz w:val="24"/>
          <w:szCs w:val="21"/>
        </w:rPr>
        <w:t>强医疗</w:t>
      </w:r>
      <w:proofErr w:type="gramEnd"/>
      <w:r>
        <w:rPr>
          <w:rFonts w:hint="eastAsia"/>
          <w:sz w:val="24"/>
          <w:szCs w:val="21"/>
        </w:rPr>
        <w:t>机构管理人员对本标准的了解</w:t>
      </w:r>
      <w:r>
        <w:rPr>
          <w:rFonts w:hint="eastAsia"/>
          <w:sz w:val="24"/>
          <w:szCs w:val="21"/>
        </w:rPr>
        <w:t>。</w:t>
      </w:r>
      <w:r>
        <w:rPr>
          <w:rFonts w:hint="eastAsia"/>
          <w:sz w:val="24"/>
          <w:szCs w:val="21"/>
        </w:rPr>
        <w:t>对北京市拥有核医学科的医疗机构、环境影响评价机构单位培训覆盖率</w:t>
      </w:r>
      <w:r>
        <w:rPr>
          <w:rFonts w:hint="eastAsia"/>
          <w:sz w:val="24"/>
          <w:szCs w:val="21"/>
        </w:rPr>
        <w:t>≥</w:t>
      </w:r>
      <w:r>
        <w:rPr>
          <w:rFonts w:hint="eastAsia"/>
          <w:sz w:val="24"/>
          <w:szCs w:val="21"/>
        </w:rPr>
        <w:t>80%</w:t>
      </w:r>
      <w:r>
        <w:rPr>
          <w:rFonts w:hint="eastAsia"/>
          <w:sz w:val="24"/>
          <w:szCs w:val="21"/>
        </w:rPr>
        <w:t>。</w:t>
      </w:r>
    </w:p>
    <w:p w:rsidR="00513813" w:rsidRDefault="00AB3F63">
      <w:pPr>
        <w:pStyle w:val="1"/>
      </w:pPr>
      <w:bookmarkStart w:id="76" w:name="_Toc103617153"/>
      <w:bookmarkStart w:id="77" w:name="_Toc29135"/>
      <w:r>
        <w:rPr>
          <w:rFonts w:hint="eastAsia"/>
        </w:rPr>
        <w:lastRenderedPageBreak/>
        <w:t>1</w:t>
      </w:r>
      <w:r>
        <w:rPr>
          <w:rFonts w:hint="eastAsia"/>
        </w:rPr>
        <w:t>1</w:t>
      </w:r>
      <w:r>
        <w:t xml:space="preserve"> </w:t>
      </w:r>
      <w:r>
        <w:rPr>
          <w:rFonts w:hint="eastAsia"/>
        </w:rPr>
        <w:t>其它应说明的事项</w:t>
      </w:r>
      <w:bookmarkEnd w:id="76"/>
      <w:bookmarkEnd w:id="77"/>
    </w:p>
    <w:p w:rsidR="00513813" w:rsidRDefault="00AB3F63">
      <w:pPr>
        <w:ind w:firstLineChars="200" w:firstLine="480"/>
        <w:rPr>
          <w:sz w:val="24"/>
        </w:rPr>
      </w:pPr>
      <w:r>
        <w:rPr>
          <w:rFonts w:hint="eastAsia"/>
          <w:sz w:val="24"/>
        </w:rPr>
        <w:t>本标准不涉及专利。</w:t>
      </w:r>
    </w:p>
    <w:p w:rsidR="00513813" w:rsidRDefault="00AB3F63">
      <w:r>
        <w:rPr>
          <w:rFonts w:hint="eastAsia"/>
        </w:rPr>
        <w:br w:type="page"/>
      </w:r>
    </w:p>
    <w:p w:rsidR="00513813" w:rsidRDefault="00AB3F63">
      <w:pPr>
        <w:spacing w:line="360" w:lineRule="auto"/>
        <w:jc w:val="center"/>
        <w:rPr>
          <w:rFonts w:eastAsia="黑体"/>
          <w:bCs/>
          <w:kern w:val="44"/>
          <w:sz w:val="36"/>
          <w:szCs w:val="44"/>
        </w:rPr>
      </w:pPr>
      <w:r>
        <w:rPr>
          <w:rFonts w:eastAsia="黑体" w:hint="eastAsia"/>
          <w:bCs/>
          <w:kern w:val="44"/>
          <w:sz w:val="36"/>
          <w:szCs w:val="44"/>
        </w:rPr>
        <w:lastRenderedPageBreak/>
        <w:t>参考文献</w:t>
      </w:r>
    </w:p>
    <w:p w:rsidR="00513813" w:rsidRDefault="00AB3F63">
      <w:pPr>
        <w:spacing w:line="360" w:lineRule="auto"/>
        <w:ind w:firstLineChars="200" w:firstLine="480"/>
        <w:rPr>
          <w:sz w:val="24"/>
          <w:szCs w:val="21"/>
        </w:rPr>
      </w:pPr>
      <w:r>
        <w:rPr>
          <w:rFonts w:hint="eastAsia"/>
          <w:sz w:val="24"/>
          <w:szCs w:val="21"/>
        </w:rPr>
        <w:t xml:space="preserve">GB 11930  </w:t>
      </w:r>
      <w:r>
        <w:rPr>
          <w:rFonts w:hint="eastAsia"/>
          <w:sz w:val="24"/>
          <w:szCs w:val="21"/>
        </w:rPr>
        <w:t>操作非密封源的辐射防护规定</w:t>
      </w:r>
    </w:p>
    <w:p w:rsidR="00513813" w:rsidRDefault="00AB3F63">
      <w:pPr>
        <w:spacing w:line="360" w:lineRule="auto"/>
        <w:ind w:firstLineChars="200" w:firstLine="480"/>
        <w:rPr>
          <w:sz w:val="24"/>
          <w:szCs w:val="21"/>
        </w:rPr>
      </w:pPr>
      <w:r>
        <w:rPr>
          <w:rFonts w:hint="eastAsia"/>
          <w:sz w:val="24"/>
          <w:szCs w:val="21"/>
        </w:rPr>
        <w:t xml:space="preserve">GB 18466  </w:t>
      </w:r>
      <w:r>
        <w:rPr>
          <w:rFonts w:hint="eastAsia"/>
          <w:sz w:val="24"/>
          <w:szCs w:val="21"/>
        </w:rPr>
        <w:t>医疗机构水污染物排放标准</w:t>
      </w:r>
    </w:p>
    <w:p w:rsidR="00513813" w:rsidRDefault="00AB3F63">
      <w:pPr>
        <w:spacing w:line="360" w:lineRule="auto"/>
        <w:ind w:firstLineChars="200" w:firstLine="480"/>
        <w:rPr>
          <w:sz w:val="24"/>
          <w:szCs w:val="21"/>
        </w:rPr>
      </w:pPr>
      <w:r>
        <w:rPr>
          <w:rFonts w:hint="eastAsia"/>
          <w:sz w:val="24"/>
          <w:szCs w:val="21"/>
        </w:rPr>
        <w:t xml:space="preserve">EJ 380  </w:t>
      </w:r>
      <w:r>
        <w:rPr>
          <w:rFonts w:hint="eastAsia"/>
          <w:sz w:val="24"/>
          <w:szCs w:val="21"/>
        </w:rPr>
        <w:t>开放型放射性物质实验室辐射防护设计规范</w:t>
      </w:r>
    </w:p>
    <w:p w:rsidR="00513813" w:rsidRDefault="00AB3F63">
      <w:pPr>
        <w:spacing w:line="360" w:lineRule="auto"/>
        <w:ind w:firstLineChars="200" w:firstLine="480"/>
        <w:rPr>
          <w:sz w:val="24"/>
          <w:szCs w:val="21"/>
        </w:rPr>
      </w:pPr>
      <w:r>
        <w:rPr>
          <w:rFonts w:hint="eastAsia"/>
          <w:sz w:val="24"/>
          <w:szCs w:val="21"/>
        </w:rPr>
        <w:t xml:space="preserve">GBZ 120  </w:t>
      </w:r>
      <w:r>
        <w:rPr>
          <w:rFonts w:hint="eastAsia"/>
          <w:sz w:val="24"/>
          <w:szCs w:val="21"/>
        </w:rPr>
        <w:t>核医学放射防护要求</w:t>
      </w:r>
    </w:p>
    <w:p w:rsidR="00513813" w:rsidRDefault="00AB3F63">
      <w:pPr>
        <w:spacing w:line="360" w:lineRule="auto"/>
        <w:ind w:firstLineChars="200" w:firstLine="480"/>
        <w:rPr>
          <w:sz w:val="24"/>
          <w:szCs w:val="21"/>
        </w:rPr>
      </w:pPr>
      <w:r>
        <w:rPr>
          <w:rFonts w:hint="eastAsia"/>
          <w:sz w:val="24"/>
          <w:szCs w:val="21"/>
        </w:rPr>
        <w:t xml:space="preserve">GBZ/T 154  </w:t>
      </w:r>
      <w:r>
        <w:rPr>
          <w:rFonts w:hint="eastAsia"/>
          <w:sz w:val="24"/>
          <w:szCs w:val="21"/>
        </w:rPr>
        <w:t>两种粒度放射性气溶胶年摄入量限值</w:t>
      </w:r>
    </w:p>
    <w:p w:rsidR="00513813" w:rsidRDefault="00AB3F63">
      <w:pPr>
        <w:spacing w:line="360" w:lineRule="auto"/>
        <w:ind w:firstLineChars="200" w:firstLine="480"/>
        <w:rPr>
          <w:sz w:val="24"/>
          <w:szCs w:val="21"/>
        </w:rPr>
      </w:pPr>
      <w:r>
        <w:rPr>
          <w:rFonts w:hint="eastAsia"/>
          <w:sz w:val="24"/>
          <w:szCs w:val="21"/>
        </w:rPr>
        <w:t xml:space="preserve">HJ/T 61  </w:t>
      </w:r>
      <w:r>
        <w:rPr>
          <w:rFonts w:hint="eastAsia"/>
          <w:sz w:val="24"/>
          <w:szCs w:val="21"/>
        </w:rPr>
        <w:t>辐射环境监测技术规范</w:t>
      </w:r>
    </w:p>
    <w:p w:rsidR="00513813" w:rsidRDefault="00AB3F63">
      <w:pPr>
        <w:spacing w:line="360" w:lineRule="auto"/>
        <w:ind w:firstLineChars="200" w:firstLine="480"/>
        <w:rPr>
          <w:sz w:val="24"/>
          <w:szCs w:val="21"/>
        </w:rPr>
      </w:pPr>
      <w:r>
        <w:rPr>
          <w:rFonts w:hint="eastAsia"/>
          <w:sz w:val="24"/>
          <w:szCs w:val="21"/>
        </w:rPr>
        <w:t xml:space="preserve">HJ 2029  </w:t>
      </w:r>
      <w:r>
        <w:rPr>
          <w:rFonts w:hint="eastAsia"/>
          <w:sz w:val="24"/>
          <w:szCs w:val="21"/>
        </w:rPr>
        <w:t>医院污水处理技术规范</w:t>
      </w:r>
    </w:p>
    <w:p w:rsidR="00513813" w:rsidRDefault="00AB3F63">
      <w:pPr>
        <w:spacing w:line="360" w:lineRule="auto"/>
        <w:ind w:firstLineChars="200" w:firstLine="480"/>
        <w:rPr>
          <w:sz w:val="24"/>
          <w:szCs w:val="21"/>
        </w:rPr>
      </w:pPr>
      <w:r>
        <w:rPr>
          <w:rFonts w:hint="eastAsia"/>
          <w:sz w:val="24"/>
          <w:szCs w:val="21"/>
        </w:rPr>
        <w:t xml:space="preserve">WS/T 613  </w:t>
      </w:r>
      <w:r>
        <w:rPr>
          <w:rFonts w:hint="eastAsia"/>
          <w:sz w:val="24"/>
          <w:szCs w:val="21"/>
        </w:rPr>
        <w:t>公众成员的放射性核素年摄入量限值</w:t>
      </w:r>
    </w:p>
    <w:p w:rsidR="00513813" w:rsidRDefault="00AB3F63">
      <w:pPr>
        <w:spacing w:line="360" w:lineRule="auto"/>
        <w:ind w:firstLineChars="200" w:firstLine="480"/>
        <w:rPr>
          <w:sz w:val="24"/>
          <w:szCs w:val="21"/>
        </w:rPr>
      </w:pPr>
      <w:r>
        <w:rPr>
          <w:rFonts w:hint="eastAsia"/>
          <w:sz w:val="24"/>
          <w:szCs w:val="21"/>
        </w:rPr>
        <w:t>全国高等学校教材（供</w:t>
      </w:r>
      <w:r>
        <w:rPr>
          <w:rFonts w:hint="eastAsia"/>
          <w:sz w:val="24"/>
          <w:szCs w:val="21"/>
        </w:rPr>
        <w:t>8</w:t>
      </w:r>
      <w:r>
        <w:rPr>
          <w:rFonts w:hint="eastAsia"/>
          <w:sz w:val="24"/>
          <w:szCs w:val="21"/>
        </w:rPr>
        <w:t>年制及</w:t>
      </w:r>
      <w:r>
        <w:rPr>
          <w:rFonts w:hint="eastAsia"/>
          <w:sz w:val="24"/>
          <w:szCs w:val="21"/>
        </w:rPr>
        <w:t>7</w:t>
      </w:r>
      <w:r>
        <w:rPr>
          <w:rFonts w:hint="eastAsia"/>
          <w:sz w:val="24"/>
          <w:szCs w:val="21"/>
        </w:rPr>
        <w:t>年制临床医学等专业用）《核医学》（第</w:t>
      </w:r>
      <w:r>
        <w:rPr>
          <w:rFonts w:hint="eastAsia"/>
          <w:sz w:val="24"/>
          <w:szCs w:val="21"/>
        </w:rPr>
        <w:t>3</w:t>
      </w:r>
      <w:r>
        <w:rPr>
          <w:rFonts w:hint="eastAsia"/>
          <w:sz w:val="24"/>
          <w:szCs w:val="21"/>
        </w:rPr>
        <w:t>版）</w:t>
      </w:r>
    </w:p>
    <w:p w:rsidR="00513813" w:rsidRDefault="00AB3F63">
      <w:pPr>
        <w:spacing w:line="360" w:lineRule="auto"/>
        <w:ind w:firstLineChars="200" w:firstLine="480"/>
        <w:rPr>
          <w:sz w:val="24"/>
          <w:szCs w:val="21"/>
        </w:rPr>
      </w:pPr>
      <w:r>
        <w:rPr>
          <w:rFonts w:hint="eastAsia"/>
          <w:sz w:val="24"/>
          <w:szCs w:val="21"/>
        </w:rPr>
        <w:t>核医学放射性废水槽式衰变池容积的评价与设计</w:t>
      </w:r>
      <w:r>
        <w:rPr>
          <w:rFonts w:hint="eastAsia"/>
          <w:sz w:val="24"/>
          <w:szCs w:val="21"/>
        </w:rPr>
        <w:t xml:space="preserve">[J]. </w:t>
      </w:r>
      <w:r>
        <w:rPr>
          <w:rFonts w:hint="eastAsia"/>
          <w:sz w:val="24"/>
          <w:szCs w:val="21"/>
        </w:rPr>
        <w:t>中华放射医学与防护杂志</w:t>
      </w:r>
      <w:r>
        <w:rPr>
          <w:rFonts w:hint="eastAsia"/>
          <w:sz w:val="24"/>
          <w:szCs w:val="21"/>
        </w:rPr>
        <w:t xml:space="preserve">, 2022, 42(3): </w:t>
      </w:r>
      <w:proofErr w:type="gramStart"/>
      <w:r>
        <w:rPr>
          <w:rFonts w:hint="eastAsia"/>
          <w:sz w:val="24"/>
          <w:szCs w:val="21"/>
        </w:rPr>
        <w:t>219-224.</w:t>
      </w:r>
      <w:proofErr w:type="gramEnd"/>
    </w:p>
    <w:p w:rsidR="00513813" w:rsidRDefault="00513813">
      <w:pPr>
        <w:pStyle w:val="af7"/>
        <w:widowControl/>
        <w:spacing w:line="360" w:lineRule="auto"/>
        <w:ind w:firstLineChars="0" w:firstLine="0"/>
        <w:jc w:val="left"/>
        <w:rPr>
          <w:rFonts w:cs="宋体"/>
          <w:kern w:val="0"/>
        </w:rPr>
      </w:pPr>
    </w:p>
    <w:sectPr w:rsidR="00513813">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63" w:rsidRDefault="00AB3F63">
      <w:r>
        <w:separator/>
      </w:r>
    </w:p>
  </w:endnote>
  <w:endnote w:type="continuationSeparator" w:id="0">
    <w:p w:rsidR="00AB3F63" w:rsidRDefault="00AB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261166"/>
    </w:sdtPr>
    <w:sdtEndPr/>
    <w:sdtContent>
      <w:p w:rsidR="00513813" w:rsidRDefault="00AB3F63">
        <w:pPr>
          <w:pStyle w:val="ae"/>
          <w:jc w:val="center"/>
        </w:pPr>
        <w:r>
          <w:fldChar w:fldCharType="begin"/>
        </w:r>
        <w:r>
          <w:instrText>PAGE   \* MERGEFORMAT</w:instrText>
        </w:r>
        <w:r>
          <w:fldChar w:fldCharType="separate"/>
        </w:r>
        <w:r w:rsidR="00B83578" w:rsidRPr="00B83578">
          <w:rPr>
            <w:noProof/>
            <w:lang w:val="zh-CN"/>
          </w:rPr>
          <w:t>1</w:t>
        </w:r>
        <w:r>
          <w:fldChar w:fldCharType="end"/>
        </w:r>
      </w:p>
    </w:sdtContent>
  </w:sdt>
  <w:p w:rsidR="00513813" w:rsidRDefault="00513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63" w:rsidRDefault="00AB3F63">
      <w:r>
        <w:separator/>
      </w:r>
    </w:p>
  </w:footnote>
  <w:footnote w:type="continuationSeparator" w:id="0">
    <w:p w:rsidR="00AB3F63" w:rsidRDefault="00AB3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pStyle w:val="a"/>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pStyle w:val="a0"/>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5F4642C5"/>
    <w:multiLevelType w:val="singleLevel"/>
    <w:tmpl w:val="5F4642C5"/>
    <w:lvl w:ilvl="0">
      <w:start w:val="2"/>
      <w:numFmt w:val="decimal"/>
      <w:pStyle w:val="2"/>
      <w:suff w:val="nothing"/>
      <w:lvlText w:val="%1、"/>
      <w:lvlJc w:val="left"/>
    </w:lvl>
  </w:abstractNum>
  <w:abstractNum w:abstractNumId="3">
    <w:nsid w:val="646260FA"/>
    <w:multiLevelType w:val="multilevel"/>
    <w:tmpl w:val="646260FA"/>
    <w:lvl w:ilvl="0">
      <w:start w:val="1"/>
      <w:numFmt w:val="decimal"/>
      <w:pStyle w:val="a1"/>
      <w:suff w:val="nothing"/>
      <w:lvlText w:val="表%1　"/>
      <w:lvlJc w:val="left"/>
      <w:pPr>
        <w:ind w:left="3545"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657D3FBC"/>
    <w:multiLevelType w:val="multilevel"/>
    <w:tmpl w:val="657D3FBC"/>
    <w:lvl w:ilvl="0">
      <w:start w:val="1"/>
      <w:numFmt w:val="upperLetter"/>
      <w:pStyle w:val="a2"/>
      <w:suff w:val="nothing"/>
      <w:lvlText w:val="附录%1"/>
      <w:lvlJc w:val="left"/>
      <w:pPr>
        <w:ind w:left="0" w:firstLine="0"/>
      </w:pPr>
      <w:rPr>
        <w:rFonts w:hint="eastAsia"/>
        <w:spacing w:val="100"/>
      </w:rPr>
    </w:lvl>
    <w:lvl w:ilvl="1">
      <w:start w:val="1"/>
      <w:numFmt w:val="decimal"/>
      <w:pStyle w:val="a3"/>
      <w:suff w:val="nothing"/>
      <w:lvlText w:val="%1.%2　"/>
      <w:lvlJc w:val="left"/>
      <w:pPr>
        <w:ind w:left="0" w:firstLine="0"/>
      </w:pPr>
      <w:rPr>
        <w:rFonts w:ascii="黑体" w:eastAsia="黑体" w:hint="eastAsia"/>
        <w:b w:val="0"/>
        <w:i w:val="0"/>
        <w:strike w:val="0"/>
        <w:sz w:val="21"/>
      </w:rPr>
    </w:lvl>
    <w:lvl w:ilvl="2">
      <w:start w:val="1"/>
      <w:numFmt w:val="decimal"/>
      <w:suff w:val="nothing"/>
      <w:lvlText w:val="%1.%2.%3　"/>
      <w:lvlJc w:val="left"/>
      <w:pPr>
        <w:ind w:left="284"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pStyle w:val="a5"/>
      <w:suff w:val="nothing"/>
      <w:lvlText w:val="%1%2.%3　"/>
      <w:lvlJc w:val="left"/>
      <w:pPr>
        <w:ind w:left="241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6"/>
      <w:suff w:val="nothing"/>
      <w:lvlText w:val="%1%2.%3.%4　"/>
      <w:lvlJc w:val="left"/>
      <w:pPr>
        <w:ind w:left="568" w:firstLine="0"/>
      </w:pPr>
      <w:rPr>
        <w:rFonts w:ascii="黑体" w:eastAsia="黑体" w:hint="eastAsia"/>
        <w:b w:val="0"/>
        <w:i w:val="0"/>
        <w:sz w:val="21"/>
      </w:rPr>
    </w:lvl>
    <w:lvl w:ilvl="4">
      <w:start w:val="1"/>
      <w:numFmt w:val="decimal"/>
      <w:pStyle w:val="a7"/>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420"/>
  <w:drawingGridHorizontalSpacing w:val="105"/>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jIzMjIxN2Y2ZTRiYzlhMjYxOWQxMzk5NWRjMGEifQ=="/>
  </w:docVars>
  <w:rsids>
    <w:rsidRoot w:val="00172A27"/>
    <w:rsid w:val="FFFD157C"/>
    <w:rsid w:val="00001E1E"/>
    <w:rsid w:val="0000279B"/>
    <w:rsid w:val="000731B1"/>
    <w:rsid w:val="00084DE8"/>
    <w:rsid w:val="000B2E28"/>
    <w:rsid w:val="000B5A6C"/>
    <w:rsid w:val="000C04B6"/>
    <w:rsid w:val="000D57B4"/>
    <w:rsid w:val="000E0E84"/>
    <w:rsid w:val="001037A0"/>
    <w:rsid w:val="001129FB"/>
    <w:rsid w:val="00113AB2"/>
    <w:rsid w:val="001168A4"/>
    <w:rsid w:val="001533EA"/>
    <w:rsid w:val="00172A27"/>
    <w:rsid w:val="001A58DC"/>
    <w:rsid w:val="001B491F"/>
    <w:rsid w:val="001B6585"/>
    <w:rsid w:val="001D1B31"/>
    <w:rsid w:val="001D2539"/>
    <w:rsid w:val="0020504A"/>
    <w:rsid w:val="00206B29"/>
    <w:rsid w:val="00216C13"/>
    <w:rsid w:val="002504F2"/>
    <w:rsid w:val="002C1FEE"/>
    <w:rsid w:val="002E16A4"/>
    <w:rsid w:val="00333F6E"/>
    <w:rsid w:val="003428DE"/>
    <w:rsid w:val="00353550"/>
    <w:rsid w:val="003572ED"/>
    <w:rsid w:val="003767DA"/>
    <w:rsid w:val="00376F0B"/>
    <w:rsid w:val="003C3E13"/>
    <w:rsid w:val="003D3BFA"/>
    <w:rsid w:val="003F129C"/>
    <w:rsid w:val="003F23BD"/>
    <w:rsid w:val="003F6FFB"/>
    <w:rsid w:val="00400A08"/>
    <w:rsid w:val="00414E03"/>
    <w:rsid w:val="004176FE"/>
    <w:rsid w:val="004309A4"/>
    <w:rsid w:val="004326B3"/>
    <w:rsid w:val="004716F8"/>
    <w:rsid w:val="00472EBE"/>
    <w:rsid w:val="00474DE0"/>
    <w:rsid w:val="00494DDF"/>
    <w:rsid w:val="004A0BDE"/>
    <w:rsid w:val="004C52FF"/>
    <w:rsid w:val="004D4465"/>
    <w:rsid w:val="004E4CA7"/>
    <w:rsid w:val="004F5C17"/>
    <w:rsid w:val="00513813"/>
    <w:rsid w:val="00516165"/>
    <w:rsid w:val="0051785C"/>
    <w:rsid w:val="00525868"/>
    <w:rsid w:val="00553296"/>
    <w:rsid w:val="00567F3F"/>
    <w:rsid w:val="005912D0"/>
    <w:rsid w:val="005B2CFB"/>
    <w:rsid w:val="005E583C"/>
    <w:rsid w:val="005E5EA2"/>
    <w:rsid w:val="005F76E4"/>
    <w:rsid w:val="00602362"/>
    <w:rsid w:val="00631872"/>
    <w:rsid w:val="00633734"/>
    <w:rsid w:val="00664D03"/>
    <w:rsid w:val="00673416"/>
    <w:rsid w:val="006A7A5D"/>
    <w:rsid w:val="006D0565"/>
    <w:rsid w:val="006E16ED"/>
    <w:rsid w:val="006F3F34"/>
    <w:rsid w:val="006F43B6"/>
    <w:rsid w:val="00731713"/>
    <w:rsid w:val="00734CD2"/>
    <w:rsid w:val="007531C5"/>
    <w:rsid w:val="007600B4"/>
    <w:rsid w:val="00764435"/>
    <w:rsid w:val="007865F6"/>
    <w:rsid w:val="007A430E"/>
    <w:rsid w:val="007D0E54"/>
    <w:rsid w:val="007F0A47"/>
    <w:rsid w:val="007F1E2E"/>
    <w:rsid w:val="00802D32"/>
    <w:rsid w:val="00851883"/>
    <w:rsid w:val="00854AD1"/>
    <w:rsid w:val="008A61C2"/>
    <w:rsid w:val="008B2C65"/>
    <w:rsid w:val="008B30DB"/>
    <w:rsid w:val="008C242A"/>
    <w:rsid w:val="008E2C4E"/>
    <w:rsid w:val="008E4A3C"/>
    <w:rsid w:val="008E4B6A"/>
    <w:rsid w:val="008F4E98"/>
    <w:rsid w:val="00915DF8"/>
    <w:rsid w:val="00936260"/>
    <w:rsid w:val="0096603B"/>
    <w:rsid w:val="009D2414"/>
    <w:rsid w:val="00A036BC"/>
    <w:rsid w:val="00A364BC"/>
    <w:rsid w:val="00A66CFF"/>
    <w:rsid w:val="00A73099"/>
    <w:rsid w:val="00A827E4"/>
    <w:rsid w:val="00A9297B"/>
    <w:rsid w:val="00AA404A"/>
    <w:rsid w:val="00AB3F63"/>
    <w:rsid w:val="00AF2ACD"/>
    <w:rsid w:val="00AF34CB"/>
    <w:rsid w:val="00AF6A13"/>
    <w:rsid w:val="00AF6E32"/>
    <w:rsid w:val="00B134AC"/>
    <w:rsid w:val="00B22CF8"/>
    <w:rsid w:val="00B36111"/>
    <w:rsid w:val="00B622BD"/>
    <w:rsid w:val="00B83578"/>
    <w:rsid w:val="00BC5AE3"/>
    <w:rsid w:val="00BE6885"/>
    <w:rsid w:val="00BE750D"/>
    <w:rsid w:val="00C20A62"/>
    <w:rsid w:val="00C27B16"/>
    <w:rsid w:val="00C3426E"/>
    <w:rsid w:val="00C43EC6"/>
    <w:rsid w:val="00C64887"/>
    <w:rsid w:val="00C72B88"/>
    <w:rsid w:val="00C828C7"/>
    <w:rsid w:val="00CA596E"/>
    <w:rsid w:val="00CB63EA"/>
    <w:rsid w:val="00CC2D49"/>
    <w:rsid w:val="00CE1BC3"/>
    <w:rsid w:val="00D1720F"/>
    <w:rsid w:val="00D24517"/>
    <w:rsid w:val="00D9621B"/>
    <w:rsid w:val="00DA6501"/>
    <w:rsid w:val="00DB0DCE"/>
    <w:rsid w:val="00DB7B47"/>
    <w:rsid w:val="00DC1FBE"/>
    <w:rsid w:val="00DE0BF5"/>
    <w:rsid w:val="00DF2FAF"/>
    <w:rsid w:val="00DF5344"/>
    <w:rsid w:val="00E109E0"/>
    <w:rsid w:val="00E12A56"/>
    <w:rsid w:val="00E35CE5"/>
    <w:rsid w:val="00E36146"/>
    <w:rsid w:val="00E40AA6"/>
    <w:rsid w:val="00E443FC"/>
    <w:rsid w:val="00E504E8"/>
    <w:rsid w:val="00E61C86"/>
    <w:rsid w:val="00E62D6F"/>
    <w:rsid w:val="00E77024"/>
    <w:rsid w:val="00E835D9"/>
    <w:rsid w:val="00EB352F"/>
    <w:rsid w:val="00EB4855"/>
    <w:rsid w:val="00EC2DED"/>
    <w:rsid w:val="00EE0515"/>
    <w:rsid w:val="00F00CFD"/>
    <w:rsid w:val="00F20FB6"/>
    <w:rsid w:val="00F515EF"/>
    <w:rsid w:val="00F80FAD"/>
    <w:rsid w:val="00F8367D"/>
    <w:rsid w:val="00F854D0"/>
    <w:rsid w:val="00F85F51"/>
    <w:rsid w:val="00FA0AAC"/>
    <w:rsid w:val="00FB1EA0"/>
    <w:rsid w:val="00FD62C5"/>
    <w:rsid w:val="00FE77D5"/>
    <w:rsid w:val="01D73C13"/>
    <w:rsid w:val="0224362A"/>
    <w:rsid w:val="02F65C98"/>
    <w:rsid w:val="0324111A"/>
    <w:rsid w:val="035023A5"/>
    <w:rsid w:val="038B4DFE"/>
    <w:rsid w:val="056F0BD5"/>
    <w:rsid w:val="05BB24F7"/>
    <w:rsid w:val="05C70E9C"/>
    <w:rsid w:val="06826339"/>
    <w:rsid w:val="06B21F8D"/>
    <w:rsid w:val="07ED0468"/>
    <w:rsid w:val="08BB60F5"/>
    <w:rsid w:val="08E9737B"/>
    <w:rsid w:val="08EC0C19"/>
    <w:rsid w:val="09121A3F"/>
    <w:rsid w:val="091B685C"/>
    <w:rsid w:val="0A090F66"/>
    <w:rsid w:val="0A7A58AC"/>
    <w:rsid w:val="0AE630B3"/>
    <w:rsid w:val="0AED5443"/>
    <w:rsid w:val="0B317BDB"/>
    <w:rsid w:val="0BDE2A9B"/>
    <w:rsid w:val="0E9C23E6"/>
    <w:rsid w:val="0F7A0D2D"/>
    <w:rsid w:val="10465E59"/>
    <w:rsid w:val="1080152E"/>
    <w:rsid w:val="11BE542C"/>
    <w:rsid w:val="11D1474A"/>
    <w:rsid w:val="1366238E"/>
    <w:rsid w:val="13875E01"/>
    <w:rsid w:val="13BE2810"/>
    <w:rsid w:val="14542FD4"/>
    <w:rsid w:val="14BA3EDC"/>
    <w:rsid w:val="14C52C70"/>
    <w:rsid w:val="152F6116"/>
    <w:rsid w:val="16B74615"/>
    <w:rsid w:val="16DC13D6"/>
    <w:rsid w:val="17125320"/>
    <w:rsid w:val="177E6D59"/>
    <w:rsid w:val="17884203"/>
    <w:rsid w:val="182932F0"/>
    <w:rsid w:val="19BE4E0B"/>
    <w:rsid w:val="19EC507C"/>
    <w:rsid w:val="1A4F0431"/>
    <w:rsid w:val="1AA17AB6"/>
    <w:rsid w:val="1B4519E2"/>
    <w:rsid w:val="1BC021BE"/>
    <w:rsid w:val="1C093B64"/>
    <w:rsid w:val="1C2C33AF"/>
    <w:rsid w:val="1C8431EB"/>
    <w:rsid w:val="1D1D2C1B"/>
    <w:rsid w:val="1F0F05A4"/>
    <w:rsid w:val="205804E3"/>
    <w:rsid w:val="20A84EC3"/>
    <w:rsid w:val="20BE2F28"/>
    <w:rsid w:val="21481A1D"/>
    <w:rsid w:val="21A95DE0"/>
    <w:rsid w:val="21AA47BF"/>
    <w:rsid w:val="21BA76AF"/>
    <w:rsid w:val="21DD6EFA"/>
    <w:rsid w:val="224C47AB"/>
    <w:rsid w:val="22CC6F93"/>
    <w:rsid w:val="22F307E5"/>
    <w:rsid w:val="242769B6"/>
    <w:rsid w:val="244871F4"/>
    <w:rsid w:val="24D60068"/>
    <w:rsid w:val="25CB52A5"/>
    <w:rsid w:val="25EA28BE"/>
    <w:rsid w:val="260B648D"/>
    <w:rsid w:val="264F4879"/>
    <w:rsid w:val="2765562F"/>
    <w:rsid w:val="277B168E"/>
    <w:rsid w:val="278E3170"/>
    <w:rsid w:val="28EC5901"/>
    <w:rsid w:val="299E123B"/>
    <w:rsid w:val="299F19D2"/>
    <w:rsid w:val="2AB021AF"/>
    <w:rsid w:val="2B8A1EA0"/>
    <w:rsid w:val="2BF914DF"/>
    <w:rsid w:val="2C0077CE"/>
    <w:rsid w:val="2D353A23"/>
    <w:rsid w:val="2EE37DFF"/>
    <w:rsid w:val="2F923482"/>
    <w:rsid w:val="31623FD5"/>
    <w:rsid w:val="31717269"/>
    <w:rsid w:val="31A94957"/>
    <w:rsid w:val="328B35DE"/>
    <w:rsid w:val="338D521C"/>
    <w:rsid w:val="33D642E8"/>
    <w:rsid w:val="351F3E0C"/>
    <w:rsid w:val="35276684"/>
    <w:rsid w:val="353439DD"/>
    <w:rsid w:val="35CA376C"/>
    <w:rsid w:val="36CB3DB7"/>
    <w:rsid w:val="36F25484"/>
    <w:rsid w:val="381C47C8"/>
    <w:rsid w:val="38435CD6"/>
    <w:rsid w:val="3945157C"/>
    <w:rsid w:val="39A14F85"/>
    <w:rsid w:val="3A226428"/>
    <w:rsid w:val="3AA11731"/>
    <w:rsid w:val="3B4636AA"/>
    <w:rsid w:val="3BC2699C"/>
    <w:rsid w:val="3BD05468"/>
    <w:rsid w:val="3BF92FCE"/>
    <w:rsid w:val="3CBA0719"/>
    <w:rsid w:val="3E696E6B"/>
    <w:rsid w:val="3EF45B57"/>
    <w:rsid w:val="3F9E6094"/>
    <w:rsid w:val="40210BCD"/>
    <w:rsid w:val="404372F4"/>
    <w:rsid w:val="407C221B"/>
    <w:rsid w:val="41C704BB"/>
    <w:rsid w:val="42487ADC"/>
    <w:rsid w:val="42F71AD2"/>
    <w:rsid w:val="4365162B"/>
    <w:rsid w:val="442962A2"/>
    <w:rsid w:val="4508235C"/>
    <w:rsid w:val="467A7950"/>
    <w:rsid w:val="47326B82"/>
    <w:rsid w:val="4794629C"/>
    <w:rsid w:val="48952158"/>
    <w:rsid w:val="493354CD"/>
    <w:rsid w:val="49703073"/>
    <w:rsid w:val="498E2D13"/>
    <w:rsid w:val="49C37F7C"/>
    <w:rsid w:val="4A37705E"/>
    <w:rsid w:val="4A716BD1"/>
    <w:rsid w:val="4A9C5796"/>
    <w:rsid w:val="4C004DC5"/>
    <w:rsid w:val="4C6D5CB3"/>
    <w:rsid w:val="4DA502EC"/>
    <w:rsid w:val="4DB93571"/>
    <w:rsid w:val="4E22182F"/>
    <w:rsid w:val="4E684D20"/>
    <w:rsid w:val="4EFF657E"/>
    <w:rsid w:val="50245B70"/>
    <w:rsid w:val="50FA56C3"/>
    <w:rsid w:val="51271DBC"/>
    <w:rsid w:val="514F3E5B"/>
    <w:rsid w:val="51CA7897"/>
    <w:rsid w:val="52A35472"/>
    <w:rsid w:val="53342081"/>
    <w:rsid w:val="53A172F0"/>
    <w:rsid w:val="5411465D"/>
    <w:rsid w:val="546215A5"/>
    <w:rsid w:val="552347CA"/>
    <w:rsid w:val="5551205F"/>
    <w:rsid w:val="557B22E9"/>
    <w:rsid w:val="55C25DDC"/>
    <w:rsid w:val="588161B4"/>
    <w:rsid w:val="593B28A8"/>
    <w:rsid w:val="594828CF"/>
    <w:rsid w:val="5A3C15A0"/>
    <w:rsid w:val="5A8774A5"/>
    <w:rsid w:val="5A9B6046"/>
    <w:rsid w:val="5ACF1E2B"/>
    <w:rsid w:val="5BBF152C"/>
    <w:rsid w:val="5C481799"/>
    <w:rsid w:val="5C86208C"/>
    <w:rsid w:val="5CD1704D"/>
    <w:rsid w:val="5CED4F6D"/>
    <w:rsid w:val="5DA5036A"/>
    <w:rsid w:val="5DAD5125"/>
    <w:rsid w:val="5E393C76"/>
    <w:rsid w:val="5E596C5B"/>
    <w:rsid w:val="5E983083"/>
    <w:rsid w:val="600B172D"/>
    <w:rsid w:val="61BC3E5A"/>
    <w:rsid w:val="620F1E56"/>
    <w:rsid w:val="62775775"/>
    <w:rsid w:val="638A7F8E"/>
    <w:rsid w:val="63F83144"/>
    <w:rsid w:val="653E33B4"/>
    <w:rsid w:val="65B76366"/>
    <w:rsid w:val="65C66A8B"/>
    <w:rsid w:val="65E90ACB"/>
    <w:rsid w:val="660B1854"/>
    <w:rsid w:val="66FB238F"/>
    <w:rsid w:val="673E5D7E"/>
    <w:rsid w:val="678106E7"/>
    <w:rsid w:val="67FFAA95"/>
    <w:rsid w:val="68FE3AB4"/>
    <w:rsid w:val="69937B96"/>
    <w:rsid w:val="6A3B2C5D"/>
    <w:rsid w:val="6AC71795"/>
    <w:rsid w:val="6B342DB6"/>
    <w:rsid w:val="6BB1180E"/>
    <w:rsid w:val="6C6C35A4"/>
    <w:rsid w:val="6CA4030D"/>
    <w:rsid w:val="6D341690"/>
    <w:rsid w:val="6DB7443C"/>
    <w:rsid w:val="6EA2087C"/>
    <w:rsid w:val="6F046726"/>
    <w:rsid w:val="6F0474C4"/>
    <w:rsid w:val="707E5C20"/>
    <w:rsid w:val="70D54D05"/>
    <w:rsid w:val="714F50CC"/>
    <w:rsid w:val="71654A6F"/>
    <w:rsid w:val="7239457E"/>
    <w:rsid w:val="72764315"/>
    <w:rsid w:val="729F452A"/>
    <w:rsid w:val="748C6A5A"/>
    <w:rsid w:val="74DB2652"/>
    <w:rsid w:val="750C3D6D"/>
    <w:rsid w:val="795409C4"/>
    <w:rsid w:val="7A604E5D"/>
    <w:rsid w:val="7AD14F03"/>
    <w:rsid w:val="7B05466C"/>
    <w:rsid w:val="7B444279"/>
    <w:rsid w:val="7B565E0B"/>
    <w:rsid w:val="7B821819"/>
    <w:rsid w:val="7BB57E40"/>
    <w:rsid w:val="7C8415C1"/>
    <w:rsid w:val="7CC7047D"/>
    <w:rsid w:val="7CDA3399"/>
    <w:rsid w:val="7D3B6786"/>
    <w:rsid w:val="7E413C0D"/>
    <w:rsid w:val="7EAF0B77"/>
    <w:rsid w:val="7EF9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unhideWhenUsed="0" w:qFormat="1"/>
    <w:lsdException w:name="annotation text" w:semiHidden="0" w:uiPriority="99" w:unhideWhenUsed="0" w:qFormat="1"/>
    <w:lsdException w:name="header" w:semiHidden="0" w:unhideWhenUsed="0" w:qFormat="1"/>
    <w:lsdException w:name="footer" w:semiHidden="0" w:uiPriority="99" w:unhideWhenUsed="0" w:qFormat="1"/>
    <w:lsdException w:name="caption" w:qFormat="1"/>
    <w:lsdException w:name="annotation reference" w:semiHidden="0"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Code" w:semiHidden="0" w:unhideWhenUsed="0" w:qFormat="1"/>
    <w:lsdException w:name="HTML Definition" w:semiHidden="0" w:unhideWhenUsed="0" w:qFormat="1"/>
    <w:lsdException w:name="HTML Keyboard" w:qFormat="1"/>
    <w:lsdException w:name="HTML Sample"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rPr>
      <w:kern w:val="2"/>
      <w:sz w:val="21"/>
      <w:szCs w:val="24"/>
    </w:rPr>
  </w:style>
  <w:style w:type="paragraph" w:styleId="1">
    <w:name w:val="heading 1"/>
    <w:basedOn w:val="a8"/>
    <w:next w:val="a8"/>
    <w:uiPriority w:val="9"/>
    <w:qFormat/>
    <w:pPr>
      <w:keepNext/>
      <w:keepLines/>
      <w:spacing w:before="340" w:after="330" w:line="578" w:lineRule="auto"/>
      <w:outlineLvl w:val="0"/>
    </w:pPr>
    <w:rPr>
      <w:rFonts w:eastAsia="黑体"/>
      <w:bCs/>
      <w:kern w:val="44"/>
      <w:sz w:val="36"/>
      <w:szCs w:val="44"/>
    </w:rPr>
  </w:style>
  <w:style w:type="paragraph" w:styleId="2">
    <w:name w:val="heading 2"/>
    <w:basedOn w:val="a8"/>
    <w:next w:val="a8"/>
    <w:link w:val="2Char"/>
    <w:qFormat/>
    <w:pPr>
      <w:keepNext/>
      <w:keepLines/>
      <w:numPr>
        <w:numId w:val="1"/>
      </w:numPr>
      <w:spacing w:before="260" w:after="260" w:line="415" w:lineRule="auto"/>
      <w:outlineLvl w:val="1"/>
    </w:pPr>
    <w:rPr>
      <w:rFonts w:eastAsia="仿宋_GB2312"/>
      <w:b/>
      <w:bCs/>
      <w:sz w:val="28"/>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Char"/>
    <w:uiPriority w:val="99"/>
    <w:qFormat/>
    <w:pPr>
      <w:jc w:val="left"/>
    </w:pPr>
  </w:style>
  <w:style w:type="paragraph" w:styleId="3">
    <w:name w:val="toc 3"/>
    <w:basedOn w:val="a8"/>
    <w:next w:val="a8"/>
    <w:uiPriority w:val="39"/>
    <w:qFormat/>
    <w:pPr>
      <w:ind w:leftChars="400" w:left="840"/>
    </w:pPr>
  </w:style>
  <w:style w:type="paragraph" w:styleId="ad">
    <w:name w:val="Balloon Text"/>
    <w:basedOn w:val="a8"/>
    <w:link w:val="Char0"/>
    <w:semiHidden/>
    <w:unhideWhenUsed/>
    <w:qFormat/>
    <w:rPr>
      <w:sz w:val="18"/>
      <w:szCs w:val="18"/>
    </w:rPr>
  </w:style>
  <w:style w:type="paragraph" w:styleId="ae">
    <w:name w:val="footer"/>
    <w:basedOn w:val="a8"/>
    <w:link w:val="Char1"/>
    <w:uiPriority w:val="99"/>
    <w:qFormat/>
    <w:pPr>
      <w:tabs>
        <w:tab w:val="center" w:pos="4153"/>
        <w:tab w:val="right" w:pos="8306"/>
      </w:tabs>
      <w:snapToGrid w:val="0"/>
      <w:jc w:val="left"/>
    </w:pPr>
    <w:rPr>
      <w:sz w:val="18"/>
    </w:rPr>
  </w:style>
  <w:style w:type="paragraph" w:styleId="af">
    <w:name w:val="header"/>
    <w:basedOn w:val="a8"/>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8"/>
    <w:next w:val="a8"/>
    <w:uiPriority w:val="39"/>
    <w:qFormat/>
  </w:style>
  <w:style w:type="paragraph" w:styleId="20">
    <w:name w:val="toc 2"/>
    <w:basedOn w:val="a8"/>
    <w:next w:val="a8"/>
    <w:uiPriority w:val="39"/>
    <w:qFormat/>
    <w:pPr>
      <w:ind w:leftChars="200" w:left="420"/>
    </w:pPr>
  </w:style>
  <w:style w:type="paragraph" w:styleId="af0">
    <w:name w:val="Normal (Web)"/>
    <w:basedOn w:val="a8"/>
    <w:qFormat/>
    <w:pPr>
      <w:spacing w:beforeAutospacing="1" w:afterAutospacing="1"/>
      <w:jc w:val="left"/>
    </w:pPr>
    <w:rPr>
      <w:kern w:val="0"/>
      <w:sz w:val="24"/>
    </w:rPr>
  </w:style>
  <w:style w:type="paragraph" w:styleId="af1">
    <w:name w:val="annotation subject"/>
    <w:basedOn w:val="ac"/>
    <w:next w:val="ac"/>
    <w:link w:val="Char2"/>
    <w:semiHidden/>
    <w:unhideWhenUsed/>
    <w:qFormat/>
    <w:rPr>
      <w:b/>
      <w:bCs/>
    </w:rPr>
  </w:style>
  <w:style w:type="table" w:styleId="af2">
    <w:name w:val="Table Grid"/>
    <w:basedOn w:val="aa"/>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9"/>
    <w:qFormat/>
    <w:rPr>
      <w:b/>
      <w:bCs/>
    </w:rPr>
  </w:style>
  <w:style w:type="character" w:styleId="af4">
    <w:name w:val="FollowedHyperlink"/>
    <w:basedOn w:val="a9"/>
    <w:qFormat/>
    <w:rPr>
      <w:color w:val="800080"/>
      <w:u w:val="none"/>
    </w:rPr>
  </w:style>
  <w:style w:type="character" w:styleId="HTML">
    <w:name w:val="HTML Definition"/>
    <w:basedOn w:val="a9"/>
    <w:qFormat/>
    <w:rPr>
      <w:i/>
      <w:iCs/>
    </w:rPr>
  </w:style>
  <w:style w:type="character" w:styleId="af5">
    <w:name w:val="Hyperlink"/>
    <w:basedOn w:val="a9"/>
    <w:uiPriority w:val="99"/>
    <w:unhideWhenUsed/>
    <w:qFormat/>
    <w:rPr>
      <w:color w:val="0000FF" w:themeColor="hyperlink"/>
      <w:u w:val="single"/>
    </w:rPr>
  </w:style>
  <w:style w:type="character" w:styleId="HTML0">
    <w:name w:val="HTML Code"/>
    <w:basedOn w:val="a9"/>
    <w:qFormat/>
    <w:rPr>
      <w:rFonts w:ascii="Consolas" w:eastAsia="Consolas" w:hAnsi="Consolas" w:cs="Consolas"/>
      <w:color w:val="C7254E"/>
      <w:sz w:val="21"/>
      <w:szCs w:val="21"/>
      <w:shd w:val="clear" w:color="auto" w:fill="F9F2F4"/>
    </w:rPr>
  </w:style>
  <w:style w:type="character" w:styleId="af6">
    <w:name w:val="annotation reference"/>
    <w:basedOn w:val="a9"/>
    <w:uiPriority w:val="99"/>
    <w:unhideWhenUsed/>
    <w:qFormat/>
    <w:rPr>
      <w:sz w:val="21"/>
      <w:szCs w:val="21"/>
    </w:rPr>
  </w:style>
  <w:style w:type="character" w:styleId="HTML1">
    <w:name w:val="HTML Keyboard"/>
    <w:basedOn w:val="a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9"/>
    <w:qFormat/>
    <w:rPr>
      <w:rFonts w:ascii="Consolas" w:eastAsia="Consolas" w:hAnsi="Consolas" w:cs="Consolas" w:hint="default"/>
      <w:sz w:val="21"/>
      <w:szCs w:val="21"/>
    </w:rPr>
  </w:style>
  <w:style w:type="paragraph" w:styleId="af7">
    <w:name w:val="List Paragraph"/>
    <w:basedOn w:val="a8"/>
    <w:uiPriority w:val="99"/>
    <w:qFormat/>
    <w:pPr>
      <w:ind w:firstLineChars="200" w:firstLine="420"/>
    </w:pPr>
  </w:style>
  <w:style w:type="paragraph" w:customStyle="1" w:styleId="af8">
    <w:name w:val="表格文字"/>
    <w:basedOn w:val="a8"/>
    <w:qFormat/>
    <w:pPr>
      <w:spacing w:before="100" w:beforeAutospacing="1" w:after="100" w:afterAutospacing="1" w:line="360" w:lineRule="auto"/>
      <w:jc w:val="center"/>
    </w:pPr>
    <w:rPr>
      <w:rFonts w:eastAsia="仿宋_GB2312"/>
      <w:sz w:val="32"/>
      <w:szCs w:val="20"/>
    </w:rPr>
  </w:style>
  <w:style w:type="character" w:customStyle="1" w:styleId="2Char">
    <w:name w:val="标题 2 Char"/>
    <w:basedOn w:val="a9"/>
    <w:link w:val="2"/>
    <w:qFormat/>
    <w:rPr>
      <w:rFonts w:eastAsia="仿宋_GB2312"/>
      <w:b/>
      <w:bCs/>
      <w:kern w:val="2"/>
      <w:sz w:val="28"/>
      <w:szCs w:val="32"/>
    </w:rPr>
  </w:style>
  <w:style w:type="paragraph" w:customStyle="1" w:styleId="11">
    <w:name w:val="修订1"/>
    <w:hidden/>
    <w:uiPriority w:val="99"/>
    <w:semiHidden/>
    <w:qFormat/>
    <w:rPr>
      <w:kern w:val="2"/>
      <w:sz w:val="21"/>
      <w:szCs w:val="24"/>
    </w:rPr>
  </w:style>
  <w:style w:type="character" w:customStyle="1" w:styleId="Char1">
    <w:name w:val="页脚 Char"/>
    <w:basedOn w:val="a9"/>
    <w:link w:val="ae"/>
    <w:uiPriority w:val="99"/>
    <w:qFormat/>
    <w:rPr>
      <w:kern w:val="2"/>
      <w:sz w:val="18"/>
      <w:szCs w:val="24"/>
    </w:rPr>
  </w:style>
  <w:style w:type="paragraph" w:customStyle="1" w:styleId="a1">
    <w:name w:val="标准文件_正文表标题"/>
    <w:next w:val="af9"/>
    <w:qFormat/>
    <w:pPr>
      <w:numPr>
        <w:numId w:val="2"/>
      </w:numPr>
      <w:tabs>
        <w:tab w:val="left" w:pos="0"/>
      </w:tabs>
      <w:spacing w:beforeLines="50" w:before="50" w:afterLines="50" w:after="50"/>
      <w:jc w:val="center"/>
    </w:pPr>
    <w:rPr>
      <w:rFonts w:ascii="黑体" w:eastAsia="黑体"/>
      <w:sz w:val="21"/>
    </w:rPr>
  </w:style>
  <w:style w:type="paragraph" w:customStyle="1" w:styleId="af9">
    <w:name w:val="标准文件_段"/>
    <w:link w:val="Char3"/>
    <w:qFormat/>
    <w:pPr>
      <w:autoSpaceDE w:val="0"/>
      <w:autoSpaceDN w:val="0"/>
      <w:ind w:firstLineChars="200" w:firstLine="200"/>
      <w:jc w:val="both"/>
    </w:pPr>
    <w:rPr>
      <w:rFonts w:ascii="宋体"/>
      <w:sz w:val="21"/>
    </w:rPr>
  </w:style>
  <w:style w:type="paragraph" w:customStyle="1" w:styleId="afa">
    <w:name w:val="标准文件_表格"/>
    <w:basedOn w:val="af9"/>
    <w:qFormat/>
    <w:pPr>
      <w:ind w:firstLineChars="0" w:firstLine="0"/>
      <w:jc w:val="center"/>
    </w:pPr>
    <w:rPr>
      <w:sz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b">
    <w:name w:val="标准文件_术语条一"/>
    <w:basedOn w:val="afc"/>
    <w:next w:val="af9"/>
    <w:qFormat/>
  </w:style>
  <w:style w:type="paragraph" w:customStyle="1" w:styleId="afc">
    <w:name w:val="标准文件_一级无标题"/>
    <w:basedOn w:val="a5"/>
    <w:qFormat/>
    <w:pPr>
      <w:spacing w:beforeLines="0" w:before="0" w:afterLines="0" w:after="0"/>
      <w:outlineLvl w:val="9"/>
    </w:pPr>
    <w:rPr>
      <w:rFonts w:ascii="宋体" w:eastAsia="宋体"/>
    </w:rPr>
  </w:style>
  <w:style w:type="paragraph" w:customStyle="1" w:styleId="a5">
    <w:name w:val="标准文件_一级条标题"/>
    <w:basedOn w:val="a4"/>
    <w:next w:val="af9"/>
    <w:qFormat/>
    <w:pPr>
      <w:numPr>
        <w:ilvl w:val="2"/>
      </w:numPr>
      <w:spacing w:beforeLines="50" w:before="50" w:afterLines="50" w:after="50"/>
      <w:outlineLvl w:val="1"/>
    </w:pPr>
  </w:style>
  <w:style w:type="paragraph" w:customStyle="1" w:styleId="a4">
    <w:name w:val="标准文件_章标题"/>
    <w:next w:val="af9"/>
    <w:qFormat/>
    <w:pPr>
      <w:numPr>
        <w:ilvl w:val="1"/>
        <w:numId w:val="3"/>
      </w:numPr>
      <w:spacing w:beforeLines="100" w:before="100" w:afterLines="100" w:after="100"/>
      <w:jc w:val="both"/>
      <w:outlineLvl w:val="0"/>
    </w:pPr>
    <w:rPr>
      <w:rFonts w:ascii="黑体" w:eastAsia="黑体"/>
      <w:sz w:val="21"/>
    </w:rPr>
  </w:style>
  <w:style w:type="paragraph" w:customStyle="1" w:styleId="afd">
    <w:name w:val="标准文件_二级无标题"/>
    <w:basedOn w:val="a6"/>
    <w:qFormat/>
    <w:pPr>
      <w:spacing w:beforeLines="0" w:before="0" w:afterLines="0" w:after="0"/>
      <w:outlineLvl w:val="9"/>
    </w:pPr>
    <w:rPr>
      <w:rFonts w:ascii="宋体" w:eastAsia="宋体"/>
    </w:rPr>
  </w:style>
  <w:style w:type="paragraph" w:customStyle="1" w:styleId="a6">
    <w:name w:val="标准文件_二级条标题"/>
    <w:next w:val="af9"/>
    <w:qFormat/>
    <w:pPr>
      <w:widowControl w:val="0"/>
      <w:numPr>
        <w:ilvl w:val="3"/>
        <w:numId w:val="3"/>
      </w:numPr>
      <w:spacing w:beforeLines="50" w:before="50" w:afterLines="50" w:after="50"/>
      <w:jc w:val="both"/>
      <w:outlineLvl w:val="2"/>
    </w:pPr>
    <w:rPr>
      <w:rFonts w:ascii="黑体" w:eastAsia="黑体"/>
      <w:sz w:val="21"/>
    </w:rPr>
  </w:style>
  <w:style w:type="paragraph" w:customStyle="1" w:styleId="a2">
    <w:name w:val="标准文件_附录标识"/>
    <w:next w:val="af9"/>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3">
    <w:name w:val="标准文件_附录一级条标题"/>
    <w:next w:val="af9"/>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e">
    <w:name w:val="标准文件_三级无标题"/>
    <w:basedOn w:val="a7"/>
    <w:qFormat/>
    <w:pPr>
      <w:spacing w:beforeLines="0" w:before="0" w:afterLines="0" w:after="0"/>
      <w:outlineLvl w:val="9"/>
    </w:pPr>
    <w:rPr>
      <w:rFonts w:ascii="宋体" w:eastAsia="宋体"/>
    </w:rPr>
  </w:style>
  <w:style w:type="paragraph" w:customStyle="1" w:styleId="a7">
    <w:name w:val="标准文件_三级条标题"/>
    <w:basedOn w:val="a6"/>
    <w:next w:val="af9"/>
    <w:qFormat/>
    <w:pPr>
      <w:widowControl/>
      <w:numPr>
        <w:ilvl w:val="4"/>
      </w:numPr>
      <w:outlineLvl w:val="3"/>
    </w:pPr>
  </w:style>
  <w:style w:type="table" w:customStyle="1" w:styleId="12">
    <w:name w:val="网格型1"/>
    <w:basedOn w:val="a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8"/>
    <w:uiPriority w:val="39"/>
    <w:unhideWhenUsed/>
    <w:qFormat/>
    <w:pPr>
      <w:widowControl/>
      <w:spacing w:before="240" w:after="0" w:line="259" w:lineRule="auto"/>
      <w:jc w:val="left"/>
      <w:outlineLvl w:val="9"/>
    </w:pPr>
    <w:rPr>
      <w:rFonts w:asciiTheme="majorHAnsi" w:eastAsiaTheme="majorEastAsia" w:hAnsiTheme="majorHAnsi" w:cstheme="majorBidi"/>
      <w:bCs w:val="0"/>
      <w:color w:val="365F91" w:themeColor="accent1" w:themeShade="BF"/>
      <w:kern w:val="0"/>
      <w:sz w:val="32"/>
      <w:szCs w:val="32"/>
    </w:rPr>
  </w:style>
  <w:style w:type="character" w:customStyle="1" w:styleId="Char3">
    <w:name w:val="标准文件_段 Char"/>
    <w:link w:val="af9"/>
    <w:qFormat/>
    <w:rPr>
      <w:rFonts w:ascii="宋体"/>
      <w:sz w:val="21"/>
    </w:rPr>
  </w:style>
  <w:style w:type="character" w:customStyle="1" w:styleId="Char">
    <w:name w:val="批注文字 Char"/>
    <w:basedOn w:val="a9"/>
    <w:link w:val="ac"/>
    <w:uiPriority w:val="99"/>
    <w:qFormat/>
    <w:rPr>
      <w:kern w:val="2"/>
      <w:sz w:val="21"/>
      <w:szCs w:val="24"/>
    </w:rPr>
  </w:style>
  <w:style w:type="character" w:customStyle="1" w:styleId="nth-child3">
    <w:name w:val="nth-child(3)"/>
    <w:basedOn w:val="a9"/>
    <w:qFormat/>
    <w:rPr>
      <w:color w:val="666666"/>
      <w:sz w:val="21"/>
      <w:szCs w:val="21"/>
    </w:rPr>
  </w:style>
  <w:style w:type="character" w:customStyle="1" w:styleId="nth-child31">
    <w:name w:val="nth-child(3)1"/>
    <w:basedOn w:val="a9"/>
    <w:qFormat/>
    <w:rPr>
      <w:color w:val="666666"/>
      <w:sz w:val="21"/>
      <w:szCs w:val="21"/>
    </w:rPr>
  </w:style>
  <w:style w:type="character" w:customStyle="1" w:styleId="number">
    <w:name w:val="number"/>
    <w:basedOn w:val="a9"/>
    <w:qFormat/>
    <w:rPr>
      <w:color w:val="FFFFFF"/>
      <w:sz w:val="15"/>
      <w:szCs w:val="15"/>
      <w:bdr w:val="single" w:sz="6" w:space="0" w:color="EC6941"/>
      <w:shd w:val="clear" w:color="auto" w:fill="EC6941"/>
    </w:rPr>
  </w:style>
  <w:style w:type="character" w:customStyle="1" w:styleId="cur11">
    <w:name w:val="cur11"/>
    <w:basedOn w:val="a9"/>
    <w:qFormat/>
    <w:rPr>
      <w:color w:val="FFFFFF"/>
      <w:shd w:val="clear" w:color="auto" w:fill="2B7FCE"/>
    </w:rPr>
  </w:style>
  <w:style w:type="character" w:customStyle="1" w:styleId="index2">
    <w:name w:val="index2"/>
    <w:basedOn w:val="a9"/>
    <w:qFormat/>
  </w:style>
  <w:style w:type="character" w:customStyle="1" w:styleId="index3">
    <w:name w:val="index3"/>
    <w:basedOn w:val="a9"/>
    <w:qFormat/>
    <w:rPr>
      <w:color w:val="FFFFFF"/>
    </w:rPr>
  </w:style>
  <w:style w:type="character" w:customStyle="1" w:styleId="index4">
    <w:name w:val="index4"/>
    <w:basedOn w:val="a9"/>
    <w:qFormat/>
  </w:style>
  <w:style w:type="paragraph" w:customStyle="1" w:styleId="21">
    <w:name w:val="修订2"/>
    <w:hidden/>
    <w:uiPriority w:val="99"/>
    <w:semiHidden/>
    <w:qFormat/>
    <w:rPr>
      <w:kern w:val="2"/>
      <w:sz w:val="21"/>
      <w:szCs w:val="24"/>
    </w:rPr>
  </w:style>
  <w:style w:type="character" w:customStyle="1" w:styleId="Char2">
    <w:name w:val="批注主题 Char"/>
    <w:basedOn w:val="Char"/>
    <w:link w:val="af1"/>
    <w:semiHidden/>
    <w:qFormat/>
    <w:rPr>
      <w:b/>
      <w:bCs/>
      <w:kern w:val="2"/>
      <w:sz w:val="21"/>
      <w:szCs w:val="24"/>
    </w:rPr>
  </w:style>
  <w:style w:type="character" w:customStyle="1" w:styleId="Char0">
    <w:name w:val="批注框文本 Char"/>
    <w:basedOn w:val="a9"/>
    <w:link w:val="ad"/>
    <w:semiHidden/>
    <w:qFormat/>
    <w:rPr>
      <w:kern w:val="2"/>
      <w:sz w:val="18"/>
      <w:szCs w:val="18"/>
    </w:rPr>
  </w:style>
  <w:style w:type="paragraph" w:customStyle="1" w:styleId="31">
    <w:name w:val="修订3"/>
    <w:hidden/>
    <w:uiPriority w:val="99"/>
    <w:semiHidden/>
    <w:qFormat/>
    <w:rPr>
      <w:kern w:val="2"/>
      <w:sz w:val="21"/>
      <w:szCs w:val="24"/>
    </w:rPr>
  </w:style>
  <w:style w:type="paragraph" w:customStyle="1" w:styleId="a">
    <w:name w:val="标准文件_数字编号列项（二级）"/>
    <w:qFormat/>
    <w:pPr>
      <w:numPr>
        <w:ilvl w:val="1"/>
        <w:numId w:val="5"/>
      </w:numPr>
      <w:tabs>
        <w:tab w:val="left" w:pos="851"/>
      </w:tabs>
      <w:jc w:val="both"/>
    </w:pPr>
    <w:rPr>
      <w:rFonts w:ascii="宋体"/>
      <w:sz w:val="21"/>
    </w:rPr>
  </w:style>
  <w:style w:type="paragraph" w:customStyle="1" w:styleId="a0">
    <w:name w:val="标准文件_附录表标题"/>
    <w:next w:val="af9"/>
    <w:qFormat/>
    <w:pPr>
      <w:numPr>
        <w:ilvl w:val="1"/>
        <w:numId w:val="6"/>
      </w:numPr>
      <w:adjustRightInd w:val="0"/>
      <w:snapToGrid w:val="0"/>
      <w:spacing w:beforeLines="50" w:before="50" w:afterLines="50" w:after="50"/>
      <w:jc w:val="center"/>
      <w:textAlignment w:val="baseline"/>
    </w:pPr>
    <w:rPr>
      <w:rFonts w:ascii="黑体" w:eastAsia="黑体"/>
      <w:kern w:val="21"/>
      <w:sz w:val="21"/>
    </w:rPr>
  </w:style>
  <w:style w:type="paragraph" w:customStyle="1" w:styleId="4">
    <w:name w:val="修订4"/>
    <w:hidden/>
    <w:uiPriority w:val="99"/>
    <w:semiHidden/>
    <w:qFormat/>
    <w:rPr>
      <w:kern w:val="2"/>
      <w:sz w:val="21"/>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unhideWhenUsed="0" w:qFormat="1"/>
    <w:lsdException w:name="annotation text" w:semiHidden="0" w:uiPriority="99" w:unhideWhenUsed="0" w:qFormat="1"/>
    <w:lsdException w:name="header" w:semiHidden="0" w:unhideWhenUsed="0" w:qFormat="1"/>
    <w:lsdException w:name="footer" w:semiHidden="0" w:uiPriority="99" w:unhideWhenUsed="0" w:qFormat="1"/>
    <w:lsdException w:name="caption" w:qFormat="1"/>
    <w:lsdException w:name="annotation reference" w:semiHidden="0"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Code" w:semiHidden="0" w:unhideWhenUsed="0" w:qFormat="1"/>
    <w:lsdException w:name="HTML Definition" w:semiHidden="0" w:unhideWhenUsed="0" w:qFormat="1"/>
    <w:lsdException w:name="HTML Keyboard" w:qFormat="1"/>
    <w:lsdException w:name="HTML Sample"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rPr>
      <w:kern w:val="2"/>
      <w:sz w:val="21"/>
      <w:szCs w:val="24"/>
    </w:rPr>
  </w:style>
  <w:style w:type="paragraph" w:styleId="1">
    <w:name w:val="heading 1"/>
    <w:basedOn w:val="a8"/>
    <w:next w:val="a8"/>
    <w:uiPriority w:val="9"/>
    <w:qFormat/>
    <w:pPr>
      <w:keepNext/>
      <w:keepLines/>
      <w:spacing w:before="340" w:after="330" w:line="578" w:lineRule="auto"/>
      <w:outlineLvl w:val="0"/>
    </w:pPr>
    <w:rPr>
      <w:rFonts w:eastAsia="黑体"/>
      <w:bCs/>
      <w:kern w:val="44"/>
      <w:sz w:val="36"/>
      <w:szCs w:val="44"/>
    </w:rPr>
  </w:style>
  <w:style w:type="paragraph" w:styleId="2">
    <w:name w:val="heading 2"/>
    <w:basedOn w:val="a8"/>
    <w:next w:val="a8"/>
    <w:link w:val="2Char"/>
    <w:qFormat/>
    <w:pPr>
      <w:keepNext/>
      <w:keepLines/>
      <w:numPr>
        <w:numId w:val="1"/>
      </w:numPr>
      <w:spacing w:before="260" w:after="260" w:line="415" w:lineRule="auto"/>
      <w:outlineLvl w:val="1"/>
    </w:pPr>
    <w:rPr>
      <w:rFonts w:eastAsia="仿宋_GB2312"/>
      <w:b/>
      <w:bCs/>
      <w:sz w:val="28"/>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Char"/>
    <w:uiPriority w:val="99"/>
    <w:qFormat/>
    <w:pPr>
      <w:jc w:val="left"/>
    </w:pPr>
  </w:style>
  <w:style w:type="paragraph" w:styleId="3">
    <w:name w:val="toc 3"/>
    <w:basedOn w:val="a8"/>
    <w:next w:val="a8"/>
    <w:uiPriority w:val="39"/>
    <w:qFormat/>
    <w:pPr>
      <w:ind w:leftChars="400" w:left="840"/>
    </w:pPr>
  </w:style>
  <w:style w:type="paragraph" w:styleId="ad">
    <w:name w:val="Balloon Text"/>
    <w:basedOn w:val="a8"/>
    <w:link w:val="Char0"/>
    <w:semiHidden/>
    <w:unhideWhenUsed/>
    <w:qFormat/>
    <w:rPr>
      <w:sz w:val="18"/>
      <w:szCs w:val="18"/>
    </w:rPr>
  </w:style>
  <w:style w:type="paragraph" w:styleId="ae">
    <w:name w:val="footer"/>
    <w:basedOn w:val="a8"/>
    <w:link w:val="Char1"/>
    <w:uiPriority w:val="99"/>
    <w:qFormat/>
    <w:pPr>
      <w:tabs>
        <w:tab w:val="center" w:pos="4153"/>
        <w:tab w:val="right" w:pos="8306"/>
      </w:tabs>
      <w:snapToGrid w:val="0"/>
      <w:jc w:val="left"/>
    </w:pPr>
    <w:rPr>
      <w:sz w:val="18"/>
    </w:rPr>
  </w:style>
  <w:style w:type="paragraph" w:styleId="af">
    <w:name w:val="header"/>
    <w:basedOn w:val="a8"/>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8"/>
    <w:next w:val="a8"/>
    <w:uiPriority w:val="39"/>
    <w:qFormat/>
  </w:style>
  <w:style w:type="paragraph" w:styleId="20">
    <w:name w:val="toc 2"/>
    <w:basedOn w:val="a8"/>
    <w:next w:val="a8"/>
    <w:uiPriority w:val="39"/>
    <w:qFormat/>
    <w:pPr>
      <w:ind w:leftChars="200" w:left="420"/>
    </w:pPr>
  </w:style>
  <w:style w:type="paragraph" w:styleId="af0">
    <w:name w:val="Normal (Web)"/>
    <w:basedOn w:val="a8"/>
    <w:qFormat/>
    <w:pPr>
      <w:spacing w:beforeAutospacing="1" w:afterAutospacing="1"/>
      <w:jc w:val="left"/>
    </w:pPr>
    <w:rPr>
      <w:kern w:val="0"/>
      <w:sz w:val="24"/>
    </w:rPr>
  </w:style>
  <w:style w:type="paragraph" w:styleId="af1">
    <w:name w:val="annotation subject"/>
    <w:basedOn w:val="ac"/>
    <w:next w:val="ac"/>
    <w:link w:val="Char2"/>
    <w:semiHidden/>
    <w:unhideWhenUsed/>
    <w:qFormat/>
    <w:rPr>
      <w:b/>
      <w:bCs/>
    </w:rPr>
  </w:style>
  <w:style w:type="table" w:styleId="af2">
    <w:name w:val="Table Grid"/>
    <w:basedOn w:val="aa"/>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9"/>
    <w:qFormat/>
    <w:rPr>
      <w:b/>
      <w:bCs/>
    </w:rPr>
  </w:style>
  <w:style w:type="character" w:styleId="af4">
    <w:name w:val="FollowedHyperlink"/>
    <w:basedOn w:val="a9"/>
    <w:qFormat/>
    <w:rPr>
      <w:color w:val="800080"/>
      <w:u w:val="none"/>
    </w:rPr>
  </w:style>
  <w:style w:type="character" w:styleId="HTML">
    <w:name w:val="HTML Definition"/>
    <w:basedOn w:val="a9"/>
    <w:qFormat/>
    <w:rPr>
      <w:i/>
      <w:iCs/>
    </w:rPr>
  </w:style>
  <w:style w:type="character" w:styleId="af5">
    <w:name w:val="Hyperlink"/>
    <w:basedOn w:val="a9"/>
    <w:uiPriority w:val="99"/>
    <w:unhideWhenUsed/>
    <w:qFormat/>
    <w:rPr>
      <w:color w:val="0000FF" w:themeColor="hyperlink"/>
      <w:u w:val="single"/>
    </w:rPr>
  </w:style>
  <w:style w:type="character" w:styleId="HTML0">
    <w:name w:val="HTML Code"/>
    <w:basedOn w:val="a9"/>
    <w:qFormat/>
    <w:rPr>
      <w:rFonts w:ascii="Consolas" w:eastAsia="Consolas" w:hAnsi="Consolas" w:cs="Consolas"/>
      <w:color w:val="C7254E"/>
      <w:sz w:val="21"/>
      <w:szCs w:val="21"/>
      <w:shd w:val="clear" w:color="auto" w:fill="F9F2F4"/>
    </w:rPr>
  </w:style>
  <w:style w:type="character" w:styleId="af6">
    <w:name w:val="annotation reference"/>
    <w:basedOn w:val="a9"/>
    <w:uiPriority w:val="99"/>
    <w:unhideWhenUsed/>
    <w:qFormat/>
    <w:rPr>
      <w:sz w:val="21"/>
      <w:szCs w:val="21"/>
    </w:rPr>
  </w:style>
  <w:style w:type="character" w:styleId="HTML1">
    <w:name w:val="HTML Keyboard"/>
    <w:basedOn w:val="a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9"/>
    <w:qFormat/>
    <w:rPr>
      <w:rFonts w:ascii="Consolas" w:eastAsia="Consolas" w:hAnsi="Consolas" w:cs="Consolas" w:hint="default"/>
      <w:sz w:val="21"/>
      <w:szCs w:val="21"/>
    </w:rPr>
  </w:style>
  <w:style w:type="paragraph" w:styleId="af7">
    <w:name w:val="List Paragraph"/>
    <w:basedOn w:val="a8"/>
    <w:uiPriority w:val="99"/>
    <w:qFormat/>
    <w:pPr>
      <w:ind w:firstLineChars="200" w:firstLine="420"/>
    </w:pPr>
  </w:style>
  <w:style w:type="paragraph" w:customStyle="1" w:styleId="af8">
    <w:name w:val="表格文字"/>
    <w:basedOn w:val="a8"/>
    <w:qFormat/>
    <w:pPr>
      <w:spacing w:before="100" w:beforeAutospacing="1" w:after="100" w:afterAutospacing="1" w:line="360" w:lineRule="auto"/>
      <w:jc w:val="center"/>
    </w:pPr>
    <w:rPr>
      <w:rFonts w:eastAsia="仿宋_GB2312"/>
      <w:sz w:val="32"/>
      <w:szCs w:val="20"/>
    </w:rPr>
  </w:style>
  <w:style w:type="character" w:customStyle="1" w:styleId="2Char">
    <w:name w:val="标题 2 Char"/>
    <w:basedOn w:val="a9"/>
    <w:link w:val="2"/>
    <w:qFormat/>
    <w:rPr>
      <w:rFonts w:eastAsia="仿宋_GB2312"/>
      <w:b/>
      <w:bCs/>
      <w:kern w:val="2"/>
      <w:sz w:val="28"/>
      <w:szCs w:val="32"/>
    </w:rPr>
  </w:style>
  <w:style w:type="paragraph" w:customStyle="1" w:styleId="11">
    <w:name w:val="修订1"/>
    <w:hidden/>
    <w:uiPriority w:val="99"/>
    <w:semiHidden/>
    <w:qFormat/>
    <w:rPr>
      <w:kern w:val="2"/>
      <w:sz w:val="21"/>
      <w:szCs w:val="24"/>
    </w:rPr>
  </w:style>
  <w:style w:type="character" w:customStyle="1" w:styleId="Char1">
    <w:name w:val="页脚 Char"/>
    <w:basedOn w:val="a9"/>
    <w:link w:val="ae"/>
    <w:uiPriority w:val="99"/>
    <w:qFormat/>
    <w:rPr>
      <w:kern w:val="2"/>
      <w:sz w:val="18"/>
      <w:szCs w:val="24"/>
    </w:rPr>
  </w:style>
  <w:style w:type="paragraph" w:customStyle="1" w:styleId="a1">
    <w:name w:val="标准文件_正文表标题"/>
    <w:next w:val="af9"/>
    <w:qFormat/>
    <w:pPr>
      <w:numPr>
        <w:numId w:val="2"/>
      </w:numPr>
      <w:tabs>
        <w:tab w:val="left" w:pos="0"/>
      </w:tabs>
      <w:spacing w:beforeLines="50" w:before="50" w:afterLines="50" w:after="50"/>
      <w:jc w:val="center"/>
    </w:pPr>
    <w:rPr>
      <w:rFonts w:ascii="黑体" w:eastAsia="黑体"/>
      <w:sz w:val="21"/>
    </w:rPr>
  </w:style>
  <w:style w:type="paragraph" w:customStyle="1" w:styleId="af9">
    <w:name w:val="标准文件_段"/>
    <w:link w:val="Char3"/>
    <w:qFormat/>
    <w:pPr>
      <w:autoSpaceDE w:val="0"/>
      <w:autoSpaceDN w:val="0"/>
      <w:ind w:firstLineChars="200" w:firstLine="200"/>
      <w:jc w:val="both"/>
    </w:pPr>
    <w:rPr>
      <w:rFonts w:ascii="宋体"/>
      <w:sz w:val="21"/>
    </w:rPr>
  </w:style>
  <w:style w:type="paragraph" w:customStyle="1" w:styleId="afa">
    <w:name w:val="标准文件_表格"/>
    <w:basedOn w:val="af9"/>
    <w:qFormat/>
    <w:pPr>
      <w:ind w:firstLineChars="0" w:firstLine="0"/>
      <w:jc w:val="center"/>
    </w:pPr>
    <w:rPr>
      <w:sz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b">
    <w:name w:val="标准文件_术语条一"/>
    <w:basedOn w:val="afc"/>
    <w:next w:val="af9"/>
    <w:qFormat/>
  </w:style>
  <w:style w:type="paragraph" w:customStyle="1" w:styleId="afc">
    <w:name w:val="标准文件_一级无标题"/>
    <w:basedOn w:val="a5"/>
    <w:qFormat/>
    <w:pPr>
      <w:spacing w:beforeLines="0" w:before="0" w:afterLines="0" w:after="0"/>
      <w:outlineLvl w:val="9"/>
    </w:pPr>
    <w:rPr>
      <w:rFonts w:ascii="宋体" w:eastAsia="宋体"/>
    </w:rPr>
  </w:style>
  <w:style w:type="paragraph" w:customStyle="1" w:styleId="a5">
    <w:name w:val="标准文件_一级条标题"/>
    <w:basedOn w:val="a4"/>
    <w:next w:val="af9"/>
    <w:qFormat/>
    <w:pPr>
      <w:numPr>
        <w:ilvl w:val="2"/>
      </w:numPr>
      <w:spacing w:beforeLines="50" w:before="50" w:afterLines="50" w:after="50"/>
      <w:outlineLvl w:val="1"/>
    </w:pPr>
  </w:style>
  <w:style w:type="paragraph" w:customStyle="1" w:styleId="a4">
    <w:name w:val="标准文件_章标题"/>
    <w:next w:val="af9"/>
    <w:qFormat/>
    <w:pPr>
      <w:numPr>
        <w:ilvl w:val="1"/>
        <w:numId w:val="3"/>
      </w:numPr>
      <w:spacing w:beforeLines="100" w:before="100" w:afterLines="100" w:after="100"/>
      <w:jc w:val="both"/>
      <w:outlineLvl w:val="0"/>
    </w:pPr>
    <w:rPr>
      <w:rFonts w:ascii="黑体" w:eastAsia="黑体"/>
      <w:sz w:val="21"/>
    </w:rPr>
  </w:style>
  <w:style w:type="paragraph" w:customStyle="1" w:styleId="afd">
    <w:name w:val="标准文件_二级无标题"/>
    <w:basedOn w:val="a6"/>
    <w:qFormat/>
    <w:pPr>
      <w:spacing w:beforeLines="0" w:before="0" w:afterLines="0" w:after="0"/>
      <w:outlineLvl w:val="9"/>
    </w:pPr>
    <w:rPr>
      <w:rFonts w:ascii="宋体" w:eastAsia="宋体"/>
    </w:rPr>
  </w:style>
  <w:style w:type="paragraph" w:customStyle="1" w:styleId="a6">
    <w:name w:val="标准文件_二级条标题"/>
    <w:next w:val="af9"/>
    <w:qFormat/>
    <w:pPr>
      <w:widowControl w:val="0"/>
      <w:numPr>
        <w:ilvl w:val="3"/>
        <w:numId w:val="3"/>
      </w:numPr>
      <w:spacing w:beforeLines="50" w:before="50" w:afterLines="50" w:after="50"/>
      <w:jc w:val="both"/>
      <w:outlineLvl w:val="2"/>
    </w:pPr>
    <w:rPr>
      <w:rFonts w:ascii="黑体" w:eastAsia="黑体"/>
      <w:sz w:val="21"/>
    </w:rPr>
  </w:style>
  <w:style w:type="paragraph" w:customStyle="1" w:styleId="a2">
    <w:name w:val="标准文件_附录标识"/>
    <w:next w:val="af9"/>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3">
    <w:name w:val="标准文件_附录一级条标题"/>
    <w:next w:val="af9"/>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e">
    <w:name w:val="标准文件_三级无标题"/>
    <w:basedOn w:val="a7"/>
    <w:qFormat/>
    <w:pPr>
      <w:spacing w:beforeLines="0" w:before="0" w:afterLines="0" w:after="0"/>
      <w:outlineLvl w:val="9"/>
    </w:pPr>
    <w:rPr>
      <w:rFonts w:ascii="宋体" w:eastAsia="宋体"/>
    </w:rPr>
  </w:style>
  <w:style w:type="paragraph" w:customStyle="1" w:styleId="a7">
    <w:name w:val="标准文件_三级条标题"/>
    <w:basedOn w:val="a6"/>
    <w:next w:val="af9"/>
    <w:qFormat/>
    <w:pPr>
      <w:widowControl/>
      <w:numPr>
        <w:ilvl w:val="4"/>
      </w:numPr>
      <w:outlineLvl w:val="3"/>
    </w:pPr>
  </w:style>
  <w:style w:type="table" w:customStyle="1" w:styleId="12">
    <w:name w:val="网格型1"/>
    <w:basedOn w:val="a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8"/>
    <w:uiPriority w:val="39"/>
    <w:unhideWhenUsed/>
    <w:qFormat/>
    <w:pPr>
      <w:widowControl/>
      <w:spacing w:before="240" w:after="0" w:line="259" w:lineRule="auto"/>
      <w:jc w:val="left"/>
      <w:outlineLvl w:val="9"/>
    </w:pPr>
    <w:rPr>
      <w:rFonts w:asciiTheme="majorHAnsi" w:eastAsiaTheme="majorEastAsia" w:hAnsiTheme="majorHAnsi" w:cstheme="majorBidi"/>
      <w:bCs w:val="0"/>
      <w:color w:val="365F91" w:themeColor="accent1" w:themeShade="BF"/>
      <w:kern w:val="0"/>
      <w:sz w:val="32"/>
      <w:szCs w:val="32"/>
    </w:rPr>
  </w:style>
  <w:style w:type="character" w:customStyle="1" w:styleId="Char3">
    <w:name w:val="标准文件_段 Char"/>
    <w:link w:val="af9"/>
    <w:qFormat/>
    <w:rPr>
      <w:rFonts w:ascii="宋体"/>
      <w:sz w:val="21"/>
    </w:rPr>
  </w:style>
  <w:style w:type="character" w:customStyle="1" w:styleId="Char">
    <w:name w:val="批注文字 Char"/>
    <w:basedOn w:val="a9"/>
    <w:link w:val="ac"/>
    <w:uiPriority w:val="99"/>
    <w:qFormat/>
    <w:rPr>
      <w:kern w:val="2"/>
      <w:sz w:val="21"/>
      <w:szCs w:val="24"/>
    </w:rPr>
  </w:style>
  <w:style w:type="character" w:customStyle="1" w:styleId="nth-child3">
    <w:name w:val="nth-child(3)"/>
    <w:basedOn w:val="a9"/>
    <w:qFormat/>
    <w:rPr>
      <w:color w:val="666666"/>
      <w:sz w:val="21"/>
      <w:szCs w:val="21"/>
    </w:rPr>
  </w:style>
  <w:style w:type="character" w:customStyle="1" w:styleId="nth-child31">
    <w:name w:val="nth-child(3)1"/>
    <w:basedOn w:val="a9"/>
    <w:qFormat/>
    <w:rPr>
      <w:color w:val="666666"/>
      <w:sz w:val="21"/>
      <w:szCs w:val="21"/>
    </w:rPr>
  </w:style>
  <w:style w:type="character" w:customStyle="1" w:styleId="number">
    <w:name w:val="number"/>
    <w:basedOn w:val="a9"/>
    <w:qFormat/>
    <w:rPr>
      <w:color w:val="FFFFFF"/>
      <w:sz w:val="15"/>
      <w:szCs w:val="15"/>
      <w:bdr w:val="single" w:sz="6" w:space="0" w:color="EC6941"/>
      <w:shd w:val="clear" w:color="auto" w:fill="EC6941"/>
    </w:rPr>
  </w:style>
  <w:style w:type="character" w:customStyle="1" w:styleId="cur11">
    <w:name w:val="cur11"/>
    <w:basedOn w:val="a9"/>
    <w:qFormat/>
    <w:rPr>
      <w:color w:val="FFFFFF"/>
      <w:shd w:val="clear" w:color="auto" w:fill="2B7FCE"/>
    </w:rPr>
  </w:style>
  <w:style w:type="character" w:customStyle="1" w:styleId="index2">
    <w:name w:val="index2"/>
    <w:basedOn w:val="a9"/>
    <w:qFormat/>
  </w:style>
  <w:style w:type="character" w:customStyle="1" w:styleId="index3">
    <w:name w:val="index3"/>
    <w:basedOn w:val="a9"/>
    <w:qFormat/>
    <w:rPr>
      <w:color w:val="FFFFFF"/>
    </w:rPr>
  </w:style>
  <w:style w:type="character" w:customStyle="1" w:styleId="index4">
    <w:name w:val="index4"/>
    <w:basedOn w:val="a9"/>
    <w:qFormat/>
  </w:style>
  <w:style w:type="paragraph" w:customStyle="1" w:styleId="21">
    <w:name w:val="修订2"/>
    <w:hidden/>
    <w:uiPriority w:val="99"/>
    <w:semiHidden/>
    <w:qFormat/>
    <w:rPr>
      <w:kern w:val="2"/>
      <w:sz w:val="21"/>
      <w:szCs w:val="24"/>
    </w:rPr>
  </w:style>
  <w:style w:type="character" w:customStyle="1" w:styleId="Char2">
    <w:name w:val="批注主题 Char"/>
    <w:basedOn w:val="Char"/>
    <w:link w:val="af1"/>
    <w:semiHidden/>
    <w:qFormat/>
    <w:rPr>
      <w:b/>
      <w:bCs/>
      <w:kern w:val="2"/>
      <w:sz w:val="21"/>
      <w:szCs w:val="24"/>
    </w:rPr>
  </w:style>
  <w:style w:type="character" w:customStyle="1" w:styleId="Char0">
    <w:name w:val="批注框文本 Char"/>
    <w:basedOn w:val="a9"/>
    <w:link w:val="ad"/>
    <w:semiHidden/>
    <w:qFormat/>
    <w:rPr>
      <w:kern w:val="2"/>
      <w:sz w:val="18"/>
      <w:szCs w:val="18"/>
    </w:rPr>
  </w:style>
  <w:style w:type="paragraph" w:customStyle="1" w:styleId="31">
    <w:name w:val="修订3"/>
    <w:hidden/>
    <w:uiPriority w:val="99"/>
    <w:semiHidden/>
    <w:qFormat/>
    <w:rPr>
      <w:kern w:val="2"/>
      <w:sz w:val="21"/>
      <w:szCs w:val="24"/>
    </w:rPr>
  </w:style>
  <w:style w:type="paragraph" w:customStyle="1" w:styleId="a">
    <w:name w:val="标准文件_数字编号列项（二级）"/>
    <w:qFormat/>
    <w:pPr>
      <w:numPr>
        <w:ilvl w:val="1"/>
        <w:numId w:val="5"/>
      </w:numPr>
      <w:tabs>
        <w:tab w:val="left" w:pos="851"/>
      </w:tabs>
      <w:jc w:val="both"/>
    </w:pPr>
    <w:rPr>
      <w:rFonts w:ascii="宋体"/>
      <w:sz w:val="21"/>
    </w:rPr>
  </w:style>
  <w:style w:type="paragraph" w:customStyle="1" w:styleId="a0">
    <w:name w:val="标准文件_附录表标题"/>
    <w:next w:val="af9"/>
    <w:qFormat/>
    <w:pPr>
      <w:numPr>
        <w:ilvl w:val="1"/>
        <w:numId w:val="6"/>
      </w:numPr>
      <w:adjustRightInd w:val="0"/>
      <w:snapToGrid w:val="0"/>
      <w:spacing w:beforeLines="50" w:before="50" w:afterLines="50" w:after="50"/>
      <w:jc w:val="center"/>
      <w:textAlignment w:val="baseline"/>
    </w:pPr>
    <w:rPr>
      <w:rFonts w:ascii="黑体" w:eastAsia="黑体"/>
      <w:kern w:val="21"/>
      <w:sz w:val="21"/>
    </w:rPr>
  </w:style>
  <w:style w:type="paragraph" w:customStyle="1" w:styleId="4">
    <w:name w:val="修订4"/>
    <w:hidden/>
    <w:uiPriority w:val="99"/>
    <w:semiHidden/>
    <w:qFormat/>
    <w:rPr>
      <w:kern w:val="2"/>
      <w:sz w:val="21"/>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8C7EE-FC2E-4F00-84AA-CF537719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2749</Words>
  <Characters>15672</Characters>
  <Application>Microsoft Office Word</Application>
  <DocSecurity>0</DocSecurity>
  <Lines>130</Lines>
  <Paragraphs>36</Paragraphs>
  <ScaleCrop>false</ScaleCrop>
  <Company>Hewlett-Packard Company</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建设用地遥感</dc:title>
  <dc:creator>遥感室</dc:creator>
  <cp:lastModifiedBy>www</cp:lastModifiedBy>
  <cp:revision>18</cp:revision>
  <dcterms:created xsi:type="dcterms:W3CDTF">2023-04-26T08:54:00Z</dcterms:created>
  <dcterms:modified xsi:type="dcterms:W3CDTF">2023-09-01T01:39:00Z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F85E1E0568054EF99EDB0179F0D592F2_13</vt:lpwstr>
  </property>
</Properties>
</file>