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45C29">
        <w:tc>
          <w:tcPr>
            <w:tcW w:w="509" w:type="dxa"/>
          </w:tcPr>
          <w:p w:rsidR="00145C29" w:rsidRDefault="008F4ADF">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45C29" w:rsidRDefault="008F4ADF">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145C29">
        <w:tc>
          <w:tcPr>
            <w:tcW w:w="509" w:type="dxa"/>
          </w:tcPr>
          <w:p w:rsidR="00145C29" w:rsidRDefault="008F4ADF">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145C29" w:rsidRDefault="008F4ADF">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5C29">
        <w:tc>
          <w:tcPr>
            <w:tcW w:w="6407" w:type="dxa"/>
          </w:tcPr>
          <w:p w:rsidR="00145C29" w:rsidRDefault="008F4ADF">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rsidR="00145C29" w:rsidRDefault="008F4ADF">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145C29" w:rsidRDefault="008F4ADF">
      <w:pPr>
        <w:pStyle w:val="afffffffffe"/>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145C29" w:rsidRDefault="008F4ADF">
      <w:pPr>
        <w:pStyle w:val="affffffffff"/>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45C29" w:rsidRDefault="008F4AD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D580D87" wp14:editId="060BA6D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45C29" w:rsidRDefault="00145C29">
      <w:pPr>
        <w:pStyle w:val="affffc"/>
        <w:framePr w:w="9639" w:h="6976" w:hRule="exact" w:hSpace="0" w:vSpace="0" w:wrap="around" w:hAnchor="page" w:y="6408"/>
        <w:jc w:val="center"/>
        <w:rPr>
          <w:rFonts w:ascii="黑体" w:eastAsia="黑体" w:hAnsi="黑体"/>
          <w:b w:val="0"/>
          <w:bCs w:val="0"/>
          <w:w w:val="100"/>
        </w:rPr>
      </w:pPr>
    </w:p>
    <w:p w:rsidR="00145C29" w:rsidRDefault="008F4ADF">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碘-131核素治疗病房的辐射防护与安全管理要求</w:t>
      </w:r>
      <w:r>
        <w:fldChar w:fldCharType="end"/>
      </w:r>
      <w:bookmarkEnd w:id="9"/>
    </w:p>
    <w:p w:rsidR="00145C29" w:rsidRDefault="00145C29">
      <w:pPr>
        <w:framePr w:w="9639" w:h="6974" w:hRule="exact" w:wrap="around" w:vAnchor="page" w:hAnchor="page" w:x="1419" w:y="6408" w:anchorLock="1"/>
        <w:ind w:left="-1418"/>
      </w:pPr>
    </w:p>
    <w:p w:rsidR="00145C29" w:rsidRPr="00816EF0" w:rsidRDefault="008F4ADF">
      <w:pPr>
        <w:pStyle w:val="afffffff4"/>
        <w:framePr w:w="9639" w:h="6974" w:hRule="exact" w:wrap="around" w:vAnchor="page" w:hAnchor="page" w:x="1419" w:y="6408" w:anchorLock="1"/>
        <w:textAlignment w:val="bottom"/>
        <w:rPr>
          <w:rFonts w:ascii="黑体" w:eastAsia="黑体" w:hAnsi="黑体"/>
          <w:szCs w:val="28"/>
        </w:rPr>
      </w:pPr>
      <w:r w:rsidRPr="00816EF0">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Pr="00816EF0">
        <w:rPr>
          <w:rFonts w:ascii="黑体" w:eastAsia="黑体" w:hAnsi="黑体"/>
          <w:szCs w:val="28"/>
        </w:rPr>
        <w:instrText xml:space="preserve"> FORMTEXT </w:instrText>
      </w:r>
      <w:r w:rsidRPr="00816EF0">
        <w:rPr>
          <w:rFonts w:ascii="黑体" w:eastAsia="黑体" w:hAnsi="黑体"/>
          <w:szCs w:val="28"/>
        </w:rPr>
      </w:r>
      <w:r w:rsidRPr="00816EF0">
        <w:rPr>
          <w:rFonts w:ascii="黑体" w:eastAsia="黑体" w:hAnsi="黑体"/>
          <w:szCs w:val="28"/>
        </w:rPr>
        <w:fldChar w:fldCharType="separate"/>
      </w:r>
      <w:r w:rsidRPr="00816EF0">
        <w:rPr>
          <w:rFonts w:ascii="黑体" w:eastAsia="黑体" w:hAnsi="黑体"/>
          <w:szCs w:val="28"/>
        </w:rPr>
        <w:t>Requirements for Radiation safety and protection of I-131 radionuclide treatment wards</w:t>
      </w:r>
      <w:r w:rsidRPr="00816EF0">
        <w:rPr>
          <w:rFonts w:ascii="黑体" w:eastAsia="黑体" w:hAnsi="黑体"/>
          <w:szCs w:val="28"/>
        </w:rPr>
        <w:fldChar w:fldCharType="end"/>
      </w:r>
      <w:bookmarkEnd w:id="10"/>
    </w:p>
    <w:p w:rsidR="00145C29" w:rsidRDefault="00145C29">
      <w:pPr>
        <w:framePr w:w="9639" w:h="6974" w:hRule="exact" w:wrap="around" w:vAnchor="page" w:hAnchor="page" w:x="1419" w:y="6408" w:anchorLock="1"/>
        <w:spacing w:line="760" w:lineRule="exact"/>
        <w:ind w:left="-1418"/>
      </w:pPr>
    </w:p>
    <w:p w:rsidR="00145C29" w:rsidRDefault="00145C29">
      <w:pPr>
        <w:pStyle w:val="afffffff4"/>
        <w:framePr w:w="9639" w:h="6974" w:hRule="exact" w:wrap="around" w:vAnchor="page" w:hAnchor="page" w:x="1419" w:y="6408" w:anchorLock="1"/>
        <w:textAlignment w:val="bottom"/>
        <w:rPr>
          <w:rFonts w:eastAsia="黑体"/>
          <w:szCs w:val="28"/>
        </w:rPr>
      </w:pPr>
    </w:p>
    <w:p w:rsidR="00145C29" w:rsidRDefault="008F4ADF">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1D0CC0">
        <w:rPr>
          <w:sz w:val="24"/>
          <w:szCs w:val="28"/>
        </w:rPr>
      </w:r>
      <w:r w:rsidR="001D0CC0">
        <w:rPr>
          <w:sz w:val="24"/>
          <w:szCs w:val="28"/>
        </w:rPr>
        <w:fldChar w:fldCharType="separate"/>
      </w:r>
      <w:r>
        <w:rPr>
          <w:sz w:val="24"/>
          <w:szCs w:val="28"/>
        </w:rPr>
        <w:fldChar w:fldCharType="end"/>
      </w:r>
      <w:bookmarkEnd w:id="11"/>
    </w:p>
    <w:p w:rsidR="00145C29" w:rsidRDefault="008F4ADF">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145C29" w:rsidRDefault="008F4ADF">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1D0CC0">
        <w:rPr>
          <w:b/>
          <w:sz w:val="21"/>
          <w:szCs w:val="28"/>
        </w:rPr>
      </w:r>
      <w:r w:rsidR="001D0CC0">
        <w:rPr>
          <w:b/>
          <w:sz w:val="21"/>
          <w:szCs w:val="28"/>
        </w:rPr>
        <w:fldChar w:fldCharType="separate"/>
      </w:r>
      <w:r>
        <w:rPr>
          <w:b/>
          <w:sz w:val="21"/>
          <w:szCs w:val="28"/>
        </w:rPr>
        <w:fldChar w:fldCharType="end"/>
      </w:r>
      <w:bookmarkEnd w:id="13"/>
    </w:p>
    <w:p w:rsidR="00145C29" w:rsidRDefault="008F4ADF">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145C29" w:rsidRDefault="008F4ADF">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145C29" w:rsidRDefault="008F4ADF">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145C29" w:rsidRDefault="008F4ADF">
      <w:pPr>
        <w:rPr>
          <w:rFonts w:ascii="宋体" w:hAnsi="宋体"/>
          <w:sz w:val="28"/>
          <w:szCs w:val="28"/>
        </w:rPr>
        <w:sectPr w:rsidR="00145C2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7A90661" wp14:editId="4A666B7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45C29" w:rsidRDefault="008F4ADF">
      <w:pPr>
        <w:pStyle w:val="affffff6"/>
        <w:spacing w:after="468"/>
      </w:pPr>
      <w:bookmarkStart w:id="21" w:name="BookMark1"/>
      <w:r>
        <w:rPr>
          <w:rFonts w:hint="eastAsia"/>
          <w:spacing w:val="320"/>
        </w:rPr>
        <w:lastRenderedPageBreak/>
        <w:t>目</w:t>
      </w:r>
      <w:r>
        <w:rPr>
          <w:rFonts w:hint="eastAsia"/>
        </w:rPr>
        <w:t>次</w:t>
      </w:r>
    </w:p>
    <w:p w:rsidR="00145C29" w:rsidRDefault="008F4ADF">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11119206" w:history="1">
        <w:r>
          <w:rPr>
            <w:rStyle w:val="affff7"/>
            <w:rFonts w:hint="eastAsia"/>
            <w:spacing w:val="320"/>
          </w:rPr>
          <w:t>前</w:t>
        </w:r>
        <w:r>
          <w:rPr>
            <w:rStyle w:val="affff7"/>
            <w:rFonts w:hint="eastAsia"/>
          </w:rPr>
          <w:t>言</w:t>
        </w:r>
        <w:r>
          <w:tab/>
        </w:r>
        <w:r>
          <w:fldChar w:fldCharType="begin"/>
        </w:r>
        <w:r>
          <w:instrText xml:space="preserve"> PAGEREF _Toc111119206 \h </w:instrText>
        </w:r>
        <w:r>
          <w:fldChar w:fldCharType="separate"/>
        </w:r>
        <w:r>
          <w:t>II</w:t>
        </w:r>
        <w:r>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08" w:history="1">
        <w:r w:rsidR="008F4ADF">
          <w:rPr>
            <w:rStyle w:val="affff7"/>
          </w:rPr>
          <w:t>1</w:t>
        </w:r>
        <w:r w:rsidR="008F4ADF">
          <w:rPr>
            <w:rStyle w:val="affff7"/>
            <w:rFonts w:hint="eastAsia"/>
          </w:rPr>
          <w:t xml:space="preserve"> 范围</w:t>
        </w:r>
        <w:r w:rsidR="008F4ADF">
          <w:tab/>
        </w:r>
        <w:r w:rsidR="008F4ADF">
          <w:fldChar w:fldCharType="begin"/>
        </w:r>
        <w:r w:rsidR="008F4ADF">
          <w:instrText xml:space="preserve"> PAGEREF _Toc111119208 \h </w:instrText>
        </w:r>
        <w:r w:rsidR="008F4ADF">
          <w:fldChar w:fldCharType="separate"/>
        </w:r>
        <w:r w:rsidR="008F4ADF">
          <w:t>1</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09" w:history="1">
        <w:r w:rsidR="008F4ADF">
          <w:rPr>
            <w:rStyle w:val="affff7"/>
          </w:rPr>
          <w:t>2</w:t>
        </w:r>
        <w:r w:rsidR="008F4ADF">
          <w:rPr>
            <w:rStyle w:val="affff7"/>
            <w:rFonts w:hint="eastAsia"/>
          </w:rPr>
          <w:t xml:space="preserve"> 规范性引用文件</w:t>
        </w:r>
        <w:r w:rsidR="008F4ADF">
          <w:tab/>
        </w:r>
        <w:r w:rsidR="008F4ADF">
          <w:fldChar w:fldCharType="begin"/>
        </w:r>
        <w:r w:rsidR="008F4ADF">
          <w:instrText xml:space="preserve"> PAGEREF _Toc111119209 \h </w:instrText>
        </w:r>
        <w:r w:rsidR="008F4ADF">
          <w:fldChar w:fldCharType="separate"/>
        </w:r>
        <w:r w:rsidR="008F4ADF">
          <w:t>1</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0" w:history="1">
        <w:r w:rsidR="008F4ADF">
          <w:rPr>
            <w:rStyle w:val="affff7"/>
          </w:rPr>
          <w:t>3</w:t>
        </w:r>
        <w:r w:rsidR="008F4ADF">
          <w:rPr>
            <w:rStyle w:val="affff7"/>
            <w:rFonts w:hint="eastAsia"/>
          </w:rPr>
          <w:t xml:space="preserve"> 术语和定义</w:t>
        </w:r>
        <w:r w:rsidR="008F4ADF">
          <w:tab/>
        </w:r>
        <w:r w:rsidR="008F4ADF">
          <w:fldChar w:fldCharType="begin"/>
        </w:r>
        <w:r w:rsidR="008F4ADF">
          <w:instrText xml:space="preserve"> PAGEREF _Toc111119210 \h </w:instrText>
        </w:r>
        <w:r w:rsidR="008F4ADF">
          <w:fldChar w:fldCharType="separate"/>
        </w:r>
        <w:r w:rsidR="008F4ADF">
          <w:t>1</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1" w:history="1">
        <w:r w:rsidR="008F4ADF">
          <w:rPr>
            <w:rStyle w:val="affff7"/>
          </w:rPr>
          <w:t>4</w:t>
        </w:r>
        <w:r w:rsidR="008F4ADF">
          <w:rPr>
            <w:rStyle w:val="affff7"/>
            <w:rFonts w:hint="eastAsia"/>
          </w:rPr>
          <w:t xml:space="preserve"> 总则</w:t>
        </w:r>
        <w:r w:rsidR="008F4ADF">
          <w:tab/>
        </w:r>
        <w:r w:rsidR="008F4ADF">
          <w:fldChar w:fldCharType="begin"/>
        </w:r>
        <w:r w:rsidR="008F4ADF">
          <w:instrText xml:space="preserve"> PAGEREF _Toc111119211 \h </w:instrText>
        </w:r>
        <w:r w:rsidR="008F4ADF">
          <w:fldChar w:fldCharType="separate"/>
        </w:r>
        <w:r w:rsidR="008F4ADF">
          <w:t>1</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2" w:history="1">
        <w:r w:rsidR="008F4ADF">
          <w:rPr>
            <w:rStyle w:val="affff7"/>
          </w:rPr>
          <w:t>5</w:t>
        </w:r>
        <w:r w:rsidR="008F4ADF">
          <w:rPr>
            <w:rStyle w:val="affff7"/>
            <w:rFonts w:hint="eastAsia"/>
          </w:rPr>
          <w:t xml:space="preserve"> 选址、布局</w:t>
        </w:r>
        <w:r w:rsidR="008F4ADF">
          <w:tab/>
        </w:r>
        <w:r w:rsidR="008F4ADF">
          <w:fldChar w:fldCharType="begin"/>
        </w:r>
        <w:r w:rsidR="008F4ADF">
          <w:instrText xml:space="preserve"> PAGEREF _Toc111119212 \h </w:instrText>
        </w:r>
        <w:r w:rsidR="008F4ADF">
          <w:fldChar w:fldCharType="separate"/>
        </w:r>
        <w:r w:rsidR="008F4ADF">
          <w:t>3</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3" w:history="1">
        <w:r w:rsidR="008F4ADF">
          <w:rPr>
            <w:rStyle w:val="affff7"/>
          </w:rPr>
          <w:t>6</w:t>
        </w:r>
        <w:r w:rsidR="008F4ADF">
          <w:rPr>
            <w:rStyle w:val="affff7"/>
            <w:rFonts w:hint="eastAsia"/>
          </w:rPr>
          <w:t xml:space="preserve"> 工作场所的辐射安全与防护</w:t>
        </w:r>
        <w:r w:rsidR="008F4ADF">
          <w:tab/>
        </w:r>
        <w:r w:rsidR="008F4ADF">
          <w:fldChar w:fldCharType="begin"/>
        </w:r>
        <w:r w:rsidR="008F4ADF">
          <w:instrText xml:space="preserve"> PAGEREF _Toc111119213 \h </w:instrText>
        </w:r>
        <w:r w:rsidR="008F4ADF">
          <w:fldChar w:fldCharType="separate"/>
        </w:r>
        <w:r w:rsidR="008F4ADF">
          <w:t>3</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4" w:history="1">
        <w:r w:rsidR="008F4ADF">
          <w:rPr>
            <w:rStyle w:val="affff7"/>
          </w:rPr>
          <w:t>7</w:t>
        </w:r>
        <w:r w:rsidR="008F4ADF">
          <w:rPr>
            <w:rStyle w:val="affff7"/>
            <w:rFonts w:hint="eastAsia"/>
          </w:rPr>
          <w:t xml:space="preserve"> 放射性废物管理</w:t>
        </w:r>
        <w:r w:rsidR="008F4ADF">
          <w:tab/>
        </w:r>
        <w:r w:rsidR="008F4ADF">
          <w:fldChar w:fldCharType="begin"/>
        </w:r>
        <w:r w:rsidR="008F4ADF">
          <w:instrText xml:space="preserve"> PAGEREF _Toc111119214 \h </w:instrText>
        </w:r>
        <w:r w:rsidR="008F4ADF">
          <w:fldChar w:fldCharType="separate"/>
        </w:r>
        <w:r w:rsidR="008F4ADF">
          <w:t>5</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5" w:history="1">
        <w:r w:rsidR="008F4ADF">
          <w:rPr>
            <w:rStyle w:val="affff7"/>
          </w:rPr>
          <w:t>8</w:t>
        </w:r>
        <w:r w:rsidR="008F4ADF">
          <w:rPr>
            <w:rStyle w:val="affff7"/>
            <w:rFonts w:hint="eastAsia"/>
          </w:rPr>
          <w:t xml:space="preserve"> 辐射监测</w:t>
        </w:r>
        <w:r w:rsidR="008F4ADF">
          <w:tab/>
        </w:r>
        <w:r w:rsidR="008F4ADF">
          <w:fldChar w:fldCharType="begin"/>
        </w:r>
        <w:r w:rsidR="008F4ADF">
          <w:instrText xml:space="preserve"> PAGEREF _Toc111119215 \h </w:instrText>
        </w:r>
        <w:r w:rsidR="008F4ADF">
          <w:fldChar w:fldCharType="separate"/>
        </w:r>
        <w:r w:rsidR="008F4ADF">
          <w:t>7</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6" w:history="1">
        <w:r w:rsidR="008F4ADF">
          <w:rPr>
            <w:rStyle w:val="affff7"/>
          </w:rPr>
          <w:t>9</w:t>
        </w:r>
        <w:r w:rsidR="008F4ADF">
          <w:rPr>
            <w:rStyle w:val="affff7"/>
            <w:rFonts w:hint="eastAsia"/>
          </w:rPr>
          <w:t xml:space="preserve"> 应急处理要求</w:t>
        </w:r>
        <w:r w:rsidR="008F4ADF">
          <w:tab/>
        </w:r>
        <w:r w:rsidR="008F4ADF">
          <w:fldChar w:fldCharType="begin"/>
        </w:r>
        <w:r w:rsidR="008F4ADF">
          <w:instrText xml:space="preserve"> PAGEREF _Toc111119216 \h </w:instrText>
        </w:r>
        <w:r w:rsidR="008F4ADF">
          <w:fldChar w:fldCharType="separate"/>
        </w:r>
        <w:r w:rsidR="008F4ADF">
          <w:t>7</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7" w:history="1">
        <w:r w:rsidR="008F4ADF">
          <w:rPr>
            <w:rStyle w:val="affff7"/>
            <w:rFonts w:hint="eastAsia"/>
            <w:spacing w:val="100"/>
          </w:rPr>
          <w:t>附录A</w:t>
        </w:r>
        <w:r w:rsidR="008F4ADF">
          <w:rPr>
            <w:rStyle w:val="affff7"/>
            <w:rFonts w:hint="eastAsia"/>
          </w:rPr>
          <w:t xml:space="preserve"> （资料性）</w:t>
        </w:r>
        <w:r w:rsidR="008F4ADF">
          <w:rPr>
            <w:rStyle w:val="affff7"/>
          </w:rPr>
          <w:t xml:space="preserve"> </w:t>
        </w:r>
        <w:r w:rsidR="008F4ADF">
          <w:rPr>
            <w:rStyle w:val="affff7"/>
            <w:rFonts w:hint="eastAsia"/>
          </w:rPr>
          <w:t>屏蔽计算方法</w:t>
        </w:r>
        <w:r w:rsidR="008F4ADF">
          <w:tab/>
        </w:r>
        <w:r w:rsidR="008F4ADF">
          <w:fldChar w:fldCharType="begin"/>
        </w:r>
        <w:r w:rsidR="008F4ADF">
          <w:instrText xml:space="preserve"> PAGEREF _Toc111119217 \h </w:instrText>
        </w:r>
        <w:r w:rsidR="008F4ADF">
          <w:fldChar w:fldCharType="separate"/>
        </w:r>
        <w:r w:rsidR="008F4ADF">
          <w:t>9</w:t>
        </w:r>
        <w:r w:rsidR="008F4ADF">
          <w:fldChar w:fldCharType="end"/>
        </w:r>
      </w:hyperlink>
    </w:p>
    <w:p w:rsidR="00145C29" w:rsidRDefault="001D0CC0">
      <w:pPr>
        <w:pStyle w:val="10"/>
        <w:tabs>
          <w:tab w:val="right" w:leader="dot" w:pos="9344"/>
        </w:tabs>
        <w:rPr>
          <w:rFonts w:asciiTheme="minorHAnsi" w:eastAsiaTheme="minorEastAsia" w:hAnsiTheme="minorHAnsi" w:cstheme="minorBidi"/>
          <w:szCs w:val="22"/>
        </w:rPr>
      </w:pPr>
      <w:hyperlink w:anchor="_Toc111119218" w:history="1">
        <w:r w:rsidR="008F4ADF">
          <w:rPr>
            <w:rStyle w:val="affff7"/>
            <w:rFonts w:hint="eastAsia"/>
            <w:spacing w:val="100"/>
          </w:rPr>
          <w:t>附录B</w:t>
        </w:r>
        <w:r w:rsidR="008F4ADF">
          <w:rPr>
            <w:rStyle w:val="affff7"/>
            <w:rFonts w:hint="eastAsia"/>
          </w:rPr>
          <w:t xml:space="preserve"> （资料性）</w:t>
        </w:r>
        <w:r w:rsidR="008F4ADF">
          <w:rPr>
            <w:rStyle w:val="affff7"/>
          </w:rPr>
          <w:t xml:space="preserve"> </w:t>
        </w:r>
        <w:r w:rsidR="008F4ADF">
          <w:rPr>
            <w:rStyle w:val="affff7"/>
            <w:rFonts w:hint="eastAsia"/>
          </w:rPr>
          <w:t>槽式衰变池容积计算方法参考</w:t>
        </w:r>
        <w:r w:rsidR="008F4ADF">
          <w:tab/>
        </w:r>
        <w:r w:rsidR="008F4ADF">
          <w:fldChar w:fldCharType="begin"/>
        </w:r>
        <w:r w:rsidR="008F4ADF">
          <w:instrText xml:space="preserve"> PAGEREF _Toc111119218 \h </w:instrText>
        </w:r>
        <w:r w:rsidR="008F4ADF">
          <w:fldChar w:fldCharType="separate"/>
        </w:r>
        <w:r w:rsidR="008F4ADF">
          <w:t>10</w:t>
        </w:r>
        <w:r w:rsidR="008F4ADF">
          <w:fldChar w:fldCharType="end"/>
        </w:r>
      </w:hyperlink>
    </w:p>
    <w:p w:rsidR="00145C29" w:rsidRDefault="008F4ADF">
      <w:pPr>
        <w:pStyle w:val="affffff6"/>
        <w:spacing w:after="468"/>
        <w:sectPr w:rsidR="00145C29">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rsidR="00145C29" w:rsidRDefault="008F4ADF">
      <w:pPr>
        <w:pStyle w:val="a7"/>
        <w:spacing w:after="468"/>
      </w:pPr>
      <w:bookmarkStart w:id="22" w:name="_Toc111119206"/>
      <w:bookmarkStart w:id="23" w:name="BookMark2"/>
      <w:bookmarkEnd w:id="21"/>
      <w:r>
        <w:rPr>
          <w:spacing w:val="320"/>
        </w:rPr>
        <w:lastRenderedPageBreak/>
        <w:t>前</w:t>
      </w:r>
      <w:r>
        <w:t>言</w:t>
      </w:r>
      <w:bookmarkEnd w:id="22"/>
    </w:p>
    <w:p w:rsidR="00145C29" w:rsidRDefault="008F4ADF">
      <w:pPr>
        <w:pStyle w:val="afffff1"/>
        <w:ind w:firstLine="420"/>
      </w:pPr>
      <w:r>
        <w:rPr>
          <w:rFonts w:hint="eastAsia"/>
        </w:rPr>
        <w:t>本文件按照GB/T 1.1—2020《标准化工作导则  第1部分：标准化文件的结构和起草规则》的规定起草。</w:t>
      </w:r>
    </w:p>
    <w:p w:rsidR="00145C29" w:rsidRDefault="008F4ADF">
      <w:pPr>
        <w:pStyle w:val="afffff1"/>
        <w:ind w:firstLine="420"/>
      </w:pPr>
      <w:r>
        <w:rPr>
          <w:rFonts w:hint="eastAsia"/>
        </w:rPr>
        <w:t>本文件由北京市生态环境局提出并归口。</w:t>
      </w:r>
    </w:p>
    <w:p w:rsidR="00145C29" w:rsidRDefault="008F4ADF">
      <w:pPr>
        <w:pStyle w:val="afffff1"/>
        <w:ind w:firstLine="420"/>
      </w:pPr>
      <w:r>
        <w:rPr>
          <w:rFonts w:hint="eastAsia"/>
        </w:rPr>
        <w:t>本文件由北京市生态环境局组织实施。</w:t>
      </w:r>
    </w:p>
    <w:p w:rsidR="00145C29" w:rsidRDefault="008F4ADF">
      <w:pPr>
        <w:pStyle w:val="afffff1"/>
        <w:ind w:firstLine="420"/>
      </w:pPr>
      <w:r>
        <w:rPr>
          <w:rFonts w:hint="eastAsia"/>
        </w:rPr>
        <w:t>本文件起草单位：北京华克智星医疗技术研究院有限公司。</w:t>
      </w:r>
    </w:p>
    <w:p w:rsidR="00145C29" w:rsidRDefault="008F4ADF">
      <w:pPr>
        <w:pStyle w:val="afffff1"/>
        <w:ind w:firstLine="420"/>
      </w:pPr>
      <w:r>
        <w:rPr>
          <w:rFonts w:hint="eastAsia"/>
        </w:rPr>
        <w:t>本文件主要起草人：刘爱娣、耿建华、王印红、闫耀宇、孙希文。</w:t>
      </w:r>
    </w:p>
    <w:p w:rsidR="00145C29" w:rsidRDefault="00145C29">
      <w:pPr>
        <w:pStyle w:val="afffff1"/>
        <w:ind w:firstLine="420"/>
      </w:pPr>
    </w:p>
    <w:p w:rsidR="00145C29" w:rsidRDefault="00145C29">
      <w:pPr>
        <w:pStyle w:val="afffff1"/>
        <w:ind w:firstLine="420"/>
        <w:sectPr w:rsidR="00145C29">
          <w:pgSz w:w="11906" w:h="16838"/>
          <w:pgMar w:top="1928" w:right="1134" w:bottom="1134" w:left="1134" w:header="1418" w:footer="1134" w:gutter="284"/>
          <w:pgNumType w:fmt="upperRoman"/>
          <w:cols w:space="425"/>
          <w:formProt w:val="0"/>
          <w:docGrid w:type="lines" w:linePitch="312"/>
        </w:sectPr>
      </w:pPr>
    </w:p>
    <w:p w:rsidR="00145C29" w:rsidRDefault="00145C29">
      <w:pPr>
        <w:spacing w:line="20" w:lineRule="exact"/>
        <w:jc w:val="center"/>
        <w:rPr>
          <w:rFonts w:ascii="黑体" w:eastAsia="黑体" w:hAnsi="黑体"/>
          <w:sz w:val="32"/>
          <w:szCs w:val="32"/>
        </w:rPr>
      </w:pPr>
      <w:bookmarkStart w:id="24" w:name="BookMark4"/>
      <w:bookmarkEnd w:id="23"/>
    </w:p>
    <w:p w:rsidR="00145C29" w:rsidRDefault="00145C29">
      <w:pPr>
        <w:spacing w:line="20" w:lineRule="exact"/>
        <w:jc w:val="center"/>
        <w:rPr>
          <w:rFonts w:ascii="黑体" w:eastAsia="黑体" w:hAnsi="黑体"/>
          <w:sz w:val="32"/>
          <w:szCs w:val="32"/>
        </w:rPr>
      </w:pPr>
    </w:p>
    <w:bookmarkStart w:id="25" w:name="_Toc19812" w:displacedByCustomXml="next"/>
    <w:bookmarkStart w:id="26" w:name="NEW_STAND_NAME" w:displacedByCustomXml="next"/>
    <w:bookmarkStart w:id="27" w:name="_Toc111119207" w:displacedByCustomXml="next"/>
    <w:sdt>
      <w:sdtPr>
        <w:tag w:val="NEW_STAND_NAME"/>
        <w:id w:val="595910757"/>
        <w:lock w:val="sdtLocked"/>
        <w:placeholder>
          <w:docPart w:val="85ED1BF17D104D489E00DAF20626C054"/>
        </w:placeholder>
      </w:sdtPr>
      <w:sdtEndPr/>
      <w:sdtContent>
        <w:p w:rsidR="00145C29" w:rsidRDefault="008F4ADF">
          <w:pPr>
            <w:pStyle w:val="afffffffffff6"/>
            <w:spacing w:beforeLines="1" w:before="3" w:afterLines="220" w:after="686"/>
            <w:rPr>
              <w:rFonts w:ascii="Times New Roman" w:cs="宋体"/>
              <w:szCs w:val="32"/>
              <w:lang w:val="zh-CN"/>
            </w:rPr>
          </w:pPr>
          <w:r>
            <w:rPr>
              <w:rFonts w:ascii="Times New Roman" w:cs="宋体" w:hint="eastAsia"/>
              <w:szCs w:val="32"/>
              <w:lang w:val="zh-CN"/>
            </w:rPr>
            <w:t>碘</w:t>
          </w:r>
          <w:r>
            <w:rPr>
              <w:rFonts w:ascii="Times New Roman" w:cs="宋体" w:hint="eastAsia"/>
              <w:szCs w:val="32"/>
              <w:lang w:val="zh-CN"/>
            </w:rPr>
            <w:t>-131</w:t>
          </w:r>
          <w:r>
            <w:rPr>
              <w:rFonts w:ascii="Times New Roman" w:cs="宋体" w:hint="eastAsia"/>
              <w:szCs w:val="32"/>
              <w:lang w:val="zh-CN"/>
            </w:rPr>
            <w:t>核素治疗病房的辐射</w:t>
          </w:r>
          <w:r>
            <w:rPr>
              <w:rFonts w:ascii="Times New Roman" w:cs="宋体" w:hint="eastAsia"/>
              <w:szCs w:val="32"/>
            </w:rPr>
            <w:t>防护与安全</w:t>
          </w:r>
          <w:r>
            <w:rPr>
              <w:rFonts w:ascii="Times New Roman" w:cs="宋体" w:hint="eastAsia"/>
              <w:szCs w:val="32"/>
              <w:lang w:val="zh-CN"/>
            </w:rPr>
            <w:t>管理</w:t>
          </w:r>
          <w:bookmarkEnd w:id="25"/>
          <w:r>
            <w:rPr>
              <w:rFonts w:ascii="Times New Roman" w:cs="宋体" w:hint="eastAsia"/>
              <w:szCs w:val="32"/>
            </w:rPr>
            <w:t>要求</w:t>
          </w:r>
        </w:p>
      </w:sdtContent>
    </w:sdt>
    <w:p w:rsidR="00145C29" w:rsidRDefault="008F4ADF">
      <w:pPr>
        <w:pStyle w:val="affd"/>
        <w:spacing w:before="312" w:after="312"/>
      </w:pPr>
      <w:bookmarkStart w:id="28" w:name="_Toc24884218"/>
      <w:bookmarkStart w:id="29" w:name="_Toc97191423"/>
      <w:bookmarkStart w:id="30" w:name="_Toc111119208"/>
      <w:bookmarkStart w:id="31" w:name="_Toc26718930"/>
      <w:bookmarkStart w:id="32" w:name="_Toc26986771"/>
      <w:bookmarkStart w:id="33" w:name="_Toc17233333"/>
      <w:bookmarkStart w:id="34" w:name="_Toc17233325"/>
      <w:bookmarkStart w:id="35" w:name="_Toc24884211"/>
      <w:bookmarkStart w:id="36" w:name="_Toc26648465"/>
      <w:bookmarkStart w:id="37" w:name="_Toc26986530"/>
      <w:bookmarkEnd w:id="27"/>
      <w:bookmarkEnd w:id="26"/>
      <w:r>
        <w:rPr>
          <w:rFonts w:hint="eastAsia"/>
        </w:rPr>
        <w:t>范围</w:t>
      </w:r>
      <w:bookmarkEnd w:id="28"/>
      <w:bookmarkEnd w:id="29"/>
      <w:bookmarkEnd w:id="30"/>
      <w:bookmarkEnd w:id="31"/>
      <w:bookmarkEnd w:id="32"/>
      <w:bookmarkEnd w:id="33"/>
      <w:bookmarkEnd w:id="34"/>
      <w:bookmarkEnd w:id="35"/>
      <w:bookmarkEnd w:id="36"/>
      <w:bookmarkEnd w:id="37"/>
    </w:p>
    <w:p w:rsidR="00145C29" w:rsidRDefault="008F4ADF">
      <w:pPr>
        <w:pStyle w:val="afffff1"/>
        <w:ind w:firstLine="420"/>
      </w:pPr>
      <w:bookmarkStart w:id="38" w:name="_Toc17233334"/>
      <w:bookmarkStart w:id="39" w:name="_Toc24884212"/>
      <w:bookmarkStart w:id="40" w:name="_Toc26648466"/>
      <w:bookmarkStart w:id="41" w:name="_Toc17233326"/>
      <w:bookmarkStart w:id="42" w:name="_Toc24884219"/>
      <w:r>
        <w:rPr>
          <w:rFonts w:hint="eastAsia"/>
        </w:rPr>
        <w:t>本文件规定了医疗机构使用碘-131核素开展核医学住院治疗活动的总则、选址、布局、工作场所的辐射安全与防护、放射性废物管理、辐射监测、应急处理要求等相关内容。</w:t>
      </w:r>
    </w:p>
    <w:p w:rsidR="00145C29" w:rsidRDefault="008F4ADF">
      <w:pPr>
        <w:pStyle w:val="afffff1"/>
        <w:ind w:firstLine="420"/>
      </w:pPr>
      <w:r>
        <w:rPr>
          <w:rFonts w:hint="eastAsia"/>
        </w:rPr>
        <w:t>本文件适用于医疗机构碘-131核素治疗病房工作场所设计、建设及开展相关活动的辐射防护与安全管理。</w:t>
      </w:r>
    </w:p>
    <w:p w:rsidR="00145C29" w:rsidRDefault="008F4ADF">
      <w:pPr>
        <w:pStyle w:val="affd"/>
        <w:spacing w:before="312" w:after="312"/>
      </w:pPr>
      <w:bookmarkStart w:id="43" w:name="_Toc111119209"/>
      <w:bookmarkStart w:id="44" w:name="_Toc26718931"/>
      <w:bookmarkStart w:id="45" w:name="_Toc26986772"/>
      <w:bookmarkStart w:id="46" w:name="_Toc26986531"/>
      <w:bookmarkStart w:id="47" w:name="_Toc97191424"/>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14E0537873BC4FD8B47B2D6980B1A7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45C29" w:rsidRDefault="008F4ADF">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45C29" w:rsidRDefault="008F4ADF">
      <w:pPr>
        <w:pStyle w:val="afffff1"/>
        <w:ind w:firstLine="420"/>
      </w:pPr>
      <w:r>
        <w:rPr>
          <w:rFonts w:hint="eastAsia"/>
        </w:rPr>
        <w:t>GB 18871—2002  电离辐射防护与辐射源安全基本标准</w:t>
      </w:r>
    </w:p>
    <w:p w:rsidR="00145C29" w:rsidRDefault="008F4ADF">
      <w:pPr>
        <w:pStyle w:val="afffff1"/>
        <w:ind w:firstLine="420"/>
      </w:pPr>
      <w:r>
        <w:rPr>
          <w:rFonts w:hint="eastAsia"/>
        </w:rPr>
        <w:t>HJ 61  辐射环境监测技术规范</w:t>
      </w:r>
    </w:p>
    <w:p w:rsidR="00145C29" w:rsidRDefault="008F4ADF">
      <w:pPr>
        <w:pStyle w:val="afffff1"/>
        <w:ind w:firstLine="420"/>
      </w:pPr>
      <w:r>
        <w:rPr>
          <w:rFonts w:hint="eastAsia"/>
        </w:rPr>
        <w:t>HJ 1188  核医学辐射防护与安全要求</w:t>
      </w:r>
    </w:p>
    <w:p w:rsidR="00145C29" w:rsidRDefault="008F4ADF">
      <w:pPr>
        <w:pStyle w:val="affd"/>
        <w:spacing w:before="312" w:after="312"/>
      </w:pPr>
      <w:bookmarkStart w:id="48" w:name="_Toc111119210"/>
      <w:bookmarkStart w:id="49" w:name="_Toc97191425"/>
      <w:r>
        <w:rPr>
          <w:rFonts w:hint="eastAsia"/>
          <w:szCs w:val="21"/>
        </w:rPr>
        <w:t>术语和定义</w:t>
      </w:r>
      <w:bookmarkEnd w:id="48"/>
      <w:bookmarkEnd w:id="49"/>
    </w:p>
    <w:bookmarkStart w:id="50" w:name="_Toc26986532" w:displacedByCustomXml="next"/>
    <w:bookmarkEnd w:id="50" w:displacedByCustomXml="next"/>
    <w:sdt>
      <w:sdtPr>
        <w:rPr>
          <w:rFonts w:hint="eastAsia"/>
          <w:u w:val="single"/>
        </w:rPr>
        <w:id w:val="-1909835108"/>
        <w:placeholder>
          <w:docPart w:val="9916943FFA74490CA0C377C0A0C3614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45C29" w:rsidRDefault="008F4ADF">
          <w:pPr>
            <w:pStyle w:val="afffff1"/>
            <w:ind w:firstLine="420"/>
          </w:pPr>
          <w:r w:rsidRPr="00816EF0">
            <w:t xml:space="preserve">GB 18871 </w:t>
          </w:r>
          <w:r w:rsidRPr="00816EF0">
            <w:rPr>
              <w:rFonts w:hint="eastAsia"/>
            </w:rPr>
            <w:t>界定的以及下列术语和定义适用于本文件。</w:t>
          </w:r>
        </w:p>
      </w:sdtContent>
    </w:sdt>
    <w:p w:rsidR="00145C29" w:rsidRDefault="008F4ADF">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碘-131核素治疗 Iodine-131 radionuclide treatment</w:t>
      </w:r>
    </w:p>
    <w:p w:rsidR="00145C29" w:rsidRDefault="008F4ADF">
      <w:pPr>
        <w:pStyle w:val="afffff1"/>
        <w:ind w:firstLine="420"/>
      </w:pPr>
      <w:r>
        <w:rPr>
          <w:rFonts w:hint="eastAsia"/>
        </w:rPr>
        <w:t>利用人体甲状腺组织对</w:t>
      </w:r>
      <w:proofErr w:type="gramStart"/>
      <w:r>
        <w:rPr>
          <w:rFonts w:hint="eastAsia"/>
        </w:rPr>
        <w:t>碘具有</w:t>
      </w:r>
      <w:proofErr w:type="gramEnd"/>
      <w:r>
        <w:rPr>
          <w:rFonts w:hint="eastAsia"/>
        </w:rPr>
        <w:t>高度选择性摄取功能的原理，使含碘-131核素的放射性药物高度选择性聚集在病变组织处发出射线杀死病变细胞，达到放射性核素靶</w:t>
      </w:r>
      <w:proofErr w:type="gramStart"/>
      <w:r>
        <w:rPr>
          <w:rFonts w:hint="eastAsia"/>
        </w:rPr>
        <w:t>向治疗</w:t>
      </w:r>
      <w:proofErr w:type="gramEnd"/>
      <w:r>
        <w:rPr>
          <w:rFonts w:hint="eastAsia"/>
        </w:rPr>
        <w:t>疾病的目的。</w:t>
      </w:r>
    </w:p>
    <w:p w:rsidR="00145C29" w:rsidRDefault="008F4ADF">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 xml:space="preserve">碘-131核素治疗病房 Iodine-131  radionuclide treatment wards </w:t>
      </w:r>
    </w:p>
    <w:p w:rsidR="00145C29" w:rsidRDefault="008F4ADF">
      <w:pPr>
        <w:pStyle w:val="afffff1"/>
        <w:ind w:firstLine="420"/>
      </w:pPr>
      <w:r>
        <w:rPr>
          <w:rFonts w:hint="eastAsia"/>
        </w:rPr>
        <w:t>医疗机构用于收治住院患者并对其实施碘-131核素治疗的病房及相关配套活动场所。</w:t>
      </w:r>
    </w:p>
    <w:p w:rsidR="00145C29" w:rsidRDefault="008F4ADF">
      <w:pPr>
        <w:pStyle w:val="affd"/>
        <w:spacing w:before="312" w:after="312"/>
      </w:pPr>
      <w:bookmarkStart w:id="51" w:name="_Toc111119211"/>
      <w:r>
        <w:rPr>
          <w:rFonts w:hint="eastAsia"/>
        </w:rPr>
        <w:t>总则</w:t>
      </w:r>
      <w:bookmarkEnd w:id="51"/>
    </w:p>
    <w:p w:rsidR="00145C29" w:rsidRDefault="008F4ADF">
      <w:pPr>
        <w:pStyle w:val="affe"/>
        <w:spacing w:before="156" w:after="156"/>
        <w:ind w:left="0"/>
      </w:pPr>
      <w:r>
        <w:rPr>
          <w:rFonts w:hint="eastAsia"/>
        </w:rPr>
        <w:t>一般要求</w:t>
      </w:r>
    </w:p>
    <w:p w:rsidR="00145C29" w:rsidRDefault="008F4ADF">
      <w:pPr>
        <w:pStyle w:val="affffffffd"/>
      </w:pPr>
      <w:r>
        <w:rPr>
          <w:rFonts w:hint="eastAsia"/>
        </w:rPr>
        <w:t>医疗机构应对所开展的碘-131核素治疗病房的辐射防护与安全工作全面负责，实现保护辐射工作人员、公众和环境的目标。</w:t>
      </w:r>
    </w:p>
    <w:p w:rsidR="00145C29" w:rsidRDefault="008F4ADF">
      <w:pPr>
        <w:pStyle w:val="affffffffd"/>
      </w:pPr>
      <w:r>
        <w:rPr>
          <w:rFonts w:hint="eastAsia"/>
        </w:rPr>
        <w:t>医疗机构应对拟开展的碘-131核素治疗活动进行正当性判断，确保实施的活动都是正当的。</w:t>
      </w:r>
    </w:p>
    <w:p w:rsidR="00145C29" w:rsidRDefault="008F4ADF">
      <w:pPr>
        <w:pStyle w:val="affffffffd"/>
      </w:pPr>
      <w:r>
        <w:rPr>
          <w:rFonts w:hint="eastAsia"/>
        </w:rPr>
        <w:t>规划、设计、建设碘-131核素治疗病房和开展碘-131治疗活动的过程中，应遵循辐射防护最优化原则，使得碘-131治疗活动涉及的相关个人受照剂量的大小、受到照射的人数和受到照射的可能性保持在可合理达到的尽量低的水平。</w:t>
      </w:r>
    </w:p>
    <w:p w:rsidR="00145C29" w:rsidRDefault="008F4ADF">
      <w:pPr>
        <w:pStyle w:val="affffffffd"/>
      </w:pPr>
      <w:r>
        <w:rPr>
          <w:rFonts w:hint="eastAsia"/>
        </w:rPr>
        <w:t>医疗机构应对碘-131核素治疗病房和周围环境进行定期的辐射监测和评估，满足8.3辐射防护监测要求，以证明所采取的辐射防护与安全措施的合理性。</w:t>
      </w:r>
    </w:p>
    <w:p w:rsidR="00145C29" w:rsidRDefault="008F4ADF">
      <w:pPr>
        <w:pStyle w:val="affffffffd"/>
      </w:pPr>
      <w:r>
        <w:rPr>
          <w:rFonts w:hint="eastAsia"/>
        </w:rPr>
        <w:lastRenderedPageBreak/>
        <w:t>设置碘-131核素治疗病房的医疗机构应制定适当的辐射事故应急预案，做好辐射事故应急准备和响应工作安排，有效防范辐射事故或降低辐射事故的危害。</w:t>
      </w:r>
    </w:p>
    <w:p w:rsidR="00145C29" w:rsidRDefault="008F4ADF">
      <w:pPr>
        <w:pStyle w:val="affe"/>
        <w:spacing w:before="156" w:after="156"/>
        <w:ind w:left="0"/>
      </w:pPr>
      <w:r>
        <w:rPr>
          <w:rFonts w:hint="eastAsia"/>
        </w:rPr>
        <w:t>辐射工作场所分级</w:t>
      </w:r>
    </w:p>
    <w:p w:rsidR="00145C29" w:rsidRDefault="008F4ADF">
      <w:pPr>
        <w:pStyle w:val="afffff1"/>
        <w:ind w:firstLine="420"/>
      </w:pPr>
      <w:r>
        <w:rPr>
          <w:rFonts w:hint="eastAsia"/>
        </w:rPr>
        <w:t>应按照 GB 18871 的规定，将辐射工作场所按放射性核素日等效最大操作量的大小分为甲级、乙级和丙级场所，碘-131</w:t>
      </w:r>
      <w:r>
        <w:rPr>
          <w:rFonts w:hint="eastAsia"/>
          <w:color w:val="000000" w:themeColor="text1"/>
        </w:rPr>
        <w:t>核素治疗病房非密封放射性物质工作场</w:t>
      </w:r>
      <w:r>
        <w:rPr>
          <w:rFonts w:hint="eastAsia"/>
        </w:rPr>
        <w:t>所的</w:t>
      </w:r>
      <w:proofErr w:type="gramStart"/>
      <w:r>
        <w:rPr>
          <w:rFonts w:hint="eastAsia"/>
        </w:rPr>
        <w:t>分级应</w:t>
      </w:r>
      <w:proofErr w:type="gramEnd"/>
      <w:r>
        <w:rPr>
          <w:rFonts w:hint="eastAsia"/>
        </w:rPr>
        <w:t>符合表1的要求。</w:t>
      </w:r>
    </w:p>
    <w:p w:rsidR="00145C29" w:rsidRDefault="008F4ADF">
      <w:pPr>
        <w:pStyle w:val="aff3"/>
        <w:spacing w:before="156" w:after="156"/>
      </w:pPr>
      <w:r>
        <w:rPr>
          <w:rFonts w:hint="eastAsia"/>
        </w:rPr>
        <w:t>碘-131核素治疗病房非密封源工作场所的分级</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90"/>
        <w:gridCol w:w="3020"/>
        <w:gridCol w:w="3020"/>
      </w:tblGrid>
      <w:tr w:rsidR="00145C29">
        <w:trPr>
          <w:jc w:val="center"/>
        </w:trPr>
        <w:tc>
          <w:tcPr>
            <w:tcW w:w="2290"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级</w:t>
            </w:r>
            <w:r>
              <w:rPr>
                <w:rFonts w:ascii="Times New Roman" w:eastAsia="黑体" w:hint="eastAsia"/>
                <w:sz w:val="18"/>
              </w:rPr>
              <w:t xml:space="preserve">  </w:t>
            </w:r>
            <w:r>
              <w:rPr>
                <w:rFonts w:ascii="Times New Roman" w:eastAsia="黑体" w:hint="eastAsia"/>
                <w:sz w:val="18"/>
              </w:rPr>
              <w:t>别</w:t>
            </w:r>
          </w:p>
        </w:tc>
        <w:tc>
          <w:tcPr>
            <w:tcW w:w="3020"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日等效最大操作量（</w:t>
            </w:r>
            <w:r>
              <w:rPr>
                <w:rFonts w:ascii="Times New Roman" w:eastAsia="黑体" w:hint="eastAsia"/>
                <w:sz w:val="18"/>
              </w:rPr>
              <w:t>Bq</w:t>
            </w:r>
            <w:r>
              <w:rPr>
                <w:rFonts w:ascii="Times New Roman" w:eastAsia="黑体" w:hint="eastAsia"/>
                <w:sz w:val="18"/>
              </w:rPr>
              <w:t>）</w:t>
            </w:r>
          </w:p>
        </w:tc>
        <w:tc>
          <w:tcPr>
            <w:tcW w:w="3020"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碘</w:t>
            </w:r>
            <w:r>
              <w:rPr>
                <w:rFonts w:ascii="Times New Roman" w:eastAsia="黑体" w:hint="eastAsia"/>
                <w:sz w:val="18"/>
              </w:rPr>
              <w:t>-131</w:t>
            </w:r>
            <w:r>
              <w:rPr>
                <w:rFonts w:ascii="Times New Roman" w:eastAsia="黑体" w:hint="eastAsia"/>
                <w:sz w:val="18"/>
              </w:rPr>
              <w:t>实际</w:t>
            </w:r>
            <w:proofErr w:type="gramStart"/>
            <w:r>
              <w:rPr>
                <w:rFonts w:ascii="Times New Roman" w:eastAsia="黑体" w:hint="eastAsia"/>
                <w:sz w:val="18"/>
              </w:rPr>
              <w:t>日操作</w:t>
            </w:r>
            <w:proofErr w:type="gramEnd"/>
            <w:r>
              <w:rPr>
                <w:rFonts w:ascii="Times New Roman" w:eastAsia="黑体" w:hint="eastAsia"/>
                <w:sz w:val="18"/>
              </w:rPr>
              <w:t>量（</w:t>
            </w:r>
            <w:r>
              <w:rPr>
                <w:rFonts w:ascii="Times New Roman" w:eastAsia="黑体" w:hint="eastAsia"/>
                <w:sz w:val="18"/>
              </w:rPr>
              <w:t>Bq</w:t>
            </w:r>
            <w:r>
              <w:rPr>
                <w:rFonts w:ascii="Times New Roman" w:eastAsia="黑体" w:hint="eastAsia"/>
                <w:sz w:val="18"/>
              </w:rPr>
              <w:t>）</w:t>
            </w:r>
          </w:p>
        </w:tc>
      </w:tr>
      <w:tr w:rsidR="00145C29">
        <w:trPr>
          <w:jc w:val="center"/>
        </w:trPr>
        <w:tc>
          <w:tcPr>
            <w:tcW w:w="2290" w:type="dxa"/>
            <w:tcBorders>
              <w:top w:val="single" w:sz="8" w:space="0" w:color="auto"/>
            </w:tcBorders>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甲</w:t>
            </w:r>
          </w:p>
        </w:tc>
        <w:tc>
          <w:tcPr>
            <w:tcW w:w="3020" w:type="dxa"/>
            <w:tcBorders>
              <w:top w:val="single" w:sz="8" w:space="0" w:color="auto"/>
            </w:tcBorders>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w:t>
            </w:r>
            <w:r>
              <w:rPr>
                <w:rFonts w:ascii="Times New Roman" w:eastAsia="黑体" w:hint="eastAsia"/>
                <w:sz w:val="18"/>
              </w:rPr>
              <w:t>4</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9</w:t>
            </w:r>
          </w:p>
        </w:tc>
        <w:tc>
          <w:tcPr>
            <w:tcW w:w="3020" w:type="dxa"/>
            <w:tcBorders>
              <w:top w:val="single" w:sz="8" w:space="0" w:color="auto"/>
            </w:tcBorders>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w:t>
            </w:r>
            <w:r>
              <w:rPr>
                <w:rFonts w:ascii="Times New Roman" w:eastAsia="黑体" w:hint="eastAsia"/>
                <w:sz w:val="18"/>
              </w:rPr>
              <w:t>4</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10</w:t>
            </w:r>
          </w:p>
        </w:tc>
      </w:tr>
      <w:tr w:rsidR="00145C29">
        <w:trPr>
          <w:jc w:val="center"/>
        </w:trPr>
        <w:tc>
          <w:tcPr>
            <w:tcW w:w="2290" w:type="dxa"/>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乙</w:t>
            </w:r>
          </w:p>
        </w:tc>
        <w:tc>
          <w:tcPr>
            <w:tcW w:w="3020" w:type="dxa"/>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2</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7</w:t>
            </w:r>
            <w:r>
              <w:rPr>
                <w:rFonts w:ascii="Times New Roman" w:eastAsia="黑体" w:hint="eastAsia"/>
                <w:sz w:val="18"/>
              </w:rPr>
              <w:t>~4</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9</w:t>
            </w:r>
          </w:p>
        </w:tc>
        <w:tc>
          <w:tcPr>
            <w:tcW w:w="3020" w:type="dxa"/>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2</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8</w:t>
            </w:r>
            <w:r>
              <w:rPr>
                <w:rFonts w:ascii="Times New Roman" w:eastAsia="黑体" w:hint="eastAsia"/>
                <w:sz w:val="18"/>
              </w:rPr>
              <w:t>~4</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10</w:t>
            </w:r>
          </w:p>
        </w:tc>
      </w:tr>
      <w:tr w:rsidR="00145C29">
        <w:trPr>
          <w:jc w:val="center"/>
        </w:trPr>
        <w:tc>
          <w:tcPr>
            <w:tcW w:w="2290" w:type="dxa"/>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丙</w:t>
            </w:r>
          </w:p>
        </w:tc>
        <w:tc>
          <w:tcPr>
            <w:tcW w:w="3020" w:type="dxa"/>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1</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5</w:t>
            </w:r>
            <w:r>
              <w:rPr>
                <w:rFonts w:ascii="Times New Roman" w:eastAsia="黑体" w:hint="eastAsia"/>
                <w:sz w:val="18"/>
              </w:rPr>
              <w:t>～</w:t>
            </w:r>
            <w:r>
              <w:rPr>
                <w:rFonts w:ascii="Times New Roman" w:eastAsia="黑体" w:hint="eastAsia"/>
                <w:sz w:val="18"/>
              </w:rPr>
              <w:t>2</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7</w:t>
            </w:r>
          </w:p>
        </w:tc>
        <w:tc>
          <w:tcPr>
            <w:tcW w:w="3020" w:type="dxa"/>
            <w:shd w:val="clear" w:color="auto" w:fill="auto"/>
            <w:vAlign w:val="center"/>
          </w:tcPr>
          <w:p w:rsidR="00145C29" w:rsidRDefault="008F4ADF">
            <w:pPr>
              <w:pStyle w:val="afffffffffffd"/>
              <w:ind w:firstLineChars="0" w:firstLine="0"/>
              <w:jc w:val="center"/>
              <w:rPr>
                <w:rFonts w:ascii="Times New Roman" w:eastAsia="黑体"/>
                <w:sz w:val="18"/>
              </w:rPr>
            </w:pPr>
            <w:r>
              <w:rPr>
                <w:rFonts w:ascii="Times New Roman" w:eastAsia="黑体" w:hint="eastAsia"/>
                <w:sz w:val="18"/>
              </w:rPr>
              <w:t>1</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6</w:t>
            </w:r>
            <w:r>
              <w:rPr>
                <w:rFonts w:ascii="Times New Roman" w:eastAsia="黑体" w:hint="eastAsia"/>
                <w:sz w:val="18"/>
              </w:rPr>
              <w:t>～</w:t>
            </w:r>
            <w:r>
              <w:rPr>
                <w:rFonts w:ascii="Times New Roman" w:eastAsia="黑体" w:hint="eastAsia"/>
                <w:sz w:val="18"/>
              </w:rPr>
              <w:t>2</w:t>
            </w:r>
            <w:r>
              <w:rPr>
                <w:rFonts w:ascii="Times New Roman" w:eastAsia="黑体" w:hint="eastAsia"/>
                <w:sz w:val="18"/>
              </w:rPr>
              <w:t>×</w:t>
            </w:r>
            <w:r>
              <w:rPr>
                <w:rFonts w:ascii="Times New Roman" w:eastAsia="黑体" w:hint="eastAsia"/>
                <w:sz w:val="18"/>
              </w:rPr>
              <w:t>10</w:t>
            </w:r>
            <w:r>
              <w:rPr>
                <w:rFonts w:ascii="Times New Roman" w:eastAsia="黑体" w:hint="eastAsia"/>
                <w:sz w:val="18"/>
                <w:vertAlign w:val="superscript"/>
              </w:rPr>
              <w:t>8</w:t>
            </w:r>
          </w:p>
        </w:tc>
      </w:tr>
      <w:tr w:rsidR="00145C29">
        <w:trPr>
          <w:jc w:val="center"/>
        </w:trPr>
        <w:tc>
          <w:tcPr>
            <w:tcW w:w="8330" w:type="dxa"/>
            <w:gridSpan w:val="3"/>
            <w:shd w:val="clear" w:color="auto" w:fill="auto"/>
            <w:vAlign w:val="center"/>
          </w:tcPr>
          <w:p w:rsidR="00145C29" w:rsidRDefault="008F4ADF">
            <w:pPr>
              <w:pStyle w:val="a6"/>
            </w:pPr>
            <w:r>
              <w:rPr>
                <w:rFonts w:hint="eastAsia"/>
              </w:rPr>
              <w:t>根据GB 18871 规定放射性核素的日等效操作量等于放射性核素的实际</w:t>
            </w:r>
            <w:proofErr w:type="gramStart"/>
            <w:r>
              <w:rPr>
                <w:rFonts w:hint="eastAsia"/>
              </w:rPr>
              <w:t>日操作</w:t>
            </w:r>
            <w:proofErr w:type="gramEnd"/>
            <w:r>
              <w:rPr>
                <w:rFonts w:hint="eastAsia"/>
              </w:rPr>
              <w:t>量（Bq）与该核素毒性组别修正因子</w:t>
            </w:r>
            <w:proofErr w:type="gramStart"/>
            <w:r>
              <w:rPr>
                <w:rFonts w:hint="eastAsia"/>
              </w:rPr>
              <w:t>的积除以</w:t>
            </w:r>
            <w:proofErr w:type="gramEnd"/>
            <w:r>
              <w:rPr>
                <w:rFonts w:hint="eastAsia"/>
              </w:rPr>
              <w:t>操作方式有关的修正因子所得的商。</w:t>
            </w:r>
          </w:p>
          <w:p w:rsidR="00145C29" w:rsidRDefault="008F4ADF">
            <w:pPr>
              <w:pStyle w:val="a6"/>
            </w:pPr>
            <w:r>
              <w:rPr>
                <w:rFonts w:hint="eastAsia"/>
              </w:rPr>
              <w:t>根据H</w:t>
            </w:r>
            <w:r>
              <w:t>J</w:t>
            </w:r>
            <w:r>
              <w:rPr>
                <w:rFonts w:hint="eastAsia"/>
              </w:rPr>
              <w:t xml:space="preserve"> 11</w:t>
            </w:r>
            <w:r>
              <w:t>88</w:t>
            </w:r>
            <w:r>
              <w:rPr>
                <w:rFonts w:hint="eastAsia"/>
              </w:rPr>
              <w:t>中提供碘-131核素的毒性组别修正因子为0.1（中毒），操作方式修正因子为1（简单操作）。</w:t>
            </w:r>
          </w:p>
        </w:tc>
      </w:tr>
    </w:tbl>
    <w:p w:rsidR="00145C29" w:rsidRDefault="008F4ADF">
      <w:pPr>
        <w:pStyle w:val="affe"/>
        <w:tabs>
          <w:tab w:val="left" w:pos="993"/>
        </w:tabs>
        <w:spacing w:before="156" w:after="156"/>
        <w:ind w:leftChars="-1" w:left="-2"/>
      </w:pPr>
      <w:r>
        <w:rPr>
          <w:rFonts w:hint="eastAsia"/>
        </w:rPr>
        <w:t>辐射工作场所分区</w:t>
      </w:r>
    </w:p>
    <w:p w:rsidR="00145C29" w:rsidRDefault="008F4ADF">
      <w:pPr>
        <w:pStyle w:val="affffffffd"/>
      </w:pPr>
      <w:r>
        <w:rPr>
          <w:rFonts w:hint="eastAsia"/>
        </w:rPr>
        <w:t>碘-131核素治疗病房的辐射工作场所应划分出控制区和监督区，合理布局工作场所。</w:t>
      </w:r>
    </w:p>
    <w:p w:rsidR="00145C29" w:rsidRDefault="008F4ADF">
      <w:pPr>
        <w:pStyle w:val="affffffffd"/>
      </w:pPr>
      <w:r>
        <w:rPr>
          <w:rFonts w:hint="eastAsia"/>
        </w:rPr>
        <w:t>碘-131核素治疗病房的控制区主要包括放射性药物贮存室、药物分装室、质控室或质</w:t>
      </w:r>
      <w:proofErr w:type="gramStart"/>
      <w:r>
        <w:rPr>
          <w:rFonts w:hint="eastAsia"/>
        </w:rPr>
        <w:t>控区域</w:t>
      </w:r>
      <w:proofErr w:type="gramEnd"/>
      <w:r>
        <w:rPr>
          <w:rFonts w:hint="eastAsia"/>
        </w:rPr>
        <w:t>废液收集、给药室、病房、急救室、放射性废物暂存间、被服衰变室、洁具室、衰变池等区域。</w:t>
      </w:r>
    </w:p>
    <w:p w:rsidR="00145C29" w:rsidRDefault="008F4ADF">
      <w:pPr>
        <w:pStyle w:val="affffffffd"/>
      </w:pPr>
      <w:r>
        <w:rPr>
          <w:rFonts w:hint="eastAsia"/>
        </w:rPr>
        <w:t>碘-131核素治疗病房的监督区主要包括更衣室、卫生通过间、自动分装装置控制室以及与控制区相连的碘-131核素治疗病房的其他场所或区域。</w:t>
      </w:r>
    </w:p>
    <w:p w:rsidR="00145C29" w:rsidRDefault="008F4ADF">
      <w:pPr>
        <w:pStyle w:val="affffffffd"/>
      </w:pPr>
      <w:r>
        <w:rPr>
          <w:rFonts w:hint="eastAsia"/>
        </w:rPr>
        <w:t>控制区的入口应设置标明控制区的标志，监督区入口处应设置规范的电离辐射警告标志及标明监督区的标志。</w:t>
      </w:r>
    </w:p>
    <w:p w:rsidR="00145C29" w:rsidRDefault="008F4ADF">
      <w:pPr>
        <w:pStyle w:val="affffffffd"/>
      </w:pPr>
      <w:r>
        <w:rPr>
          <w:rFonts w:hint="eastAsia"/>
        </w:rPr>
        <w:t>碘-131核素治疗病房区域应设置合理的通道地面引导标识。</w:t>
      </w:r>
    </w:p>
    <w:p w:rsidR="00145C29" w:rsidRDefault="008F4ADF">
      <w:pPr>
        <w:pStyle w:val="affe"/>
        <w:spacing w:before="156" w:after="156"/>
        <w:ind w:left="0"/>
      </w:pPr>
      <w:r>
        <w:rPr>
          <w:rFonts w:hint="eastAsia"/>
        </w:rPr>
        <w:t>剂量限值、剂量约束值和年摄入量限制</w:t>
      </w:r>
    </w:p>
    <w:p w:rsidR="00145C29" w:rsidRDefault="008F4ADF">
      <w:pPr>
        <w:pStyle w:val="afff"/>
        <w:spacing w:before="156" w:after="156"/>
      </w:pPr>
      <w:r>
        <w:rPr>
          <w:rFonts w:hint="eastAsia"/>
        </w:rPr>
        <w:t>剂量限值</w:t>
      </w:r>
    </w:p>
    <w:p w:rsidR="00145C29" w:rsidRDefault="008F4ADF">
      <w:pPr>
        <w:pStyle w:val="afff0"/>
        <w:spacing w:before="156" w:after="156"/>
        <w:ind w:left="0"/>
      </w:pPr>
      <w:r>
        <w:rPr>
          <w:rFonts w:hint="eastAsia"/>
        </w:rPr>
        <w:t>职业照射</w:t>
      </w:r>
    </w:p>
    <w:p w:rsidR="00145C29" w:rsidRDefault="008F4ADF">
      <w:pPr>
        <w:pStyle w:val="afffff1"/>
        <w:ind w:firstLine="420"/>
      </w:pPr>
      <w:r>
        <w:rPr>
          <w:rFonts w:hint="eastAsia"/>
        </w:rPr>
        <w:t>应对任何工作人员的职业照射水平进行控制，使之不超过下述限值：</w:t>
      </w:r>
    </w:p>
    <w:p w:rsidR="00145C29" w:rsidRDefault="008F4ADF">
      <w:pPr>
        <w:pStyle w:val="af3"/>
      </w:pPr>
      <w:r>
        <w:rPr>
          <w:rFonts w:hint="eastAsia"/>
        </w:rPr>
        <w:t>由审管部门决定的连续5年的年平均有效剂量（但不可做任何追溯性平均），20 mSv；</w:t>
      </w:r>
    </w:p>
    <w:p w:rsidR="00145C29" w:rsidRDefault="008F4ADF">
      <w:pPr>
        <w:pStyle w:val="af3"/>
      </w:pPr>
      <w:r>
        <w:rPr>
          <w:rFonts w:hint="eastAsia"/>
        </w:rPr>
        <w:t>任何一年中的有效剂量，50 mSv。</w:t>
      </w:r>
    </w:p>
    <w:p w:rsidR="00145C29" w:rsidRDefault="008F4ADF">
      <w:pPr>
        <w:pStyle w:val="afff0"/>
        <w:spacing w:before="156" w:after="156"/>
        <w:ind w:left="0"/>
      </w:pPr>
      <w:r>
        <w:rPr>
          <w:rFonts w:hint="eastAsia"/>
        </w:rPr>
        <w:t>公众照射</w:t>
      </w:r>
    </w:p>
    <w:p w:rsidR="00145C29" w:rsidRDefault="008F4ADF">
      <w:pPr>
        <w:pStyle w:val="afffff1"/>
        <w:ind w:firstLine="420"/>
      </w:pPr>
      <w:r>
        <w:rPr>
          <w:rFonts w:hint="eastAsia"/>
        </w:rPr>
        <w:t>公众所受到的平均剂量估计值不应超过下述限值：</w:t>
      </w:r>
    </w:p>
    <w:p w:rsidR="00145C29" w:rsidRDefault="008F4ADF">
      <w:pPr>
        <w:pStyle w:val="afffff1"/>
        <w:ind w:firstLine="420"/>
      </w:pPr>
      <w:r>
        <w:rPr>
          <w:rFonts w:hint="eastAsia"/>
        </w:rPr>
        <w:t>——年有效剂量，1 mSv；</w:t>
      </w:r>
    </w:p>
    <w:p w:rsidR="00145C29" w:rsidRDefault="008F4ADF">
      <w:pPr>
        <w:pStyle w:val="afffff1"/>
        <w:ind w:firstLine="420"/>
      </w:pPr>
      <w:r>
        <w:rPr>
          <w:rFonts w:hint="eastAsia"/>
        </w:rPr>
        <w:t>——年有效剂量在特殊情况下，如果5个连续年的年平均剂量不超过1 mSv，则某一单一年份的有效剂量可提高到5 mSv。</w:t>
      </w:r>
    </w:p>
    <w:p w:rsidR="00145C29" w:rsidRDefault="008F4ADF">
      <w:pPr>
        <w:pStyle w:val="afff"/>
        <w:spacing w:before="156" w:after="156"/>
      </w:pPr>
      <w:r>
        <w:rPr>
          <w:rFonts w:hint="eastAsia"/>
        </w:rPr>
        <w:t xml:space="preserve">剂量约束值 </w:t>
      </w:r>
    </w:p>
    <w:p w:rsidR="00145C29" w:rsidRDefault="008F4ADF">
      <w:pPr>
        <w:pStyle w:val="affffffffc"/>
        <w:ind w:left="0"/>
      </w:pPr>
      <w:r>
        <w:rPr>
          <w:rFonts w:hint="eastAsia"/>
        </w:rPr>
        <w:t>一般情况下，职业照射的剂量约束值不超过 5 mSv/a。</w:t>
      </w:r>
    </w:p>
    <w:p w:rsidR="00145C29" w:rsidRDefault="008F4ADF">
      <w:pPr>
        <w:pStyle w:val="affffffffc"/>
        <w:ind w:left="0"/>
      </w:pPr>
      <w:r>
        <w:rPr>
          <w:rFonts w:hint="eastAsia"/>
        </w:rPr>
        <w:lastRenderedPageBreak/>
        <w:t>公众照射的剂量约束值不超过 0.1 mSv/a。</w:t>
      </w:r>
    </w:p>
    <w:p w:rsidR="00145C29" w:rsidRDefault="008F4ADF">
      <w:pPr>
        <w:pStyle w:val="afff"/>
        <w:spacing w:before="156" w:after="156"/>
      </w:pPr>
      <w:r>
        <w:rPr>
          <w:rFonts w:hint="eastAsia"/>
        </w:rPr>
        <w:t>年摄入量限值</w:t>
      </w:r>
    </w:p>
    <w:p w:rsidR="00145C29" w:rsidRDefault="008F4ADF">
      <w:pPr>
        <w:pStyle w:val="affffffffc"/>
        <w:ind w:left="0"/>
      </w:pPr>
      <w:r>
        <w:rPr>
          <w:rFonts w:hint="eastAsia"/>
        </w:rPr>
        <w:t>一般情况下，职业人员年摄入量限值不超过 4.55E+5 Bq/a。</w:t>
      </w:r>
    </w:p>
    <w:p w:rsidR="00145C29" w:rsidRDefault="008F4ADF">
      <w:pPr>
        <w:pStyle w:val="affffffffc"/>
        <w:ind w:left="0"/>
      </w:pPr>
      <w:r>
        <w:rPr>
          <w:rFonts w:hint="eastAsia"/>
        </w:rPr>
        <w:t>公众的年摄入量限值不超过 1.3E+4 Bq/a。</w:t>
      </w:r>
    </w:p>
    <w:p w:rsidR="00145C29" w:rsidRDefault="008F4ADF">
      <w:pPr>
        <w:pStyle w:val="afff"/>
        <w:spacing w:before="156" w:after="156"/>
      </w:pPr>
      <w:r>
        <w:rPr>
          <w:rFonts w:hint="eastAsia"/>
        </w:rPr>
        <w:t xml:space="preserve">放射性表面污染控制水平 </w:t>
      </w:r>
    </w:p>
    <w:p w:rsidR="00145C29" w:rsidRDefault="008F4ADF">
      <w:pPr>
        <w:pStyle w:val="affffffffc"/>
        <w:ind w:left="0"/>
      </w:pPr>
      <w:r>
        <w:rPr>
          <w:rFonts w:hint="eastAsia"/>
        </w:rPr>
        <w:t>控制区工作台、地面以及墙壁的β表面污染水平不高于40 Bq/cm</w:t>
      </w:r>
      <w:r>
        <w:rPr>
          <w:rFonts w:hint="eastAsia"/>
          <w:vertAlign w:val="superscript"/>
        </w:rPr>
        <w:t>2</w:t>
      </w:r>
      <w:r>
        <w:rPr>
          <w:rFonts w:hint="eastAsia"/>
        </w:rPr>
        <w:t>。</w:t>
      </w:r>
    </w:p>
    <w:p w:rsidR="00145C29" w:rsidRDefault="008F4ADF">
      <w:pPr>
        <w:pStyle w:val="affffffffc"/>
        <w:ind w:left="0"/>
      </w:pPr>
      <w:r>
        <w:rPr>
          <w:rFonts w:hint="eastAsia"/>
        </w:rPr>
        <w:t>工作服、手套以及工作鞋的β表面污染水平不高于4 Bq/cm</w:t>
      </w:r>
      <w:r>
        <w:rPr>
          <w:rFonts w:hint="eastAsia"/>
          <w:vertAlign w:val="superscript"/>
        </w:rPr>
        <w:t>2</w:t>
      </w:r>
      <w:r>
        <w:rPr>
          <w:rFonts w:hint="eastAsia"/>
        </w:rPr>
        <w:t>。</w:t>
      </w:r>
    </w:p>
    <w:p w:rsidR="00145C29" w:rsidRDefault="008F4ADF">
      <w:pPr>
        <w:pStyle w:val="affffffffc"/>
        <w:ind w:left="0"/>
      </w:pPr>
      <w:r>
        <w:rPr>
          <w:rFonts w:hint="eastAsia"/>
        </w:rPr>
        <w:t>手、皮肤的β表面污染水平不高于0.4 Bq/cm</w:t>
      </w:r>
      <w:r>
        <w:rPr>
          <w:rFonts w:hint="eastAsia"/>
          <w:vertAlign w:val="superscript"/>
        </w:rPr>
        <w:t>2</w:t>
      </w:r>
      <w:r>
        <w:rPr>
          <w:rFonts w:hint="eastAsia"/>
        </w:rPr>
        <w:t>。</w:t>
      </w:r>
    </w:p>
    <w:p w:rsidR="00145C29" w:rsidRDefault="008F4ADF">
      <w:pPr>
        <w:pStyle w:val="affe"/>
        <w:spacing w:before="156" w:after="156"/>
        <w:ind w:left="0"/>
      </w:pPr>
      <w:r>
        <w:rPr>
          <w:rFonts w:hint="eastAsia"/>
        </w:rPr>
        <w:t>服药患者出院要求</w:t>
      </w:r>
    </w:p>
    <w:p w:rsidR="00145C29" w:rsidRDefault="008F4ADF">
      <w:pPr>
        <w:pStyle w:val="afffff1"/>
        <w:ind w:firstLine="420"/>
      </w:pPr>
      <w:r>
        <w:rPr>
          <w:rFonts w:hint="eastAsia"/>
        </w:rPr>
        <w:t>接受碘-131 治疗的患者，应在其体内的放射性活度降至 400 MBq 以下或距离患者体表 1 米处的周围剂量当量率不大于 25 μSv/h 后方可出院。</w:t>
      </w:r>
    </w:p>
    <w:p w:rsidR="00145C29" w:rsidRDefault="008F4ADF">
      <w:pPr>
        <w:pStyle w:val="affd"/>
        <w:spacing w:before="312" w:after="312"/>
      </w:pPr>
      <w:bookmarkStart w:id="52" w:name="_Toc111119212"/>
      <w:r>
        <w:rPr>
          <w:rFonts w:hint="eastAsia"/>
        </w:rPr>
        <w:t>选址、布局</w:t>
      </w:r>
      <w:bookmarkEnd w:id="52"/>
    </w:p>
    <w:p w:rsidR="00145C29" w:rsidRDefault="008F4ADF">
      <w:pPr>
        <w:pStyle w:val="affe"/>
        <w:spacing w:before="156" w:after="156"/>
        <w:ind w:left="0"/>
      </w:pPr>
      <w:r>
        <w:rPr>
          <w:rFonts w:hint="eastAsia"/>
        </w:rPr>
        <w:t>选址</w:t>
      </w:r>
    </w:p>
    <w:p w:rsidR="00145C29" w:rsidRDefault="008F4ADF">
      <w:pPr>
        <w:pStyle w:val="affffffffd"/>
      </w:pPr>
      <w:r>
        <w:rPr>
          <w:rFonts w:hint="eastAsia"/>
        </w:rPr>
        <w:t>碘-131核素治疗病房周围50m范围内不应有学校、图书馆、商超等人员密集区域，宜建在医疗机构内单独的建筑物内或尽量集中于无人长期居留的建筑物的一端或底层，并为场所设置单独的工作人员和物流通道，为进行治疗的患者设置单独的出入口。</w:t>
      </w:r>
    </w:p>
    <w:p w:rsidR="00145C29" w:rsidRDefault="008F4ADF">
      <w:pPr>
        <w:pStyle w:val="affffffffd"/>
      </w:pPr>
      <w:r>
        <w:rPr>
          <w:rFonts w:hint="eastAsia"/>
        </w:rPr>
        <w:t>碘-131核素治疗病房</w:t>
      </w:r>
      <w:proofErr w:type="gramStart"/>
      <w:r>
        <w:rPr>
          <w:rFonts w:hint="eastAsia"/>
        </w:rPr>
        <w:t>不</w:t>
      </w:r>
      <w:proofErr w:type="gramEnd"/>
      <w:r>
        <w:rPr>
          <w:rFonts w:hint="eastAsia"/>
        </w:rPr>
        <w:t>应接</w:t>
      </w:r>
      <w:proofErr w:type="gramStart"/>
      <w:r>
        <w:rPr>
          <w:rFonts w:hint="eastAsia"/>
        </w:rPr>
        <w:t>邻</w:t>
      </w:r>
      <w:proofErr w:type="gramEnd"/>
      <w:r>
        <w:rPr>
          <w:rFonts w:hint="eastAsia"/>
        </w:rPr>
        <w:t>产科、儿科、食堂、诊室、收费室、病房、办公室等部门以及人员密集和长期</w:t>
      </w:r>
      <w:r>
        <w:rPr>
          <w:rFonts w:hint="eastAsia"/>
          <w:color w:val="FF0000"/>
        </w:rPr>
        <w:t>居留</w:t>
      </w:r>
      <w:r>
        <w:rPr>
          <w:rFonts w:hint="eastAsia"/>
        </w:rPr>
        <w:t>的场所，并与非放射性工作场所有明确的实体隔离。</w:t>
      </w:r>
    </w:p>
    <w:p w:rsidR="00145C29" w:rsidRDefault="008F4ADF">
      <w:pPr>
        <w:pStyle w:val="affffffffd"/>
      </w:pPr>
      <w:r>
        <w:rPr>
          <w:rFonts w:hint="eastAsia"/>
        </w:rPr>
        <w:t>碘-131核素治疗病房通风系统排气口应高于本建筑物屋顶，尽可能远离邻近的高层建筑物。</w:t>
      </w:r>
    </w:p>
    <w:p w:rsidR="00145C29" w:rsidRDefault="008F4ADF">
      <w:pPr>
        <w:pStyle w:val="affe"/>
        <w:spacing w:before="156" w:after="156"/>
        <w:ind w:left="0"/>
      </w:pPr>
      <w:r>
        <w:rPr>
          <w:rFonts w:hint="eastAsia"/>
        </w:rPr>
        <w:t>布局</w:t>
      </w:r>
    </w:p>
    <w:p w:rsidR="00145C29" w:rsidRDefault="008F4ADF">
      <w:pPr>
        <w:pStyle w:val="affffffffd"/>
      </w:pPr>
      <w:r>
        <w:rPr>
          <w:rFonts w:hint="eastAsia"/>
        </w:rPr>
        <w:t>碘-131核素治疗病房平面布局设计应有助于开展工作，使工作场所的外照射水平和污染发生的概率达到尽可能低的水平。</w:t>
      </w:r>
    </w:p>
    <w:p w:rsidR="00145C29" w:rsidRDefault="008F4ADF">
      <w:pPr>
        <w:pStyle w:val="affffffffd"/>
      </w:pPr>
      <w:r>
        <w:rPr>
          <w:rFonts w:hint="eastAsia"/>
        </w:rPr>
        <w:t>通过合理设计工作路径及规划工作时间，使给药后患者与给药前患者路径不交叉，给药后患者与工作人员路径不交叉，工作人员与放射性药物传输通道不交叉。</w:t>
      </w:r>
    </w:p>
    <w:p w:rsidR="00145C29" w:rsidRDefault="008F4ADF">
      <w:pPr>
        <w:pStyle w:val="affffffffd"/>
      </w:pPr>
      <w:r>
        <w:rPr>
          <w:rFonts w:hint="eastAsia"/>
        </w:rPr>
        <w:t>碘-131核素治疗病房患者病房应设置为单人间。</w:t>
      </w:r>
    </w:p>
    <w:p w:rsidR="00145C29" w:rsidRDefault="008F4ADF">
      <w:pPr>
        <w:pStyle w:val="affffffffd"/>
      </w:pPr>
      <w:r>
        <w:rPr>
          <w:rFonts w:hint="eastAsia"/>
        </w:rPr>
        <w:t>放射性废物暂存间宜靠近患者病房、</w:t>
      </w:r>
      <w:proofErr w:type="gramStart"/>
      <w:r>
        <w:rPr>
          <w:rFonts w:hint="eastAsia"/>
        </w:rPr>
        <w:t>分装室</w:t>
      </w:r>
      <w:proofErr w:type="gramEnd"/>
      <w:r>
        <w:rPr>
          <w:rFonts w:hint="eastAsia"/>
        </w:rPr>
        <w:t>和给药室等高活区域，减少长距离运输放射性废物。</w:t>
      </w:r>
    </w:p>
    <w:p w:rsidR="00145C29" w:rsidRDefault="008F4ADF">
      <w:pPr>
        <w:pStyle w:val="affffffffd"/>
      </w:pPr>
      <w:r>
        <w:rPr>
          <w:rFonts w:hint="eastAsia"/>
        </w:rPr>
        <w:t>控制区的工作人员出入口应设立卫生通过间，为工作人员提供必要的可更换衣物、防护用品、冲洗设施和表面污染监测设备，并将紧急淋浴产生的废水按照放射性废水收集、处理。</w:t>
      </w:r>
    </w:p>
    <w:p w:rsidR="00145C29" w:rsidRDefault="008F4ADF">
      <w:pPr>
        <w:pStyle w:val="affffffffd"/>
      </w:pPr>
      <w:r>
        <w:rPr>
          <w:rFonts w:hint="eastAsia"/>
        </w:rPr>
        <w:t>碘-131核素治疗病房区域衰变池应尽量设置在患者病房区域附近，减少放射性废液排放的管道长度，避免管道经过人员居留区域，并增加必要的防护。</w:t>
      </w:r>
    </w:p>
    <w:p w:rsidR="00145C29" w:rsidRDefault="008F4ADF">
      <w:pPr>
        <w:pStyle w:val="affd"/>
        <w:spacing w:before="312" w:after="312"/>
      </w:pPr>
      <w:bookmarkStart w:id="53" w:name="_Toc111119213"/>
      <w:r>
        <w:rPr>
          <w:rFonts w:hint="eastAsia"/>
        </w:rPr>
        <w:t>工作场所的辐射安全与防护</w:t>
      </w:r>
      <w:bookmarkEnd w:id="53"/>
    </w:p>
    <w:p w:rsidR="00145C29" w:rsidRDefault="008F4ADF">
      <w:pPr>
        <w:pStyle w:val="affe"/>
        <w:spacing w:before="156" w:after="156"/>
        <w:ind w:left="0"/>
      </w:pPr>
      <w:r>
        <w:rPr>
          <w:rFonts w:hint="eastAsia"/>
        </w:rPr>
        <w:t>防护要求</w:t>
      </w:r>
    </w:p>
    <w:p w:rsidR="00145C29" w:rsidRDefault="008F4ADF">
      <w:pPr>
        <w:pStyle w:val="affffffffd"/>
      </w:pPr>
      <w:r>
        <w:rPr>
          <w:rFonts w:hint="eastAsia"/>
        </w:rPr>
        <w:t>碘-131核素治疗病房屏蔽设计应适当保守，按照可能使用的最大放射性活度、最长时间和最短距离进行计算，屏蔽设计可参考附录a屏蔽计算方法。</w:t>
      </w:r>
    </w:p>
    <w:p w:rsidR="00145C29" w:rsidRDefault="008F4ADF">
      <w:pPr>
        <w:pStyle w:val="affffffffd"/>
      </w:pPr>
      <w:r>
        <w:rPr>
          <w:rFonts w:hint="eastAsia"/>
        </w:rPr>
        <w:lastRenderedPageBreak/>
        <w:t>碘-131核素治疗病房控制区各房间</w:t>
      </w:r>
      <w:r>
        <w:rPr>
          <w:rFonts w:hint="eastAsia"/>
          <w:color w:val="FF0000"/>
        </w:rPr>
        <w:t>的</w:t>
      </w:r>
      <w:r>
        <w:rPr>
          <w:rFonts w:hint="eastAsia"/>
        </w:rPr>
        <w:t>墙壁、地板及顶面的屏蔽层设计，除考虑室内的辐射源外，还应考虑相邻区域存在的辐射源影响以及散射辐射带来的照射影响。</w:t>
      </w:r>
    </w:p>
    <w:p w:rsidR="00145C29" w:rsidRDefault="008F4ADF">
      <w:pPr>
        <w:pStyle w:val="affffffffd"/>
      </w:pPr>
      <w:r>
        <w:rPr>
          <w:rFonts w:hint="eastAsia"/>
        </w:rPr>
        <w:t>碘-131核素治疗病房控制区外人员可到达处，距屏蔽墙和防护门30 cm处周围剂量当量率应不大于2.5μSv/h。</w:t>
      </w:r>
    </w:p>
    <w:p w:rsidR="00145C29" w:rsidRDefault="008F4ADF">
      <w:pPr>
        <w:pStyle w:val="affffffffd"/>
      </w:pPr>
      <w:r>
        <w:rPr>
          <w:rFonts w:hint="eastAsia"/>
        </w:rPr>
        <w:t>操作碘-131放射性药物的通风橱等设备应采取屏蔽措施，保证其外表面30 cm处和人员操作</w:t>
      </w:r>
      <w:proofErr w:type="gramStart"/>
      <w:r>
        <w:rPr>
          <w:rFonts w:hint="eastAsia"/>
        </w:rPr>
        <w:t>位周围</w:t>
      </w:r>
      <w:proofErr w:type="gramEnd"/>
      <w:r>
        <w:rPr>
          <w:rFonts w:hint="eastAsia"/>
        </w:rPr>
        <w:t>剂量当量率不大于2.5μSv/h；自动分装控制室操作位剂量率不大于2.5μSv/h。</w:t>
      </w:r>
    </w:p>
    <w:p w:rsidR="00145C29" w:rsidRDefault="008F4ADF">
      <w:pPr>
        <w:pStyle w:val="affffffffd"/>
        <w:rPr>
          <w:strike/>
        </w:rPr>
      </w:pPr>
      <w:r>
        <w:rPr>
          <w:rFonts w:hint="eastAsia"/>
        </w:rPr>
        <w:t>控制区内房间防护门和墙壁外表面30 cm处的周围剂量当量率应不大于2.5μSv/h。</w:t>
      </w:r>
    </w:p>
    <w:p w:rsidR="00145C29" w:rsidRDefault="008F4ADF">
      <w:pPr>
        <w:pStyle w:val="affffffffd"/>
      </w:pPr>
      <w:r>
        <w:rPr>
          <w:rFonts w:hint="eastAsia"/>
        </w:rPr>
        <w:t>病房内避免设置采光窗，如有采光窗</w:t>
      </w:r>
      <w:proofErr w:type="gramStart"/>
      <w:r>
        <w:rPr>
          <w:rFonts w:hint="eastAsia"/>
        </w:rPr>
        <w:t>应无法</w:t>
      </w:r>
      <w:proofErr w:type="gramEnd"/>
      <w:r>
        <w:rPr>
          <w:rFonts w:hint="eastAsia"/>
        </w:rPr>
        <w:t>开启并进行密封处理，并进行必要的防护，满足同屏蔽</w:t>
      </w:r>
      <w:proofErr w:type="gramStart"/>
      <w:r>
        <w:rPr>
          <w:rFonts w:hint="eastAsia"/>
        </w:rPr>
        <w:t>墙同样</w:t>
      </w:r>
      <w:proofErr w:type="gramEnd"/>
      <w:r>
        <w:rPr>
          <w:rFonts w:hint="eastAsia"/>
        </w:rPr>
        <w:t>屏蔽效果。</w:t>
      </w:r>
    </w:p>
    <w:p w:rsidR="00145C29" w:rsidRDefault="008F4ADF">
      <w:pPr>
        <w:pStyle w:val="affffffffd"/>
      </w:pPr>
      <w:r>
        <w:rPr>
          <w:rFonts w:hint="eastAsia"/>
        </w:rPr>
        <w:t>病房中应配备对讲、视频监控等设施。</w:t>
      </w:r>
    </w:p>
    <w:p w:rsidR="00145C29" w:rsidRDefault="008F4ADF">
      <w:pPr>
        <w:pStyle w:val="affffffffd"/>
      </w:pPr>
      <w:r>
        <w:rPr>
          <w:rFonts w:hint="eastAsia"/>
        </w:rPr>
        <w:t>病房内应单独设置卫生间，厕所内应有患者冲厕所和洗手的提示，卫生间废水须排入衰变池。淋浴器、水龙头、马桶应采取节水设计。</w:t>
      </w:r>
    </w:p>
    <w:p w:rsidR="00145C29" w:rsidRDefault="008F4ADF">
      <w:pPr>
        <w:pStyle w:val="affffffffd"/>
      </w:pPr>
      <w:r>
        <w:rPr>
          <w:rFonts w:hint="eastAsia"/>
        </w:rPr>
        <w:t>放射性废物桶、废液管道应采取屏蔽措施，以保证其人员可达处外表面 30 cm 处的周围剂量当量率小于 2.5 μSv/h。</w:t>
      </w:r>
    </w:p>
    <w:p w:rsidR="00145C29" w:rsidRDefault="008F4ADF">
      <w:pPr>
        <w:pStyle w:val="affffffffd"/>
      </w:pPr>
      <w:r>
        <w:rPr>
          <w:rFonts w:hint="eastAsia"/>
        </w:rPr>
        <w:t>固体放射性废物应储存在专门废物间的废物箱内，废物箱应有适当屏蔽，保证其表面30 cm处的周围剂量当量率小于 2.5 μSv/h，β表面污染水平不高于40 Bq/cm</w:t>
      </w:r>
      <w:r>
        <w:rPr>
          <w:rFonts w:hint="eastAsia"/>
          <w:vertAlign w:val="superscript"/>
        </w:rPr>
        <w:t>2</w:t>
      </w:r>
      <w:r>
        <w:rPr>
          <w:rFonts w:hint="eastAsia"/>
        </w:rPr>
        <w:t>。</w:t>
      </w:r>
    </w:p>
    <w:p w:rsidR="00145C29" w:rsidRDefault="008F4ADF">
      <w:pPr>
        <w:pStyle w:val="affe"/>
        <w:spacing w:before="156" w:after="156"/>
        <w:ind w:left="0"/>
      </w:pPr>
      <w:r>
        <w:rPr>
          <w:rFonts w:hint="eastAsia"/>
        </w:rPr>
        <w:t>场所安全措施要求</w:t>
      </w:r>
    </w:p>
    <w:p w:rsidR="00145C29" w:rsidRDefault="008F4ADF">
      <w:pPr>
        <w:pStyle w:val="affffffffd"/>
      </w:pPr>
      <w:r>
        <w:rPr>
          <w:rFonts w:hint="eastAsia"/>
        </w:rPr>
        <w:t>碘-131核素治疗病房辐射工作场所地面应铺装防水、防渗、易清除污物材质的地胶；碘-131放射性核素操作设备的表面、工作台台面等应平整光滑，室内地面与墙壁衔接处应无接缝，易于清洗和去污，配置托盘、吸水纸等物品。</w:t>
      </w:r>
    </w:p>
    <w:p w:rsidR="00145C29" w:rsidRDefault="008F4ADF">
      <w:pPr>
        <w:pStyle w:val="affffffffd"/>
      </w:pPr>
      <w:r>
        <w:rPr>
          <w:rFonts w:hint="eastAsia"/>
        </w:rPr>
        <w:t>应为从事碘-131药放射性核素操作的工作人员配备放射性污染防护服和过滤式口罩，并在</w:t>
      </w:r>
      <w:proofErr w:type="gramStart"/>
      <w:r>
        <w:rPr>
          <w:rFonts w:hint="eastAsia"/>
        </w:rPr>
        <w:t>分装室</w:t>
      </w:r>
      <w:proofErr w:type="gramEnd"/>
      <w:r>
        <w:rPr>
          <w:rFonts w:hint="eastAsia"/>
        </w:rPr>
        <w:t>等高</w:t>
      </w:r>
      <w:proofErr w:type="gramStart"/>
      <w:r>
        <w:rPr>
          <w:rFonts w:hint="eastAsia"/>
        </w:rPr>
        <w:t>活区域</w:t>
      </w:r>
      <w:proofErr w:type="gramEnd"/>
      <w:r>
        <w:rPr>
          <w:rFonts w:hint="eastAsia"/>
        </w:rPr>
        <w:t>配备应急去污用品。</w:t>
      </w:r>
    </w:p>
    <w:p w:rsidR="00145C29" w:rsidRDefault="008F4ADF">
      <w:pPr>
        <w:pStyle w:val="affffffffd"/>
      </w:pPr>
      <w:r>
        <w:rPr>
          <w:rFonts w:hint="eastAsia"/>
          <w:color w:val="FF0000"/>
        </w:rPr>
        <w:t>工作人员</w:t>
      </w:r>
      <w:r>
        <w:rPr>
          <w:rFonts w:hint="eastAsia"/>
        </w:rPr>
        <w:t>控制区出入口应配有表面污染监测仪器，工作人员进出控制区，应更换工作服，工作人员在离开控制区时，应进行手部及脚底等部位的表面污染监测，从控制区取出物品应进行表面污染监测，表面污染水平超出控制标准，应采取相应的清洗去污措施，防止交叉污染。</w:t>
      </w:r>
    </w:p>
    <w:p w:rsidR="00145C29" w:rsidRDefault="008F4ADF">
      <w:pPr>
        <w:pStyle w:val="affffffffd"/>
      </w:pPr>
      <w:r>
        <w:rPr>
          <w:rFonts w:hint="eastAsia"/>
        </w:rPr>
        <w:t>碘-131核素治疗病房订购碘-131放射性药物时，宜订购按照患者人份分装的碘-131放射性药物，订购的碘-131放射性药物</w:t>
      </w:r>
      <w:proofErr w:type="gramStart"/>
      <w:r>
        <w:rPr>
          <w:rFonts w:hint="eastAsia"/>
        </w:rPr>
        <w:t>宜运输</w:t>
      </w:r>
      <w:proofErr w:type="gramEnd"/>
      <w:r>
        <w:rPr>
          <w:rFonts w:hint="eastAsia"/>
        </w:rPr>
        <w:t>至医疗机构药物分装室，供药时间应避开公众人员聚集时间，应对订购药物进行记录。</w:t>
      </w:r>
    </w:p>
    <w:p w:rsidR="00145C29" w:rsidRDefault="008F4ADF">
      <w:pPr>
        <w:pStyle w:val="affffffffd"/>
      </w:pPr>
      <w:r>
        <w:rPr>
          <w:rFonts w:hint="eastAsia"/>
        </w:rPr>
        <w:t>碘-131药物如需分装，宜采用自动分装或半自动分装方式进行分装，</w:t>
      </w:r>
      <w:proofErr w:type="gramStart"/>
      <w:r>
        <w:rPr>
          <w:rFonts w:hint="eastAsia"/>
        </w:rPr>
        <w:t>分装室</w:t>
      </w:r>
      <w:proofErr w:type="gramEnd"/>
      <w:r>
        <w:rPr>
          <w:rFonts w:hint="eastAsia"/>
        </w:rPr>
        <w:t>与给药室之间药物传递应便捷，给药过程应有监控，并通过对讲系统指导病人服药。</w:t>
      </w:r>
    </w:p>
    <w:p w:rsidR="00145C29" w:rsidRDefault="008F4ADF">
      <w:pPr>
        <w:pStyle w:val="affffffffd"/>
      </w:pPr>
      <w:r>
        <w:rPr>
          <w:rFonts w:hint="eastAsia"/>
        </w:rPr>
        <w:t>工作人员控制区出入口处、分装室、质控室（质</w:t>
      </w:r>
      <w:proofErr w:type="gramStart"/>
      <w:r>
        <w:rPr>
          <w:rFonts w:hint="eastAsia"/>
        </w:rPr>
        <w:t>控功能</w:t>
      </w:r>
      <w:proofErr w:type="gramEnd"/>
      <w:r>
        <w:rPr>
          <w:rFonts w:hint="eastAsia"/>
        </w:rPr>
        <w:t>区域）、给药室以及病房均应至少设置1个带屏蔽的放射性废物桶。</w:t>
      </w:r>
    </w:p>
    <w:p w:rsidR="00145C29" w:rsidRDefault="008F4ADF">
      <w:pPr>
        <w:pStyle w:val="affffffffd"/>
      </w:pPr>
      <w:r>
        <w:rPr>
          <w:rFonts w:hint="eastAsia"/>
        </w:rPr>
        <w:t>工作人员控制区出入口和病人出口处需设置固定式辐射水平监测仪，记录监测数据，并定期对监测仪器进行检定校准。</w:t>
      </w:r>
    </w:p>
    <w:p w:rsidR="00145C29" w:rsidRDefault="008F4ADF">
      <w:pPr>
        <w:pStyle w:val="affffffffd"/>
      </w:pPr>
      <w:r>
        <w:rPr>
          <w:rFonts w:hint="eastAsia"/>
        </w:rPr>
        <w:t>碘-131核素治疗病房场所应使用专用的保洁用品，不能和其他场所（包括核医学其他放射性场所）混用，病房区域内应有专门存放及清洗保洁用品的场所。</w:t>
      </w:r>
    </w:p>
    <w:p w:rsidR="00145C29" w:rsidRDefault="008F4ADF">
      <w:pPr>
        <w:pStyle w:val="affe"/>
        <w:spacing w:before="156" w:after="156"/>
        <w:ind w:left="0"/>
      </w:pPr>
      <w:r>
        <w:rPr>
          <w:rFonts w:hint="eastAsia"/>
        </w:rPr>
        <w:t>患者住院治疗期间辐射安全管理</w:t>
      </w:r>
    </w:p>
    <w:p w:rsidR="00145C29" w:rsidRDefault="008F4ADF">
      <w:pPr>
        <w:pStyle w:val="affffffffd"/>
      </w:pPr>
      <w:r>
        <w:rPr>
          <w:rFonts w:hint="eastAsia"/>
        </w:rPr>
        <w:t>工作人员应对即将治疗的患者进行入院辐射防护知识宣传教育。</w:t>
      </w:r>
    </w:p>
    <w:p w:rsidR="00145C29" w:rsidRDefault="008F4ADF">
      <w:pPr>
        <w:pStyle w:val="affffffffd"/>
      </w:pPr>
      <w:r>
        <w:rPr>
          <w:rFonts w:hint="eastAsia"/>
        </w:rPr>
        <w:t>患者治疗期间除医护人员之外的人员不应进入病房。</w:t>
      </w:r>
    </w:p>
    <w:p w:rsidR="00145C29" w:rsidRDefault="008F4ADF">
      <w:pPr>
        <w:pStyle w:val="affffffffd"/>
      </w:pPr>
      <w:r>
        <w:rPr>
          <w:rFonts w:hint="eastAsia"/>
        </w:rPr>
        <w:t>向病房内传递生活必需品，应通过碘-131核素治疗病房的传递窗传递。</w:t>
      </w:r>
    </w:p>
    <w:p w:rsidR="00145C29" w:rsidRDefault="008F4ADF">
      <w:pPr>
        <w:pStyle w:val="affffffffd"/>
      </w:pPr>
      <w:r>
        <w:rPr>
          <w:rFonts w:hint="eastAsia"/>
        </w:rPr>
        <w:t>2名及以上患者不宜近距离接触或者聚集。</w:t>
      </w:r>
    </w:p>
    <w:p w:rsidR="00145C29" w:rsidRDefault="008F4ADF">
      <w:pPr>
        <w:pStyle w:val="affffffffd"/>
      </w:pPr>
      <w:r>
        <w:rPr>
          <w:rFonts w:hint="eastAsia"/>
        </w:rPr>
        <w:lastRenderedPageBreak/>
        <w:t>患者通过语音对讲系统收到服药通知后，应单独进入服药室进行服药。</w:t>
      </w:r>
    </w:p>
    <w:p w:rsidR="00145C29" w:rsidRDefault="008F4ADF">
      <w:pPr>
        <w:pStyle w:val="affffffffd"/>
      </w:pPr>
      <w:r>
        <w:rPr>
          <w:rFonts w:hint="eastAsia"/>
        </w:rPr>
        <w:t>医护人员宜通过视频及对讲进行查房等医疗活动。当医护人员必须进入病房对患者进行救治时，应穿戴个人防污染用品。</w:t>
      </w:r>
    </w:p>
    <w:p w:rsidR="00145C29" w:rsidRDefault="008F4ADF">
      <w:pPr>
        <w:pStyle w:val="affffffffd"/>
      </w:pPr>
      <w:r>
        <w:rPr>
          <w:rFonts w:hint="eastAsia"/>
        </w:rPr>
        <w:t>病房区域内应配备测量患者体内活度的设备或可测量距离患者1米处周围剂量当量率的仪器，按照4.5的要求进行出院管理。</w:t>
      </w:r>
    </w:p>
    <w:p w:rsidR="00145C29" w:rsidRDefault="008F4ADF">
      <w:pPr>
        <w:pStyle w:val="affffffffd"/>
      </w:pPr>
      <w:r>
        <w:rPr>
          <w:rFonts w:hint="eastAsia"/>
        </w:rPr>
        <w:t>配餐应采用无人员接触方式进行，并设置对讲或者广播系统提醒病人用餐，患者食物不宜选用产生废物较多的食材。</w:t>
      </w:r>
    </w:p>
    <w:p w:rsidR="00145C29" w:rsidRDefault="008F4ADF">
      <w:pPr>
        <w:pStyle w:val="affffffffd"/>
      </w:pPr>
      <w:r>
        <w:rPr>
          <w:rFonts w:hint="eastAsia"/>
        </w:rPr>
        <w:t>应在控制区设置单独的被服间，患者使用过的被服应先进行存放衰变，暂存衰变时间不少于一个半衰期，经检测被服表面γ剂量率小于1μSv/h且β表面污染水平小于0.8 Bq/cm</w:t>
      </w:r>
      <w:r>
        <w:rPr>
          <w:rFonts w:hint="eastAsia"/>
          <w:vertAlign w:val="superscript"/>
        </w:rPr>
        <w:t>2</w:t>
      </w:r>
      <w:r>
        <w:rPr>
          <w:rFonts w:hint="eastAsia"/>
        </w:rPr>
        <w:t>时，可进行清洗并再次使用。被放射性药物或患者呕吐物污染的被服按照放射性固体废物管理要求暂存与处置。</w:t>
      </w:r>
    </w:p>
    <w:p w:rsidR="00145C29" w:rsidRDefault="008F4ADF">
      <w:pPr>
        <w:pStyle w:val="affe"/>
        <w:spacing w:before="156" w:after="156"/>
        <w:ind w:left="0"/>
      </w:pPr>
      <w:r>
        <w:rPr>
          <w:rFonts w:hint="eastAsia"/>
        </w:rPr>
        <w:t>密闭和通风要求</w:t>
      </w:r>
    </w:p>
    <w:p w:rsidR="00145C29" w:rsidRDefault="008F4ADF">
      <w:pPr>
        <w:pStyle w:val="affffffffd"/>
      </w:pPr>
      <w:r>
        <w:rPr>
          <w:rFonts w:hint="eastAsia"/>
        </w:rPr>
        <w:t>碘-131核素治疗病房场所应保持良好的通风条件，合理设置工作场所的气流流向，遵循自非放射区向监督区的流向设计。</w:t>
      </w:r>
    </w:p>
    <w:p w:rsidR="00145C29" w:rsidRDefault="008F4ADF">
      <w:pPr>
        <w:pStyle w:val="affffffffd"/>
      </w:pPr>
      <w:r>
        <w:rPr>
          <w:rFonts w:hint="eastAsia"/>
        </w:rPr>
        <w:t>碘-131核素治疗病房场所控制区应设有单独的通风系统，换气次数宜大于每小时6次；控制区域内的空气应经单独的排气管道有组织排放。</w:t>
      </w:r>
    </w:p>
    <w:p w:rsidR="00145C29" w:rsidRDefault="008F4ADF">
      <w:pPr>
        <w:pStyle w:val="affffffffd"/>
      </w:pPr>
      <w:r>
        <w:rPr>
          <w:rFonts w:hint="eastAsia"/>
        </w:rPr>
        <w:t>操作碘-131放射性药物应在通风橱中进行，防止放射性液体泄漏或放射性气体及气溶胶逸出，通风橱应有专用的排风装置，并在密闭设备的顶壁安装活性炭或其他过滤装置，密闭设备的操作孔风速应不小于0.5 m/s。排气口应高于本建筑物屋顶且尽可能远离周边高层建筑。</w:t>
      </w:r>
    </w:p>
    <w:p w:rsidR="00145C29" w:rsidRDefault="008F4ADF">
      <w:pPr>
        <w:pStyle w:val="affffffffd"/>
      </w:pPr>
      <w:r>
        <w:rPr>
          <w:rFonts w:hint="eastAsia"/>
        </w:rPr>
        <w:t>采用带自屏蔽自动分装机分装药物的医疗机构，应单独设置分装室，排风满足6.4.3要求</w:t>
      </w:r>
    </w:p>
    <w:p w:rsidR="00145C29" w:rsidRDefault="008F4ADF">
      <w:pPr>
        <w:pStyle w:val="affffffffd"/>
      </w:pPr>
      <w:r>
        <w:rPr>
          <w:rFonts w:hint="eastAsia"/>
        </w:rPr>
        <w:t>碘-131核素治疗病房场所应及时更换放射性废气过滤器，更换周期不能超过厂家推荐的使用时间。</w:t>
      </w:r>
    </w:p>
    <w:p w:rsidR="00145C29" w:rsidRDefault="008F4ADF">
      <w:pPr>
        <w:pStyle w:val="affd"/>
        <w:spacing w:before="312" w:after="312"/>
      </w:pPr>
      <w:bookmarkStart w:id="54" w:name="_Toc111119214"/>
      <w:r>
        <w:rPr>
          <w:rFonts w:hint="eastAsia"/>
        </w:rPr>
        <w:t>放射性废物管理</w:t>
      </w:r>
      <w:bookmarkEnd w:id="54"/>
    </w:p>
    <w:p w:rsidR="00145C29" w:rsidRDefault="008F4ADF">
      <w:pPr>
        <w:pStyle w:val="affe"/>
        <w:spacing w:before="156" w:after="156"/>
        <w:ind w:left="0"/>
      </w:pPr>
      <w:r>
        <w:rPr>
          <w:rFonts w:hint="eastAsia"/>
        </w:rPr>
        <w:t>放射性固体废物的管理</w:t>
      </w:r>
    </w:p>
    <w:p w:rsidR="00145C29" w:rsidRDefault="008F4ADF">
      <w:pPr>
        <w:pStyle w:val="afff"/>
        <w:spacing w:before="156" w:after="156"/>
      </w:pPr>
      <w:r>
        <w:rPr>
          <w:rFonts w:hint="eastAsia"/>
        </w:rPr>
        <w:t>放射性固体废物收集</w:t>
      </w:r>
    </w:p>
    <w:p w:rsidR="00145C29" w:rsidRDefault="008F4ADF">
      <w:pPr>
        <w:pStyle w:val="affffffffc"/>
        <w:ind w:left="0"/>
      </w:pPr>
      <w:r>
        <w:rPr>
          <w:rFonts w:hint="eastAsia"/>
        </w:rPr>
        <w:t>碘-131核素治疗病房放射性固体废物包括辐射工作人员操作过程使用的工作服、手套、吸水纸、托盘等；盛装放射性药物的药杯、水杯；服药患者使用过的各类物品，如纸巾、喝水空瓶、纸杯等生活垃圾，及排风装置更换的活性炭过滤器。</w:t>
      </w:r>
    </w:p>
    <w:p w:rsidR="00145C29" w:rsidRDefault="008F4ADF">
      <w:pPr>
        <w:pStyle w:val="affffffffc"/>
        <w:ind w:left="0"/>
      </w:pPr>
      <w:r>
        <w:rPr>
          <w:rFonts w:hint="eastAsia"/>
        </w:rPr>
        <w:t>固体放射性废物应收集于具有屏蔽结构和电离辐射标志的专用废物桶。废物桶内应放置专用塑料袋直接收纳废物。</w:t>
      </w:r>
    </w:p>
    <w:p w:rsidR="00145C29" w:rsidRDefault="008F4ADF">
      <w:pPr>
        <w:pStyle w:val="affffffffc"/>
        <w:ind w:left="0"/>
      </w:pPr>
      <w:r>
        <w:rPr>
          <w:rFonts w:hint="eastAsia"/>
        </w:rPr>
        <w:t>含尖刺及棱角的放射性废物，应预先进行包装处理，再装入废物桶，防止刺破废物袋。</w:t>
      </w:r>
    </w:p>
    <w:p w:rsidR="00145C29" w:rsidRDefault="008F4ADF">
      <w:pPr>
        <w:pStyle w:val="affffffffc"/>
        <w:ind w:left="0"/>
      </w:pPr>
      <w:r>
        <w:rPr>
          <w:rFonts w:hint="eastAsia"/>
        </w:rPr>
        <w:t>放射性废物每袋重量不超过 20 kg。装满废物的塑料袋应密封后及时转送至放射性废物暂存间的废物贮存箱内贮存。</w:t>
      </w:r>
    </w:p>
    <w:p w:rsidR="00145C29" w:rsidRDefault="008F4ADF">
      <w:pPr>
        <w:pStyle w:val="afff"/>
        <w:spacing w:before="156" w:after="156"/>
      </w:pPr>
      <w:r>
        <w:rPr>
          <w:rFonts w:hint="eastAsia"/>
        </w:rPr>
        <w:t>放射性固体废物贮存</w:t>
      </w:r>
    </w:p>
    <w:p w:rsidR="00145C29" w:rsidRDefault="008F4ADF">
      <w:pPr>
        <w:pStyle w:val="affffffffc"/>
        <w:ind w:left="0"/>
      </w:pPr>
      <w:r>
        <w:rPr>
          <w:rFonts w:hint="eastAsia"/>
        </w:rPr>
        <w:t>废物暂存间内应设置2个或2个以上专用屏蔽防护废物箱盛放固体放射性废物袋，废物箱表面应注明废物的类别、最后一次入库日期等信息，并做好登记记录。</w:t>
      </w:r>
    </w:p>
    <w:p w:rsidR="00145C29" w:rsidRDefault="008F4ADF">
      <w:pPr>
        <w:pStyle w:val="affffffffc"/>
        <w:ind w:left="0"/>
      </w:pPr>
      <w:r>
        <w:rPr>
          <w:rFonts w:hint="eastAsia"/>
        </w:rPr>
        <w:t>废物暂存间内不得存放易燃、易爆、腐蚀性物品。</w:t>
      </w:r>
    </w:p>
    <w:p w:rsidR="00145C29" w:rsidRDefault="008F4ADF">
      <w:pPr>
        <w:pStyle w:val="afff"/>
        <w:spacing w:before="156" w:after="156"/>
      </w:pPr>
      <w:r>
        <w:rPr>
          <w:rFonts w:hint="eastAsia"/>
        </w:rPr>
        <w:t>固体放射性废物处理</w:t>
      </w:r>
    </w:p>
    <w:p w:rsidR="00145C29" w:rsidRDefault="008F4ADF">
      <w:pPr>
        <w:pStyle w:val="affffffffc"/>
      </w:pPr>
      <w:r>
        <w:rPr>
          <w:rFonts w:hint="eastAsia"/>
        </w:rPr>
        <w:lastRenderedPageBreak/>
        <w:t>固体放射性废物暂存超过180天，经监测辐射剂量率处于所处环境本底水平，β表面污染小于0.8 Bq/cm</w:t>
      </w:r>
      <w:r>
        <w:rPr>
          <w:rFonts w:hint="eastAsia"/>
          <w:vertAlign w:val="superscript"/>
        </w:rPr>
        <w:t>2</w:t>
      </w:r>
      <w:r>
        <w:rPr>
          <w:rFonts w:hint="eastAsia"/>
        </w:rPr>
        <w:t>的，可对废物</w:t>
      </w:r>
      <w:proofErr w:type="gramStart"/>
      <w:r>
        <w:rPr>
          <w:rFonts w:hint="eastAsia"/>
        </w:rPr>
        <w:t>清洁解控并</w:t>
      </w:r>
      <w:proofErr w:type="gramEnd"/>
      <w:r>
        <w:rPr>
          <w:rFonts w:hint="eastAsia"/>
        </w:rPr>
        <w:t>作为医疗废物处理。</w:t>
      </w:r>
    </w:p>
    <w:p w:rsidR="00145C29" w:rsidRDefault="008F4ADF">
      <w:pPr>
        <w:pStyle w:val="affffffffc"/>
      </w:pPr>
      <w:r>
        <w:rPr>
          <w:rFonts w:hint="eastAsia"/>
        </w:rPr>
        <w:t>固体放射性废物的存储和处理应安排专人负责，并建立废物存储和处理台账，详细记录放射性废物的核素名称、重量、废物衰变起始日期、责任人员、</w:t>
      </w:r>
      <w:r w:rsidRPr="00816EF0">
        <w:rPr>
          <w:rFonts w:hint="eastAsia"/>
        </w:rPr>
        <w:t>解</w:t>
      </w:r>
      <w:proofErr w:type="gramStart"/>
      <w:r w:rsidRPr="00816EF0">
        <w:rPr>
          <w:rFonts w:hint="eastAsia"/>
        </w:rPr>
        <w:t>控</w:t>
      </w:r>
      <w:r>
        <w:rPr>
          <w:rFonts w:hint="eastAsia"/>
        </w:rPr>
        <w:t>时间</w:t>
      </w:r>
      <w:proofErr w:type="gramEnd"/>
      <w:r>
        <w:rPr>
          <w:rFonts w:hint="eastAsia"/>
        </w:rPr>
        <w:t>和监测结果等信息。</w:t>
      </w:r>
    </w:p>
    <w:p w:rsidR="00145C29" w:rsidRDefault="008F4ADF">
      <w:pPr>
        <w:pStyle w:val="affe"/>
        <w:spacing w:before="156" w:after="156"/>
        <w:ind w:left="0"/>
      </w:pPr>
      <w:r>
        <w:rPr>
          <w:rFonts w:hint="eastAsia"/>
        </w:rPr>
        <w:t>放射性液体废物的管理</w:t>
      </w:r>
    </w:p>
    <w:p w:rsidR="00145C29" w:rsidRDefault="008F4ADF">
      <w:pPr>
        <w:pStyle w:val="afff"/>
        <w:spacing w:before="156" w:after="156"/>
      </w:pPr>
      <w:r>
        <w:rPr>
          <w:rFonts w:hint="eastAsia"/>
        </w:rPr>
        <w:t>放射性废液收集</w:t>
      </w:r>
    </w:p>
    <w:p w:rsidR="00145C29" w:rsidRDefault="008F4ADF">
      <w:pPr>
        <w:pStyle w:val="affffffffc"/>
        <w:ind w:left="0"/>
      </w:pPr>
      <w:r>
        <w:rPr>
          <w:rFonts w:hint="eastAsia"/>
        </w:rPr>
        <w:t>碘-131核素治疗病房应设置槽式废液衰变池，收集分装室、服药、室病房、卫生通过间、污物</w:t>
      </w:r>
      <w:r>
        <w:rPr>
          <w:rFonts w:hint="eastAsia"/>
          <w:color w:val="FF0000"/>
        </w:rPr>
        <w:t>间</w:t>
      </w:r>
      <w:r>
        <w:rPr>
          <w:rFonts w:hint="eastAsia"/>
        </w:rPr>
        <w:t>等场所产生的放射性废液和事故应急时清洗产生的放射性废液。</w:t>
      </w:r>
    </w:p>
    <w:p w:rsidR="00145C29" w:rsidRDefault="008F4ADF">
      <w:pPr>
        <w:pStyle w:val="affffffffc"/>
        <w:ind w:left="0"/>
      </w:pPr>
      <w:r>
        <w:rPr>
          <w:rFonts w:hint="eastAsia"/>
        </w:rPr>
        <w:t>放射性废液收集的管道走向、阀门和管道的连接应设计成尽可能少的死区，管道应进行防护与标记，下水道宜短，管道</w:t>
      </w:r>
      <w:proofErr w:type="gramStart"/>
      <w:r>
        <w:rPr>
          <w:rFonts w:hint="eastAsia"/>
        </w:rPr>
        <w:t>宜设置</w:t>
      </w:r>
      <w:proofErr w:type="gramEnd"/>
      <w:r>
        <w:rPr>
          <w:rFonts w:hint="eastAsia"/>
        </w:rPr>
        <w:t>一定倾斜角度，避免放射性废液集聚，便于检测和维修。</w:t>
      </w:r>
    </w:p>
    <w:p w:rsidR="00145C29" w:rsidRDefault="008F4ADF">
      <w:pPr>
        <w:pStyle w:val="afff"/>
        <w:spacing w:before="156" w:after="156"/>
      </w:pPr>
      <w:r>
        <w:rPr>
          <w:rFonts w:hint="eastAsia"/>
        </w:rPr>
        <w:t>放射性废液贮存</w:t>
      </w:r>
    </w:p>
    <w:p w:rsidR="00145C29" w:rsidRDefault="008F4ADF">
      <w:pPr>
        <w:pStyle w:val="affffffffc"/>
        <w:ind w:left="0"/>
      </w:pPr>
      <w:r>
        <w:rPr>
          <w:rFonts w:hint="eastAsia"/>
        </w:rPr>
        <w:t>槽式废液衰变池应由污泥池和槽式衰变池组成，衰变池本体设计为</w:t>
      </w:r>
      <w:r>
        <w:t xml:space="preserve"> 2 </w:t>
      </w:r>
      <w:r>
        <w:rPr>
          <w:rFonts w:hint="eastAsia"/>
        </w:rPr>
        <w:t>组或以上槽式池体，交替贮存、衰变和排放废液。在废液池上预设取样口。有防止废液溢出、污泥硬化淤积、进出水口堵塞、废液衰变池超压的措施。</w:t>
      </w:r>
    </w:p>
    <w:p w:rsidR="00145C29" w:rsidRDefault="008F4ADF">
      <w:pPr>
        <w:pStyle w:val="affffffffc"/>
        <w:ind w:left="0"/>
      </w:pPr>
      <w:r>
        <w:rPr>
          <w:rFonts w:hint="eastAsia"/>
        </w:rPr>
        <w:t>衰变池容积设计应满足使用需求，应对患者进行合理宣教节约用水，淋浴废水应排入衰变池，患者卫生间采用节水马桶设计，限制患者无特殊情况每日洗浴次数不超过1次，工作人员在控制区注意节约用水，尽量减少废液产生。槽式衰变池容积计算方法可参考附录B。</w:t>
      </w:r>
    </w:p>
    <w:p w:rsidR="00145C29" w:rsidRDefault="008F4ADF">
      <w:pPr>
        <w:pStyle w:val="affffffffc"/>
        <w:ind w:left="0"/>
      </w:pPr>
      <w:r>
        <w:rPr>
          <w:rFonts w:hint="eastAsia"/>
        </w:rPr>
        <w:t>放射性废液的暂存和处理应安排专人负责，并建立废物暂存和处理台账。</w:t>
      </w:r>
    </w:p>
    <w:p w:rsidR="00145C29" w:rsidRDefault="008F4ADF">
      <w:pPr>
        <w:pStyle w:val="afff"/>
        <w:spacing w:before="156" w:after="156"/>
      </w:pPr>
      <w:r>
        <w:rPr>
          <w:rFonts w:hint="eastAsia"/>
        </w:rPr>
        <w:t>放射性废液排放</w:t>
      </w:r>
    </w:p>
    <w:p w:rsidR="00145C29" w:rsidRDefault="008F4ADF">
      <w:pPr>
        <w:pStyle w:val="affffffffc"/>
        <w:ind w:left="0"/>
      </w:pPr>
      <w:r>
        <w:rPr>
          <w:rFonts w:hint="eastAsia"/>
        </w:rPr>
        <w:t>含碘-131核素的放射性废液应暂存应超过180天，经检测放射性废液衰变池</w:t>
      </w:r>
      <w:proofErr w:type="gramStart"/>
      <w:r>
        <w:rPr>
          <w:rFonts w:hint="eastAsia"/>
        </w:rPr>
        <w:t>排放口碘</w:t>
      </w:r>
      <w:proofErr w:type="gramEnd"/>
      <w:r>
        <w:rPr>
          <w:rFonts w:hint="eastAsia"/>
        </w:rPr>
        <w:t>-131的放射性活度浓度不大于10 Bq/L后，按照GB 18871—2002中8.6.2规定方式进行排放。</w:t>
      </w:r>
    </w:p>
    <w:p w:rsidR="00145C29" w:rsidRDefault="008F4ADF">
      <w:pPr>
        <w:pStyle w:val="affffffffc"/>
        <w:ind w:left="0"/>
      </w:pPr>
      <w:r>
        <w:rPr>
          <w:rFonts w:hint="eastAsia"/>
        </w:rPr>
        <w:t>放射性废液排放需要进行详细记录，废物暂存和处理</w:t>
      </w:r>
      <w:proofErr w:type="gramStart"/>
      <w:r>
        <w:rPr>
          <w:rFonts w:hint="eastAsia"/>
        </w:rPr>
        <w:t>台账应包括</w:t>
      </w:r>
      <w:proofErr w:type="gramEnd"/>
      <w:r>
        <w:rPr>
          <w:rFonts w:hint="eastAsia"/>
        </w:rPr>
        <w:t>放射性废液所含的核素名称、体积、废液产生起始日期、责任人员、排放时间、监测结果等信息。</w:t>
      </w:r>
    </w:p>
    <w:p w:rsidR="00145C29" w:rsidRDefault="008F4ADF">
      <w:pPr>
        <w:pStyle w:val="affe"/>
        <w:spacing w:before="156" w:after="156"/>
        <w:ind w:left="0"/>
      </w:pPr>
      <w:r>
        <w:rPr>
          <w:rFonts w:hint="eastAsia"/>
        </w:rPr>
        <w:t>气态放射性废物的管理</w:t>
      </w:r>
    </w:p>
    <w:p w:rsidR="00145C29" w:rsidRDefault="008F4ADF">
      <w:pPr>
        <w:pStyle w:val="affffffffd"/>
      </w:pPr>
      <w:r>
        <w:rPr>
          <w:rFonts w:hint="eastAsia"/>
        </w:rPr>
        <w:t>碘-131核素治疗病房场所设计和环评阶段按照</w:t>
      </w:r>
      <w:proofErr w:type="gramStart"/>
      <w:r>
        <w:rPr>
          <w:rFonts w:hint="eastAsia"/>
        </w:rPr>
        <w:t>本要求</w:t>
      </w:r>
      <w:proofErr w:type="gramEnd"/>
      <w:r>
        <w:rPr>
          <w:rFonts w:hint="eastAsia"/>
        </w:rPr>
        <w:t>确定的职业和公众人员的年摄入量限值进行相符性评价的内容，在运行期间应通过碘-131气溶胶活度浓度监测分析评估是否满足要求。</w:t>
      </w:r>
    </w:p>
    <w:p w:rsidR="00145C29" w:rsidRDefault="008F4ADF">
      <w:pPr>
        <w:pStyle w:val="affffffffd"/>
      </w:pPr>
      <w:r>
        <w:rPr>
          <w:rFonts w:hint="eastAsia"/>
        </w:rPr>
        <w:t>碘-131核素治疗病房场所所有排风系统都应安装活性炭过滤器或其他过滤器，避免污染工作场所和环境，工作期间每个月至少检查一次通风系统过滤净化器的有效性，及时更换失效的过滤器，更换周期不得超过厂家推荐的使用时间。更换下来的过滤器应按放射性固体废物进行收集及处理。</w:t>
      </w:r>
    </w:p>
    <w:p w:rsidR="00145C29" w:rsidRDefault="008F4ADF">
      <w:pPr>
        <w:pStyle w:val="affd"/>
        <w:spacing w:before="312" w:after="312"/>
      </w:pPr>
      <w:bookmarkStart w:id="55" w:name="_Toc111119215"/>
      <w:r>
        <w:rPr>
          <w:rFonts w:hint="eastAsia"/>
        </w:rPr>
        <w:t>辐射监测</w:t>
      </w:r>
      <w:bookmarkEnd w:id="55"/>
    </w:p>
    <w:p w:rsidR="00145C29" w:rsidRDefault="008F4ADF">
      <w:pPr>
        <w:pStyle w:val="affe"/>
        <w:spacing w:before="156" w:after="156"/>
        <w:ind w:left="0"/>
      </w:pPr>
      <w:r>
        <w:rPr>
          <w:rFonts w:hint="eastAsia"/>
        </w:rPr>
        <w:t>一般要求</w:t>
      </w:r>
    </w:p>
    <w:p w:rsidR="00145C29" w:rsidRDefault="008F4ADF">
      <w:pPr>
        <w:pStyle w:val="affffffffd"/>
      </w:pPr>
      <w:r>
        <w:rPr>
          <w:rFonts w:hint="eastAsia"/>
        </w:rPr>
        <w:t>碘-131核素治疗病房应配备足够的辐射剂量监测仪和表面污染仪，并定期对所有监测设备进行检定校准。</w:t>
      </w:r>
    </w:p>
    <w:p w:rsidR="00145C29" w:rsidRDefault="008F4ADF">
      <w:pPr>
        <w:pStyle w:val="affffffffd"/>
      </w:pPr>
      <w:r>
        <w:rPr>
          <w:rFonts w:hint="eastAsia"/>
        </w:rPr>
        <w:t>制定辐射监测计划，并按照计划落实监测工作。所有辐射监测记录应建档保存，测量记录应包括测量对象、测量条件、测量方法、测量仪器、测量时间和测量人员等信息。</w:t>
      </w:r>
    </w:p>
    <w:p w:rsidR="00145C29" w:rsidRDefault="008F4ADF">
      <w:pPr>
        <w:pStyle w:val="affffffffd"/>
      </w:pPr>
      <w:r>
        <w:rPr>
          <w:rFonts w:hint="eastAsia"/>
        </w:rPr>
        <w:t>应对辐射监测结果进行评价，监测中发现异常情况应查找原因并及时报告，提出改进辐射防护</w:t>
      </w:r>
      <w:r>
        <w:rPr>
          <w:rFonts w:hint="eastAsia"/>
        </w:rPr>
        <w:lastRenderedPageBreak/>
        <w:t>工作的意见和建议。</w:t>
      </w:r>
    </w:p>
    <w:p w:rsidR="00145C29" w:rsidRDefault="008F4ADF">
      <w:pPr>
        <w:pStyle w:val="affe"/>
        <w:spacing w:before="156" w:after="156"/>
        <w:ind w:left="0"/>
      </w:pPr>
      <w:r>
        <w:rPr>
          <w:rFonts w:hint="eastAsia"/>
        </w:rPr>
        <w:t>工作场所监测</w:t>
      </w:r>
    </w:p>
    <w:p w:rsidR="00145C29" w:rsidRDefault="008F4ADF">
      <w:pPr>
        <w:pStyle w:val="affffffffd"/>
      </w:pPr>
      <w:r>
        <w:rPr>
          <w:rFonts w:hint="eastAsia"/>
        </w:rPr>
        <w:t>每月对碘-131核素治疗病房的控制区和监督区进行常规的γ剂量率和β表面污染监测。</w:t>
      </w:r>
    </w:p>
    <w:p w:rsidR="00145C29" w:rsidRDefault="008F4ADF">
      <w:pPr>
        <w:pStyle w:val="affffffffd"/>
      </w:pPr>
      <w:r>
        <w:rPr>
          <w:rFonts w:hint="eastAsia"/>
        </w:rPr>
        <w:t>每次工作结束后对分装室、服药室的放射性污染情况进行监测，并做好记录。每天分装工作完成后对工作台面进行清洁处理，清洁后进行表面污染监测，满足控制区表面污染水平要求。</w:t>
      </w:r>
    </w:p>
    <w:p w:rsidR="00145C29" w:rsidRDefault="008F4ADF">
      <w:pPr>
        <w:pStyle w:val="affffffffd"/>
      </w:pPr>
      <w:r>
        <w:rPr>
          <w:rFonts w:hint="eastAsia"/>
        </w:rPr>
        <w:t>每次工作结束离开控制区时应对辐射工作人员的手、皮肤暴露部分及工作服、手套、鞋、帽等进行表面污染监测。</w:t>
      </w:r>
    </w:p>
    <w:p w:rsidR="00145C29" w:rsidRDefault="008F4ADF">
      <w:pPr>
        <w:pStyle w:val="affffffffd"/>
      </w:pPr>
      <w:r>
        <w:rPr>
          <w:rFonts w:hint="eastAsia"/>
        </w:rPr>
        <w:t>每批住院患者入院前一天内，对病房进行污染监测清理并进行记录。</w:t>
      </w:r>
    </w:p>
    <w:p w:rsidR="00145C29" w:rsidRDefault="008F4ADF">
      <w:pPr>
        <w:pStyle w:val="affe"/>
        <w:spacing w:before="156" w:after="156"/>
        <w:ind w:left="0"/>
      </w:pPr>
      <w:r>
        <w:rPr>
          <w:rFonts w:hint="eastAsia"/>
        </w:rPr>
        <w:t>环境监测</w:t>
      </w:r>
    </w:p>
    <w:p w:rsidR="00145C29" w:rsidRDefault="008F4ADF">
      <w:pPr>
        <w:pStyle w:val="afffff1"/>
        <w:ind w:firstLine="420"/>
      </w:pPr>
      <w:r>
        <w:rPr>
          <w:rFonts w:hint="eastAsia"/>
        </w:rPr>
        <w:t>每年应按照HJ 61辐射环境监测技术规范中的核技术利用辐射监测要求对碘-131核素治疗病房周围环境进行辐射监测，监测项目为γ剂量率、β表面污染和放射性废气排放口的碘-131放射性气体气溶胶浓度，不具备自行监测能力的可委托有能力的单位进行监测，监测频次应不少于1次/年。</w:t>
      </w:r>
    </w:p>
    <w:p w:rsidR="00145C29" w:rsidRDefault="008F4ADF">
      <w:pPr>
        <w:pStyle w:val="affe"/>
        <w:spacing w:before="156" w:after="156"/>
        <w:ind w:left="0"/>
      </w:pPr>
      <w:r>
        <w:rPr>
          <w:rFonts w:hint="eastAsia"/>
        </w:rPr>
        <w:t>个人剂量监测</w:t>
      </w:r>
    </w:p>
    <w:p w:rsidR="00145C29" w:rsidRDefault="008F4ADF">
      <w:pPr>
        <w:pStyle w:val="affffffffd"/>
      </w:pPr>
      <w:r>
        <w:rPr>
          <w:rFonts w:hint="eastAsia"/>
        </w:rPr>
        <w:t>所有辐射工作人员（包括碘-131药物的运送、放射性废物收集以及病房保洁人员等）均应佩戴使用个人剂量计，按每个季度一次的频度委托有能力的机构进行个人剂量监测。</w:t>
      </w:r>
    </w:p>
    <w:p w:rsidR="00145C29" w:rsidRDefault="008F4ADF">
      <w:pPr>
        <w:pStyle w:val="affffffffd"/>
      </w:pPr>
      <w:r>
        <w:rPr>
          <w:rFonts w:hint="eastAsia"/>
        </w:rPr>
        <w:t>个人剂量档案应按照要求妥善保存，监测数据异常时，及时进行调查。</w:t>
      </w:r>
    </w:p>
    <w:p w:rsidR="00145C29" w:rsidRDefault="008F4ADF">
      <w:pPr>
        <w:pStyle w:val="affd"/>
        <w:spacing w:before="312" w:after="312"/>
      </w:pPr>
      <w:bookmarkStart w:id="56" w:name="_Toc111119216"/>
      <w:r>
        <w:rPr>
          <w:rFonts w:hint="eastAsia"/>
        </w:rPr>
        <w:t>应急处理要求</w:t>
      </w:r>
      <w:bookmarkEnd w:id="56"/>
    </w:p>
    <w:p w:rsidR="00145C29" w:rsidRDefault="008F4ADF">
      <w:pPr>
        <w:pStyle w:val="affe"/>
        <w:spacing w:before="156" w:after="156"/>
        <w:ind w:left="0"/>
      </w:pPr>
      <w:r>
        <w:rPr>
          <w:rFonts w:hint="eastAsia"/>
        </w:rPr>
        <w:t>一般要求</w:t>
      </w:r>
    </w:p>
    <w:p w:rsidR="00145C29" w:rsidRDefault="008F4ADF">
      <w:pPr>
        <w:pStyle w:val="affffffffd"/>
      </w:pPr>
      <w:r>
        <w:rPr>
          <w:rFonts w:hint="eastAsia"/>
        </w:rPr>
        <w:t>医疗单位应根据碘-131治疗以及患者住院过程中可能发生的各种异常照射事例及应急情况，制定辐射应急预案，每年应至少开展一次急事故演练并进行记录。</w:t>
      </w:r>
    </w:p>
    <w:p w:rsidR="00145C29" w:rsidRDefault="008F4ADF">
      <w:pPr>
        <w:pStyle w:val="affffffffd"/>
      </w:pPr>
      <w:r>
        <w:rPr>
          <w:rFonts w:hint="eastAsia"/>
        </w:rPr>
        <w:t>应准备应急去污用品并每年检查用品是否能正常使用。</w:t>
      </w:r>
    </w:p>
    <w:p w:rsidR="00145C29" w:rsidRDefault="008F4ADF">
      <w:pPr>
        <w:pStyle w:val="affe"/>
        <w:spacing w:before="156" w:after="156"/>
        <w:ind w:left="0"/>
      </w:pPr>
      <w:r>
        <w:rPr>
          <w:rFonts w:hint="eastAsia"/>
        </w:rPr>
        <w:t>应急预案</w:t>
      </w:r>
    </w:p>
    <w:p w:rsidR="00145C29" w:rsidRDefault="008F4ADF">
      <w:pPr>
        <w:pStyle w:val="afffff1"/>
        <w:ind w:firstLine="420"/>
      </w:pPr>
      <w:r>
        <w:rPr>
          <w:rFonts w:hint="eastAsia"/>
        </w:rPr>
        <w:t>各类异常照射事例及应急情况类型参考GBZ 120</w:t>
      </w:r>
      <w:r>
        <w:t>-2020</w:t>
      </w:r>
      <w:r>
        <w:rPr>
          <w:rFonts w:hint="eastAsia"/>
        </w:rPr>
        <w:t>附录N有关辐射应急的相关内容。</w:t>
      </w:r>
    </w:p>
    <w:p w:rsidR="00145C29" w:rsidRDefault="008F4ADF">
      <w:pPr>
        <w:pStyle w:val="affe"/>
        <w:spacing w:before="156" w:after="156"/>
        <w:ind w:left="0"/>
      </w:pPr>
      <w:r>
        <w:rPr>
          <w:rFonts w:hint="eastAsia"/>
        </w:rPr>
        <w:t>应急去污用品</w:t>
      </w:r>
    </w:p>
    <w:p w:rsidR="00145C29" w:rsidRDefault="008F4ADF">
      <w:pPr>
        <w:pStyle w:val="afffff1"/>
        <w:ind w:firstLine="420"/>
      </w:pPr>
      <w:r>
        <w:rPr>
          <w:rFonts w:hint="eastAsia"/>
        </w:rPr>
        <w:t>主要包括下列物品：一次性防水手套、气溶胶防护口罩、安全眼镜、防水工作服、胶鞋、去污剂和/或喷雾（至少为加入清洗洗涤剂和</w:t>
      </w:r>
      <w:proofErr w:type="gramStart"/>
      <w:r>
        <w:rPr>
          <w:rFonts w:hint="eastAsia"/>
        </w:rPr>
        <w:t>硫代</w:t>
      </w:r>
      <w:proofErr w:type="gramEnd"/>
      <w:r>
        <w:rPr>
          <w:rFonts w:hint="eastAsia"/>
        </w:rPr>
        <w:t>硫酸钠的水）；小刷子、一次性毛巾或吸水纸、</w:t>
      </w:r>
      <w:proofErr w:type="gramStart"/>
      <w:r>
        <w:rPr>
          <w:rFonts w:hint="eastAsia"/>
        </w:rPr>
        <w:t>毡头标记</w:t>
      </w:r>
      <w:proofErr w:type="gramEnd"/>
      <w:r>
        <w:rPr>
          <w:rFonts w:hint="eastAsia"/>
        </w:rPr>
        <w:t>笔（水溶性油墨）、不同大小的塑料袋、酒精湿巾、电离辐射警告标志、胶带、标签、</w:t>
      </w:r>
      <w:proofErr w:type="gramStart"/>
      <w:r>
        <w:rPr>
          <w:rFonts w:hint="eastAsia"/>
        </w:rPr>
        <w:t>不</w:t>
      </w:r>
      <w:proofErr w:type="gramEnd"/>
      <w:r>
        <w:rPr>
          <w:rFonts w:hint="eastAsia"/>
        </w:rPr>
        <w:t>透水的塑料布、一次性镊子。</w:t>
      </w:r>
    </w:p>
    <w:p w:rsidR="00145C29" w:rsidRDefault="00145C29">
      <w:pPr>
        <w:pStyle w:val="afffff1"/>
        <w:ind w:firstLine="420"/>
      </w:pPr>
    </w:p>
    <w:p w:rsidR="00145C29" w:rsidRDefault="00145C29">
      <w:pPr>
        <w:pStyle w:val="afffff1"/>
        <w:ind w:firstLine="420"/>
        <w:sectPr w:rsidR="00145C29">
          <w:pgSz w:w="11906" w:h="16838"/>
          <w:pgMar w:top="1928" w:right="1134" w:bottom="1134" w:left="1134" w:header="1418" w:footer="1134" w:gutter="284"/>
          <w:pgNumType w:start="1"/>
          <w:cols w:space="425"/>
          <w:formProt w:val="0"/>
          <w:docGrid w:type="lines" w:linePitch="312"/>
        </w:sectPr>
      </w:pPr>
    </w:p>
    <w:p w:rsidR="00145C29" w:rsidRDefault="00145C29">
      <w:pPr>
        <w:pStyle w:val="af9"/>
        <w:rPr>
          <w:vanish w:val="0"/>
        </w:rPr>
      </w:pPr>
      <w:bookmarkStart w:id="57" w:name="BookMark5"/>
      <w:bookmarkEnd w:id="24"/>
    </w:p>
    <w:p w:rsidR="00145C29" w:rsidRDefault="00145C29">
      <w:pPr>
        <w:pStyle w:val="aff"/>
        <w:rPr>
          <w:vanish w:val="0"/>
        </w:rPr>
      </w:pPr>
    </w:p>
    <w:p w:rsidR="00145C29" w:rsidRDefault="008F4ADF">
      <w:pPr>
        <w:pStyle w:val="aff4"/>
        <w:spacing w:after="156"/>
      </w:pPr>
      <w:r>
        <w:br/>
      </w:r>
      <w:bookmarkStart w:id="58" w:name="_Toc111119217"/>
      <w:r>
        <w:rPr>
          <w:rFonts w:hint="eastAsia"/>
        </w:rPr>
        <w:t>（资料性）</w:t>
      </w:r>
      <w:r>
        <w:br/>
      </w:r>
      <w:r>
        <w:rPr>
          <w:rFonts w:hint="eastAsia"/>
        </w:rPr>
        <w:t>屏蔽计算方法</w:t>
      </w:r>
      <w:bookmarkEnd w:id="58"/>
    </w:p>
    <w:p w:rsidR="00145C29" w:rsidRDefault="008F4ADF">
      <w:pPr>
        <w:pStyle w:val="aff5"/>
        <w:spacing w:before="156" w:after="156"/>
      </w:pPr>
      <w:r>
        <w:rPr>
          <w:rFonts w:hint="eastAsia"/>
        </w:rPr>
        <w:t>射屏蔽的一般考虑</w:t>
      </w:r>
    </w:p>
    <w:p w:rsidR="00145C29" w:rsidRDefault="008F4ADF">
      <w:pPr>
        <w:pStyle w:val="afffff1"/>
        <w:ind w:firstLine="420"/>
      </w:pPr>
      <w:r>
        <w:rPr>
          <w:rFonts w:hint="eastAsia"/>
        </w:rPr>
        <w:t>碘-131核素治疗病房屏蔽计算时应采用可能应用碘-131核素的最大活度。常用屏蔽材料十分之一层厚度（TVL）见表A.1。</w:t>
      </w:r>
    </w:p>
    <w:p w:rsidR="00145C29" w:rsidRDefault="008F4ADF">
      <w:pPr>
        <w:pStyle w:val="aff0"/>
        <w:spacing w:before="156" w:after="156"/>
      </w:pPr>
      <w:r>
        <w:rPr>
          <w:rFonts w:hint="eastAsia"/>
        </w:rPr>
        <w:t>常用屏蔽材料</w:t>
      </w:r>
      <w:proofErr w:type="gramStart"/>
      <w:r>
        <w:rPr>
          <w:rFonts w:hint="eastAsia"/>
        </w:rPr>
        <w:t>十分之一值层厚度</w:t>
      </w:r>
      <w:proofErr w:type="gramEnd"/>
      <w:r>
        <w:rPr>
          <w:rFonts w:hint="eastAsia"/>
        </w:rPr>
        <w:t>（TVL）</w:t>
      </w:r>
    </w:p>
    <w:p w:rsidR="00145C29" w:rsidRDefault="008F4ADF">
      <w:pPr>
        <w:pStyle w:val="afffff1"/>
        <w:ind w:rightChars="201" w:right="422" w:firstLine="420"/>
        <w:jc w:val="right"/>
      </w:pPr>
      <w:r>
        <w:rPr>
          <w:rFonts w:hint="eastAsia"/>
        </w:rPr>
        <w:t>单位为毫米</w:t>
      </w:r>
    </w:p>
    <w:tbl>
      <w:tblPr>
        <w:tblStyle w:val="affff3"/>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48"/>
        <w:gridCol w:w="2460"/>
        <w:gridCol w:w="2310"/>
        <w:gridCol w:w="2744"/>
      </w:tblGrid>
      <w:tr w:rsidR="00145C29">
        <w:tc>
          <w:tcPr>
            <w:tcW w:w="1548"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核素</w:t>
            </w:r>
          </w:p>
        </w:tc>
        <w:tc>
          <w:tcPr>
            <w:tcW w:w="2460"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铅（11.3g/cm</w:t>
            </w:r>
            <w:r>
              <w:rPr>
                <w:rFonts w:hAnsi="宋体" w:cs="黑体" w:hint="eastAsia"/>
                <w:sz w:val="18"/>
                <w:vertAlign w:val="superscript"/>
              </w:rPr>
              <w:t>3</w:t>
            </w:r>
            <w:r>
              <w:rPr>
                <w:rFonts w:hAnsi="宋体" w:cs="黑体" w:hint="eastAsia"/>
                <w:sz w:val="18"/>
              </w:rPr>
              <w:t>）</w:t>
            </w:r>
          </w:p>
        </w:tc>
        <w:tc>
          <w:tcPr>
            <w:tcW w:w="2310"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砖（1.65g/cm</w:t>
            </w:r>
            <w:r>
              <w:rPr>
                <w:rFonts w:hAnsi="宋体" w:cs="黑体" w:hint="eastAsia"/>
                <w:sz w:val="18"/>
                <w:vertAlign w:val="superscript"/>
              </w:rPr>
              <w:t>3</w:t>
            </w:r>
            <w:r>
              <w:rPr>
                <w:rFonts w:hAnsi="宋体" w:cs="黑体" w:hint="eastAsia"/>
                <w:sz w:val="18"/>
              </w:rPr>
              <w:t>）</w:t>
            </w:r>
          </w:p>
        </w:tc>
        <w:tc>
          <w:tcPr>
            <w:tcW w:w="2744"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混凝土（2.35g/cm</w:t>
            </w:r>
            <w:r>
              <w:rPr>
                <w:rFonts w:hAnsi="宋体" w:cs="黑体" w:hint="eastAsia"/>
                <w:sz w:val="18"/>
                <w:vertAlign w:val="superscript"/>
              </w:rPr>
              <w:t>3</w:t>
            </w:r>
            <w:r>
              <w:rPr>
                <w:rFonts w:hAnsi="宋体" w:cs="黑体" w:hint="eastAsia"/>
                <w:sz w:val="18"/>
              </w:rPr>
              <w:t>）</w:t>
            </w:r>
          </w:p>
        </w:tc>
      </w:tr>
      <w:tr w:rsidR="00145C29">
        <w:tc>
          <w:tcPr>
            <w:tcW w:w="1548" w:type="dxa"/>
            <w:tcBorders>
              <w:top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碘-131</w:t>
            </w:r>
          </w:p>
        </w:tc>
        <w:tc>
          <w:tcPr>
            <w:tcW w:w="2460" w:type="dxa"/>
            <w:tcBorders>
              <w:top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11</w:t>
            </w:r>
          </w:p>
        </w:tc>
        <w:tc>
          <w:tcPr>
            <w:tcW w:w="2310" w:type="dxa"/>
            <w:tcBorders>
              <w:top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240</w:t>
            </w:r>
          </w:p>
        </w:tc>
        <w:tc>
          <w:tcPr>
            <w:tcW w:w="2744" w:type="dxa"/>
            <w:tcBorders>
              <w:top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170</w:t>
            </w:r>
          </w:p>
        </w:tc>
      </w:tr>
    </w:tbl>
    <w:p w:rsidR="00145C29" w:rsidRDefault="008F4ADF">
      <w:pPr>
        <w:pStyle w:val="aff5"/>
        <w:spacing w:before="156" w:after="156"/>
      </w:pPr>
      <w:r>
        <w:rPr>
          <w:rFonts w:hint="eastAsia"/>
        </w:rPr>
        <w:t>碘-131核素治疗病房屏蔽计算</w:t>
      </w:r>
    </w:p>
    <w:p w:rsidR="00145C29" w:rsidRDefault="008F4ADF">
      <w:pPr>
        <w:pStyle w:val="afffff1"/>
        <w:ind w:firstLine="420"/>
      </w:pPr>
      <w:r>
        <w:rPr>
          <w:rFonts w:hint="eastAsia"/>
        </w:rPr>
        <w:t>保守起见，碘-131核素治疗病房的屏蔽，可采用瞬时剂量率计算方法。符合瞬时剂量率目标要求的屏蔽厚度x的计算，计算</w:t>
      </w:r>
      <w:proofErr w:type="gramStart"/>
      <w:r>
        <w:rPr>
          <w:rFonts w:hint="eastAsia"/>
        </w:rPr>
        <w:t>公式见式</w:t>
      </w:r>
      <w:proofErr w:type="gramEnd"/>
      <w:r>
        <w:rPr>
          <w:rFonts w:hint="eastAsia"/>
        </w:rPr>
        <w:t>(A.1)：</w:t>
      </w:r>
    </w:p>
    <w:p w:rsidR="00145C29" w:rsidRDefault="008F4ADF">
      <w:pPr>
        <w:pStyle w:val="affffffd"/>
      </w:pPr>
      <w:r>
        <w:tab/>
      </w:r>
      <m:oMath>
        <m:r>
          <m:rPr>
            <m:sty m:val="p"/>
          </m:rPr>
          <w:rPr>
            <w:rFonts w:ascii="Cambria Math" w:eastAsia="黑体" w:hAnsi="Cambria Math" w:cs="黑体"/>
          </w:rPr>
          <m:t>x=</m:t>
        </m:r>
        <m:r>
          <w:rPr>
            <w:rFonts w:ascii="Cambria Math" w:eastAsia="黑体" w:hAnsi="Cambria Math" w:cs="黑体"/>
          </w:rPr>
          <m:t>TVL×lg</m:t>
        </m:r>
        <m:d>
          <m:dPr>
            <m:ctrlPr>
              <w:rPr>
                <w:rFonts w:ascii="Cambria Math" w:eastAsia="黑体" w:hAnsi="Cambria Math" w:cs="黑体"/>
              </w:rPr>
            </m:ctrlPr>
          </m:dPr>
          <m:e>
            <m:f>
              <m:fPr>
                <m:ctrlPr>
                  <w:rPr>
                    <w:rFonts w:ascii="Cambria Math" w:eastAsia="黑体" w:hAnsi="Cambria Math" w:cs="黑体"/>
                    <w:i/>
                    <w:iCs/>
                  </w:rPr>
                </m:ctrlPr>
              </m:fPr>
              <m:num>
                <m:r>
                  <w:rPr>
                    <w:rFonts w:ascii="Cambria Math" w:eastAsia="黑体" w:hAnsi="Cambria Math" w:cs="黑体"/>
                  </w:rPr>
                  <m:t>A×Γ</m:t>
                </m:r>
              </m:num>
              <m:den>
                <m:sSub>
                  <m:sSubPr>
                    <m:ctrlPr>
                      <w:rPr>
                        <w:rFonts w:ascii="Cambria Math" w:eastAsia="黑体" w:hAnsi="Cambria Math" w:cs="黑体"/>
                        <w:i/>
                      </w:rPr>
                    </m:ctrlPr>
                  </m:sSubPr>
                  <m:e>
                    <m:r>
                      <w:rPr>
                        <w:rFonts w:ascii="Cambria Math" w:eastAsia="黑体" w:hAnsi="Cambria Math" w:cs="黑体"/>
                      </w:rPr>
                      <m:t>H</m:t>
                    </m:r>
                  </m:e>
                  <m:sub>
                    <m:r>
                      <w:rPr>
                        <w:rFonts w:ascii="Cambria Math" w:eastAsia="黑体" w:hAnsi="Cambria Math" w:cs="黑体"/>
                      </w:rPr>
                      <m:t>p</m:t>
                    </m:r>
                  </m:sub>
                </m:sSub>
                <m:r>
                  <w:rPr>
                    <w:rFonts w:ascii="Cambria Math" w:eastAsia="黑体" w:hAnsi="Cambria Math" w:cs="黑体"/>
                  </w:rPr>
                  <m:t>×</m:t>
                </m:r>
                <m:sSup>
                  <m:sSupPr>
                    <m:ctrlPr>
                      <w:rPr>
                        <w:rFonts w:ascii="Cambria Math" w:eastAsia="黑体" w:hAnsi="Cambria Math" w:cs="黑体"/>
                        <w:i/>
                        <w:iCs/>
                      </w:rPr>
                    </m:ctrlPr>
                  </m:sSupPr>
                  <m:e>
                    <m:r>
                      <w:rPr>
                        <w:rFonts w:ascii="Cambria Math" w:eastAsia="黑体" w:hAnsi="Cambria Math" w:cs="黑体"/>
                      </w:rPr>
                      <m:t>r</m:t>
                    </m:r>
                  </m:e>
                  <m:sup>
                    <m:r>
                      <w:rPr>
                        <w:rFonts w:ascii="Cambria Math" w:eastAsia="黑体" w:hAnsi="Cambria Math" w:cs="黑体"/>
                      </w:rPr>
                      <m:t>2</m:t>
                    </m:r>
                  </m:sup>
                </m:sSup>
              </m:den>
            </m:f>
          </m:e>
        </m:d>
      </m:oMath>
      <w:r>
        <w:rPr>
          <w:rFonts w:ascii="微软雅黑" w:eastAsia="微软雅黑" w:hAnsi="微软雅黑"/>
        </w:rPr>
        <w:tab/>
      </w:r>
      <w:r>
        <w:t>(A</w:t>
      </w:r>
      <w:proofErr w:type="gramStart"/>
      <w:r>
        <w:t>.</w:t>
      </w:r>
      <w:proofErr w:type="gramEnd"/>
      <w:r>
        <w:fldChar w:fldCharType="begin"/>
      </w:r>
      <w:r>
        <w:instrText xml:space="preserve"> seq fulu_equation_133046711372595139 </w:instrText>
      </w:r>
      <w:r>
        <w:fldChar w:fldCharType="separate"/>
      </w:r>
      <w:r>
        <w:t>1</w:t>
      </w:r>
      <w:r>
        <w:fldChar w:fldCharType="end"/>
      </w:r>
      <w:r>
        <w:t>)</w:t>
      </w:r>
    </w:p>
    <w:p w:rsidR="00145C29" w:rsidRDefault="008F4ADF">
      <w:pPr>
        <w:pStyle w:val="afffff0"/>
        <w:ind w:firstLine="420"/>
      </w:pPr>
      <w:r>
        <w:rPr>
          <w:rFonts w:hint="eastAsia"/>
        </w:rPr>
        <w:t>式中：</w:t>
      </w:r>
    </w:p>
    <w:p w:rsidR="00145C29" w:rsidRDefault="008F4ADF">
      <w:pPr>
        <w:pStyle w:val="afffff1"/>
        <w:ind w:firstLine="420"/>
      </w:pPr>
      <w:r>
        <w:rPr>
          <w:rFonts w:hint="eastAsia"/>
        </w:rPr>
        <w:t>x  ——屏蔽厚度,单位为毫米（mm）；</w:t>
      </w:r>
    </w:p>
    <w:p w:rsidR="00145C29" w:rsidRDefault="008F4ADF">
      <w:pPr>
        <w:pStyle w:val="afffff1"/>
        <w:ind w:firstLine="420"/>
      </w:pPr>
      <w:r>
        <w:rPr>
          <w:rFonts w:hint="eastAsia"/>
        </w:rPr>
        <w:t>TVL——γ射线的</w:t>
      </w:r>
      <w:proofErr w:type="gramStart"/>
      <w:r>
        <w:rPr>
          <w:rFonts w:hint="eastAsia"/>
        </w:rPr>
        <w:t>十分之一值层厚度</w:t>
      </w:r>
      <w:proofErr w:type="gramEnd"/>
      <w:r>
        <w:rPr>
          <w:rFonts w:hint="eastAsia"/>
        </w:rPr>
        <w:t>，见</w:t>
      </w:r>
      <w:r w:rsidRPr="00816EF0">
        <w:rPr>
          <w:rFonts w:hint="eastAsia"/>
        </w:rPr>
        <w:t>表A.</w:t>
      </w:r>
      <w:r>
        <w:rPr>
          <w:rFonts w:hint="eastAsia"/>
        </w:rPr>
        <w:t>1，单位为毫米（mm）；</w:t>
      </w:r>
    </w:p>
    <w:p w:rsidR="00145C29" w:rsidRDefault="008F4ADF">
      <w:pPr>
        <w:pStyle w:val="afffff1"/>
        <w:ind w:firstLine="420"/>
      </w:pPr>
      <w:r>
        <w:rPr>
          <w:rFonts w:hint="eastAsia"/>
        </w:rPr>
        <w:t>A  ——单个患者或受检者所用放射源的最大活度，单位</w:t>
      </w:r>
      <w:proofErr w:type="gramStart"/>
      <w:r>
        <w:rPr>
          <w:rFonts w:hint="eastAsia"/>
        </w:rPr>
        <w:t>为兆贝</w:t>
      </w:r>
      <w:proofErr w:type="gramEnd"/>
      <w:r>
        <w:rPr>
          <w:rFonts w:hint="eastAsia"/>
        </w:rPr>
        <w:t>克（MBq）；</w:t>
      </w:r>
    </w:p>
    <w:p w:rsidR="00145C29" w:rsidRDefault="008F4ADF">
      <w:pPr>
        <w:pStyle w:val="afffff1"/>
        <w:ind w:firstLine="420"/>
      </w:pPr>
      <w:r>
        <w:rPr>
          <w:rFonts w:hint="eastAsia"/>
        </w:rPr>
        <w:t>Γ ——</w:t>
      </w:r>
      <w:proofErr w:type="gramStart"/>
      <w:r>
        <w:rPr>
          <w:rFonts w:hint="eastAsia"/>
        </w:rPr>
        <w:t>距源</w:t>
      </w:r>
      <w:proofErr w:type="gramEnd"/>
      <w:r>
        <w:rPr>
          <w:rFonts w:hint="eastAsia"/>
        </w:rPr>
        <w:t xml:space="preserve"> 1m 处的周围剂量当量率常数，单位为 μSv·m</w:t>
      </w:r>
      <w:r>
        <w:rPr>
          <w:rFonts w:hint="eastAsia"/>
          <w:vertAlign w:val="superscript"/>
        </w:rPr>
        <w:t>2</w:t>
      </w:r>
      <w:r>
        <w:rPr>
          <w:rFonts w:hint="eastAsia"/>
        </w:rPr>
        <w:t>/MBq·h,碘-131</w:t>
      </w:r>
      <w:proofErr w:type="gramStart"/>
      <w:r>
        <w:rPr>
          <w:rFonts w:hint="eastAsia"/>
        </w:rPr>
        <w:t>裸源周围</w:t>
      </w:r>
      <w:proofErr w:type="gramEnd"/>
      <w:r>
        <w:rPr>
          <w:rFonts w:hint="eastAsia"/>
        </w:rPr>
        <w:t>剂量当量率常数为0.0595μSv·m</w:t>
      </w:r>
      <w:r>
        <w:rPr>
          <w:rFonts w:hint="eastAsia"/>
          <w:vertAlign w:val="superscript"/>
        </w:rPr>
        <w:t>2</w:t>
      </w:r>
      <w:r>
        <w:rPr>
          <w:rFonts w:hint="eastAsia"/>
        </w:rPr>
        <w:t>/MBq·h；</w:t>
      </w:r>
    </w:p>
    <w:p w:rsidR="00145C29" w:rsidRDefault="008F4ADF">
      <w:pPr>
        <w:pStyle w:val="afffff1"/>
        <w:ind w:firstLine="420"/>
      </w:pPr>
      <w:r>
        <w:rPr>
          <w:rFonts w:hint="eastAsia"/>
        </w:rPr>
        <w:t>Hp ——屏蔽体外关注点剂量率控制值，单位</w:t>
      </w:r>
      <w:proofErr w:type="gramStart"/>
      <w:r>
        <w:rPr>
          <w:rFonts w:hint="eastAsia"/>
        </w:rPr>
        <w:t>为微希沃</w:t>
      </w:r>
      <w:proofErr w:type="gramEnd"/>
      <w:r>
        <w:rPr>
          <w:rFonts w:hint="eastAsia"/>
        </w:rPr>
        <w:t>特每小时（μSv/h）；</w:t>
      </w:r>
    </w:p>
    <w:p w:rsidR="00145C29" w:rsidRDefault="008F4ADF">
      <w:pPr>
        <w:pStyle w:val="afffff1"/>
        <w:ind w:firstLine="420"/>
      </w:pPr>
      <w:r>
        <w:rPr>
          <w:rFonts w:hint="eastAsia"/>
        </w:rPr>
        <w:t>r  ——参考点与放射源间的距离，单位为米（m）。</w:t>
      </w:r>
    </w:p>
    <w:p w:rsidR="00145C29" w:rsidRDefault="00145C29">
      <w:pPr>
        <w:pStyle w:val="afffff1"/>
        <w:ind w:firstLine="420"/>
        <w:sectPr w:rsidR="00145C29">
          <w:pgSz w:w="11906" w:h="16838"/>
          <w:pgMar w:top="1928" w:right="1134" w:bottom="1134" w:left="1134" w:header="1418" w:footer="1134" w:gutter="284"/>
          <w:cols w:space="425"/>
          <w:formProt w:val="0"/>
          <w:docGrid w:type="lines" w:linePitch="312"/>
        </w:sectPr>
      </w:pPr>
    </w:p>
    <w:p w:rsidR="00145C29" w:rsidRDefault="00145C29">
      <w:pPr>
        <w:pStyle w:val="af9"/>
        <w:rPr>
          <w:vanish w:val="0"/>
        </w:rPr>
      </w:pPr>
    </w:p>
    <w:p w:rsidR="00145C29" w:rsidRDefault="00145C29">
      <w:pPr>
        <w:pStyle w:val="aff"/>
        <w:rPr>
          <w:vanish w:val="0"/>
        </w:rPr>
      </w:pPr>
    </w:p>
    <w:p w:rsidR="00145C29" w:rsidRDefault="008F4ADF">
      <w:pPr>
        <w:pStyle w:val="aff4"/>
        <w:spacing w:after="156"/>
      </w:pPr>
      <w:r>
        <w:br/>
      </w:r>
      <w:bookmarkStart w:id="59" w:name="_Toc111119218"/>
      <w:r>
        <w:rPr>
          <w:rFonts w:hint="eastAsia"/>
        </w:rPr>
        <w:t>（资料性）</w:t>
      </w:r>
      <w:r>
        <w:br/>
      </w:r>
      <w:r>
        <w:rPr>
          <w:rFonts w:hint="eastAsia"/>
        </w:rPr>
        <w:t>槽式衰变池容积计算方法参考</w:t>
      </w:r>
      <w:bookmarkEnd w:id="59"/>
    </w:p>
    <w:p w:rsidR="00145C29" w:rsidRDefault="008F4ADF">
      <w:pPr>
        <w:pStyle w:val="aff5"/>
        <w:spacing w:before="156" w:after="156"/>
      </w:pPr>
      <w:r>
        <w:rPr>
          <w:rFonts w:hint="eastAsia"/>
        </w:rPr>
        <w:t>槽式衰变池容积计算方法</w:t>
      </w:r>
    </w:p>
    <w:p w:rsidR="00145C29" w:rsidRDefault="008F4ADF">
      <w:pPr>
        <w:pStyle w:val="afffff1"/>
        <w:ind w:firstLine="420"/>
      </w:pPr>
      <w:r>
        <w:rPr>
          <w:rFonts w:hint="eastAsia"/>
        </w:rPr>
        <w:t>衰变池单个池体最小有效容积计算，计算公式见式（B.1）,槽式衰变池容积推荐可见表B.1：</w:t>
      </w:r>
    </w:p>
    <w:p w:rsidR="00145C29" w:rsidRDefault="008F4ADF">
      <w:pPr>
        <w:pStyle w:val="affffffd"/>
      </w:pPr>
      <w:r>
        <w:tab/>
      </w:r>
      <m:oMath>
        <m:r>
          <w:rPr>
            <w:rFonts w:ascii="Cambria Math" w:eastAsia="黑体" w:hAnsi="Cambria Math" w:cs="黑体"/>
          </w:rPr>
          <m:t>V=</m:t>
        </m:r>
        <m:f>
          <m:fPr>
            <m:ctrlPr>
              <w:rPr>
                <w:rFonts w:ascii="Cambria Math" w:eastAsia="黑体" w:hAnsi="Cambria Math" w:cs="黑体"/>
                <w:i/>
              </w:rPr>
            </m:ctrlPr>
          </m:fPr>
          <m:num>
            <m:r>
              <w:rPr>
                <w:rFonts w:ascii="Cambria Math" w:eastAsia="黑体" w:hAnsi="Cambria Math" w:cs="黑体"/>
              </w:rPr>
              <m:t>(Q×n+</m:t>
            </m:r>
            <m:sSub>
              <m:sSubPr>
                <m:ctrlPr>
                  <w:rPr>
                    <w:rFonts w:ascii="Cambria Math" w:eastAsia="黑体" w:hAnsi="Cambria Math" w:cs="黑体"/>
                    <w:i/>
                    <w:iCs/>
                  </w:rPr>
                </m:ctrlPr>
              </m:sSubPr>
              <m:e>
                <m:r>
                  <w:rPr>
                    <w:rFonts w:ascii="Cambria Math" w:eastAsia="黑体" w:hAnsi="Cambria Math" w:cs="黑体"/>
                  </w:rPr>
                  <m:t>Q</m:t>
                </m:r>
              </m:e>
              <m:sub>
                <m:r>
                  <w:rPr>
                    <w:rFonts w:ascii="Cambria Math" w:eastAsia="黑体" w:hAnsi="Cambria Math" w:cs="黑体"/>
                  </w:rPr>
                  <m:t>y</m:t>
                </m:r>
              </m:sub>
            </m:sSub>
            <m:r>
              <w:rPr>
                <w:rFonts w:ascii="Cambria Math" w:eastAsia="黑体" w:hAnsi="Cambria Math" w:cs="黑体"/>
              </w:rPr>
              <m:t>)×D</m:t>
            </m:r>
          </m:num>
          <m:den>
            <m:r>
              <w:rPr>
                <w:rFonts w:ascii="Cambria Math" w:eastAsia="黑体" w:hAnsi="Cambria Math" w:cs="黑体"/>
              </w:rPr>
              <m:t>N-1</m:t>
            </m:r>
          </m:den>
        </m:f>
      </m:oMath>
      <w:r>
        <w:rPr>
          <w:rFonts w:ascii="微软雅黑" w:eastAsia="微软雅黑" w:hAnsi="微软雅黑"/>
        </w:rPr>
        <w:tab/>
      </w:r>
      <w:r>
        <w:t>(B</w:t>
      </w:r>
      <w:proofErr w:type="gramStart"/>
      <w:r>
        <w:t>.</w:t>
      </w:r>
      <w:proofErr w:type="gramEnd"/>
      <w:r>
        <w:fldChar w:fldCharType="begin"/>
      </w:r>
      <w:r>
        <w:instrText xml:space="preserve"> seq fulu_equation_133046712229654160 </w:instrText>
      </w:r>
      <w:r>
        <w:fldChar w:fldCharType="separate"/>
      </w:r>
      <w:r>
        <w:t>1</w:t>
      </w:r>
      <w:r>
        <w:fldChar w:fldCharType="end"/>
      </w:r>
      <w:r>
        <w:t>)</w:t>
      </w:r>
    </w:p>
    <w:p w:rsidR="00145C29" w:rsidRDefault="008F4ADF">
      <w:pPr>
        <w:pStyle w:val="afffff0"/>
        <w:ind w:firstLine="420"/>
      </w:pPr>
      <w:r>
        <w:rPr>
          <w:rFonts w:hint="eastAsia"/>
        </w:rPr>
        <w:t>式中：</w:t>
      </w:r>
    </w:p>
    <w:p w:rsidR="00145C29" w:rsidRDefault="008F4ADF">
      <w:pPr>
        <w:pStyle w:val="afffff1"/>
        <w:ind w:firstLine="420"/>
      </w:pPr>
      <w:r>
        <w:rPr>
          <w:rFonts w:hint="eastAsia"/>
          <w:i/>
        </w:rPr>
        <w:t>V</w:t>
      </w:r>
      <w:r>
        <w:rPr>
          <w:rFonts w:hint="eastAsia"/>
        </w:rPr>
        <w:t>——单个池体最小容积，单位为升（L）;</w:t>
      </w:r>
    </w:p>
    <w:p w:rsidR="00145C29" w:rsidRDefault="008F4ADF">
      <w:pPr>
        <w:pStyle w:val="afffff1"/>
        <w:ind w:firstLine="420"/>
      </w:pPr>
      <w:r>
        <w:rPr>
          <w:rFonts w:hint="eastAsia"/>
          <w:i/>
        </w:rPr>
        <w:t>N</w:t>
      </w:r>
      <w:r>
        <w:rPr>
          <w:rFonts w:hint="eastAsia"/>
        </w:rPr>
        <w:t>——衰变池可用暂存池个数；</w:t>
      </w:r>
    </w:p>
    <w:p w:rsidR="00145C29" w:rsidRDefault="008F4ADF">
      <w:pPr>
        <w:pStyle w:val="afffff1"/>
        <w:ind w:firstLine="420"/>
      </w:pPr>
      <w:r>
        <w:rPr>
          <w:rFonts w:hint="eastAsia"/>
          <w:i/>
        </w:rPr>
        <w:t>Q</w:t>
      </w:r>
      <w:r>
        <w:rPr>
          <w:rFonts w:hint="eastAsia"/>
        </w:rPr>
        <w:t>——患者每日产生污水量，单位为升（L）；</w:t>
      </w:r>
    </w:p>
    <w:p w:rsidR="00145C29" w:rsidRDefault="008F4ADF">
      <w:pPr>
        <w:pStyle w:val="afffff1"/>
        <w:ind w:firstLine="420"/>
      </w:pPr>
      <w:r>
        <w:rPr>
          <w:rFonts w:hint="eastAsia"/>
          <w:i/>
        </w:rPr>
        <w:t>n</w:t>
      </w:r>
      <w:r>
        <w:rPr>
          <w:rFonts w:hint="eastAsia"/>
        </w:rPr>
        <w:t>——碘-131核素治疗病房床位数；</w:t>
      </w:r>
    </w:p>
    <w:p w:rsidR="00145C29" w:rsidRDefault="008F4ADF">
      <w:pPr>
        <w:pStyle w:val="afffff1"/>
        <w:ind w:firstLine="420"/>
      </w:pPr>
      <w:r>
        <w:rPr>
          <w:rFonts w:hint="eastAsia"/>
          <w:i/>
        </w:rPr>
        <w:t>Qy</w:t>
      </w:r>
      <w:r>
        <w:rPr>
          <w:rFonts w:hint="eastAsia"/>
        </w:rPr>
        <w:t>——控制区内工作人员每日产生污水量，单位为升（L）；</w:t>
      </w:r>
    </w:p>
    <w:p w:rsidR="00145C29" w:rsidRDefault="008F4ADF">
      <w:pPr>
        <w:pStyle w:val="afffff1"/>
        <w:ind w:firstLine="420"/>
      </w:pPr>
      <w:r>
        <w:rPr>
          <w:rFonts w:hint="eastAsia"/>
          <w:i/>
        </w:rPr>
        <w:t>D</w:t>
      </w:r>
      <w:r>
        <w:rPr>
          <w:rFonts w:hint="eastAsia"/>
        </w:rPr>
        <w:t>——满足碘-131核素治疗病房放射性废水暂存衰变的时间要求，单位为天（d）。</w:t>
      </w:r>
    </w:p>
    <w:p w:rsidR="00145C29" w:rsidRDefault="008F4ADF">
      <w:pPr>
        <w:pStyle w:val="aff0"/>
        <w:spacing w:before="156" w:after="156"/>
      </w:pPr>
      <w:r>
        <w:rPr>
          <w:rFonts w:hint="eastAsia"/>
        </w:rPr>
        <w:t>槽式衰变池容积推荐表</w:t>
      </w:r>
      <w:bookmarkStart w:id="60" w:name="_GoBack"/>
      <w:bookmarkEnd w:id="60"/>
    </w:p>
    <w:tbl>
      <w:tblPr>
        <w:tblStyle w:val="affff3"/>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48"/>
        <w:gridCol w:w="2575"/>
        <w:gridCol w:w="2440"/>
        <w:gridCol w:w="2435"/>
      </w:tblGrid>
      <w:tr w:rsidR="00145C29">
        <w:tc>
          <w:tcPr>
            <w:tcW w:w="1548"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床位数</w:t>
            </w:r>
          </w:p>
        </w:tc>
        <w:tc>
          <w:tcPr>
            <w:tcW w:w="2575"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总放射性污水量（L）</w:t>
            </w:r>
          </w:p>
        </w:tc>
        <w:tc>
          <w:tcPr>
            <w:tcW w:w="2440"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衰变池可用暂存池个数</w:t>
            </w:r>
          </w:p>
        </w:tc>
        <w:tc>
          <w:tcPr>
            <w:tcW w:w="2435" w:type="dxa"/>
            <w:tcBorders>
              <w:top w:val="single" w:sz="8" w:space="0" w:color="auto"/>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单个池体最小容积（L）</w:t>
            </w:r>
          </w:p>
        </w:tc>
      </w:tr>
      <w:tr w:rsidR="00145C29">
        <w:tc>
          <w:tcPr>
            <w:tcW w:w="1548" w:type="dxa"/>
            <w:tcBorders>
              <w:top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w:t>
            </w:r>
          </w:p>
        </w:tc>
        <w:tc>
          <w:tcPr>
            <w:tcW w:w="2575" w:type="dxa"/>
            <w:tcBorders>
              <w:top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55800</w:t>
            </w:r>
          </w:p>
        </w:tc>
        <w:tc>
          <w:tcPr>
            <w:tcW w:w="2440" w:type="dxa"/>
            <w:tcBorders>
              <w:top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w:t>
            </w:r>
          </w:p>
        </w:tc>
        <w:tc>
          <w:tcPr>
            <w:tcW w:w="2435" w:type="dxa"/>
            <w:tcBorders>
              <w:top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55800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55800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27900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55800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18600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82800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82800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82800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41400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82800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27600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109800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109800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109800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54900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109800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36600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136800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136800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136800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68400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136800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45600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6</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163800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2</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163800</w:t>
            </w:r>
          </w:p>
        </w:tc>
      </w:tr>
      <w:tr w:rsidR="00145C29">
        <w:tc>
          <w:tcPr>
            <w:tcW w:w="1548"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6</w:t>
            </w:r>
          </w:p>
        </w:tc>
        <w:tc>
          <w:tcPr>
            <w:tcW w:w="257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163800</w:t>
            </w:r>
          </w:p>
        </w:tc>
        <w:tc>
          <w:tcPr>
            <w:tcW w:w="2440"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3</w:t>
            </w:r>
          </w:p>
        </w:tc>
        <w:tc>
          <w:tcPr>
            <w:tcW w:w="2435" w:type="dxa"/>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81900</w:t>
            </w:r>
          </w:p>
        </w:tc>
      </w:tr>
      <w:tr w:rsidR="00145C29">
        <w:tc>
          <w:tcPr>
            <w:tcW w:w="1548" w:type="dxa"/>
            <w:tcBorders>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6</w:t>
            </w:r>
          </w:p>
        </w:tc>
        <w:tc>
          <w:tcPr>
            <w:tcW w:w="2575" w:type="dxa"/>
            <w:tcBorders>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163800</w:t>
            </w:r>
          </w:p>
        </w:tc>
        <w:tc>
          <w:tcPr>
            <w:tcW w:w="2440" w:type="dxa"/>
            <w:tcBorders>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4</w:t>
            </w:r>
          </w:p>
        </w:tc>
        <w:tc>
          <w:tcPr>
            <w:tcW w:w="2435" w:type="dxa"/>
            <w:tcBorders>
              <w:bottom w:val="single" w:sz="8" w:space="0" w:color="auto"/>
            </w:tcBorders>
            <w:shd w:val="clear" w:color="auto" w:fill="auto"/>
            <w:vAlign w:val="center"/>
          </w:tcPr>
          <w:p w:rsidR="00145C29" w:rsidRDefault="008F4ADF">
            <w:pPr>
              <w:pStyle w:val="afffffffffffd"/>
              <w:ind w:firstLineChars="0" w:firstLine="0"/>
              <w:jc w:val="center"/>
              <w:rPr>
                <w:rFonts w:hAnsi="宋体" w:cs="黑体"/>
                <w:sz w:val="18"/>
              </w:rPr>
            </w:pPr>
            <w:r>
              <w:rPr>
                <w:rFonts w:hAnsi="宋体" w:cs="黑体" w:hint="eastAsia"/>
                <w:sz w:val="18"/>
              </w:rPr>
              <w:t>54600</w:t>
            </w:r>
          </w:p>
        </w:tc>
      </w:tr>
      <w:tr w:rsidR="00145C29">
        <w:tc>
          <w:tcPr>
            <w:tcW w:w="8998" w:type="dxa"/>
            <w:gridSpan w:val="4"/>
            <w:tcBorders>
              <w:top w:val="single" w:sz="8" w:space="0" w:color="auto"/>
              <w:bottom w:val="single" w:sz="8" w:space="0" w:color="auto"/>
            </w:tcBorders>
            <w:shd w:val="clear" w:color="auto" w:fill="auto"/>
            <w:vAlign w:val="center"/>
          </w:tcPr>
          <w:p w:rsidR="00145C29" w:rsidRDefault="008F4ADF">
            <w:pPr>
              <w:pStyle w:val="a6"/>
              <w:numPr>
                <w:ilvl w:val="0"/>
                <w:numId w:val="32"/>
              </w:numPr>
            </w:pPr>
            <w:r>
              <w:rPr>
                <w:rFonts w:hint="eastAsia"/>
              </w:rPr>
              <w:t>以上数据按照患者每日产生污水量150 L，控制区内工作人员每日产生污水量10 L计算得出。</w:t>
            </w:r>
          </w:p>
          <w:p w:rsidR="00145C29" w:rsidRDefault="008F4ADF">
            <w:pPr>
              <w:pStyle w:val="a6"/>
            </w:pPr>
            <w:r>
              <w:rPr>
                <w:rFonts w:hint="eastAsia"/>
              </w:rPr>
              <w:t>按照公式（B.1）计算设计的衰变池不能排除废水活度浓度超标的情况，排放污水时应进行放射性活度浓度检测，检测合格后方可进行排放。</w:t>
            </w:r>
          </w:p>
        </w:tc>
      </w:tr>
    </w:tbl>
    <w:p w:rsidR="00145C29" w:rsidRDefault="00145C29">
      <w:pPr>
        <w:pStyle w:val="afffff1"/>
        <w:ind w:firstLine="420"/>
      </w:pPr>
    </w:p>
    <w:p w:rsidR="00145C29" w:rsidRDefault="00145C29">
      <w:pPr>
        <w:pStyle w:val="afffff1"/>
        <w:ind w:firstLine="420"/>
      </w:pPr>
    </w:p>
    <w:p w:rsidR="00145C29" w:rsidRDefault="00145C29">
      <w:pPr>
        <w:pStyle w:val="afffff1"/>
        <w:ind w:firstLine="420"/>
        <w:sectPr w:rsidR="00145C29">
          <w:pgSz w:w="11906" w:h="16838"/>
          <w:pgMar w:top="1928" w:right="1134" w:bottom="1134" w:left="1134" w:header="1418" w:footer="1134" w:gutter="284"/>
          <w:cols w:space="425"/>
          <w:formProt w:val="0"/>
          <w:docGrid w:type="lines" w:linePitch="312"/>
        </w:sectPr>
      </w:pPr>
      <w:bookmarkStart w:id="61" w:name="BookMark6"/>
      <w:bookmarkEnd w:id="57"/>
    </w:p>
    <w:p w:rsidR="00145C29" w:rsidRDefault="008F4ADF">
      <w:pPr>
        <w:pStyle w:val="afffff8"/>
        <w:spacing w:after="156"/>
      </w:pPr>
      <w:r>
        <w:rPr>
          <w:rFonts w:hint="eastAsia"/>
          <w:spacing w:val="105"/>
        </w:rPr>
        <w:lastRenderedPageBreak/>
        <w:t>参考文</w:t>
      </w:r>
      <w:r>
        <w:rPr>
          <w:rFonts w:hint="eastAsia"/>
        </w:rPr>
        <w:t>献</w:t>
      </w:r>
    </w:p>
    <w:p w:rsidR="00145C29" w:rsidRDefault="008F4ADF">
      <w:pPr>
        <w:pStyle w:val="afffff1"/>
        <w:ind w:firstLine="420"/>
      </w:pPr>
      <w:r>
        <w:rPr>
          <w:rFonts w:hint="eastAsia"/>
        </w:rPr>
        <w:t>GB 11930  操作非密封源的辐射防护规定</w:t>
      </w:r>
    </w:p>
    <w:p w:rsidR="00145C29" w:rsidRDefault="008F4ADF">
      <w:pPr>
        <w:pStyle w:val="afffff1"/>
        <w:ind w:firstLine="420"/>
      </w:pPr>
      <w:r>
        <w:rPr>
          <w:rFonts w:hint="eastAsia"/>
        </w:rPr>
        <w:t>GB 18466  医疗机构水污染物排放标准</w:t>
      </w:r>
    </w:p>
    <w:p w:rsidR="00145C29" w:rsidRDefault="008F4ADF">
      <w:pPr>
        <w:pStyle w:val="afffff1"/>
        <w:ind w:firstLine="420"/>
      </w:pPr>
      <w:r>
        <w:rPr>
          <w:rFonts w:hint="eastAsia"/>
        </w:rPr>
        <w:t>EJ 380  开放型放射性物质实验室辐射防护设计规范</w:t>
      </w:r>
    </w:p>
    <w:p w:rsidR="00145C29" w:rsidRDefault="008F4ADF">
      <w:pPr>
        <w:pStyle w:val="afffff1"/>
        <w:ind w:firstLine="420"/>
      </w:pPr>
      <w:r>
        <w:rPr>
          <w:rFonts w:hint="eastAsia"/>
        </w:rPr>
        <w:t>GBZ 120  核医学放射防护要求</w:t>
      </w:r>
    </w:p>
    <w:p w:rsidR="00145C29" w:rsidRDefault="008F4ADF">
      <w:pPr>
        <w:pStyle w:val="afffff1"/>
        <w:ind w:firstLine="420"/>
      </w:pPr>
      <w:r>
        <w:rPr>
          <w:rFonts w:hint="eastAsia"/>
        </w:rPr>
        <w:t>GBZ/T 154  两种粒度放射性气溶胶年摄入量限值</w:t>
      </w:r>
    </w:p>
    <w:p w:rsidR="00145C29" w:rsidRDefault="008F4ADF">
      <w:pPr>
        <w:pStyle w:val="afffff1"/>
        <w:ind w:firstLine="420"/>
      </w:pPr>
      <w:r>
        <w:rPr>
          <w:rFonts w:hint="eastAsia"/>
        </w:rPr>
        <w:t>HJ/T 61  辐射环境监测技术规范</w:t>
      </w:r>
    </w:p>
    <w:p w:rsidR="00145C29" w:rsidRDefault="008F4ADF">
      <w:pPr>
        <w:pStyle w:val="afffff1"/>
        <w:ind w:firstLine="420"/>
      </w:pPr>
      <w:r>
        <w:rPr>
          <w:rFonts w:hint="eastAsia"/>
        </w:rPr>
        <w:t>HJ 2029  医院污水处理技术规范</w:t>
      </w:r>
    </w:p>
    <w:p w:rsidR="00145C29" w:rsidRDefault="008F4ADF">
      <w:pPr>
        <w:pStyle w:val="afffff1"/>
        <w:ind w:firstLine="420"/>
      </w:pPr>
      <w:r>
        <w:rPr>
          <w:rFonts w:hint="eastAsia"/>
        </w:rPr>
        <w:t>WS/T 613  公众成员的放射性核素年摄入量限值</w:t>
      </w:r>
    </w:p>
    <w:p w:rsidR="00145C29" w:rsidRDefault="008F4ADF">
      <w:pPr>
        <w:pStyle w:val="afffff1"/>
        <w:ind w:firstLine="420"/>
      </w:pPr>
      <w:r>
        <w:rPr>
          <w:rFonts w:hint="eastAsia"/>
        </w:rPr>
        <w:t>核医学放射性废水槽式衰变池容积的评价与设计[J]. 中华放射医学与防护杂志, 2022, 42(3):</w:t>
      </w:r>
      <w:r>
        <w:t xml:space="preserve"> </w:t>
      </w:r>
      <w:proofErr w:type="gramStart"/>
      <w:r>
        <w:rPr>
          <w:rFonts w:hint="eastAsia"/>
        </w:rPr>
        <w:t>219-224.</w:t>
      </w:r>
      <w:proofErr w:type="gramEnd"/>
    </w:p>
    <w:p w:rsidR="00145C29" w:rsidRDefault="00145C29">
      <w:pPr>
        <w:pStyle w:val="afffff1"/>
        <w:ind w:firstLine="420"/>
      </w:pPr>
    </w:p>
    <w:p w:rsidR="00145C29" w:rsidRDefault="00145C29">
      <w:pPr>
        <w:pStyle w:val="afffff1"/>
        <w:ind w:firstLine="420"/>
      </w:pPr>
    </w:p>
    <w:p w:rsidR="00145C29" w:rsidRDefault="00145C29">
      <w:pPr>
        <w:pStyle w:val="afffff1"/>
        <w:ind w:firstLine="420"/>
      </w:pPr>
    </w:p>
    <w:p w:rsidR="00145C29" w:rsidRDefault="008F4ADF">
      <w:pPr>
        <w:pStyle w:val="afffff1"/>
        <w:ind w:firstLineChars="0" w:firstLine="0"/>
        <w:jc w:val="center"/>
      </w:pPr>
      <w:bookmarkStart w:id="62" w:name="BookMark8"/>
      <w:bookmarkEnd w:id="61"/>
      <w:r>
        <w:rPr>
          <w:noProof/>
        </w:rPr>
        <w:drawing>
          <wp:inline distT="0" distB="0" distL="0" distR="0" wp14:anchorId="018B1ED1" wp14:editId="5129E26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rsidR="00145C29">
      <w:pgSz w:w="11906" w:h="16838"/>
      <w:pgMar w:top="1928" w:right="1134" w:bottom="1134" w:left="1134" w:header="1418" w:footer="1134" w:gutter="284"/>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F11649" w15:done="1"/>
  <w15:commentEx w15:paraId="41BB5AF1" w15:done="1"/>
  <w15:commentEx w15:paraId="01EB26E9" w15:done="1"/>
  <w15:commentEx w15:paraId="2EA60BB3" w15:done="1"/>
  <w15:commentEx w15:paraId="153C12DB"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C0" w:rsidRDefault="001D0CC0">
      <w:pPr>
        <w:spacing w:line="240" w:lineRule="auto"/>
      </w:pPr>
      <w:r>
        <w:separator/>
      </w:r>
    </w:p>
  </w:endnote>
  <w:endnote w:type="continuationSeparator" w:id="0">
    <w:p w:rsidR="001D0CC0" w:rsidRDefault="001D0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8F4ADF">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145C29">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145C29">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8F4ADF">
    <w:pPr>
      <w:pStyle w:val="affffe"/>
    </w:pPr>
    <w:r>
      <w:fldChar w:fldCharType="begin"/>
    </w:r>
    <w:r>
      <w:instrText>PAGE   \* MERGEFORMAT</w:instrText>
    </w:r>
    <w:r>
      <w:fldChar w:fldCharType="separate"/>
    </w:r>
    <w:r w:rsidR="00E120F6" w:rsidRPr="00E120F6">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C0" w:rsidRDefault="001D0CC0">
      <w:pPr>
        <w:spacing w:line="240" w:lineRule="auto"/>
      </w:pPr>
      <w:r>
        <w:separator/>
      </w:r>
    </w:p>
  </w:footnote>
  <w:footnote w:type="continuationSeparator" w:id="0">
    <w:p w:rsidR="001D0CC0" w:rsidRDefault="001D0C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145C29">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8F4ADF">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145C29">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8F4ADF">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29" w:rsidRDefault="008F4ADF">
    <w:pPr>
      <w:pStyle w:val="afffff6"/>
    </w:pPr>
    <w:r>
      <w:fldChar w:fldCharType="begin"/>
    </w:r>
    <w:r>
      <w:instrText xml:space="preserve"> STYLEREF  标准文件_文件编号  \* MERGEFORMAT </w:instrText>
    </w:r>
    <w:r>
      <w:fldChar w:fldCharType="separate"/>
    </w:r>
    <w:r w:rsidR="00E120F6">
      <w:rPr>
        <w:noProof/>
      </w:rPr>
      <w:t>DB11/T XXXX</w:t>
    </w:r>
    <w:r w:rsidR="00E120F6">
      <w:rPr>
        <w:noProof/>
      </w:rPr>
      <w:t>—</w:t>
    </w:r>
    <w:r w:rsidR="00E120F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87D7FA"/>
    <w:multiLevelType w:val="multilevel"/>
    <w:tmpl w:val="B387D7FA"/>
    <w:lvl w:ilvl="0">
      <w:start w:val="1"/>
      <w:numFmt w:val="none"/>
      <w:pStyle w:val="a"/>
      <w:lvlText w:val="注1："/>
      <w:lvlJc w:val="left"/>
      <w:pPr>
        <w:ind w:left="737" w:hanging="374"/>
      </w:pPr>
      <w:rPr>
        <w:rFonts w:ascii="宋体" w:eastAsia="宋体" w:hAnsi="宋体" w:cs="宋体" w:hint="default"/>
        <w:b w:val="0"/>
        <w:i w:val="0"/>
        <w:sz w:val="18"/>
      </w:rPr>
    </w:lvl>
    <w:lvl w:ilvl="1">
      <w:start w:val="1"/>
      <w:numFmt w:val="lowerLetter"/>
      <w:lvlText w:val="%2)"/>
      <w:lvlJc w:val="left"/>
      <w:pPr>
        <w:tabs>
          <w:tab w:val="left" w:pos="1140"/>
        </w:tabs>
        <w:ind w:left="726" w:hanging="363"/>
      </w:pPr>
      <w:rPr>
        <w:rFonts w:ascii="宋体" w:eastAsia="宋体" w:hAnsi="宋体" w:cs="宋体" w:hint="default"/>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default"/>
        <w:b w:val="0"/>
        <w:i w:val="0"/>
        <w:strike w:val="0"/>
        <w:dstrike w:val="0"/>
        <w:sz w:val="21"/>
      </w:rPr>
    </w:lvl>
    <w:lvl w:ilvl="4">
      <w:start w:val="1"/>
      <w:numFmt w:val="decimal"/>
      <w:pStyle w:val="afff0"/>
      <w:suff w:val="nothing"/>
      <w:lvlText w:val="%1%2.%3.%4.%5　"/>
      <w:lvlJc w:val="left"/>
      <w:pPr>
        <w:ind w:left="142"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29"/>
  </w:num>
  <w:num w:numId="19">
    <w:abstractNumId w:val="16"/>
  </w:num>
  <w:num w:numId="20">
    <w:abstractNumId w:val="2"/>
  </w:num>
  <w:num w:numId="21">
    <w:abstractNumId w:val="11"/>
  </w:num>
  <w:num w:numId="22">
    <w:abstractNumId w:val="30"/>
  </w:num>
  <w:num w:numId="23">
    <w:abstractNumId w:val="21"/>
  </w:num>
  <w:num w:numId="24">
    <w:abstractNumId w:val="7"/>
  </w:num>
  <w:num w:numId="25">
    <w:abstractNumId w:val="27"/>
  </w:num>
  <w:num w:numId="26">
    <w:abstractNumId w:val="0"/>
  </w:num>
  <w:num w:numId="27">
    <w:abstractNumId w:val="3"/>
  </w:num>
  <w:num w:numId="28">
    <w:abstractNumId w:val="5"/>
  </w:num>
  <w:num w:numId="29">
    <w:abstractNumId w:val="15"/>
  </w:num>
  <w:num w:numId="30">
    <w:abstractNumId w:val="25"/>
  </w:num>
  <w:num w:numId="31">
    <w:abstractNumId w:val="2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
    <w15:presenceInfo w15:providerId="None" w15:userId="li"/>
  </w15:person>
  <w15:person w15:author="高宇">
    <w15:presenceInfo w15:providerId="Windows Live" w15:userId="429e7b799f5afd0d"/>
  </w15:person>
  <w15:person w15:author="于于与宇宇">
    <w15:presenceInfo w15:providerId="None" w15:userId="于于与宇宇"/>
  </w15:person>
  <w15:person w15:author="Administrator">
    <w15:presenceInfo w15:providerId="None" w15:userId="Administrator"/>
  </w15:person>
  <w15:person w15:author="于于与宇宇 [2]">
    <w15:presenceInfo w15:providerId="WPS Office" w15:userId="2630993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trackRevisions/>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jIzMjIxN2Y2ZTRiYzlhMjYxOWQxMzk5NWRjMGEifQ=="/>
  </w:docVars>
  <w:rsids>
    <w:rsidRoot w:val="004804A0"/>
    <w:rsid w:val="0000040A"/>
    <w:rsid w:val="00000A94"/>
    <w:rsid w:val="00001972"/>
    <w:rsid w:val="00001D9A"/>
    <w:rsid w:val="00007B3A"/>
    <w:rsid w:val="00007B56"/>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875"/>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BB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378"/>
    <w:rsid w:val="000F19D5"/>
    <w:rsid w:val="000F4AEA"/>
    <w:rsid w:val="000F633F"/>
    <w:rsid w:val="000F67E9"/>
    <w:rsid w:val="0010247E"/>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E9B"/>
    <w:rsid w:val="00142969"/>
    <w:rsid w:val="001446C2"/>
    <w:rsid w:val="001457E7"/>
    <w:rsid w:val="00145C29"/>
    <w:rsid w:val="00145D9D"/>
    <w:rsid w:val="00146388"/>
    <w:rsid w:val="001529E5"/>
    <w:rsid w:val="00153C7E"/>
    <w:rsid w:val="00156B25"/>
    <w:rsid w:val="00156E1A"/>
    <w:rsid w:val="00157894"/>
    <w:rsid w:val="00157B55"/>
    <w:rsid w:val="0016283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106"/>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CC0"/>
    <w:rsid w:val="001D0ED4"/>
    <w:rsid w:val="001D212F"/>
    <w:rsid w:val="001D29D7"/>
    <w:rsid w:val="001D2DE7"/>
    <w:rsid w:val="001D411C"/>
    <w:rsid w:val="001E1B6A"/>
    <w:rsid w:val="001E2484"/>
    <w:rsid w:val="001E3CC4"/>
    <w:rsid w:val="001E4882"/>
    <w:rsid w:val="001E73AB"/>
    <w:rsid w:val="001F0220"/>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3DB"/>
    <w:rsid w:val="00344605"/>
    <w:rsid w:val="003474AA"/>
    <w:rsid w:val="00350D1D"/>
    <w:rsid w:val="00351AA0"/>
    <w:rsid w:val="00352C83"/>
    <w:rsid w:val="003615D2"/>
    <w:rsid w:val="0036429C"/>
    <w:rsid w:val="00364A53"/>
    <w:rsid w:val="003654CB"/>
    <w:rsid w:val="00365AA9"/>
    <w:rsid w:val="00365F86"/>
    <w:rsid w:val="00365F87"/>
    <w:rsid w:val="00366E89"/>
    <w:rsid w:val="003705F4"/>
    <w:rsid w:val="00370D58"/>
    <w:rsid w:val="00371316"/>
    <w:rsid w:val="00374454"/>
    <w:rsid w:val="00376713"/>
    <w:rsid w:val="00376A1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2B4"/>
    <w:rsid w:val="003B6BE3"/>
    <w:rsid w:val="003C010C"/>
    <w:rsid w:val="003C0A6C"/>
    <w:rsid w:val="003C14F8"/>
    <w:rsid w:val="003C5A43"/>
    <w:rsid w:val="003D0519"/>
    <w:rsid w:val="003D0FF6"/>
    <w:rsid w:val="003D262C"/>
    <w:rsid w:val="003D6D61"/>
    <w:rsid w:val="003D79C6"/>
    <w:rsid w:val="003E091D"/>
    <w:rsid w:val="003E1562"/>
    <w:rsid w:val="003E1C53"/>
    <w:rsid w:val="003E2A69"/>
    <w:rsid w:val="003E2D49"/>
    <w:rsid w:val="003E2FD4"/>
    <w:rsid w:val="003E49F6"/>
    <w:rsid w:val="003E4EA4"/>
    <w:rsid w:val="003E660F"/>
    <w:rsid w:val="003F0841"/>
    <w:rsid w:val="003F23D3"/>
    <w:rsid w:val="003F3F08"/>
    <w:rsid w:val="003F49F1"/>
    <w:rsid w:val="003F6272"/>
    <w:rsid w:val="00400E72"/>
    <w:rsid w:val="00401400"/>
    <w:rsid w:val="0040398F"/>
    <w:rsid w:val="00404869"/>
    <w:rsid w:val="00405884"/>
    <w:rsid w:val="00407D39"/>
    <w:rsid w:val="00413B5F"/>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4A0"/>
    <w:rsid w:val="00481C44"/>
    <w:rsid w:val="00484936"/>
    <w:rsid w:val="00485C89"/>
    <w:rsid w:val="00486BE3"/>
    <w:rsid w:val="004905E4"/>
    <w:rsid w:val="00490A89"/>
    <w:rsid w:val="00490AB4"/>
    <w:rsid w:val="0049104E"/>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130"/>
    <w:rsid w:val="00510A7B"/>
    <w:rsid w:val="00512F6E"/>
    <w:rsid w:val="00513038"/>
    <w:rsid w:val="00514174"/>
    <w:rsid w:val="00516088"/>
    <w:rsid w:val="00516B0B"/>
    <w:rsid w:val="005220EC"/>
    <w:rsid w:val="00523F95"/>
    <w:rsid w:val="00524D65"/>
    <w:rsid w:val="00525B16"/>
    <w:rsid w:val="005268DB"/>
    <w:rsid w:val="00533D04"/>
    <w:rsid w:val="00534804"/>
    <w:rsid w:val="00534BDF"/>
    <w:rsid w:val="005354EA"/>
    <w:rsid w:val="0053585F"/>
    <w:rsid w:val="00535EC4"/>
    <w:rsid w:val="00535ED9"/>
    <w:rsid w:val="0053692B"/>
    <w:rsid w:val="00541602"/>
    <w:rsid w:val="00541853"/>
    <w:rsid w:val="00543BDA"/>
    <w:rsid w:val="005441CC"/>
    <w:rsid w:val="005479DA"/>
    <w:rsid w:val="00547BCC"/>
    <w:rsid w:val="0055013B"/>
    <w:rsid w:val="00551F6F"/>
    <w:rsid w:val="00554724"/>
    <w:rsid w:val="00555044"/>
    <w:rsid w:val="00561475"/>
    <w:rsid w:val="005615E3"/>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2EDF"/>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360"/>
    <w:rsid w:val="006565BB"/>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6FE"/>
    <w:rsid w:val="006840A6"/>
    <w:rsid w:val="006850CD"/>
    <w:rsid w:val="00685AAB"/>
    <w:rsid w:val="00687808"/>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ED6"/>
    <w:rsid w:val="00711FB5"/>
    <w:rsid w:val="00712A01"/>
    <w:rsid w:val="00714935"/>
    <w:rsid w:val="00714F58"/>
    <w:rsid w:val="00717A64"/>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CFC"/>
    <w:rsid w:val="0078114B"/>
    <w:rsid w:val="00781DD2"/>
    <w:rsid w:val="00783ECF"/>
    <w:rsid w:val="0078413A"/>
    <w:rsid w:val="007934A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D95"/>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EF0"/>
    <w:rsid w:val="00817325"/>
    <w:rsid w:val="008209E6"/>
    <w:rsid w:val="008223D2"/>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58DD"/>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3C0"/>
    <w:rsid w:val="008D2D1D"/>
    <w:rsid w:val="008D3FA7"/>
    <w:rsid w:val="008D453D"/>
    <w:rsid w:val="008D53AD"/>
    <w:rsid w:val="008D562B"/>
    <w:rsid w:val="008D5733"/>
    <w:rsid w:val="008D622B"/>
    <w:rsid w:val="008D666C"/>
    <w:rsid w:val="008D7B54"/>
    <w:rsid w:val="008E0C9D"/>
    <w:rsid w:val="008E1648"/>
    <w:rsid w:val="008E1B3E"/>
    <w:rsid w:val="008E2319"/>
    <w:rsid w:val="008E4BB6"/>
    <w:rsid w:val="008E5518"/>
    <w:rsid w:val="008E609D"/>
    <w:rsid w:val="008E6A84"/>
    <w:rsid w:val="008F0CDC"/>
    <w:rsid w:val="008F17A3"/>
    <w:rsid w:val="008F1ED3"/>
    <w:rsid w:val="008F23A5"/>
    <w:rsid w:val="008F4ADF"/>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669"/>
    <w:rsid w:val="009245F5"/>
    <w:rsid w:val="009249EC"/>
    <w:rsid w:val="009273B3"/>
    <w:rsid w:val="009305B5"/>
    <w:rsid w:val="009429D5"/>
    <w:rsid w:val="00942BF1"/>
    <w:rsid w:val="00945180"/>
    <w:rsid w:val="00945428"/>
    <w:rsid w:val="0094607B"/>
    <w:rsid w:val="00953604"/>
    <w:rsid w:val="009538BD"/>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9C6"/>
    <w:rsid w:val="009A5429"/>
    <w:rsid w:val="009A72AD"/>
    <w:rsid w:val="009B0645"/>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6DF2"/>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5D72"/>
    <w:rsid w:val="00A36DD1"/>
    <w:rsid w:val="00A4006C"/>
    <w:rsid w:val="00A40091"/>
    <w:rsid w:val="00A4030F"/>
    <w:rsid w:val="00A41C79"/>
    <w:rsid w:val="00A41CB5"/>
    <w:rsid w:val="00A42CDF"/>
    <w:rsid w:val="00A4452E"/>
    <w:rsid w:val="00A4472C"/>
    <w:rsid w:val="00A44E69"/>
    <w:rsid w:val="00A45E1A"/>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847"/>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926"/>
    <w:rsid w:val="00B86677"/>
    <w:rsid w:val="00B87131"/>
    <w:rsid w:val="00B90FB2"/>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821"/>
    <w:rsid w:val="00BE22F3"/>
    <w:rsid w:val="00BE5B52"/>
    <w:rsid w:val="00BE7B8D"/>
    <w:rsid w:val="00BF0993"/>
    <w:rsid w:val="00BF10A9"/>
    <w:rsid w:val="00BF1703"/>
    <w:rsid w:val="00BF231C"/>
    <w:rsid w:val="00BF314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3CD"/>
    <w:rsid w:val="00CF2947"/>
    <w:rsid w:val="00CF3F1E"/>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382"/>
    <w:rsid w:val="00DB38EE"/>
    <w:rsid w:val="00DB498B"/>
    <w:rsid w:val="00DB66CA"/>
    <w:rsid w:val="00DB6BCA"/>
    <w:rsid w:val="00DB73F7"/>
    <w:rsid w:val="00DC0321"/>
    <w:rsid w:val="00DC0B74"/>
    <w:rsid w:val="00DC3067"/>
    <w:rsid w:val="00DC370B"/>
    <w:rsid w:val="00DC5B90"/>
    <w:rsid w:val="00DD00FF"/>
    <w:rsid w:val="00DD0619"/>
    <w:rsid w:val="00DD07FB"/>
    <w:rsid w:val="00DD25C6"/>
    <w:rsid w:val="00DD4FE5"/>
    <w:rsid w:val="00DD54B0"/>
    <w:rsid w:val="00DD57EE"/>
    <w:rsid w:val="00DD6BCC"/>
    <w:rsid w:val="00DE0A4B"/>
    <w:rsid w:val="00DE22E2"/>
    <w:rsid w:val="00DE2410"/>
    <w:rsid w:val="00DE2939"/>
    <w:rsid w:val="00DE6E81"/>
    <w:rsid w:val="00DE703F"/>
    <w:rsid w:val="00DE73D6"/>
    <w:rsid w:val="00DE7595"/>
    <w:rsid w:val="00DF1961"/>
    <w:rsid w:val="00DF44DE"/>
    <w:rsid w:val="00DF5F11"/>
    <w:rsid w:val="00E01138"/>
    <w:rsid w:val="00E02DFB"/>
    <w:rsid w:val="00E030F9"/>
    <w:rsid w:val="00E0311A"/>
    <w:rsid w:val="00E03138"/>
    <w:rsid w:val="00E06404"/>
    <w:rsid w:val="00E065D2"/>
    <w:rsid w:val="00E11A85"/>
    <w:rsid w:val="00E120F6"/>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C1C"/>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5DA5"/>
    <w:rsid w:val="00E90391"/>
    <w:rsid w:val="00E906C2"/>
    <w:rsid w:val="00E9311F"/>
    <w:rsid w:val="00E934D1"/>
    <w:rsid w:val="00E94AF0"/>
    <w:rsid w:val="00E95D13"/>
    <w:rsid w:val="00E95DD3"/>
    <w:rsid w:val="00E969D5"/>
    <w:rsid w:val="00EA4AFC"/>
    <w:rsid w:val="00EA58D1"/>
    <w:rsid w:val="00EA61BC"/>
    <w:rsid w:val="00EA681A"/>
    <w:rsid w:val="00EA735B"/>
    <w:rsid w:val="00EB17DE"/>
    <w:rsid w:val="00EB1E69"/>
    <w:rsid w:val="00EB2086"/>
    <w:rsid w:val="00EB2AB9"/>
    <w:rsid w:val="00EB5EDF"/>
    <w:rsid w:val="00EB60FE"/>
    <w:rsid w:val="00EB74DB"/>
    <w:rsid w:val="00EC0A29"/>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0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D1B"/>
    <w:rsid w:val="00F71E22"/>
    <w:rsid w:val="00F72142"/>
    <w:rsid w:val="00F72AE7"/>
    <w:rsid w:val="00F81141"/>
    <w:rsid w:val="00F833BA"/>
    <w:rsid w:val="00F84FD0"/>
    <w:rsid w:val="00F859A8"/>
    <w:rsid w:val="00F86D87"/>
    <w:rsid w:val="00F9108B"/>
    <w:rsid w:val="00F91349"/>
    <w:rsid w:val="00F91FC2"/>
    <w:rsid w:val="00F93A8A"/>
    <w:rsid w:val="00F95248"/>
    <w:rsid w:val="00F956A9"/>
    <w:rsid w:val="00F963ED"/>
    <w:rsid w:val="00F966CF"/>
    <w:rsid w:val="00F96CAE"/>
    <w:rsid w:val="00F97C99"/>
    <w:rsid w:val="00FA3D5E"/>
    <w:rsid w:val="00FA4DAC"/>
    <w:rsid w:val="00FA55A2"/>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EA7D57"/>
    <w:rsid w:val="1CB212AC"/>
    <w:rsid w:val="2A510D85"/>
    <w:rsid w:val="41976423"/>
    <w:rsid w:val="4775507C"/>
    <w:rsid w:val="699C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198"/>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0">
    <w:name w:val="标准文件_参考文献条目"/>
    <w:pPr>
      <w:numPr>
        <w:numId w:val="1"/>
      </w:numPr>
    </w:pPr>
    <w:rPr>
      <w:rFonts w:ascii="宋体"/>
    </w:rPr>
  </w:style>
  <w:style w:type="paragraph" w:customStyle="1" w:styleId="afff">
    <w:name w:val="标准文件_二级条标题"/>
    <w:next w:val="afffff1"/>
    <w:pPr>
      <w:widowControl w:val="0"/>
      <w:numPr>
        <w:ilvl w:val="3"/>
        <w:numId w:val="2"/>
      </w:numPr>
      <w:spacing w:beforeLines="50" w:before="50" w:afterLines="50" w:after="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e">
    <w:name w:val="标准文件_方框数字列项"/>
    <w:basedOn w:val="afffff1"/>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0">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5">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1"/>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9">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1">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7">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5">
    <w:name w:val="标准文件_目次、标准名称标题"/>
    <w:basedOn w:val="a7"/>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firstLineChars="200" w:firstLine="200"/>
    </w:pPr>
    <w:rPr>
      <w:sz w:val="21"/>
    </w:rPr>
  </w:style>
  <w:style w:type="paragraph" w:customStyle="1" w:styleId="afd">
    <w:name w:val="标准文件_破折号列项（二级）"/>
    <w:basedOn w:val="af2"/>
    <w:qFormat/>
    <w:pPr>
      <w:numPr>
        <w:numId w:val="10"/>
      </w:numPr>
    </w:pPr>
  </w:style>
  <w:style w:type="paragraph" w:customStyle="1" w:styleId="afff0">
    <w:name w:val="标准文件_三级条标题"/>
    <w:basedOn w:val="afff"/>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1"/>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sz w:val="21"/>
    </w:rPr>
  </w:style>
  <w:style w:type="paragraph" w:customStyle="1" w:styleId="af0">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1"/>
    <w:qFormat/>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1"/>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c">
    <w:name w:val="标准文件_正文英文图标题"/>
    <w:next w:val="afffff1"/>
    <w:qFormat/>
    <w:pPr>
      <w:numPr>
        <w:numId w:val="19"/>
      </w:numPr>
      <w:jc w:val="center"/>
    </w:pPr>
    <w:rPr>
      <w:rFonts w:ascii="黑体" w:eastAsia="黑体"/>
      <w:sz w:val="21"/>
    </w:rPr>
  </w:style>
  <w:style w:type="paragraph" w:customStyle="1" w:styleId="af8">
    <w:name w:val="标准文件_编号列项（三级）"/>
    <w:qFormat/>
    <w:pPr>
      <w:numPr>
        <w:ilvl w:val="2"/>
        <w:numId w:val="13"/>
      </w:numPr>
    </w:pPr>
    <w:rPr>
      <w:rFonts w:ascii="宋体"/>
      <w:sz w:val="21"/>
    </w:rPr>
  </w:style>
  <w:style w:type="paragraph" w:customStyle="1" w:styleId="a2">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b">
    <w:name w:val="附录五级无标题条"/>
    <w:basedOn w:val="afffffff9"/>
    <w:next w:val="afffff1"/>
    <w:pPr>
      <w:outlineLvl w:val="6"/>
    </w:pPr>
  </w:style>
  <w:style w:type="paragraph" w:customStyle="1" w:styleId="afffffffc">
    <w:name w:val="附录性质"/>
    <w:basedOn w:val="afff5"/>
    <w:pPr>
      <w:widowControl/>
      <w:adjustRightInd/>
      <w:jc w:val="center"/>
    </w:pPr>
    <w:rPr>
      <w:rFonts w:ascii="黑体" w:eastAsia="黑体"/>
    </w:rPr>
  </w:style>
  <w:style w:type="paragraph" w:customStyle="1" w:styleId="afffffffd">
    <w:name w:val="附录一级无标题条"/>
    <w:basedOn w:val="affffff3"/>
    <w:next w:val="afffff1"/>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rPr>
  </w:style>
  <w:style w:type="character" w:customStyle="1" w:styleId="affffffff">
    <w:name w:val="个人撰写风格"/>
    <w:rPr>
      <w:rFonts w:ascii="Arial" w:eastAsia="宋体" w:hAnsi="Arial" w:cs="Arial"/>
      <w:color w:val="auto"/>
      <w:spacing w:val="0"/>
      <w:sz w:val="20"/>
    </w:rPr>
  </w:style>
  <w:style w:type="paragraph" w:customStyle="1" w:styleId="affffffff0">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pPr>
      <w:tabs>
        <w:tab w:val="left" w:pos="840"/>
      </w:tabs>
    </w:pPr>
  </w:style>
  <w:style w:type="paragraph" w:customStyle="1" w:styleId="affffffff2">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3">
    <w:name w:val="其他标准称谓"/>
    <w:pPr>
      <w:spacing w:line="0" w:lineRule="atLeast"/>
      <w:jc w:val="distribute"/>
    </w:pPr>
    <w:rPr>
      <w:rFonts w:ascii="黑体" w:eastAsia="黑体" w:hAnsi="宋体"/>
      <w:sz w:val="52"/>
    </w:rPr>
  </w:style>
  <w:style w:type="paragraph" w:customStyle="1" w:styleId="affffffff4">
    <w:name w:val="其他发布部门"/>
    <w:basedOn w:val="affffffe"/>
    <w:pPr>
      <w:framePr w:wrap="around"/>
      <w:spacing w:line="0" w:lineRule="atLeast"/>
    </w:pPr>
    <w:rPr>
      <w:rFonts w:ascii="黑体" w:eastAsia="黑体"/>
      <w:b w:val="0"/>
    </w:rPr>
  </w:style>
  <w:style w:type="paragraph" w:customStyle="1" w:styleId="affc">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3">
    <w:name w:val="三级无标题条"/>
    <w:basedOn w:val="afff5"/>
    <w:pPr>
      <w:numPr>
        <w:ilvl w:val="4"/>
        <w:numId w:val="20"/>
      </w:numPr>
      <w:adjustRightInd/>
      <w:spacing w:line="240" w:lineRule="auto"/>
    </w:pPr>
    <w:rPr>
      <w:rFonts w:ascii="宋体" w:hAnsi="宋体"/>
      <w:szCs w:val="24"/>
    </w:rPr>
  </w:style>
  <w:style w:type="paragraph" w:customStyle="1" w:styleId="affffffff5">
    <w:name w:val="实施日期"/>
    <w:basedOn w:val="afffffff"/>
    <w:pPr>
      <w:framePr w:hSpace="0" w:wrap="around" w:xAlign="right"/>
      <w:jc w:val="right"/>
    </w:pPr>
  </w:style>
  <w:style w:type="paragraph" w:customStyle="1" w:styleId="a4">
    <w:name w:val="四级无标题条"/>
    <w:basedOn w:val="afff5"/>
    <w:pPr>
      <w:numPr>
        <w:ilvl w:val="5"/>
        <w:numId w:val="20"/>
      </w:numPr>
      <w:adjustRightInd/>
      <w:spacing w:line="240" w:lineRule="auto"/>
    </w:pPr>
    <w:rPr>
      <w:rFonts w:ascii="宋体" w:hAnsi="宋体"/>
      <w:szCs w:val="24"/>
    </w:rPr>
  </w:style>
  <w:style w:type="paragraph" w:customStyle="1" w:styleId="affffffff6">
    <w:name w:val="文献分类号"/>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pPr>
      <w:jc w:val="both"/>
    </w:pPr>
    <w:rPr>
      <w:rFonts w:ascii="宋体" w:hAnsi="宋体"/>
      <w:sz w:val="21"/>
    </w:rPr>
  </w:style>
  <w:style w:type="paragraph" w:customStyle="1" w:styleId="a5">
    <w:name w:val="五级无标题条"/>
    <w:basedOn w:val="afff5"/>
    <w:pPr>
      <w:numPr>
        <w:ilvl w:val="6"/>
        <w:numId w:val="20"/>
      </w:numPr>
      <w:adjustRightInd/>
    </w:pPr>
    <w:rPr>
      <w:szCs w:val="24"/>
    </w:rPr>
  </w:style>
  <w:style w:type="paragraph" w:customStyle="1" w:styleId="a1">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e"/>
    <w:qFormat/>
    <w:pPr>
      <w:spacing w:beforeLines="0" w:before="0" w:afterLines="0" w:after="0"/>
      <w:outlineLvl w:val="9"/>
    </w:pPr>
    <w:rPr>
      <w:rFonts w:ascii="宋体" w:eastAsia="宋体"/>
    </w:rPr>
  </w:style>
  <w:style w:type="paragraph" w:customStyle="1" w:styleId="affffffffb">
    <w:name w:val="标准文件_五级无标题"/>
    <w:basedOn w:val="afff2"/>
    <w:qFormat/>
    <w:pPr>
      <w:spacing w:beforeLines="0" w:before="0" w:afterLines="0" w:after="0"/>
      <w:outlineLvl w:val="9"/>
    </w:pPr>
    <w:rPr>
      <w:rFonts w:ascii="宋体" w:eastAsia="宋体"/>
    </w:rPr>
  </w:style>
  <w:style w:type="paragraph" w:customStyle="1" w:styleId="affffffffc">
    <w:name w:val="标准文件_三级无标题"/>
    <w:basedOn w:val="afff0"/>
    <w:qFormat/>
    <w:pPr>
      <w:spacing w:beforeLines="0" w:before="0" w:afterLines="0" w:after="0"/>
      <w:outlineLvl w:val="9"/>
    </w:pPr>
    <w:rPr>
      <w:rFonts w:ascii="宋体" w:eastAsia="宋体"/>
    </w:rPr>
  </w:style>
  <w:style w:type="paragraph" w:customStyle="1" w:styleId="affffffffd">
    <w:name w:val="标准文件_二级无标题"/>
    <w:basedOn w:val="afff"/>
    <w:qFormat/>
    <w:pPr>
      <w:spacing w:beforeLines="0" w:before="0" w:afterLines="0" w:after="0"/>
      <w:outlineLvl w:val="9"/>
    </w:pPr>
    <w:rPr>
      <w:rFonts w:ascii="宋体" w:eastAsia="宋体"/>
    </w:rPr>
  </w:style>
  <w:style w:type="paragraph" w:customStyle="1" w:styleId="affffffffe">
    <w:name w:val="标准_四级无标题"/>
    <w:basedOn w:val="afff1"/>
    <w:next w:val="afffff1"/>
    <w:qFormat/>
    <w:rPr>
      <w:rFonts w:eastAsia="宋体"/>
    </w:rPr>
  </w:style>
  <w:style w:type="paragraph" w:customStyle="1" w:styleId="afffffffff">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1"/>
    <w:qFormat/>
    <w:pPr>
      <w:numPr>
        <w:numId w:val="23"/>
      </w:numPr>
      <w:ind w:firstLineChars="0" w:firstLine="0"/>
    </w:pPr>
    <w:rPr>
      <w:rFonts w:ascii="Times New Roman" w:cs="Arial"/>
      <w:szCs w:val="28"/>
    </w:rPr>
  </w:style>
  <w:style w:type="paragraph" w:customStyle="1" w:styleId="af">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4"/>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4">
    <w:name w:val="标准文件_三级项"/>
    <w:basedOn w:val="afff5"/>
    <w:qFormat/>
    <w:pPr>
      <w:numPr>
        <w:ilvl w:val="2"/>
        <w:numId w:val="21"/>
      </w:numPr>
      <w:spacing w:line="-300" w:lineRule="auto"/>
    </w:pPr>
    <w:rPr>
      <w:rFonts w:ascii="Times New Roman" w:hAnsi="Times New Roman"/>
    </w:rPr>
  </w:style>
  <w:style w:type="paragraph" w:customStyle="1" w:styleId="affb">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
    <w:name w:val="标准文件_注："/>
    <w:next w:val="afffff1"/>
    <w:qFormat/>
    <w:pPr>
      <w:widowControl w:val="0"/>
      <w:numPr>
        <w:numId w:val="26"/>
      </w:numPr>
      <w:autoSpaceDE w:val="0"/>
      <w:autoSpaceDN w:val="0"/>
      <w:jc w:val="both"/>
    </w:pPr>
    <w:rPr>
      <w:rFonts w:ascii="宋体"/>
      <w:sz w:val="18"/>
      <w:szCs w:val="18"/>
    </w:rPr>
  </w:style>
  <w:style w:type="paragraph" w:customStyle="1" w:styleId="a6">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b">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6"/>
    <w:pPr>
      <w:spacing w:beforeLines="0" w:before="0" w:afterLines="0" w:after="0" w:line="276" w:lineRule="auto"/>
      <w:outlineLvl w:val="9"/>
    </w:pPr>
    <w:rPr>
      <w:rFonts w:ascii="宋体" w:eastAsia="宋体"/>
    </w:rPr>
  </w:style>
  <w:style w:type="paragraph" w:customStyle="1" w:styleId="affffffffff6">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8"/>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9"/>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a"/>
    <w:qFormat/>
    <w:pPr>
      <w:spacing w:beforeLines="0" w:before="0" w:afterLines="0" w:after="0" w:line="276" w:lineRule="auto"/>
    </w:pPr>
    <w:rPr>
      <w:rFonts w:ascii="宋体" w:eastAsia="宋体"/>
    </w:rPr>
  </w:style>
  <w:style w:type="paragraph" w:customStyle="1" w:styleId="affffffffffc">
    <w:name w:val="标准文件_引言四级无标题"/>
    <w:basedOn w:val="ab"/>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c"/>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paragraph" w:customStyle="1" w:styleId="afffffffffff6">
    <w:name w:val="前言、引言标题"/>
    <w:next w:val="afff5"/>
    <w:qFormat/>
    <w:pPr>
      <w:shd w:val="clear" w:color="FFFFFF" w:fill="FFFFFF"/>
      <w:spacing w:before="640" w:after="560"/>
      <w:jc w:val="center"/>
      <w:outlineLvl w:val="0"/>
    </w:pPr>
    <w:rPr>
      <w:rFonts w:ascii="黑体" w:eastAsia="黑体"/>
      <w:sz w:val="32"/>
    </w:rPr>
  </w:style>
  <w:style w:type="paragraph" w:customStyle="1" w:styleId="afffffffffff7">
    <w:name w:val="章标题"/>
    <w:next w:val="afff5"/>
    <w:qFormat/>
    <w:pPr>
      <w:spacing w:beforeLines="50" w:afterLines="50"/>
      <w:jc w:val="both"/>
      <w:outlineLvl w:val="1"/>
    </w:pPr>
    <w:rPr>
      <w:rFonts w:ascii="黑体" w:eastAsia="黑体"/>
      <w:sz w:val="21"/>
    </w:rPr>
  </w:style>
  <w:style w:type="paragraph" w:customStyle="1" w:styleId="afffffffffff8">
    <w:name w:val="一级条标题"/>
    <w:next w:val="afff5"/>
    <w:qFormat/>
    <w:pPr>
      <w:outlineLvl w:val="2"/>
    </w:pPr>
    <w:rPr>
      <w:rFonts w:eastAsia="黑体"/>
      <w:sz w:val="21"/>
    </w:rPr>
  </w:style>
  <w:style w:type="paragraph" w:customStyle="1" w:styleId="afffffffffff9">
    <w:name w:val="二级条标题"/>
    <w:basedOn w:val="afffffffffff8"/>
    <w:next w:val="afff5"/>
    <w:qFormat/>
    <w:pPr>
      <w:outlineLvl w:val="3"/>
    </w:pPr>
  </w:style>
  <w:style w:type="paragraph" w:customStyle="1" w:styleId="afffffffffffa">
    <w:name w:val="三级条标题"/>
    <w:basedOn w:val="afffffffffff9"/>
    <w:next w:val="afff5"/>
    <w:qFormat/>
    <w:pPr>
      <w:outlineLvl w:val="4"/>
    </w:pPr>
  </w:style>
  <w:style w:type="paragraph" w:customStyle="1" w:styleId="afffffffffffb">
    <w:name w:val="四级条标题"/>
    <w:basedOn w:val="afffffffffffa"/>
    <w:next w:val="afff5"/>
    <w:qFormat/>
    <w:pPr>
      <w:outlineLvl w:val="5"/>
    </w:pPr>
  </w:style>
  <w:style w:type="paragraph" w:customStyle="1" w:styleId="afffffffffffc">
    <w:name w:val="五级条标题"/>
    <w:basedOn w:val="afffffffffffb"/>
    <w:next w:val="afff5"/>
    <w:qFormat/>
    <w:pPr>
      <w:outlineLvl w:val="6"/>
    </w:pPr>
  </w:style>
  <w:style w:type="paragraph" w:customStyle="1" w:styleId="afffffffffffd">
    <w:name w:val="段"/>
    <w:qFormat/>
    <w:pPr>
      <w:autoSpaceDE w:val="0"/>
      <w:autoSpaceDN w:val="0"/>
      <w:ind w:firstLineChars="200" w:firstLine="420"/>
      <w:jc w:val="both"/>
    </w:pPr>
    <w:rPr>
      <w:rFonts w:ascii="宋体"/>
      <w:sz w:val="21"/>
    </w:r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198"/>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0">
    <w:name w:val="标准文件_参考文献条目"/>
    <w:pPr>
      <w:numPr>
        <w:numId w:val="1"/>
      </w:numPr>
    </w:pPr>
    <w:rPr>
      <w:rFonts w:ascii="宋体"/>
    </w:rPr>
  </w:style>
  <w:style w:type="paragraph" w:customStyle="1" w:styleId="afff">
    <w:name w:val="标准文件_二级条标题"/>
    <w:next w:val="afffff1"/>
    <w:pPr>
      <w:widowControl w:val="0"/>
      <w:numPr>
        <w:ilvl w:val="3"/>
        <w:numId w:val="2"/>
      </w:numPr>
      <w:spacing w:beforeLines="50" w:before="50" w:afterLines="50" w:after="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e">
    <w:name w:val="标准文件_方框数字列项"/>
    <w:basedOn w:val="afffff1"/>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0">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5">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1"/>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9">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1">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7">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5">
    <w:name w:val="标准文件_目次、标准名称标题"/>
    <w:basedOn w:val="a7"/>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firstLineChars="200" w:firstLine="200"/>
    </w:pPr>
    <w:rPr>
      <w:sz w:val="21"/>
    </w:rPr>
  </w:style>
  <w:style w:type="paragraph" w:customStyle="1" w:styleId="afd">
    <w:name w:val="标准文件_破折号列项（二级）"/>
    <w:basedOn w:val="af2"/>
    <w:qFormat/>
    <w:pPr>
      <w:numPr>
        <w:numId w:val="10"/>
      </w:numPr>
    </w:pPr>
  </w:style>
  <w:style w:type="paragraph" w:customStyle="1" w:styleId="afff0">
    <w:name w:val="标准文件_三级条标题"/>
    <w:basedOn w:val="afff"/>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1"/>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sz w:val="21"/>
    </w:rPr>
  </w:style>
  <w:style w:type="paragraph" w:customStyle="1" w:styleId="af0">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1"/>
    <w:qFormat/>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1"/>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c">
    <w:name w:val="标准文件_正文英文图标题"/>
    <w:next w:val="afffff1"/>
    <w:qFormat/>
    <w:pPr>
      <w:numPr>
        <w:numId w:val="19"/>
      </w:numPr>
      <w:jc w:val="center"/>
    </w:pPr>
    <w:rPr>
      <w:rFonts w:ascii="黑体" w:eastAsia="黑体"/>
      <w:sz w:val="21"/>
    </w:rPr>
  </w:style>
  <w:style w:type="paragraph" w:customStyle="1" w:styleId="af8">
    <w:name w:val="标准文件_编号列项（三级）"/>
    <w:qFormat/>
    <w:pPr>
      <w:numPr>
        <w:ilvl w:val="2"/>
        <w:numId w:val="13"/>
      </w:numPr>
    </w:pPr>
    <w:rPr>
      <w:rFonts w:ascii="宋体"/>
      <w:sz w:val="21"/>
    </w:rPr>
  </w:style>
  <w:style w:type="paragraph" w:customStyle="1" w:styleId="a2">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b">
    <w:name w:val="附录五级无标题条"/>
    <w:basedOn w:val="afffffff9"/>
    <w:next w:val="afffff1"/>
    <w:pPr>
      <w:outlineLvl w:val="6"/>
    </w:pPr>
  </w:style>
  <w:style w:type="paragraph" w:customStyle="1" w:styleId="afffffffc">
    <w:name w:val="附录性质"/>
    <w:basedOn w:val="afff5"/>
    <w:pPr>
      <w:widowControl/>
      <w:adjustRightInd/>
      <w:jc w:val="center"/>
    </w:pPr>
    <w:rPr>
      <w:rFonts w:ascii="黑体" w:eastAsia="黑体"/>
    </w:rPr>
  </w:style>
  <w:style w:type="paragraph" w:customStyle="1" w:styleId="afffffffd">
    <w:name w:val="附录一级无标题条"/>
    <w:basedOn w:val="affffff3"/>
    <w:next w:val="afffff1"/>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rPr>
  </w:style>
  <w:style w:type="character" w:customStyle="1" w:styleId="affffffff">
    <w:name w:val="个人撰写风格"/>
    <w:rPr>
      <w:rFonts w:ascii="Arial" w:eastAsia="宋体" w:hAnsi="Arial" w:cs="Arial"/>
      <w:color w:val="auto"/>
      <w:spacing w:val="0"/>
      <w:sz w:val="20"/>
    </w:rPr>
  </w:style>
  <w:style w:type="paragraph" w:customStyle="1" w:styleId="affffffff0">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pPr>
      <w:tabs>
        <w:tab w:val="left" w:pos="840"/>
      </w:tabs>
    </w:pPr>
  </w:style>
  <w:style w:type="paragraph" w:customStyle="1" w:styleId="affffffff2">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3">
    <w:name w:val="其他标准称谓"/>
    <w:pPr>
      <w:spacing w:line="0" w:lineRule="atLeast"/>
      <w:jc w:val="distribute"/>
    </w:pPr>
    <w:rPr>
      <w:rFonts w:ascii="黑体" w:eastAsia="黑体" w:hAnsi="宋体"/>
      <w:sz w:val="52"/>
    </w:rPr>
  </w:style>
  <w:style w:type="paragraph" w:customStyle="1" w:styleId="affffffff4">
    <w:name w:val="其他发布部门"/>
    <w:basedOn w:val="affffffe"/>
    <w:pPr>
      <w:framePr w:wrap="around"/>
      <w:spacing w:line="0" w:lineRule="atLeast"/>
    </w:pPr>
    <w:rPr>
      <w:rFonts w:ascii="黑体" w:eastAsia="黑体"/>
      <w:b w:val="0"/>
    </w:rPr>
  </w:style>
  <w:style w:type="paragraph" w:customStyle="1" w:styleId="affc">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3">
    <w:name w:val="三级无标题条"/>
    <w:basedOn w:val="afff5"/>
    <w:pPr>
      <w:numPr>
        <w:ilvl w:val="4"/>
        <w:numId w:val="20"/>
      </w:numPr>
      <w:adjustRightInd/>
      <w:spacing w:line="240" w:lineRule="auto"/>
    </w:pPr>
    <w:rPr>
      <w:rFonts w:ascii="宋体" w:hAnsi="宋体"/>
      <w:szCs w:val="24"/>
    </w:rPr>
  </w:style>
  <w:style w:type="paragraph" w:customStyle="1" w:styleId="affffffff5">
    <w:name w:val="实施日期"/>
    <w:basedOn w:val="afffffff"/>
    <w:pPr>
      <w:framePr w:hSpace="0" w:wrap="around" w:xAlign="right"/>
      <w:jc w:val="right"/>
    </w:pPr>
  </w:style>
  <w:style w:type="paragraph" w:customStyle="1" w:styleId="a4">
    <w:name w:val="四级无标题条"/>
    <w:basedOn w:val="afff5"/>
    <w:pPr>
      <w:numPr>
        <w:ilvl w:val="5"/>
        <w:numId w:val="20"/>
      </w:numPr>
      <w:adjustRightInd/>
      <w:spacing w:line="240" w:lineRule="auto"/>
    </w:pPr>
    <w:rPr>
      <w:rFonts w:ascii="宋体" w:hAnsi="宋体"/>
      <w:szCs w:val="24"/>
    </w:rPr>
  </w:style>
  <w:style w:type="paragraph" w:customStyle="1" w:styleId="affffffff6">
    <w:name w:val="文献分类号"/>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pPr>
      <w:jc w:val="both"/>
    </w:pPr>
    <w:rPr>
      <w:rFonts w:ascii="宋体" w:hAnsi="宋体"/>
      <w:sz w:val="21"/>
    </w:rPr>
  </w:style>
  <w:style w:type="paragraph" w:customStyle="1" w:styleId="a5">
    <w:name w:val="五级无标题条"/>
    <w:basedOn w:val="afff5"/>
    <w:pPr>
      <w:numPr>
        <w:ilvl w:val="6"/>
        <w:numId w:val="20"/>
      </w:numPr>
      <w:adjustRightInd/>
    </w:pPr>
    <w:rPr>
      <w:szCs w:val="24"/>
    </w:rPr>
  </w:style>
  <w:style w:type="paragraph" w:customStyle="1" w:styleId="a1">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e"/>
    <w:qFormat/>
    <w:pPr>
      <w:spacing w:beforeLines="0" w:before="0" w:afterLines="0" w:after="0"/>
      <w:outlineLvl w:val="9"/>
    </w:pPr>
    <w:rPr>
      <w:rFonts w:ascii="宋体" w:eastAsia="宋体"/>
    </w:rPr>
  </w:style>
  <w:style w:type="paragraph" w:customStyle="1" w:styleId="affffffffb">
    <w:name w:val="标准文件_五级无标题"/>
    <w:basedOn w:val="afff2"/>
    <w:qFormat/>
    <w:pPr>
      <w:spacing w:beforeLines="0" w:before="0" w:afterLines="0" w:after="0"/>
      <w:outlineLvl w:val="9"/>
    </w:pPr>
    <w:rPr>
      <w:rFonts w:ascii="宋体" w:eastAsia="宋体"/>
    </w:rPr>
  </w:style>
  <w:style w:type="paragraph" w:customStyle="1" w:styleId="affffffffc">
    <w:name w:val="标准文件_三级无标题"/>
    <w:basedOn w:val="afff0"/>
    <w:qFormat/>
    <w:pPr>
      <w:spacing w:beforeLines="0" w:before="0" w:afterLines="0" w:after="0"/>
      <w:outlineLvl w:val="9"/>
    </w:pPr>
    <w:rPr>
      <w:rFonts w:ascii="宋体" w:eastAsia="宋体"/>
    </w:rPr>
  </w:style>
  <w:style w:type="paragraph" w:customStyle="1" w:styleId="affffffffd">
    <w:name w:val="标准文件_二级无标题"/>
    <w:basedOn w:val="afff"/>
    <w:qFormat/>
    <w:pPr>
      <w:spacing w:beforeLines="0" w:before="0" w:afterLines="0" w:after="0"/>
      <w:outlineLvl w:val="9"/>
    </w:pPr>
    <w:rPr>
      <w:rFonts w:ascii="宋体" w:eastAsia="宋体"/>
    </w:rPr>
  </w:style>
  <w:style w:type="paragraph" w:customStyle="1" w:styleId="affffffffe">
    <w:name w:val="标准_四级无标题"/>
    <w:basedOn w:val="afff1"/>
    <w:next w:val="afffff1"/>
    <w:qFormat/>
    <w:rPr>
      <w:rFonts w:eastAsia="宋体"/>
    </w:rPr>
  </w:style>
  <w:style w:type="paragraph" w:customStyle="1" w:styleId="afffffffff">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1"/>
    <w:qFormat/>
    <w:pPr>
      <w:numPr>
        <w:numId w:val="23"/>
      </w:numPr>
      <w:ind w:firstLineChars="0" w:firstLine="0"/>
    </w:pPr>
    <w:rPr>
      <w:rFonts w:ascii="Times New Roman" w:cs="Arial"/>
      <w:szCs w:val="28"/>
    </w:rPr>
  </w:style>
  <w:style w:type="paragraph" w:customStyle="1" w:styleId="af">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4"/>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4">
    <w:name w:val="标准文件_三级项"/>
    <w:basedOn w:val="afff5"/>
    <w:qFormat/>
    <w:pPr>
      <w:numPr>
        <w:ilvl w:val="2"/>
        <w:numId w:val="21"/>
      </w:numPr>
      <w:spacing w:line="-300" w:lineRule="auto"/>
    </w:pPr>
    <w:rPr>
      <w:rFonts w:ascii="Times New Roman" w:hAnsi="Times New Roman"/>
    </w:rPr>
  </w:style>
  <w:style w:type="paragraph" w:customStyle="1" w:styleId="affb">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
    <w:name w:val="标准文件_注："/>
    <w:next w:val="afffff1"/>
    <w:qFormat/>
    <w:pPr>
      <w:widowControl w:val="0"/>
      <w:numPr>
        <w:numId w:val="26"/>
      </w:numPr>
      <w:autoSpaceDE w:val="0"/>
      <w:autoSpaceDN w:val="0"/>
      <w:jc w:val="both"/>
    </w:pPr>
    <w:rPr>
      <w:rFonts w:ascii="宋体"/>
      <w:sz w:val="18"/>
      <w:szCs w:val="18"/>
    </w:rPr>
  </w:style>
  <w:style w:type="paragraph" w:customStyle="1" w:styleId="a6">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b">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6"/>
    <w:pPr>
      <w:spacing w:beforeLines="0" w:before="0" w:afterLines="0" w:after="0" w:line="276" w:lineRule="auto"/>
      <w:outlineLvl w:val="9"/>
    </w:pPr>
    <w:rPr>
      <w:rFonts w:ascii="宋体" w:eastAsia="宋体"/>
    </w:rPr>
  </w:style>
  <w:style w:type="paragraph" w:customStyle="1" w:styleId="affffffffff6">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8"/>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9"/>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a"/>
    <w:qFormat/>
    <w:pPr>
      <w:spacing w:beforeLines="0" w:before="0" w:afterLines="0" w:after="0" w:line="276" w:lineRule="auto"/>
    </w:pPr>
    <w:rPr>
      <w:rFonts w:ascii="宋体" w:eastAsia="宋体"/>
    </w:rPr>
  </w:style>
  <w:style w:type="paragraph" w:customStyle="1" w:styleId="affffffffffc">
    <w:name w:val="标准文件_引言四级无标题"/>
    <w:basedOn w:val="ab"/>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c"/>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paragraph" w:customStyle="1" w:styleId="afffffffffff6">
    <w:name w:val="前言、引言标题"/>
    <w:next w:val="afff5"/>
    <w:qFormat/>
    <w:pPr>
      <w:shd w:val="clear" w:color="FFFFFF" w:fill="FFFFFF"/>
      <w:spacing w:before="640" w:after="560"/>
      <w:jc w:val="center"/>
      <w:outlineLvl w:val="0"/>
    </w:pPr>
    <w:rPr>
      <w:rFonts w:ascii="黑体" w:eastAsia="黑体"/>
      <w:sz w:val="32"/>
    </w:rPr>
  </w:style>
  <w:style w:type="paragraph" w:customStyle="1" w:styleId="afffffffffff7">
    <w:name w:val="章标题"/>
    <w:next w:val="afff5"/>
    <w:qFormat/>
    <w:pPr>
      <w:spacing w:beforeLines="50" w:afterLines="50"/>
      <w:jc w:val="both"/>
      <w:outlineLvl w:val="1"/>
    </w:pPr>
    <w:rPr>
      <w:rFonts w:ascii="黑体" w:eastAsia="黑体"/>
      <w:sz w:val="21"/>
    </w:rPr>
  </w:style>
  <w:style w:type="paragraph" w:customStyle="1" w:styleId="afffffffffff8">
    <w:name w:val="一级条标题"/>
    <w:next w:val="afff5"/>
    <w:qFormat/>
    <w:pPr>
      <w:outlineLvl w:val="2"/>
    </w:pPr>
    <w:rPr>
      <w:rFonts w:eastAsia="黑体"/>
      <w:sz w:val="21"/>
    </w:rPr>
  </w:style>
  <w:style w:type="paragraph" w:customStyle="1" w:styleId="afffffffffff9">
    <w:name w:val="二级条标题"/>
    <w:basedOn w:val="afffffffffff8"/>
    <w:next w:val="afff5"/>
    <w:qFormat/>
    <w:pPr>
      <w:outlineLvl w:val="3"/>
    </w:pPr>
  </w:style>
  <w:style w:type="paragraph" w:customStyle="1" w:styleId="afffffffffffa">
    <w:name w:val="三级条标题"/>
    <w:basedOn w:val="afffffffffff9"/>
    <w:next w:val="afff5"/>
    <w:qFormat/>
    <w:pPr>
      <w:outlineLvl w:val="4"/>
    </w:pPr>
  </w:style>
  <w:style w:type="paragraph" w:customStyle="1" w:styleId="afffffffffffb">
    <w:name w:val="四级条标题"/>
    <w:basedOn w:val="afffffffffffa"/>
    <w:next w:val="afff5"/>
    <w:qFormat/>
    <w:pPr>
      <w:outlineLvl w:val="5"/>
    </w:pPr>
  </w:style>
  <w:style w:type="paragraph" w:customStyle="1" w:styleId="afffffffffffc">
    <w:name w:val="五级条标题"/>
    <w:basedOn w:val="afffffffffffb"/>
    <w:next w:val="afff5"/>
    <w:qFormat/>
    <w:pPr>
      <w:outlineLvl w:val="6"/>
    </w:pPr>
  </w:style>
  <w:style w:type="paragraph" w:customStyle="1" w:styleId="afffffffffffd">
    <w:name w:val="段"/>
    <w:qFormat/>
    <w:pPr>
      <w:autoSpaceDE w:val="0"/>
      <w:autoSpaceDN w:val="0"/>
      <w:ind w:firstLineChars="200" w:firstLine="420"/>
      <w:jc w:val="both"/>
    </w:pPr>
    <w:rPr>
      <w:rFonts w:ascii="宋体"/>
      <w:sz w:val="21"/>
    </w:r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ED1BF17D104D489E00DAF20626C054"/>
        <w:category>
          <w:name w:val="常规"/>
          <w:gallery w:val="placeholder"/>
        </w:category>
        <w:types>
          <w:type w:val="bbPlcHdr"/>
        </w:types>
        <w:behaviors>
          <w:behavior w:val="content"/>
        </w:behaviors>
        <w:guid w:val="{EDE7F3BC-5F67-4041-A361-913033750DDC}"/>
      </w:docPartPr>
      <w:docPartBody>
        <w:p w:rsidR="00CB6B35" w:rsidRDefault="00F255E9">
          <w:pPr>
            <w:pStyle w:val="85ED1BF17D104D489E00DAF20626C054"/>
          </w:pPr>
          <w:r>
            <w:rPr>
              <w:rStyle w:val="a3"/>
              <w:rFonts w:hint="eastAsia"/>
            </w:rPr>
            <w:t>单击或点击此处输入文字。</w:t>
          </w:r>
        </w:p>
      </w:docPartBody>
    </w:docPart>
    <w:docPart>
      <w:docPartPr>
        <w:name w:val="14E0537873BC4FD8B47B2D6980B1A7E5"/>
        <w:category>
          <w:name w:val="常规"/>
          <w:gallery w:val="placeholder"/>
        </w:category>
        <w:types>
          <w:type w:val="bbPlcHdr"/>
        </w:types>
        <w:behaviors>
          <w:behavior w:val="content"/>
        </w:behaviors>
        <w:guid w:val="{7B439B19-552E-4687-B926-4C6BEED5C4AC}"/>
      </w:docPartPr>
      <w:docPartBody>
        <w:p w:rsidR="00CB6B35" w:rsidRDefault="00F255E9">
          <w:pPr>
            <w:pStyle w:val="14E0537873BC4FD8B47B2D6980B1A7E5"/>
          </w:pPr>
          <w:r>
            <w:rPr>
              <w:rStyle w:val="a3"/>
              <w:rFonts w:hint="eastAsia"/>
            </w:rPr>
            <w:t>选择一项。</w:t>
          </w:r>
        </w:p>
      </w:docPartBody>
    </w:docPart>
    <w:docPart>
      <w:docPartPr>
        <w:name w:val="9916943FFA74490CA0C377C0A0C3614A"/>
        <w:category>
          <w:name w:val="常规"/>
          <w:gallery w:val="placeholder"/>
        </w:category>
        <w:types>
          <w:type w:val="bbPlcHdr"/>
        </w:types>
        <w:behaviors>
          <w:behavior w:val="content"/>
        </w:behaviors>
        <w:guid w:val="{FF21C7A6-32AF-4C3D-A82A-CF8E2A1AF0BC}"/>
      </w:docPartPr>
      <w:docPartBody>
        <w:p w:rsidR="00CB6B35" w:rsidRDefault="00F255E9">
          <w:pPr>
            <w:pStyle w:val="9916943FFA74490CA0C377C0A0C3614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11"/>
    <w:rsid w:val="000701FA"/>
    <w:rsid w:val="000D6D9E"/>
    <w:rsid w:val="002604BE"/>
    <w:rsid w:val="00294A59"/>
    <w:rsid w:val="00437976"/>
    <w:rsid w:val="006D52CE"/>
    <w:rsid w:val="00717F30"/>
    <w:rsid w:val="00A53B22"/>
    <w:rsid w:val="00BB5011"/>
    <w:rsid w:val="00CB6B35"/>
    <w:rsid w:val="00E43ACF"/>
    <w:rsid w:val="00E91C6A"/>
    <w:rsid w:val="00F255E9"/>
    <w:rsid w:val="00F9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5ED1BF17D104D489E00DAF20626C054">
    <w:name w:val="85ED1BF17D104D489E00DAF20626C054"/>
    <w:pPr>
      <w:widowControl w:val="0"/>
      <w:jc w:val="both"/>
    </w:pPr>
    <w:rPr>
      <w:kern w:val="2"/>
      <w:sz w:val="21"/>
      <w:szCs w:val="22"/>
    </w:rPr>
  </w:style>
  <w:style w:type="paragraph" w:customStyle="1" w:styleId="14E0537873BC4FD8B47B2D6980B1A7E5">
    <w:name w:val="14E0537873BC4FD8B47B2D6980B1A7E5"/>
    <w:qFormat/>
    <w:pPr>
      <w:widowControl w:val="0"/>
      <w:jc w:val="both"/>
    </w:pPr>
    <w:rPr>
      <w:kern w:val="2"/>
      <w:sz w:val="21"/>
      <w:szCs w:val="22"/>
    </w:rPr>
  </w:style>
  <w:style w:type="paragraph" w:customStyle="1" w:styleId="9916943FFA74490CA0C377C0A0C3614A">
    <w:name w:val="9916943FFA74490CA0C377C0A0C3614A"/>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5ED1BF17D104D489E00DAF20626C054">
    <w:name w:val="85ED1BF17D104D489E00DAF20626C054"/>
    <w:pPr>
      <w:widowControl w:val="0"/>
      <w:jc w:val="both"/>
    </w:pPr>
    <w:rPr>
      <w:kern w:val="2"/>
      <w:sz w:val="21"/>
      <w:szCs w:val="22"/>
    </w:rPr>
  </w:style>
  <w:style w:type="paragraph" w:customStyle="1" w:styleId="14E0537873BC4FD8B47B2D6980B1A7E5">
    <w:name w:val="14E0537873BC4FD8B47B2D6980B1A7E5"/>
    <w:qFormat/>
    <w:pPr>
      <w:widowControl w:val="0"/>
      <w:jc w:val="both"/>
    </w:pPr>
    <w:rPr>
      <w:kern w:val="2"/>
      <w:sz w:val="21"/>
      <w:szCs w:val="22"/>
    </w:rPr>
  </w:style>
  <w:style w:type="paragraph" w:customStyle="1" w:styleId="9916943FFA74490CA0C377C0A0C3614A">
    <w:name w:val="9916943FFA74490CA0C377C0A0C3614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E6AD3-11EA-4A58-A620-6C6CE58E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13</Pages>
  <Words>1541</Words>
  <Characters>8790</Characters>
  <Application>Microsoft Office Word</Application>
  <DocSecurity>0</DocSecurity>
  <Lines>73</Lines>
  <Paragraphs>20</Paragraphs>
  <ScaleCrop>false</ScaleCrop>
  <Company>PCMI</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www</dc:creator>
  <dc:description>&lt;config cover="true" show_menu="true" version="1.0.0" doctype="SDKXY"&gt;_x000d_
&lt;/config&gt;</dc:description>
  <cp:lastModifiedBy>高喜超</cp:lastModifiedBy>
  <cp:revision>4</cp:revision>
  <cp:lastPrinted>2020-08-30T10:00:00Z</cp:lastPrinted>
  <dcterms:created xsi:type="dcterms:W3CDTF">2023-05-31T09:17:00Z</dcterms:created>
  <dcterms:modified xsi:type="dcterms:W3CDTF">2023-05-31T10:02:00Z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206E6DA628C14CF59BCF0D61047ADC93</vt:lpwstr>
  </property>
</Properties>
</file>