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vAnchor="page" w:hAnchor="page" w:x="1441" w:y="791"/>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点击此处添加ICS号</w:t>
      </w:r>
      <w:r>
        <w:rPr>
          <w:rFonts w:hAnsi="黑体"/>
        </w:rPr>
        <w:fldChar w:fldCharType="end"/>
      </w:r>
      <w:bookmarkEnd w:id="0"/>
    </w:p>
    <w:p>
      <w:pPr>
        <w:pStyle w:val="122"/>
        <w:framePr w:wrap="around" w:vAnchor="page" w:hAnchor="page" w:x="1441" w:y="791"/>
        <w:rPr>
          <w:rFonts w:hAnsi="黑体"/>
        </w:rPr>
      </w:pPr>
      <w:r>
        <w:rPr>
          <w:rFonts w:hint="eastAsia" w:hAnsi="黑体"/>
        </w:rPr>
        <w:t>C</w:t>
      </w:r>
      <w:r>
        <w:rPr>
          <w:rFonts w:hAnsi="黑体"/>
        </w:rPr>
        <w:t xml:space="preserve">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点击此处添加中国标准文献分类号</w:t>
      </w:r>
      <w:r>
        <w:rPr>
          <w:rFonts w:hAnsi="黑体"/>
        </w:rPr>
        <w:fldChar w:fldCharType="end"/>
      </w:r>
      <w:bookmarkEnd w:id="1"/>
    </w:p>
    <w:tbl>
      <w:tblPr>
        <w:tblStyle w:val="36"/>
        <w:tblW w:w="9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5" w:type="dxa"/>
            <w:tcBorders>
              <w:top w:val="nil"/>
              <w:left w:val="nil"/>
              <w:bottom w:val="nil"/>
              <w:right w:val="nil"/>
            </w:tcBorders>
          </w:tcPr>
          <w:p>
            <w:pPr>
              <w:pStyle w:val="122"/>
              <w:framePr w:wrap="around" w:vAnchor="page" w:hAnchor="page" w:x="1441" w:y="791"/>
              <w:rPr>
                <w:rFonts w:ascii="宋体" w:hAnsi="黑体"/>
                <w:sz w:val="18"/>
                <w:szCs w:val="18"/>
              </w:rPr>
            </w:pPr>
          </w:p>
        </w:tc>
      </w:tr>
    </w:tbl>
    <w:p>
      <w:pPr>
        <w:pStyle w:val="109"/>
        <w:framePr w:wrap="around"/>
      </w:pPr>
      <w:r>
        <w:t>D</w:t>
      </w:r>
      <w:r>
        <w:rPr>
          <w:spacing w:val="100"/>
        </w:rPr>
        <w:t>B</w:t>
      </w:r>
      <w:r>
        <w:fldChar w:fldCharType="begin">
          <w:ffData>
            <w:name w:val="c3"/>
            <w:enabled/>
            <w:calcOnExit w:val="0"/>
            <w:entryMacro w:val="ShowHelp16"/>
            <w:textInput/>
          </w:ffData>
        </w:fldChar>
      </w:r>
      <w:bookmarkStart w:id="2" w:name="c3"/>
      <w:r>
        <w:instrText xml:space="preserve"> FORMTEXT </w:instrText>
      </w:r>
      <w:r>
        <w:fldChar w:fldCharType="separate"/>
      </w:r>
      <w:r>
        <w:t>11</w:t>
      </w:r>
      <w:r>
        <w:fldChar w:fldCharType="end"/>
      </w:r>
      <w:bookmarkEnd w:id="2"/>
    </w:p>
    <w:p>
      <w:pPr>
        <w:pStyle w:val="110"/>
        <w:framePr w:wrap="around"/>
      </w:pPr>
      <w:r>
        <w:fldChar w:fldCharType="begin">
          <w:ffData>
            <w:name w:val="c4"/>
            <w:enabled/>
            <w:calcOnExit w:val="0"/>
            <w:entryMacro w:val="showhelp12"/>
            <w:textInput/>
          </w:ffData>
        </w:fldChar>
      </w:r>
      <w:bookmarkStart w:id="3" w:name="c4"/>
      <w:r>
        <w:instrText xml:space="preserve"> FORMTEXT </w:instrText>
      </w:r>
      <w:r>
        <w:fldChar w:fldCharType="separate"/>
      </w:r>
      <w:r>
        <w:rPr>
          <w:rFonts w:hint="eastAsia"/>
        </w:rPr>
        <w:t>北京市</w:t>
      </w:r>
      <w:r>
        <w:fldChar w:fldCharType="end"/>
      </w:r>
      <w:bookmarkEnd w:id="3"/>
      <w:r>
        <w:t>地方标准</w:t>
      </w:r>
    </w:p>
    <w:p>
      <w:pPr>
        <w:pStyle w:val="49"/>
        <w:framePr w:h="12198" w:hRule="exact" w:wrap="around" w:vAnchor="page" w:hAnchor="page" w:x="1515" w:y="3076"/>
        <w:rPr>
          <w:rFonts w:hAnsi="黑体"/>
        </w:rPr>
      </w:pPr>
      <w:r>
        <w:rPr>
          <w:rFonts w:hAnsi="黑体"/>
        </w:rPr>
        <w:t xml:space="preserve">DB11/T </w:t>
      </w:r>
      <w:r>
        <w:rPr>
          <w:rFonts w:hAnsi="黑体"/>
        </w:rPr>
        <w:fldChar w:fldCharType="begin">
          <w:ffData>
            <w:name w:val="StdNo1"/>
            <w:enabled/>
            <w:calcOnExit w:val="0"/>
            <w:textInput>
              <w:default w:val="××××"/>
            </w:textInput>
          </w:ffData>
        </w:fldChar>
      </w:r>
      <w:bookmarkStart w:id="4"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4"/>
      <w:r>
        <w:rPr>
          <w:rFonts w:hAnsi="黑体"/>
        </w:rPr>
        <w:t>—</w:t>
      </w:r>
      <w:r>
        <w:rPr>
          <w:rFonts w:hint="eastAsia" w:hAnsi="黑体"/>
        </w:rPr>
        <w:t>XXXX</w:t>
      </w:r>
    </w:p>
    <w:tbl>
      <w:tblPr>
        <w:tblStyle w:val="36"/>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tcPr>
          <w:p>
            <w:pPr>
              <w:pStyle w:val="77"/>
              <w:framePr w:h="12198" w:hRule="exact" w:wrap="around" w:vAnchor="page" w:hAnchor="page" w:x="1515" w:y="3076"/>
              <w:rPr>
                <w:rFonts w:ascii="黑体" w:hAnsi="黑体" w:eastAsia="黑体"/>
                <w:sz w:val="18"/>
                <w:szCs w:val="18"/>
              </w:rPr>
            </w:pPr>
            <w:r>
              <w:rPr>
                <w:rFonts w:ascii="黑体" w:hAnsi="黑体" w:eastAsia="黑体"/>
                <w:sz w:val="18"/>
                <w:szCs w:val="18"/>
              </w:rPr>
              <mc:AlternateContent>
                <mc:Choice Requires="wps">
                  <w:drawing>
                    <wp:anchor distT="0" distB="0" distL="114300" distR="114300" simplePos="0" relativeHeight="251662336"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163" name="DT"/>
                      <wp:cNvGraphicFramePr/>
                      <a:graphic xmlns:a="http://schemas.openxmlformats.org/drawingml/2006/main">
                        <a:graphicData uri="http://schemas.microsoft.com/office/word/2010/wordprocessingShape">
                          <wps:wsp>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67.4pt;margin-top:2.7pt;height:18pt;width:90pt;z-index:-251654144;mso-width-relative:page;mso-height-relative:page;" fillcolor="#FFFFFF" filled="t" stroked="f" coordsize="21600,21600" o:gfxdata="UEsDBAoAAAAAAIdO4kAAAAAAAAAAAAAAAAAEAAAAZHJzL1BLAwQUAAAACACHTuJAZh2p+9UAAAAI&#10;AQAADwAAAGRycy9kb3ducmV2LnhtbE2PMU/DMBSEdyT+g/WQ2Kgd6gYa4nRA6gQMtEisr/FrEhE/&#10;h9hpw7/HnWA83enuu3Izu16caAydZwPZQoEgrr3tuDHwsd/ePYIIEdli75kM/FCATXV9VWJh/Znf&#10;6bSLjUglHAo00MY4FFKGuiWHYeEH4uQd/egwJjk20o54TuWul/dK5dJhx2mhxYGeW6q/dpMzgLm2&#10;32/H5ev+Zcpx3cxqu/pUxtzeZOoJRKQ5/oXhgp/QoUpMBz+xDaI38LDUCT0aWGkQyV9nF30woDMN&#10;sirl/wPVL1BLAwQUAAAACACHTuJADAnDDvEBAADyAwAADgAAAGRycy9lMm9Eb2MueG1srVPBbtsw&#10;DL0P2D8Iui+206zrjDjF0CDDgG0t0O4DFFmOBUiiRilxsq8fJbtZ1l16mA8GKVKPfI/U8vZoDTso&#10;DBpcw6tZyZlyElrtdg3/8bR5d8NZiMK1woBTDT+pwG9Xb98sB1+rOfRgWoWMQFyoB9/wPkZfF0WQ&#10;vbIizMArR8EO0IpILu6KFsVA6NYU87K8LgbA1iNIFQKdrscgnxDxNYDQdVqqNci9VS6OqKiMiEQp&#10;9NoHvsrddp2S8b7rgorMNJyYxvynImRv079YLUW9Q+F7LacWxGtaeMHJCu2o6BlqLaJge9T/QFkt&#10;EQJ0cSbBFiORrAixqMoX2jz2wqvMhaQO/ix6+H+w8vvhAZluaROurzhzwtLI109Jl8GHmsKP/gEn&#10;L5DJtsM3aClJ7CNkyscObaJOZNgxK3s6K6uOkUk6rKrFVVmS6JJi8/nNNdkEWoj6+bbHED8rsCwZ&#10;DUeaXEYXh68hjqnPKalYAKPbjTYmO7jb3hlkB0FT3uRvQv8rzbiU7CBdGxHTSZF4JmYj4y20J2KJ&#10;MK4KPRQyesBfnA20Jg0PP/cCFWfmi6M5fKwWi7RX2Vm8/zAnBy8j28uIcJKgGh45G827OO7i3qPe&#10;9VSpyqQdfCJ1O52Jp/7GrqZmaRWydNPapl279HPWn6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Han71QAAAAgBAAAPAAAAAAAAAAEAIAAAACIAAABkcnMvZG93bnJldi54bWxQSwECFAAUAAAA&#10;CACHTuJADAnDDvEBAADyAwAADgAAAAAAAAABACAAAAAkAQAAZHJzL2Uyb0RvYy54bWxQSwUGAAAA&#10;AAYABgBZAQAAhwUAAAAA&#10;">
                      <v:fill on="t" focussize="0,0"/>
                      <v:stroke on="f"/>
                      <v:imagedata o:title=""/>
                      <o:lock v:ext="edit" aspectratio="f"/>
                    </v:rect>
                  </w:pict>
                </mc:Fallback>
              </mc:AlternateContent>
            </w:r>
            <w:r>
              <w:rPr>
                <w:rFonts w:ascii="黑体" w:hAnsi="黑体" w:eastAsia="黑体"/>
                <w:sz w:val="18"/>
                <w:szCs w:val="18"/>
              </w:rPr>
              <w:fldChar w:fldCharType="begin">
                <w:ffData>
                  <w:name w:val="DT"/>
                  <w:enabled/>
                  <w:calcOnExit w:val="0"/>
                  <w:entryMacro w:val="ShowHelp4"/>
                  <w:textInput/>
                </w:ffData>
              </w:fldChar>
            </w:r>
            <w:bookmarkStart w:id="5" w:name="DT"/>
            <w:r>
              <w:rPr>
                <w:rFonts w:ascii="黑体" w:hAnsi="黑体" w:eastAsia="黑体"/>
                <w:sz w:val="18"/>
                <w:szCs w:val="18"/>
              </w:rPr>
              <w:instrText xml:space="preserve"> FORMTEXT </w:instrText>
            </w:r>
            <w:r>
              <w:rPr>
                <w:rFonts w:ascii="黑体" w:hAnsi="黑体" w:eastAsia="黑体"/>
                <w:sz w:val="18"/>
                <w:szCs w:val="18"/>
              </w:rPr>
              <w:fldChar w:fldCharType="separate"/>
            </w:r>
            <w:r>
              <w:rPr>
                <w:rFonts w:ascii="黑体" w:hAnsi="黑体" w:eastAsia="黑体"/>
                <w:sz w:val="18"/>
                <w:szCs w:val="18"/>
              </w:rPr>
              <w:t>     </w:t>
            </w:r>
            <w:r>
              <w:rPr>
                <w:rFonts w:ascii="黑体" w:hAnsi="黑体" w:eastAsia="黑体"/>
                <w:sz w:val="18"/>
                <w:szCs w:val="18"/>
              </w:rPr>
              <w:fldChar w:fldCharType="end"/>
            </w:r>
            <w:bookmarkEnd w:id="5"/>
          </w:p>
        </w:tc>
      </w:tr>
    </w:tbl>
    <w:p>
      <w:pPr>
        <w:pStyle w:val="49"/>
        <w:framePr w:h="12198" w:hRule="exact" w:wrap="around" w:vAnchor="page" w:hAnchor="page" w:x="1515" w:y="3076"/>
        <w:rPr>
          <w:rFonts w:hAnsi="黑体"/>
        </w:rPr>
      </w:pPr>
    </w:p>
    <w:p>
      <w:pPr>
        <w:pStyle w:val="49"/>
        <w:framePr w:h="12198" w:hRule="exact" w:wrap="around" w:vAnchor="page" w:hAnchor="page" w:x="1515" w:y="3076"/>
        <w:rPr>
          <w:rFonts w:hAnsi="黑体"/>
        </w:rPr>
      </w:pPr>
    </w:p>
    <w:p>
      <w:pPr>
        <w:pStyle w:val="81"/>
        <w:framePr w:h="12198" w:hRule="exact" w:wrap="around" w:vAnchor="page" w:hAnchor="page" w:x="1515" w:y="3076"/>
        <w:rPr>
          <w:rFonts w:ascii="黑体" w:hAnsi="黑体" w:eastAsia="黑体"/>
          <w:sz w:val="52"/>
          <w:szCs w:val="52"/>
        </w:rPr>
      </w:pPr>
      <w:r>
        <w:rPr>
          <w:rFonts w:hint="eastAsia" w:ascii="黑体" w:hAnsi="黑体" w:eastAsia="黑体"/>
          <w:sz w:val="52"/>
          <w:szCs w:val="52"/>
        </w:rPr>
        <w:t>低碳出行碳减排量核算技术规范</w:t>
      </w:r>
    </w:p>
    <w:p>
      <w:pPr>
        <w:pStyle w:val="81"/>
        <w:framePr w:h="12198" w:hRule="exact" w:wrap="around" w:vAnchor="page" w:hAnchor="page" w:x="1515" w:y="3076"/>
        <w:spacing w:before="0" w:line="240" w:lineRule="auto"/>
        <w:rPr>
          <w:rFonts w:ascii="Times New Roman" w:eastAsia="黑体"/>
          <w:b/>
          <w:bCs/>
        </w:rPr>
      </w:pPr>
      <w:bookmarkStart w:id="6" w:name="OLE_LINK1"/>
      <w:r>
        <w:rPr>
          <w:rFonts w:hint="eastAsia" w:ascii="Times New Roman" w:eastAsia="黑体"/>
          <w:b/>
          <w:bCs/>
        </w:rPr>
        <w:t>Technical Specification of Accounting for Carbon Emission Reductions from Low-Carbon Traveling</w:t>
      </w:r>
      <w:bookmarkEnd w:id="6"/>
    </w:p>
    <w:p>
      <w:pPr>
        <w:pStyle w:val="129"/>
        <w:framePr w:h="12198" w:hRule="exact" w:wrap="around" w:vAnchor="page" w:hAnchor="page" w:x="1515" w:y="3076"/>
        <w:spacing w:before="600"/>
        <w:rPr>
          <w:rFonts w:ascii="黑体" w:hAnsi="黑体"/>
        </w:rPr>
      </w:pPr>
      <w:r>
        <w:rPr>
          <w:rFonts w:ascii="黑体" w:hAnsi="黑体"/>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8891905</wp:posOffset>
                </wp:positionV>
                <wp:extent cx="6120130" cy="635"/>
                <wp:effectExtent l="0" t="0" r="0" b="0"/>
                <wp:wrapNone/>
                <wp:docPr id="159" name="直接连接符 1"/>
                <wp:cNvGraphicFramePr/>
                <a:graphic xmlns:a="http://schemas.openxmlformats.org/drawingml/2006/main">
                  <a:graphicData uri="http://schemas.microsoft.com/office/word/2010/wordprocessingShape">
                    <wps:wsp>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700.15pt;height:0.05pt;width:481.9pt;z-index:251660288;mso-width-relative:page;mso-height-relative:page;" filled="f" stroked="t" coordsize="21600,21600" o:gfxdata="UEsDBAoAAAAAAIdO4kAAAAAAAAAAAAAAAAAEAAAAZHJzL1BLAwQUAAAACACHTuJAkE6HudcAAAAL&#10;AQAADwAAAGRycy9kb3ducmV2LnhtbE2PPU/DQAyGdyT+w8lILFV7l6YqJeTSAcjGQgF1dROTROR8&#10;ae76Ab8eIwYY/frR68f5+ux6daQxdJ4tJDMDirjydceNhdeXcroCFSJyjb1nsvBJAdbF5UWOWe1P&#10;/EzHTWyUlHDI0EIb45BpHaqWHIaZH4hl9+5Hh1HGsdH1iCcpd72eG7PUDjuWCy0OdN9S9bE5OAuh&#10;fKN9+TWpJmabNp7m+4enR7T2+ioxd6AineMfDD/6og6FOO38geugegvTRECJF8akoAS4XaY3oHa/&#10;0QJ0kev/PxTfUEsDBBQAAAAIAIdO4kC/9HqozAEAAHwDAAAOAAAAZHJzL2Uyb0RvYy54bWytU0uO&#10;EzEQ3SNxB8t70klGiZhWOrOYaNjwGQk4QMV2py3ZLst20skluAASO1ixZM9tGI5B2d0TYNjMgl5Y&#10;rt+req/cq6ujNeygQtToGj6bTDlTTqDUbtfw9+9unj3nLCZwEgw61fCTivxq/fTJqve1mmOHRqrA&#10;CMTFuvcN71LydVVF0SkLcYJeOQq2GCwkMsOukgF6Qremmk+ny6rHIH1AoWIk72YI8hExPAYQ21YL&#10;tUGxt8qlATUoA4koxU77yNdl2rZVIr1p26gSMw0npqmc1ITu23xW6xXUuwC+02IcAR4zwgNOFrSj&#10;pmeoDSRg+6D/gbJaBIzYpolAWw1EiiLEYjZ9oM3bDrwqXEjq6M+ix/8HK14fbgPTkl7C4pIzB5ZW&#10;fvfx248Pn39+/0Tn3dcvbJZl6n2sKfva3YbRip5Kt/0rlFQD+4RFgWMbbFaCuLFjEfp0FlodExPk&#10;XM6I7QXtQFBsebHI+BXU96U+xPRCoWX50nCjXVYBaji8jGlIvU/Jboc32hjyQ20c6xt+uZgvSkFE&#10;o2UO5lgMu+21CewA+S2Ub+z7V1rAvZNDE+NorMw7Mx0U2KI8FQGKn5ZSBh8fUN76n3ap/v3Tr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E6HudcAAAALAQAADwAAAAAAAAABACAAAAAiAAAAZHJz&#10;L2Rvd25yZXYueG1sUEsBAhQAFAAAAAgAh07iQL/0eqjMAQAAfAMAAA4AAAAAAAAAAQAgAAAAJgEA&#10;AGRycy9lMm9Eb2MueG1sUEsFBgAAAAAGAAYAWQEAAGQFAAAAAA==&#10;">
                <v:fill on="f" focussize="0,0"/>
                <v:stroke color="#000000" joinstyle="round"/>
                <v:imagedata o:title=""/>
                <o:lock v:ext="edit" aspectratio="f"/>
              </v:line>
            </w:pict>
          </mc:Fallback>
        </mc:AlternateContent>
      </w:r>
    </w:p>
    <w:p>
      <w:pPr>
        <w:pStyle w:val="111"/>
        <w:framePr w:wrap="around"/>
      </w:pPr>
      <w:r>
        <w:fldChar w:fldCharType="begin">
          <w:ffData>
            <w:name w:val="fm"/>
            <w:enabled/>
            <w:calcOnExit w:val="0"/>
            <w:textInput/>
          </w:ffData>
        </w:fldChar>
      </w:r>
      <w:bookmarkStart w:id="7" w:name="fm"/>
      <w:r>
        <w:instrText xml:space="preserve"> FORMTEXT </w:instrText>
      </w:r>
      <w:r>
        <w:fldChar w:fldCharType="separate"/>
      </w:r>
      <w:r>
        <w:rPr>
          <w:rFonts w:hint="eastAsia"/>
        </w:rPr>
        <w:t>北京市市场监督</w:t>
      </w:r>
      <w:r>
        <w:t>管理局</w:t>
      </w:r>
      <w:r>
        <w:fldChar w:fldCharType="end"/>
      </w:r>
      <w:bookmarkEnd w:id="7"/>
      <w:r>
        <w:t xml:space="preserve"> </w:t>
      </w:r>
      <w:r>
        <w:rPr>
          <w:rStyle w:val="138"/>
        </w:rPr>
        <w:t xml:space="preserve"> </w:t>
      </w:r>
      <w:r>
        <w:rPr>
          <w:rStyle w:val="138"/>
          <w:rFonts w:hint="eastAsia"/>
        </w:rPr>
        <w:t>发布</w:t>
      </w:r>
    </w:p>
    <w:p>
      <w:pPr>
        <w:pStyle w:val="26"/>
        <w:ind w:firstLine="0" w:firstLineChars="0"/>
        <w:sectPr>
          <w:headerReference r:id="rId3" w:type="even"/>
          <w:footerReference r:id="rId4" w:type="even"/>
          <w:pgSz w:w="11906" w:h="16838"/>
          <w:pgMar w:top="567" w:right="1134" w:bottom="1134" w:left="1418" w:header="1418" w:footer="1134" w:gutter="0"/>
          <w:pgNumType w:fmt="upperRoman" w:start="1"/>
          <w:cols w:space="425"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8520430</wp:posOffset>
                </wp:positionV>
                <wp:extent cx="2154555" cy="619760"/>
                <wp:effectExtent l="0" t="0" r="5080" b="2540"/>
                <wp:wrapNone/>
                <wp:docPr id="3" name="Text Box 3"/>
                <wp:cNvGraphicFramePr/>
                <a:graphic xmlns:a="http://schemas.openxmlformats.org/drawingml/2006/main">
                  <a:graphicData uri="http://schemas.microsoft.com/office/word/2010/wordprocessingShape">
                    <wps:wsp>
                      <wps:cNvSpPr txBox="1"/>
                      <wps:spPr>
                        <a:xfrm>
                          <a:off x="0" y="0"/>
                          <a:ext cx="2154264" cy="619932"/>
                        </a:xfrm>
                        <a:prstGeom prst="rect">
                          <a:avLst/>
                        </a:prstGeom>
                        <a:solidFill>
                          <a:schemeClr val="lt1"/>
                        </a:solidFill>
                        <a:ln w="6350">
                          <a:noFill/>
                        </a:ln>
                      </wps:spPr>
                      <wps:txbx>
                        <w:txbxContent>
                          <w:p>
                            <w:pPr>
                              <w:rPr>
                                <w:rFonts w:ascii="黑体" w:hAnsi="黑体" w:eastAsia="黑体"/>
                                <w:sz w:val="28"/>
                                <w:szCs w:val="36"/>
                              </w:rPr>
                            </w:pPr>
                            <w:r>
                              <w:rPr>
                                <w:rFonts w:hint="eastAsia" w:ascii="黑体" w:hAnsi="黑体" w:eastAsia="黑体"/>
                                <w:sz w:val="28"/>
                                <w:szCs w:val="36"/>
                              </w:rPr>
                              <w:t>XXXX - ×× - ××发布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4.9pt;margin-top:670.9pt;height:48.8pt;width:169.65pt;z-index:251663360;mso-width-relative:page;mso-height-relative:page;" fillcolor="#FFFFFF [3201]" filled="t" stroked="f" coordsize="21600,21600" o:gfxdata="UEsDBAoAAAAAAIdO4kAAAAAAAAAAAAAAAAAEAAAAZHJzL1BLAwQUAAAACACHTuJA94xyqtcAAAAM&#10;AQAADwAAAGRycy9kb3ducmV2LnhtbE2PS0/DMBCE70j8B2srcWudNAGREKcHJK5I9HV24yWJaq8j&#10;233+epYT3HZnRrPfNqurs+KMIY6eFOSLDARS581IvYLt5mP+CiImTUZbT6jghhFW7eNDo2vjL/SF&#10;53XqBZdQrLWCIaWpljJ2AzodF35CYu/bB6cTr6GXJugLlzsrl1n2Ip0eiS8MesL3Abvj+uQU7Ht3&#10;3+/yKQzG2ZI+77fN1o9KPc3y7A1Ewmv6C8MvPqNDy0wHfyIThVUwr5g8sV6UOU+cKJbVM4gDS2VR&#10;lSDbRv5/ov0BUEsDBBQAAAAIAIdO4kAUgNtiPQIAAI4EAAAOAAAAZHJzL2Uyb0RvYy54bWytVE2P&#10;2jAQvVfqf7B8L+G7BRFWFERVCXVXYquejeMQS7bHtQ0J/fUdO4Gl2x72UA5hPDN54/dmJouHRity&#10;Fs5LMDkd9PqUCMOhkOaY0+/P2w+fKPGBmYIpMCKnF+Hpw/L9u0Vt52IIFahCOIIgxs9rm9MqBDvP&#10;Ms8roZnvgRUGgyU4zQIe3TErHKsRXats2O9PsxpcYR1w4T16N22QdojuLYBQlpKLDfCTFia0qE4o&#10;FpCSr6T1dJluW5aCh8ey9CIQlVNkGtITi6B9iM9suWDzo2O2kry7AnvLFV5x0kwaLHqD2rDAyMnJ&#10;v6C05A48lKHHQWctkaQIshj0X2mzr5gViQtK7e1NdP//YPm385MjssjpiBLDNDb8WTSBfIaGjKI6&#10;tfVzTNpbTAsNunFmrn6Pzki6KZ2O/0iHYBy1vdy0jWAcncPBZDycjinhGJsOZrPRMMJkL29b58MX&#10;AZpEI6cOe5ckZeedD23qNSUW86BksZVKpYM7HtbKkTPDPm/Tr0P/I00ZUmP10aSfkA3E91toZfAy&#10;kWxLKlqhOTSdAgcoLiiAg3aAvOVbibfcMR+emMOJQc64U+ERH6UCLAKdRUkF7te//DEfG4lRSmqc&#10;wJz6nyfmBCXqq8EWzwbjcRzZdBhPPg7x4O4jh/uIOek1IPkBbq/lyYz5QV3N0oH+gau3ilUxxAzH&#10;2jkNV3Md2r3A1eVitUpJOKSWhZ3ZWx6ho9QGVqcApUwtiTK12nTq4ZimpnYrFffg/pyyXj4j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3jHKq1wAAAAwBAAAPAAAAAAAAAAEAIAAAACIAAABkcnMv&#10;ZG93bnJldi54bWxQSwECFAAUAAAACACHTuJAFIDbYj0CAACOBAAADgAAAAAAAAABACAAAAAmAQAA&#10;ZHJzL2Uyb0RvYy54bWxQSwUGAAAAAAYABgBZAQAA1QUAAAAA&#10;">
                <v:fill on="t" focussize="0,0"/>
                <v:stroke on="f" weight="0.5pt"/>
                <v:imagedata o:title=""/>
                <o:lock v:ext="edit" aspectratio="f"/>
                <v:textbox>
                  <w:txbxContent>
                    <w:p>
                      <w:pPr>
                        <w:rPr>
                          <w:rFonts w:ascii="黑体" w:hAnsi="黑体" w:eastAsia="黑体"/>
                          <w:sz w:val="28"/>
                          <w:szCs w:val="36"/>
                        </w:rPr>
                      </w:pPr>
                      <w:r>
                        <w:rPr>
                          <w:rFonts w:hint="eastAsia" w:ascii="黑体" w:hAnsi="黑体" w:eastAsia="黑体"/>
                          <w:sz w:val="28"/>
                          <w:szCs w:val="36"/>
                        </w:rPr>
                        <w:t>XXXX - ×× - ××发布</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8517255</wp:posOffset>
                </wp:positionV>
                <wp:extent cx="2154555" cy="619760"/>
                <wp:effectExtent l="0" t="0" r="5080" b="2540"/>
                <wp:wrapNone/>
                <wp:docPr id="4" name="Text Box 4"/>
                <wp:cNvGraphicFramePr/>
                <a:graphic xmlns:a="http://schemas.openxmlformats.org/drawingml/2006/main">
                  <a:graphicData uri="http://schemas.microsoft.com/office/word/2010/wordprocessingShape">
                    <wps:wsp>
                      <wps:cNvSpPr txBox="1"/>
                      <wps:spPr>
                        <a:xfrm>
                          <a:off x="0" y="0"/>
                          <a:ext cx="2154264" cy="619932"/>
                        </a:xfrm>
                        <a:prstGeom prst="rect">
                          <a:avLst/>
                        </a:prstGeom>
                        <a:solidFill>
                          <a:schemeClr val="lt1"/>
                        </a:solidFill>
                        <a:ln w="6350">
                          <a:noFill/>
                        </a:ln>
                      </wps:spPr>
                      <wps:txbx>
                        <w:txbxContent>
                          <w:p>
                            <w:pPr>
                              <w:rPr>
                                <w:rFonts w:ascii="黑体" w:hAnsi="黑体" w:eastAsia="黑体"/>
                                <w:sz w:val="28"/>
                                <w:szCs w:val="36"/>
                              </w:rPr>
                            </w:pPr>
                            <w:r>
                              <w:rPr>
                                <w:rFonts w:hint="eastAsia" w:ascii="黑体" w:hAnsi="黑体" w:eastAsia="黑体"/>
                                <w:sz w:val="28"/>
                                <w:szCs w:val="36"/>
                              </w:rPr>
                              <w:t>XXXX - ×× - ××实施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317.75pt;margin-top:670.65pt;height:48.8pt;width:169.65pt;z-index:251659264;mso-width-relative:page;mso-height-relative:page;" fillcolor="#FFFFFF [3201]" filled="t" stroked="f" coordsize="21600,21600" o:gfxdata="UEsDBAoAAAAAAIdO4kAAAAAAAAAAAAAAAAAEAAAAZHJzL1BLAwQUAAAACACHTuJAKikR2tgAAAAN&#10;AQAADwAAAGRycy9kb3ducmV2LnhtbE2PS0/DMBCE70j8B2uRuFEnJC1tGqcHJK5I9HV24yWOGq8j&#10;233+epYTHHfm0+xMvbq6QZwxxN6TgnySgUBqvempU7DdfLzMQcSkyejBEyq4YYRV8/hQ68r4C33h&#10;eZ06wSEUK63ApjRWUsbWotNx4kck9r59cDrxGTppgr5wuBvka5bNpNM98QerR3y32B7XJ6dg37n7&#10;fpePwRo3lPR5v222vlfq+SnPliASXtMfDL/1uTo03OngT2SiGBTMiumUUTaKMi9AMLJ4K3nNgaWy&#10;mC9ANrX8v6L5AVBLAwQUAAAACACHTuJAdmjPJD4CAACOBAAADgAAAGRycy9lMm9Eb2MueG1srVTB&#10;jtowEL1X6j9YvpdAFmhBhBUFUVVadVdiq56N4xBLtse1DQn9+o6dwNJtD3sohzCembzxezOTxX2r&#10;FTkJ5yWYgo4GQ0qE4VBKcyjo9+fth0+U+MBMyRQYUdCz8PR++f7dorFzkUMNqhSOIIjx88YWtA7B&#10;zrPM81po5gdghcFgBU6zgEd3yErHGkTXKsuHw2nWgCutAy68R++mC9Ie0b0FEKpKcrEBftTChA7V&#10;CcUCUvK1tJ4u022rSvDwWFVeBKIKikxDemIRtPfxmS0XbH5wzNaS91dgb7nCK06aSYNFr1AbFhg5&#10;OvkXlJbcgYcqDDjorCOSFEEWo+ErbXY1syJxQam9vYru/x8s/3Z6ckSWBR1TYpjGhj+LNpDP0JJx&#10;VKexfo5JO4tpoUU3zszF79EZSbeV0/Ef6RCMo7bnq7YRjKMzH03G+RSLcIxNR7PZXR5hspe3rfPh&#10;iwBNolFQh71LkrLTgw9d6iUlFvOgZLmVSqWDO+zXypETwz5v069H/yNNGdJg9bvJMCEbiO930Mrg&#10;ZSLZjlS0QrtvewX2UJ5RAAfdAHnLtxJv+cB8eGIOJwY5406FR3xUCrAI9BYlNbhf//LHfGwkRilp&#10;cAIL6n8emROUqK8GWzwbjcdxZNNhPPmY48HdRva3EXPUa0DyI9xey5MZ84O6mJUD/QNXbxWrYogZ&#10;jrULGi7mOnR7gavLxWqVknBILQsPZmd5hI5SG1gdA1QytSTK1GnTq4djmprar1Tcg9tzynr5j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opEdrYAAAADQEAAA8AAAAAAAAAAQAgAAAAIgAAAGRy&#10;cy9kb3ducmV2LnhtbFBLAQIUABQAAAAIAIdO4kB2aM8kPgIAAI4EAAAOAAAAAAAAAAEAIAAAACcB&#10;AABkcnMvZTJvRG9jLnhtbFBLBQYAAAAABgAGAFkBAADXBQAAAAA=&#10;">
                <v:fill on="t" focussize="0,0"/>
                <v:stroke on="f" weight="0.5pt"/>
                <v:imagedata o:title=""/>
                <o:lock v:ext="edit" aspectratio="f"/>
                <v:textbox>
                  <w:txbxContent>
                    <w:p>
                      <w:pPr>
                        <w:rPr>
                          <w:rFonts w:ascii="黑体" w:hAnsi="黑体" w:eastAsia="黑体"/>
                          <w:sz w:val="28"/>
                          <w:szCs w:val="36"/>
                        </w:rPr>
                      </w:pPr>
                      <w:r>
                        <w:rPr>
                          <w:rFonts w:hint="eastAsia" w:ascii="黑体" w:hAnsi="黑体" w:eastAsia="黑体"/>
                          <w:sz w:val="28"/>
                          <w:szCs w:val="36"/>
                        </w:rPr>
                        <w:t>XXXX - ×× - ××实施</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396240</wp:posOffset>
                </wp:positionV>
                <wp:extent cx="866775" cy="198120"/>
                <wp:effectExtent l="0" t="0" r="0" b="0"/>
                <wp:wrapNone/>
                <wp:docPr id="158" name="BAH"/>
                <wp:cNvGraphicFramePr/>
                <a:graphic xmlns:a="http://schemas.openxmlformats.org/drawingml/2006/main">
                  <a:graphicData uri="http://schemas.microsoft.com/office/word/2010/wordprocessingShape">
                    <wps:wsp>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31.2pt;height:15.6pt;width:68.25pt;z-index:-251652096;mso-width-relative:page;mso-height-relative:page;" fillcolor="#FFFFFF" filled="t" stroked="f" coordsize="21600,21600"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ARTAGg9QEAAPIDAAAOAAAAZHJzL2Uyb0RvYy54bWytU9tu&#10;2zAMfR+wfxD0vjgOcqtRp+gaZBuwS4FuH6DIcixAEjVKiZN9/Sg5zbLupQ/zg0GK1CHPIXV7d7SG&#10;HRQGDa7m5WjMmXISGu12Nf/xffNuyVmIwjXCgFM1P6nA71Zv39z2vlIT6MA0ChmBuFD1vuZdjL4q&#10;iiA7ZUUYgVeOgi2gFZFc3BUNip7QrSkm4/G86AEbjyBVCHS6HoL8jIivAYS21VKtQe6tcnFARWVE&#10;JEqh0z7wVe62bZWM39o2qMhMzYlpzH8qQvY2/YvVrah2KHyn5bkF8ZoWXnCyQjsqeoFaiyjYHvU/&#10;UFZLhABtHEmwxUAkK0IsyvELbZ464VXmQlIHfxE9/D9Y+fXwiEw3tAkzGrwTlkb+/v5jEqb3oaL4&#10;k3/EsxfIZNv+CzSUJfYRMudjizZxJzbsmKU9XaRVx8gkHS7n88VixpmkUHmzLCdZ+kJUz5c9hvhB&#10;gWXJqDnS5DK4OHwOkcpT6nNKqhXA6GajjckO7rYPBtlB0JQ3+Uv905W/0oxLyQ7StSGcTopEMxEb&#10;CG+hORFJhGFV6KGQ0QH+4qynNal5+LkXqDgznxzN4aacTtNeZWc6WxAvhteR7XVEOElQNY+cDeZD&#10;HHZx71HvOqpUZtIO7kncVmfiqb+hq3OztAqZ3Hlt065d+znrz1N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GQBT1wAAAAkBAAAPAAAAAAAAAAEAIAAAACIAAABkcnMvZG93bnJldi54bWxQSwEC&#10;FAAUAAAACACHTuJAEUwBoPUBAADyAwAADgAAAAAAAAABACAAAAAmAQAAZHJzL2Uyb0RvYy54bWxQ&#10;SwUGAAAAAAYABgBZAQAAjQUAAAAA&#10;">
                <v:fill on="t" focussize="0,0"/>
                <v:stroke on="f"/>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635"/>
                <wp:effectExtent l="0" t="0" r="0" b="0"/>
                <wp:wrapNone/>
                <wp:docPr id="157" name="直接连接符 4"/>
                <wp:cNvGraphicFramePr/>
                <a:graphic xmlns:a="http://schemas.openxmlformats.org/drawingml/2006/main">
                  <a:graphicData uri="http://schemas.microsoft.com/office/word/2010/wordprocessingShape">
                    <wps:wsp>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直接连接符 4" o:spid="_x0000_s1026" o:spt="20" style="position:absolute;left:0pt;margin-left:-0.05pt;margin-top:184.25pt;height:0.05pt;width:481.9pt;z-index:251661312;mso-width-relative:page;mso-height-relative:page;" filled="f" stroked="t" coordsize="21600,21600" o:gfxdata="UEsDBAoAAAAAAIdO4kAAAAAAAAAAAAAAAAAEAAAAZHJzL1BLAwQUAAAACACHTuJA68e0/NcAAAAJ&#10;AQAADwAAAGRycy9kb3ducmV2LnhtbE2PzU7DMBCE70h9B2uRuFStnUaEEuL0UMiNC20R1228JBHx&#10;Oo3dH3h6DBc4zs5o5ttidbG9ONHoO8cakrkCQVw703GjYbetZksQPiAb7B2Thk/ysConVwXmxp35&#10;hU6b0IhYwj5HDW0IQy6lr1uy6OduII7euxsthijHRpoRz7Hc9nKhVCYtdhwXWhxo3VL9sTlaDb56&#10;pUP1Na2n6i1tHC0Oj89PqPXNdaIeQAS6hL8w/OBHdCgj094d2XjRa5glMaghzZa3IKJ/n6V3IPa/&#10;lwxkWcj/H5TfUEsDBBQAAAAIAIdO4kAH/kZEzAEAAHwDAAAOAAAAZHJzL2Uyb0RvYy54bWytU81u&#10;EzEQviPxDpbvZJOUhLLKpodG5cJPJeABHNubtWR7LI+TTV6CF0DiBieO3Ps2lMfo2JsGKJce2IPl&#10;+ftmvm+8i4u9s2ynIxrwDZ+MxpxpL0EZv2n4xw9Xz845wyS8Eha8bvhBI79YPn2y6EOtp9CBVToy&#10;AvFY96HhXUqhriqUnXYCRxC0p2AL0YlEZtxUKoqe0J2tpuPxvOohqhBBakTyroYgPyLGxwBC2xqp&#10;VyC3Tvs0oEZtRSJK2JmAfFmmbVst07u2RZ2YbTgxTeWkJnRf57NaLkS9iSJ0Rh5HEI8Z4QEnJ4yn&#10;pieolUiCbaP5B8oZGQGhTSMJrhqIFEWIxWT8QJv3nQi6cCGpMZxEx/8HK9/uriMzil7C7AVnXjha&#10;+e3nHz8/ff1184XO2+/f2PMsUx+wpuxLfx2PFgYqXfdvQFGN2CYoCuzb6LISxI3ti9CHk9B6n5gk&#10;53xCbM9oB5Ji87NZxq9EfV8aIqZXGhzLl4Zb47MKoha715iG1PuU7PZwZawlv6itZ33DX86ms1KA&#10;YI3KwRzDuFlf2sh2Ir+F8h37/pUWYevV0MR6GivzzkwHBdagDkWA4qellMGPDyhv/U+7VP/+aZZ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8e0/NcAAAAJAQAADwAAAAAAAAABACAAAAAiAAAAZHJz&#10;L2Rvd25yZXYueG1sUEsBAhQAFAAAAAgAh07iQAf+RkTMAQAAfAMAAA4AAAAAAAAAAQAgAAAAJg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8891905</wp:posOffset>
                </wp:positionV>
                <wp:extent cx="6120130" cy="635"/>
                <wp:effectExtent l="0" t="0" r="0" b="0"/>
                <wp:wrapNone/>
                <wp:docPr id="156" name="直接连接符 3"/>
                <wp:cNvGraphicFramePr/>
                <a:graphic xmlns:a="http://schemas.openxmlformats.org/drawingml/2006/main">
                  <a:graphicData uri="http://schemas.microsoft.com/office/word/2010/wordprocessingShape">
                    <wps:wsp>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0.05pt;margin-top:700.15pt;height:0.05pt;width:481.9pt;z-index:251665408;mso-width-relative:page;mso-height-relative:page;" filled="f" stroked="t" coordsize="21600,21600" o:gfxdata="UEsDBAoAAAAAAIdO4kAAAAAAAAAAAAAAAAAEAAAAZHJzL1BLAwQUAAAACACHTuJAkE6HudcAAAAL&#10;AQAADwAAAGRycy9kb3ducmV2LnhtbE2PPU/DQAyGdyT+w8lILFV7l6YqJeTSAcjGQgF1dROTROR8&#10;ae76Ab8eIwYY/frR68f5+ux6daQxdJ4tJDMDirjydceNhdeXcroCFSJyjb1nsvBJAdbF5UWOWe1P&#10;/EzHTWyUlHDI0EIb45BpHaqWHIaZH4hl9+5Hh1HGsdH1iCcpd72eG7PUDjuWCy0OdN9S9bE5OAuh&#10;fKN9+TWpJmabNp7m+4enR7T2+ioxd6AineMfDD/6og6FOO38geugegvTRECJF8akoAS4XaY3oHa/&#10;0QJ0kev/PxTfUEsDBBQAAAAIAIdO4kA3pakozAEAAHwDAAAOAAAAZHJzL2Uyb0RvYy54bWytU0uO&#10;EzEQ3SNxB8t70vkoEbTSmcVEw4bPSMABKrY7bcl2WbaTTi7BBZDYwYole27DzDEouzOBmdnMgl5Y&#10;rt+req/cy4uDNWyvQtToGj4ZjTlTTqDUbtvwTx+vXrzkLCZwEgw61fCjivxi9fzZsve1mmKHRqrA&#10;CMTFuvcN71LydVVF0SkLcYReOQq2GCwkMsO2kgF6Qremmo7Hi6rHIH1AoWIk73oI8hNieAogtq0W&#10;ao1iZ5VLA2pQBhJRip32ka/KtG2rRHrftlElZhpOTFM5qQndN/msVkuotwF8p8VpBHjKCA84WdCO&#10;mp6h1pCA7YJ+BGW1CBixTSOBthqIFEWIxWT8QJsPHXhVuJDU0Z9Fj/8PVrzbXwemJb2E+YIzB5ZW&#10;fvPl5+/P325/faXz5sd3Nssy9T7WlH3prsPJip5KN/1blFQDu4RFgUMbbFaCuLFDEfp4FlodEhPk&#10;XEyI7Yx2ICi2mM0zfgX1XakPMb1WaFm+NNxol1WAGvZvYhpS71Ky2+GVNob8UBvH+oa/mk/npSCi&#10;0TIHcyyG7ebSBLaH/BbKd+p7Ly3gzsmhiXE0VuadmQ4KbFAeiwDFT0spg58eUN76v3ap/vv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E6HudcAAAALAQAADwAAAAAAAAABACAAAAAiAAAAZHJz&#10;L2Rvd25yZXYueG1sUEsBAhQAFAAAAAgAh07iQDelqSjMAQAAfAMAAA4AAAAAAAAAAQAgAAAAJgEA&#10;AGRycy9lMm9Eb2MueG1sUEsFBgAAAAAGAAYAWQEAAGQFAAAAAA==&#10;">
                <v:fill on="f" focussize="0,0"/>
                <v:stroke color="#000000" joinstyle="round"/>
                <v:imagedata o:title=""/>
                <o:lock v:ext="edit" aspectratio="f"/>
              </v:line>
            </w:pict>
          </mc:Fallback>
        </mc:AlternateContent>
      </w:r>
    </w:p>
    <w:p>
      <w:pPr>
        <w:pStyle w:val="52"/>
      </w:pPr>
      <w:bookmarkStart w:id="8" w:name="_Toc105021468"/>
      <w:bookmarkStart w:id="9" w:name="_Toc97307956"/>
      <w:bookmarkStart w:id="10" w:name="_Toc118127226"/>
      <w:bookmarkStart w:id="11" w:name="_Toc106354514"/>
      <w:bookmarkStart w:id="12" w:name="_Toc97308047"/>
      <w:r>
        <w:rPr>
          <w:rFonts w:hint="eastAsia"/>
        </w:rPr>
        <w:t>目</w:t>
      </w:r>
      <w:r>
        <w:rPr>
          <w:rFonts w:hAnsi="黑体"/>
        </w:rPr>
        <w:t>  </w:t>
      </w:r>
      <w:r>
        <w:rPr>
          <w:rFonts w:hint="eastAsia"/>
        </w:rPr>
        <w:t>次</w:t>
      </w:r>
      <w:bookmarkEnd w:id="8"/>
      <w:bookmarkEnd w:id="9"/>
      <w:bookmarkEnd w:id="10"/>
      <w:bookmarkEnd w:id="11"/>
      <w:bookmarkEnd w:id="12"/>
    </w:p>
    <w:sdt>
      <w:sdtPr>
        <w:rPr>
          <w:rFonts w:ascii="宋体" w:hAnsi="宋体"/>
          <w:b w:val="0"/>
          <w:bCs w:val="0"/>
          <w:i w:val="0"/>
          <w:iCs w:val="0"/>
          <w:sz w:val="21"/>
          <w:szCs w:val="21"/>
        </w:rPr>
        <w:id w:val="877892425"/>
        <w:docPartObj>
          <w:docPartGallery w:val="Table of Contents"/>
          <w:docPartUnique/>
        </w:docPartObj>
      </w:sdtPr>
      <w:sdtEndPr>
        <w:rPr>
          <w:rFonts w:asciiTheme="minorHAnsi" w:hAnsiTheme="minorHAnsi"/>
          <w:b w:val="0"/>
          <w:bCs w:val="0"/>
          <w:i/>
          <w:iCs/>
          <w:sz w:val="24"/>
          <w:szCs w:val="24"/>
        </w:rPr>
      </w:sdtEndPr>
      <w:sdtContent>
        <w:p>
          <w:pPr>
            <w:pStyle w:val="22"/>
            <w:tabs>
              <w:tab w:val="right" w:leader="dot" w:pos="9344"/>
            </w:tabs>
            <w:rPr>
              <w:rFonts w:eastAsiaTheme="minorEastAsia" w:cstheme="minorBidi"/>
              <w:b w:val="0"/>
              <w:bCs w:val="0"/>
              <w:i w:val="0"/>
              <w:iCs w:val="0"/>
              <w:sz w:val="21"/>
              <w:szCs w:val="22"/>
            </w:rPr>
          </w:pPr>
          <w:r>
            <w:rPr>
              <w:rFonts w:ascii="宋体" w:hAnsi="宋体"/>
              <w:b w:val="0"/>
              <w:bCs w:val="0"/>
              <w:i w:val="0"/>
              <w:iCs w:val="0"/>
              <w:sz w:val="22"/>
              <w:szCs w:val="22"/>
            </w:rPr>
            <w:fldChar w:fldCharType="begin"/>
          </w:r>
          <w:r>
            <w:rPr>
              <w:rFonts w:ascii="宋体" w:hAnsi="宋体"/>
              <w:b w:val="0"/>
              <w:bCs w:val="0"/>
              <w:i w:val="0"/>
              <w:iCs w:val="0"/>
              <w:sz w:val="22"/>
              <w:szCs w:val="22"/>
            </w:rPr>
            <w:instrText xml:space="preserve"> TOC \o "1-2" \h \z \u </w:instrText>
          </w:r>
          <w:r>
            <w:rPr>
              <w:rFonts w:ascii="宋体" w:hAnsi="宋体"/>
              <w:b w:val="0"/>
              <w:bCs w:val="0"/>
              <w:i w:val="0"/>
              <w:iCs w:val="0"/>
              <w:sz w:val="22"/>
              <w:szCs w:val="22"/>
            </w:rPr>
            <w:fldChar w:fldCharType="separate"/>
          </w:r>
        </w:p>
        <w:p>
          <w:pPr>
            <w:pStyle w:val="22"/>
            <w:tabs>
              <w:tab w:val="right" w:leader="dot" w:pos="9344"/>
            </w:tabs>
            <w:rPr>
              <w:rFonts w:eastAsiaTheme="minorEastAsia" w:cstheme="minorBidi"/>
              <w:b w:val="0"/>
              <w:bCs w:val="0"/>
              <w:i w:val="0"/>
              <w:iCs w:val="0"/>
              <w:sz w:val="22"/>
              <w:szCs w:val="22"/>
            </w:rPr>
          </w:pPr>
          <w:r>
            <w:fldChar w:fldCharType="begin"/>
          </w:r>
          <w:r>
            <w:instrText xml:space="preserve"> HYPERLINK \l "_Toc118127227" </w:instrText>
          </w:r>
          <w:r>
            <w:fldChar w:fldCharType="separate"/>
          </w:r>
          <w:r>
            <w:rPr>
              <w:rStyle w:val="41"/>
              <w:b w:val="0"/>
              <w:bCs w:val="0"/>
              <w:i w:val="0"/>
              <w:iCs w:val="0"/>
              <w:sz w:val="22"/>
              <w:szCs w:val="22"/>
            </w:rPr>
            <w:t>前</w:t>
          </w:r>
          <w:r>
            <w:rPr>
              <w:rStyle w:val="41"/>
              <w:rFonts w:hAnsi="黑体"/>
              <w:b w:val="0"/>
              <w:bCs w:val="0"/>
              <w:i w:val="0"/>
              <w:iCs w:val="0"/>
              <w:sz w:val="22"/>
              <w:szCs w:val="22"/>
            </w:rPr>
            <w:t>  </w:t>
          </w:r>
          <w:r>
            <w:rPr>
              <w:rStyle w:val="41"/>
              <w:b w:val="0"/>
              <w:bCs w:val="0"/>
              <w:i w:val="0"/>
              <w:iCs w:val="0"/>
              <w:sz w:val="22"/>
              <w:szCs w:val="22"/>
            </w:rPr>
            <w:t>言</w:t>
          </w:r>
          <w:r>
            <w:rPr>
              <w:b w:val="0"/>
              <w:bCs w:val="0"/>
              <w:i w:val="0"/>
              <w:iCs w:val="0"/>
              <w:sz w:val="22"/>
              <w:szCs w:val="22"/>
            </w:rPr>
            <w:tab/>
          </w:r>
          <w:r>
            <w:rPr>
              <w:b w:val="0"/>
              <w:bCs w:val="0"/>
              <w:i w:val="0"/>
              <w:iCs w:val="0"/>
              <w:sz w:val="22"/>
              <w:szCs w:val="22"/>
            </w:rPr>
            <w:fldChar w:fldCharType="begin"/>
          </w:r>
          <w:r>
            <w:rPr>
              <w:b w:val="0"/>
              <w:bCs w:val="0"/>
              <w:i w:val="0"/>
              <w:iCs w:val="0"/>
              <w:sz w:val="22"/>
              <w:szCs w:val="22"/>
            </w:rPr>
            <w:instrText xml:space="preserve"> PAGEREF _Toc118127227 \h </w:instrText>
          </w:r>
          <w:r>
            <w:rPr>
              <w:b w:val="0"/>
              <w:bCs w:val="0"/>
              <w:i w:val="0"/>
              <w:iCs w:val="0"/>
              <w:sz w:val="22"/>
              <w:szCs w:val="22"/>
            </w:rPr>
            <w:fldChar w:fldCharType="separate"/>
          </w:r>
          <w:r>
            <w:rPr>
              <w:b w:val="0"/>
              <w:bCs w:val="0"/>
              <w:i w:val="0"/>
              <w:iCs w:val="0"/>
              <w:sz w:val="22"/>
              <w:szCs w:val="22"/>
            </w:rPr>
            <w:t>II</w:t>
          </w:r>
          <w:r>
            <w:rPr>
              <w:b w:val="0"/>
              <w:bCs w:val="0"/>
              <w:i w:val="0"/>
              <w:iCs w:val="0"/>
              <w:sz w:val="22"/>
              <w:szCs w:val="22"/>
            </w:rPr>
            <w:fldChar w:fldCharType="end"/>
          </w:r>
          <w:r>
            <w:rPr>
              <w:b w:val="0"/>
              <w:bCs w:val="0"/>
              <w:i w:val="0"/>
              <w:iCs w:val="0"/>
              <w:sz w:val="22"/>
              <w:szCs w:val="22"/>
            </w:rPr>
            <w:fldChar w:fldCharType="end"/>
          </w:r>
        </w:p>
        <w:p>
          <w:pPr>
            <w:pStyle w:val="31"/>
            <w:tabs>
              <w:tab w:val="right" w:leader="dot" w:pos="9344"/>
            </w:tabs>
            <w:rPr>
              <w:rFonts w:eastAsiaTheme="minorEastAsia" w:cstheme="minorBidi"/>
              <w:b w:val="0"/>
              <w:bCs w:val="0"/>
            </w:rPr>
          </w:pPr>
          <w:r>
            <w:fldChar w:fldCharType="begin"/>
          </w:r>
          <w:r>
            <w:instrText xml:space="preserve"> HYPERLINK \l "_Toc118127229" </w:instrText>
          </w:r>
          <w:r>
            <w:fldChar w:fldCharType="separate"/>
          </w:r>
          <w:r>
            <w:rPr>
              <w:rStyle w:val="41"/>
              <w:b w:val="0"/>
              <w:bCs w:val="0"/>
              <w:szCs w:val="22"/>
            </w:rPr>
            <w:t>1 范围</w:t>
          </w:r>
          <w:r>
            <w:rPr>
              <w:b w:val="0"/>
              <w:bCs w:val="0"/>
            </w:rPr>
            <w:tab/>
          </w:r>
          <w:r>
            <w:rPr>
              <w:b w:val="0"/>
              <w:bCs w:val="0"/>
            </w:rPr>
            <w:fldChar w:fldCharType="begin"/>
          </w:r>
          <w:r>
            <w:rPr>
              <w:b w:val="0"/>
              <w:bCs w:val="0"/>
            </w:rPr>
            <w:instrText xml:space="preserve"> PAGEREF _Toc118127229 \h </w:instrText>
          </w:r>
          <w:r>
            <w:rPr>
              <w:b w:val="0"/>
              <w:bCs w:val="0"/>
            </w:rPr>
            <w:fldChar w:fldCharType="separate"/>
          </w:r>
          <w:r>
            <w:rPr>
              <w:b w:val="0"/>
              <w:bCs w:val="0"/>
            </w:rPr>
            <w:t>3</w:t>
          </w:r>
          <w:r>
            <w:rPr>
              <w:b w:val="0"/>
              <w:bCs w:val="0"/>
            </w:rPr>
            <w:fldChar w:fldCharType="end"/>
          </w:r>
          <w:r>
            <w:rPr>
              <w:b w:val="0"/>
              <w:bCs w:val="0"/>
            </w:rPr>
            <w:fldChar w:fldCharType="end"/>
          </w:r>
        </w:p>
        <w:p>
          <w:pPr>
            <w:pStyle w:val="31"/>
            <w:tabs>
              <w:tab w:val="right" w:leader="dot" w:pos="9344"/>
            </w:tabs>
            <w:rPr>
              <w:rFonts w:eastAsiaTheme="minorEastAsia" w:cstheme="minorBidi"/>
              <w:b w:val="0"/>
              <w:bCs w:val="0"/>
            </w:rPr>
          </w:pPr>
          <w:r>
            <w:fldChar w:fldCharType="begin"/>
          </w:r>
          <w:r>
            <w:instrText xml:space="preserve"> HYPERLINK \l "_Toc118127230" </w:instrText>
          </w:r>
          <w:r>
            <w:fldChar w:fldCharType="separate"/>
          </w:r>
          <w:r>
            <w:rPr>
              <w:rStyle w:val="41"/>
              <w:b w:val="0"/>
              <w:bCs w:val="0"/>
              <w:szCs w:val="22"/>
            </w:rPr>
            <w:t>2 规范性引用文件</w:t>
          </w:r>
          <w:r>
            <w:rPr>
              <w:b w:val="0"/>
              <w:bCs w:val="0"/>
            </w:rPr>
            <w:tab/>
          </w:r>
          <w:r>
            <w:rPr>
              <w:b w:val="0"/>
              <w:bCs w:val="0"/>
            </w:rPr>
            <w:fldChar w:fldCharType="begin"/>
          </w:r>
          <w:r>
            <w:rPr>
              <w:b w:val="0"/>
              <w:bCs w:val="0"/>
            </w:rPr>
            <w:instrText xml:space="preserve"> PAGEREF _Toc118127230 \h </w:instrText>
          </w:r>
          <w:r>
            <w:rPr>
              <w:b w:val="0"/>
              <w:bCs w:val="0"/>
            </w:rPr>
            <w:fldChar w:fldCharType="separate"/>
          </w:r>
          <w:r>
            <w:rPr>
              <w:b w:val="0"/>
              <w:bCs w:val="0"/>
            </w:rPr>
            <w:t>3</w:t>
          </w:r>
          <w:r>
            <w:rPr>
              <w:b w:val="0"/>
              <w:bCs w:val="0"/>
            </w:rPr>
            <w:fldChar w:fldCharType="end"/>
          </w:r>
          <w:r>
            <w:rPr>
              <w:b w:val="0"/>
              <w:bCs w:val="0"/>
            </w:rPr>
            <w:fldChar w:fldCharType="end"/>
          </w:r>
        </w:p>
        <w:p>
          <w:pPr>
            <w:pStyle w:val="31"/>
            <w:tabs>
              <w:tab w:val="right" w:leader="dot" w:pos="9344"/>
            </w:tabs>
            <w:rPr>
              <w:rFonts w:eastAsiaTheme="minorEastAsia" w:cstheme="minorBidi"/>
              <w:b w:val="0"/>
              <w:bCs w:val="0"/>
            </w:rPr>
          </w:pPr>
          <w:r>
            <w:fldChar w:fldCharType="begin"/>
          </w:r>
          <w:r>
            <w:instrText xml:space="preserve"> HYPERLINK \l "_Toc118127231" </w:instrText>
          </w:r>
          <w:r>
            <w:fldChar w:fldCharType="separate"/>
          </w:r>
          <w:r>
            <w:rPr>
              <w:rStyle w:val="41"/>
              <w:b w:val="0"/>
              <w:bCs w:val="0"/>
              <w:szCs w:val="22"/>
            </w:rPr>
            <w:t>3 术语和定义</w:t>
          </w:r>
          <w:r>
            <w:rPr>
              <w:b w:val="0"/>
              <w:bCs w:val="0"/>
            </w:rPr>
            <w:tab/>
          </w:r>
          <w:r>
            <w:rPr>
              <w:b w:val="0"/>
              <w:bCs w:val="0"/>
            </w:rPr>
            <w:fldChar w:fldCharType="begin"/>
          </w:r>
          <w:r>
            <w:rPr>
              <w:b w:val="0"/>
              <w:bCs w:val="0"/>
            </w:rPr>
            <w:instrText xml:space="preserve"> PAGEREF _Toc118127231 \h </w:instrText>
          </w:r>
          <w:r>
            <w:rPr>
              <w:b w:val="0"/>
              <w:bCs w:val="0"/>
            </w:rPr>
            <w:fldChar w:fldCharType="separate"/>
          </w:r>
          <w:r>
            <w:rPr>
              <w:b w:val="0"/>
              <w:bCs w:val="0"/>
            </w:rPr>
            <w:t>3</w:t>
          </w:r>
          <w:r>
            <w:rPr>
              <w:b w:val="0"/>
              <w:bCs w:val="0"/>
            </w:rPr>
            <w:fldChar w:fldCharType="end"/>
          </w:r>
          <w:r>
            <w:rPr>
              <w:b w:val="0"/>
              <w:bCs w:val="0"/>
            </w:rPr>
            <w:fldChar w:fldCharType="end"/>
          </w:r>
        </w:p>
        <w:p>
          <w:pPr>
            <w:pStyle w:val="31"/>
            <w:tabs>
              <w:tab w:val="right" w:leader="dot" w:pos="9344"/>
            </w:tabs>
            <w:rPr>
              <w:b w:val="0"/>
              <w:bCs w:val="0"/>
            </w:rPr>
          </w:pPr>
          <w:r>
            <w:fldChar w:fldCharType="begin"/>
          </w:r>
          <w:r>
            <w:instrText xml:space="preserve"> HYPERLINK \l "_Toc118127236" </w:instrText>
          </w:r>
          <w:r>
            <w:fldChar w:fldCharType="separate"/>
          </w:r>
          <w:r>
            <w:rPr>
              <w:rStyle w:val="41"/>
              <w:b w:val="0"/>
              <w:bCs w:val="0"/>
              <w:szCs w:val="22"/>
            </w:rPr>
            <w:t>4 核算原则与流程</w:t>
          </w:r>
          <w:r>
            <w:rPr>
              <w:b w:val="0"/>
              <w:bCs w:val="0"/>
            </w:rPr>
            <w:tab/>
          </w:r>
          <w:r>
            <w:rPr>
              <w:b w:val="0"/>
              <w:bCs w:val="0"/>
            </w:rPr>
            <w:t>4</w:t>
          </w:r>
          <w:r>
            <w:rPr>
              <w:b w:val="0"/>
              <w:bCs w:val="0"/>
            </w:rPr>
            <w:fldChar w:fldCharType="end"/>
          </w:r>
        </w:p>
        <w:p>
          <w:pPr>
            <w:pStyle w:val="31"/>
            <w:tabs>
              <w:tab w:val="right" w:leader="dot" w:pos="9344"/>
            </w:tabs>
          </w:pPr>
          <w:r>
            <w:fldChar w:fldCharType="begin"/>
          </w:r>
          <w:r>
            <w:instrText xml:space="preserve"> HYPERLINK \l "_Toc118127236" </w:instrText>
          </w:r>
          <w:r>
            <w:fldChar w:fldCharType="separate"/>
          </w:r>
          <w:r>
            <w:rPr>
              <w:rStyle w:val="41"/>
              <w:b w:val="0"/>
              <w:bCs w:val="0"/>
              <w:szCs w:val="22"/>
            </w:rPr>
            <w:t xml:space="preserve">5 </w:t>
          </w:r>
          <w:r>
            <w:rPr>
              <w:rStyle w:val="41"/>
              <w:rFonts w:hint="eastAsia"/>
              <w:b w:val="0"/>
              <w:bCs w:val="0"/>
              <w:szCs w:val="22"/>
            </w:rPr>
            <w:t>核算边界及碳排放源种类</w:t>
          </w:r>
          <w:r>
            <w:rPr>
              <w:b w:val="0"/>
              <w:bCs w:val="0"/>
            </w:rPr>
            <w:tab/>
          </w:r>
          <w:r>
            <w:rPr>
              <w:b w:val="0"/>
              <w:bCs w:val="0"/>
            </w:rPr>
            <w:t>4</w:t>
          </w:r>
          <w:r>
            <w:rPr>
              <w:b w:val="0"/>
              <w:bCs w:val="0"/>
            </w:rPr>
            <w:fldChar w:fldCharType="end"/>
          </w:r>
        </w:p>
        <w:p>
          <w:pPr>
            <w:pStyle w:val="31"/>
            <w:tabs>
              <w:tab w:val="right" w:leader="dot" w:pos="9344"/>
            </w:tabs>
            <w:rPr>
              <w:rFonts w:eastAsiaTheme="minorEastAsia" w:cstheme="minorBidi"/>
              <w:b w:val="0"/>
              <w:bCs w:val="0"/>
            </w:rPr>
          </w:pPr>
          <w:r>
            <w:fldChar w:fldCharType="begin"/>
          </w:r>
          <w:r>
            <w:instrText xml:space="preserve"> HYPERLINK \l "_Toc118127237" </w:instrText>
          </w:r>
          <w:r>
            <w:fldChar w:fldCharType="separate"/>
          </w:r>
          <w:r>
            <w:rPr>
              <w:rStyle w:val="41"/>
              <w:b w:val="0"/>
              <w:bCs w:val="0"/>
              <w:szCs w:val="22"/>
            </w:rPr>
            <w:t>6 核算方法</w:t>
          </w:r>
          <w:r>
            <w:rPr>
              <w:b w:val="0"/>
              <w:bCs w:val="0"/>
            </w:rPr>
            <w:tab/>
          </w:r>
          <w:r>
            <w:rPr>
              <w:b w:val="0"/>
              <w:bCs w:val="0"/>
            </w:rPr>
            <w:fldChar w:fldCharType="begin"/>
          </w:r>
          <w:r>
            <w:rPr>
              <w:b w:val="0"/>
              <w:bCs w:val="0"/>
            </w:rPr>
            <w:instrText xml:space="preserve"> PAGEREF _Toc118127237 \h </w:instrText>
          </w:r>
          <w:r>
            <w:rPr>
              <w:b w:val="0"/>
              <w:bCs w:val="0"/>
            </w:rPr>
            <w:fldChar w:fldCharType="separate"/>
          </w:r>
          <w:r>
            <w:rPr>
              <w:b w:val="0"/>
              <w:bCs w:val="0"/>
            </w:rPr>
            <w:t>4</w:t>
          </w:r>
          <w:r>
            <w:rPr>
              <w:b w:val="0"/>
              <w:bCs w:val="0"/>
            </w:rPr>
            <w:fldChar w:fldCharType="end"/>
          </w:r>
          <w:r>
            <w:rPr>
              <w:b w:val="0"/>
              <w:bCs w:val="0"/>
            </w:rPr>
            <w:fldChar w:fldCharType="end"/>
          </w:r>
        </w:p>
        <w:p>
          <w:pPr>
            <w:pStyle w:val="31"/>
            <w:tabs>
              <w:tab w:val="right" w:leader="dot" w:pos="9344"/>
            </w:tabs>
            <w:rPr>
              <w:b w:val="0"/>
              <w:bCs w:val="0"/>
            </w:rPr>
          </w:pPr>
          <w:r>
            <w:fldChar w:fldCharType="begin"/>
          </w:r>
          <w:r>
            <w:instrText xml:space="preserve"> HYPERLINK \l "_Toc118127243" </w:instrText>
          </w:r>
          <w:r>
            <w:fldChar w:fldCharType="separate"/>
          </w:r>
          <w:r>
            <w:rPr>
              <w:rStyle w:val="41"/>
              <w:b w:val="0"/>
              <w:bCs w:val="0"/>
              <w:szCs w:val="22"/>
            </w:rPr>
            <w:t>7 数据来源</w:t>
          </w:r>
          <w:r>
            <w:rPr>
              <w:b w:val="0"/>
              <w:bCs w:val="0"/>
            </w:rPr>
            <w:tab/>
          </w:r>
          <w:r>
            <w:rPr>
              <w:b w:val="0"/>
              <w:bCs w:val="0"/>
            </w:rPr>
            <w:fldChar w:fldCharType="end"/>
          </w:r>
          <w:r>
            <w:rPr>
              <w:b w:val="0"/>
              <w:bCs w:val="0"/>
            </w:rPr>
            <w:t>5</w:t>
          </w:r>
        </w:p>
        <w:p>
          <w:pPr>
            <w:pStyle w:val="31"/>
            <w:tabs>
              <w:tab w:val="right" w:leader="dot" w:pos="9344"/>
            </w:tabs>
          </w:pPr>
          <w:r>
            <w:fldChar w:fldCharType="begin"/>
          </w:r>
          <w:r>
            <w:instrText xml:space="preserve"> HYPERLINK \l "_Toc118127243" </w:instrText>
          </w:r>
          <w:r>
            <w:fldChar w:fldCharType="separate"/>
          </w:r>
          <w:r>
            <w:rPr>
              <w:rStyle w:val="41"/>
              <w:b w:val="0"/>
              <w:bCs w:val="0"/>
              <w:szCs w:val="22"/>
            </w:rPr>
            <w:t xml:space="preserve">8 </w:t>
          </w:r>
          <w:r>
            <w:rPr>
              <w:rStyle w:val="41"/>
              <w:rFonts w:hint="eastAsia"/>
              <w:b w:val="0"/>
              <w:bCs w:val="0"/>
              <w:szCs w:val="22"/>
            </w:rPr>
            <w:t>审定与核查要点</w:t>
          </w:r>
          <w:r>
            <w:rPr>
              <w:b w:val="0"/>
              <w:bCs w:val="0"/>
            </w:rPr>
            <w:tab/>
          </w:r>
          <w:r>
            <w:rPr>
              <w:b w:val="0"/>
              <w:bCs w:val="0"/>
            </w:rPr>
            <w:fldChar w:fldCharType="end"/>
          </w:r>
          <w:r>
            <w:rPr>
              <w:b w:val="0"/>
              <w:bCs w:val="0"/>
            </w:rPr>
            <w:t>6</w:t>
          </w:r>
        </w:p>
        <w:p>
          <w:pPr>
            <w:pStyle w:val="22"/>
            <w:tabs>
              <w:tab w:val="right" w:leader="dot" w:pos="9344"/>
            </w:tabs>
            <w:rPr>
              <w:rFonts w:eastAsiaTheme="minorEastAsia" w:cstheme="minorBidi"/>
              <w:b w:val="0"/>
              <w:bCs w:val="0"/>
              <w:i w:val="0"/>
              <w:iCs w:val="0"/>
              <w:sz w:val="22"/>
              <w:szCs w:val="22"/>
            </w:rPr>
          </w:pPr>
          <w:r>
            <w:fldChar w:fldCharType="begin"/>
          </w:r>
          <w:r>
            <w:instrText xml:space="preserve"> HYPERLINK \l "_Toc118127246" </w:instrText>
          </w:r>
          <w:r>
            <w:fldChar w:fldCharType="separate"/>
          </w:r>
          <w:r>
            <w:rPr>
              <w:rStyle w:val="41"/>
              <w:b w:val="0"/>
              <w:bCs w:val="0"/>
              <w:i w:val="0"/>
              <w:iCs w:val="0"/>
              <w:sz w:val="22"/>
              <w:szCs w:val="22"/>
            </w:rPr>
            <w:t>附　录　A （规范性） 碳排放因子的计算方法</w:t>
          </w:r>
          <w:r>
            <w:rPr>
              <w:b w:val="0"/>
              <w:bCs w:val="0"/>
              <w:i w:val="0"/>
              <w:iCs w:val="0"/>
              <w:sz w:val="22"/>
              <w:szCs w:val="22"/>
            </w:rPr>
            <w:tab/>
          </w:r>
          <w:r>
            <w:rPr>
              <w:b w:val="0"/>
              <w:bCs w:val="0"/>
              <w:i w:val="0"/>
              <w:iCs w:val="0"/>
              <w:sz w:val="22"/>
              <w:szCs w:val="22"/>
            </w:rPr>
            <w:fldChar w:fldCharType="end"/>
          </w:r>
          <w:r>
            <w:rPr>
              <w:b w:val="0"/>
              <w:bCs w:val="0"/>
              <w:i w:val="0"/>
              <w:iCs w:val="0"/>
              <w:sz w:val="22"/>
              <w:szCs w:val="22"/>
            </w:rPr>
            <w:t>8</w:t>
          </w:r>
        </w:p>
        <w:p>
          <w:pPr>
            <w:pStyle w:val="22"/>
            <w:tabs>
              <w:tab w:val="right" w:leader="dot" w:pos="9344"/>
            </w:tabs>
            <w:rPr>
              <w:rFonts w:eastAsiaTheme="minorEastAsia" w:cstheme="minorBidi"/>
              <w:b w:val="0"/>
              <w:bCs w:val="0"/>
              <w:i w:val="0"/>
              <w:iCs w:val="0"/>
              <w:sz w:val="22"/>
              <w:szCs w:val="22"/>
            </w:rPr>
          </w:pPr>
          <w:r>
            <w:fldChar w:fldCharType="begin"/>
          </w:r>
          <w:r>
            <w:instrText xml:space="preserve"> HYPERLINK \l "_Toc118127249" </w:instrText>
          </w:r>
          <w:r>
            <w:fldChar w:fldCharType="separate"/>
          </w:r>
          <w:r>
            <w:rPr>
              <w:rStyle w:val="41"/>
              <w:b w:val="0"/>
              <w:bCs w:val="0"/>
              <w:i w:val="0"/>
              <w:iCs w:val="0"/>
              <w:sz w:val="22"/>
              <w:szCs w:val="22"/>
            </w:rPr>
            <w:t>附　录　B （规范性） 出行里程的计算方法</w:t>
          </w:r>
          <w:r>
            <w:rPr>
              <w:b w:val="0"/>
              <w:bCs w:val="0"/>
              <w:i w:val="0"/>
              <w:iCs w:val="0"/>
              <w:sz w:val="22"/>
              <w:szCs w:val="22"/>
            </w:rPr>
            <w:tab/>
          </w:r>
          <w:r>
            <w:rPr>
              <w:b w:val="0"/>
              <w:bCs w:val="0"/>
              <w:i w:val="0"/>
              <w:iCs w:val="0"/>
              <w:sz w:val="22"/>
              <w:szCs w:val="22"/>
            </w:rPr>
            <w:fldChar w:fldCharType="end"/>
          </w:r>
          <w:r>
            <w:rPr>
              <w:b w:val="0"/>
              <w:bCs w:val="0"/>
              <w:i w:val="0"/>
              <w:iCs w:val="0"/>
              <w:sz w:val="22"/>
              <w:szCs w:val="22"/>
            </w:rPr>
            <w:t>11</w:t>
          </w:r>
        </w:p>
        <w:p>
          <w:pPr>
            <w:pStyle w:val="22"/>
            <w:tabs>
              <w:tab w:val="right" w:leader="dot" w:pos="9344"/>
            </w:tabs>
            <w:rPr>
              <w:rFonts w:eastAsiaTheme="minorEastAsia" w:cstheme="minorBidi"/>
              <w:b w:val="0"/>
              <w:bCs w:val="0"/>
              <w:i w:val="0"/>
              <w:iCs w:val="0"/>
              <w:sz w:val="22"/>
              <w:szCs w:val="22"/>
            </w:rPr>
          </w:pPr>
          <w:r>
            <w:fldChar w:fldCharType="begin"/>
          </w:r>
          <w:r>
            <w:instrText xml:space="preserve"> HYPERLINK \l "_Toc118127255" </w:instrText>
          </w:r>
          <w:r>
            <w:fldChar w:fldCharType="separate"/>
          </w:r>
          <w:r>
            <w:rPr>
              <w:rStyle w:val="41"/>
              <w:b w:val="0"/>
              <w:bCs w:val="0"/>
              <w:i w:val="0"/>
              <w:iCs w:val="0"/>
              <w:sz w:val="22"/>
              <w:szCs w:val="22"/>
            </w:rPr>
            <w:t>附　录　C （规范性） 需要监测的数据和参数的数据来源</w:t>
          </w:r>
          <w:r>
            <w:rPr>
              <w:b w:val="0"/>
              <w:bCs w:val="0"/>
              <w:i w:val="0"/>
              <w:iCs w:val="0"/>
              <w:sz w:val="22"/>
              <w:szCs w:val="22"/>
            </w:rPr>
            <w:tab/>
          </w:r>
          <w:r>
            <w:rPr>
              <w:b w:val="0"/>
              <w:bCs w:val="0"/>
              <w:i w:val="0"/>
              <w:iCs w:val="0"/>
              <w:sz w:val="22"/>
              <w:szCs w:val="22"/>
            </w:rPr>
            <w:t>1</w:t>
          </w:r>
          <w:r>
            <w:rPr>
              <w:b w:val="0"/>
              <w:bCs w:val="0"/>
              <w:i w:val="0"/>
              <w:iCs w:val="0"/>
              <w:sz w:val="22"/>
              <w:szCs w:val="22"/>
            </w:rPr>
            <w:fldChar w:fldCharType="end"/>
          </w:r>
          <w:r>
            <w:rPr>
              <w:b w:val="0"/>
              <w:bCs w:val="0"/>
              <w:i w:val="0"/>
              <w:iCs w:val="0"/>
              <w:sz w:val="22"/>
              <w:szCs w:val="22"/>
            </w:rPr>
            <w:t>3</w:t>
          </w:r>
        </w:p>
        <w:p>
          <w:pPr>
            <w:pStyle w:val="22"/>
            <w:tabs>
              <w:tab w:val="right" w:leader="dot" w:pos="9344"/>
            </w:tabs>
            <w:rPr>
              <w:rFonts w:eastAsiaTheme="minorEastAsia" w:cstheme="minorBidi"/>
              <w:b w:val="0"/>
              <w:bCs w:val="0"/>
              <w:i w:val="0"/>
              <w:iCs w:val="0"/>
              <w:sz w:val="22"/>
              <w:szCs w:val="22"/>
            </w:rPr>
          </w:pPr>
          <w:r>
            <w:fldChar w:fldCharType="begin"/>
          </w:r>
          <w:r>
            <w:instrText xml:space="preserve"> HYPERLINK \l "_Toc118127257" </w:instrText>
          </w:r>
          <w:r>
            <w:fldChar w:fldCharType="separate"/>
          </w:r>
          <w:r>
            <w:rPr>
              <w:rStyle w:val="41"/>
              <w:b w:val="0"/>
              <w:bCs w:val="0"/>
              <w:i w:val="0"/>
              <w:iCs w:val="0"/>
              <w:sz w:val="22"/>
              <w:szCs w:val="22"/>
            </w:rPr>
            <w:t>附　录　D （资料性） 相关参数推荐值</w:t>
          </w:r>
          <w:r>
            <w:rPr>
              <w:b w:val="0"/>
              <w:bCs w:val="0"/>
              <w:i w:val="0"/>
              <w:iCs w:val="0"/>
              <w:sz w:val="22"/>
              <w:szCs w:val="22"/>
            </w:rPr>
            <w:tab/>
          </w:r>
          <w:r>
            <w:rPr>
              <w:b w:val="0"/>
              <w:bCs w:val="0"/>
              <w:i w:val="0"/>
              <w:iCs w:val="0"/>
              <w:sz w:val="22"/>
              <w:szCs w:val="22"/>
            </w:rPr>
            <w:fldChar w:fldCharType="begin"/>
          </w:r>
          <w:r>
            <w:rPr>
              <w:b w:val="0"/>
              <w:bCs w:val="0"/>
              <w:i w:val="0"/>
              <w:iCs w:val="0"/>
              <w:sz w:val="22"/>
              <w:szCs w:val="22"/>
            </w:rPr>
            <w:instrText xml:space="preserve"> PAGEREF _Toc118127257 \h </w:instrText>
          </w:r>
          <w:r>
            <w:rPr>
              <w:b w:val="0"/>
              <w:bCs w:val="0"/>
              <w:i w:val="0"/>
              <w:iCs w:val="0"/>
              <w:sz w:val="22"/>
              <w:szCs w:val="22"/>
            </w:rPr>
            <w:fldChar w:fldCharType="separate"/>
          </w:r>
          <w:r>
            <w:rPr>
              <w:b w:val="0"/>
              <w:bCs w:val="0"/>
              <w:i w:val="0"/>
              <w:iCs w:val="0"/>
              <w:sz w:val="22"/>
              <w:szCs w:val="22"/>
            </w:rPr>
            <w:t>23</w:t>
          </w:r>
          <w:r>
            <w:rPr>
              <w:b w:val="0"/>
              <w:bCs w:val="0"/>
              <w:i w:val="0"/>
              <w:iCs w:val="0"/>
              <w:sz w:val="22"/>
              <w:szCs w:val="22"/>
            </w:rPr>
            <w:fldChar w:fldCharType="end"/>
          </w:r>
          <w:r>
            <w:rPr>
              <w:b w:val="0"/>
              <w:bCs w:val="0"/>
              <w:i w:val="0"/>
              <w:iCs w:val="0"/>
              <w:sz w:val="22"/>
              <w:szCs w:val="22"/>
            </w:rPr>
            <w:fldChar w:fldCharType="end"/>
          </w:r>
          <w:r>
            <w:rPr>
              <w:b w:val="0"/>
              <w:bCs w:val="0"/>
              <w:i w:val="0"/>
              <w:iCs w:val="0"/>
              <w:sz w:val="22"/>
              <w:szCs w:val="22"/>
            </w:rPr>
            <w:t>4</w:t>
          </w:r>
        </w:p>
        <w:p>
          <w:pPr>
            <w:pStyle w:val="22"/>
            <w:tabs>
              <w:tab w:val="right" w:leader="dot" w:pos="9344"/>
            </w:tabs>
            <w:rPr>
              <w:rFonts w:eastAsiaTheme="minorEastAsia" w:cstheme="minorBidi"/>
              <w:b w:val="0"/>
              <w:bCs w:val="0"/>
              <w:i w:val="0"/>
              <w:iCs w:val="0"/>
              <w:sz w:val="22"/>
              <w:szCs w:val="22"/>
            </w:rPr>
          </w:pPr>
          <w:r>
            <w:fldChar w:fldCharType="begin"/>
          </w:r>
          <w:r>
            <w:instrText xml:space="preserve"> HYPERLINK \l "_Toc118127262" </w:instrText>
          </w:r>
          <w:r>
            <w:fldChar w:fldCharType="separate"/>
          </w:r>
          <w:r>
            <w:rPr>
              <w:rStyle w:val="41"/>
              <w:b w:val="0"/>
              <w:bCs w:val="0"/>
              <w:i w:val="0"/>
              <w:iCs w:val="0"/>
              <w:sz w:val="22"/>
              <w:szCs w:val="22"/>
            </w:rPr>
            <w:t>参考文献</w:t>
          </w:r>
          <w:r>
            <w:rPr>
              <w:b w:val="0"/>
              <w:bCs w:val="0"/>
              <w:i w:val="0"/>
              <w:iCs w:val="0"/>
              <w:sz w:val="22"/>
              <w:szCs w:val="22"/>
            </w:rPr>
            <w:tab/>
          </w:r>
          <w:r>
            <w:rPr>
              <w:b w:val="0"/>
              <w:bCs w:val="0"/>
              <w:i w:val="0"/>
              <w:iCs w:val="0"/>
              <w:sz w:val="22"/>
              <w:szCs w:val="22"/>
            </w:rPr>
            <w:fldChar w:fldCharType="begin"/>
          </w:r>
          <w:r>
            <w:rPr>
              <w:b w:val="0"/>
              <w:bCs w:val="0"/>
              <w:i w:val="0"/>
              <w:iCs w:val="0"/>
              <w:sz w:val="22"/>
              <w:szCs w:val="22"/>
            </w:rPr>
            <w:instrText xml:space="preserve"> PAGEREF _Toc118127262 \h </w:instrText>
          </w:r>
          <w:r>
            <w:rPr>
              <w:b w:val="0"/>
              <w:bCs w:val="0"/>
              <w:i w:val="0"/>
              <w:iCs w:val="0"/>
              <w:sz w:val="22"/>
              <w:szCs w:val="22"/>
            </w:rPr>
            <w:fldChar w:fldCharType="separate"/>
          </w:r>
          <w:r>
            <w:rPr>
              <w:b w:val="0"/>
              <w:bCs w:val="0"/>
              <w:i w:val="0"/>
              <w:iCs w:val="0"/>
              <w:sz w:val="22"/>
              <w:szCs w:val="22"/>
            </w:rPr>
            <w:t>24</w:t>
          </w:r>
          <w:r>
            <w:rPr>
              <w:b w:val="0"/>
              <w:bCs w:val="0"/>
              <w:i w:val="0"/>
              <w:iCs w:val="0"/>
              <w:sz w:val="22"/>
              <w:szCs w:val="22"/>
            </w:rPr>
            <w:fldChar w:fldCharType="end"/>
          </w:r>
          <w:r>
            <w:rPr>
              <w:b w:val="0"/>
              <w:bCs w:val="0"/>
              <w:i w:val="0"/>
              <w:iCs w:val="0"/>
              <w:sz w:val="22"/>
              <w:szCs w:val="22"/>
            </w:rPr>
            <w:fldChar w:fldCharType="end"/>
          </w:r>
          <w:r>
            <w:rPr>
              <w:b w:val="0"/>
              <w:bCs w:val="0"/>
              <w:i w:val="0"/>
              <w:iCs w:val="0"/>
              <w:sz w:val="22"/>
              <w:szCs w:val="22"/>
            </w:rPr>
            <w:t>5</w:t>
          </w:r>
        </w:p>
        <w:p>
          <w:pPr>
            <w:pStyle w:val="22"/>
            <w:tabs>
              <w:tab w:val="right" w:leader="dot" w:pos="9345"/>
            </w:tabs>
            <w:rPr>
              <w:b w:val="0"/>
              <w:bCs w:val="0"/>
            </w:rPr>
          </w:pPr>
          <w:r>
            <w:rPr>
              <w:rFonts w:ascii="宋体" w:hAnsi="宋体"/>
              <w:b w:val="0"/>
              <w:bCs w:val="0"/>
              <w:i w:val="0"/>
              <w:iCs w:val="0"/>
              <w:sz w:val="22"/>
              <w:szCs w:val="22"/>
            </w:rPr>
            <w:fldChar w:fldCharType="end"/>
          </w:r>
        </w:p>
      </w:sdtContent>
    </w:sdt>
    <w:p>
      <w:pPr>
        <w:pStyle w:val="52"/>
      </w:pPr>
      <w:bookmarkStart w:id="13" w:name="_Toc17878125"/>
      <w:bookmarkStart w:id="14" w:name="_Toc118127227"/>
      <w:r>
        <w:rPr>
          <w:rFonts w:hint="eastAsia"/>
        </w:rPr>
        <w:t>前</w:t>
      </w:r>
      <w:bookmarkStart w:id="15" w:name="BKQY"/>
      <w:r>
        <w:rPr>
          <w:rFonts w:hAnsi="黑体"/>
        </w:rPr>
        <w:t>  </w:t>
      </w:r>
      <w:r>
        <w:rPr>
          <w:rFonts w:hint="eastAsia"/>
        </w:rPr>
        <w:t>言</w:t>
      </w:r>
      <w:bookmarkEnd w:id="13"/>
      <w:bookmarkEnd w:id="14"/>
      <w:bookmarkEnd w:id="15"/>
    </w:p>
    <w:p>
      <w:pPr>
        <w:pStyle w:val="26"/>
      </w:pPr>
      <w:r>
        <w:rPr>
          <w:rFonts w:hint="eastAsia"/>
        </w:rPr>
        <w:t>为推进京津冀协同发展战略实施，北京市生态环境局、天津市生态环境局、河北省生态环境厅共同组织制定本地方标准，在京津冀区域内适用，现予发布。</w:t>
      </w:r>
    </w:p>
    <w:p>
      <w:pPr>
        <w:pStyle w:val="26"/>
        <w:rPr>
          <w:lang w:val="en-AU"/>
        </w:rPr>
      </w:pPr>
      <w:r>
        <w:rPr>
          <w:rFonts w:hint="eastAsia"/>
        </w:rPr>
        <w:t>本文件按照GB/T 1.1—2020《标准化工作导则 第1部分:标准化文件的结构和起草规则》的规定起草。</w:t>
      </w:r>
    </w:p>
    <w:p>
      <w:pPr>
        <w:pStyle w:val="26"/>
      </w:pPr>
      <w:r>
        <w:rPr>
          <w:rFonts w:hint="eastAsia"/>
        </w:rPr>
        <w:t>本文件由北京市生态环境局提出并归口。</w:t>
      </w:r>
    </w:p>
    <w:p>
      <w:pPr>
        <w:pStyle w:val="26"/>
      </w:pPr>
      <w:r>
        <w:rPr>
          <w:rFonts w:hint="eastAsia"/>
        </w:rPr>
        <w:t>本文件由北京市生态环境局组织实施。</w:t>
      </w:r>
    </w:p>
    <w:p>
      <w:pPr>
        <w:pStyle w:val="26"/>
      </w:pPr>
      <w:r>
        <w:rPr>
          <w:rFonts w:hint="eastAsia"/>
        </w:rPr>
        <w:t>本文件起草单位：</w:t>
      </w:r>
    </w:p>
    <w:p>
      <w:pPr>
        <w:pStyle w:val="26"/>
      </w:pPr>
      <w:r>
        <w:rPr>
          <w:rFonts w:hint="eastAsia"/>
        </w:rPr>
        <w:t>（北京组）北京市生态环境局、北京市应对气候变化管理事务中心、北京交通发展研究院。</w:t>
      </w:r>
    </w:p>
    <w:p>
      <w:pPr>
        <w:pStyle w:val="26"/>
      </w:pPr>
      <w:r>
        <w:rPr>
          <w:rFonts w:hint="eastAsia"/>
        </w:rPr>
        <w:t>（天津组）天津市生态环境局。</w:t>
      </w:r>
    </w:p>
    <w:p>
      <w:pPr>
        <w:pStyle w:val="26"/>
      </w:pPr>
      <w:r>
        <w:rPr>
          <w:rFonts w:hint="eastAsia"/>
        </w:rPr>
        <w:t>（河北组）河北省生态环境厅。</w:t>
      </w:r>
    </w:p>
    <w:p>
      <w:pPr>
        <w:pStyle w:val="26"/>
      </w:pPr>
    </w:p>
    <w:p>
      <w:pPr>
        <w:pStyle w:val="26"/>
        <w:sectPr>
          <w:headerReference r:id="rId5" w:type="default"/>
          <w:footerReference r:id="rId7" w:type="default"/>
          <w:headerReference r:id="rId6" w:type="even"/>
          <w:footerReference r:id="rId8" w:type="even"/>
          <w:pgSz w:w="11906" w:h="16838"/>
          <w:pgMar w:top="567" w:right="1134" w:bottom="1134" w:left="1418" w:header="1418" w:footer="1134" w:gutter="0"/>
          <w:pgNumType w:fmt="upperRoman" w:start="1"/>
          <w:cols w:space="425" w:num="1"/>
          <w:formProt w:val="0"/>
          <w:docGrid w:type="lines" w:linePitch="312" w:charSpace="0"/>
        </w:sectPr>
      </w:pPr>
    </w:p>
    <w:p>
      <w:pPr>
        <w:pStyle w:val="136"/>
      </w:pPr>
      <w:bookmarkStart w:id="16" w:name="_Toc105021470"/>
      <w:bookmarkStart w:id="17" w:name="_Toc106354456"/>
      <w:bookmarkStart w:id="18" w:name="_Toc106354516"/>
      <w:bookmarkStart w:id="19" w:name="_Toc118127228"/>
      <w:bookmarkStart w:id="20" w:name="_Toc105662574"/>
      <w:bookmarkStart w:id="21" w:name="_Toc106265164"/>
      <w:bookmarkStart w:id="22" w:name="_Toc105443208"/>
      <w:bookmarkStart w:id="23" w:name="_Toc104904857"/>
      <w:bookmarkStart w:id="24" w:name="_Toc97308050"/>
      <w:bookmarkStart w:id="25" w:name="_Toc105442576"/>
      <w:r>
        <w:rPr>
          <w:rFonts w:hint="eastAsia"/>
        </w:rPr>
        <w:t>低碳出行碳减排量核算</w:t>
      </w:r>
      <w:bookmarkEnd w:id="16"/>
      <w:bookmarkEnd w:id="17"/>
      <w:bookmarkEnd w:id="18"/>
      <w:bookmarkEnd w:id="19"/>
      <w:bookmarkEnd w:id="20"/>
      <w:bookmarkEnd w:id="21"/>
      <w:bookmarkEnd w:id="22"/>
      <w:bookmarkEnd w:id="23"/>
      <w:bookmarkEnd w:id="24"/>
      <w:bookmarkEnd w:id="25"/>
      <w:bookmarkStart w:id="26" w:name="StandardName"/>
      <w:bookmarkEnd w:id="26"/>
      <w:r>
        <w:rPr>
          <w:rFonts w:hint="eastAsia"/>
        </w:rPr>
        <w:t>技术规范</w:t>
      </w:r>
    </w:p>
    <w:p>
      <w:pPr>
        <w:pStyle w:val="47"/>
        <w:spacing w:before="312" w:after="312"/>
      </w:pPr>
      <w:bookmarkStart w:id="27" w:name="_Toc118127229"/>
      <w:bookmarkStart w:id="28" w:name="_Toc17878127"/>
      <w:r>
        <w:rPr>
          <w:rFonts w:hint="eastAsia"/>
        </w:rPr>
        <w:t>范围</w:t>
      </w:r>
      <w:bookmarkEnd w:id="27"/>
      <w:bookmarkEnd w:id="28"/>
    </w:p>
    <w:p>
      <w:pPr>
        <w:pStyle w:val="26"/>
      </w:pPr>
      <w:r>
        <w:rPr>
          <w:rFonts w:hint="eastAsia"/>
        </w:rPr>
        <w:t>本</w:t>
      </w:r>
      <w:r>
        <w:t>文件规定了</w:t>
      </w:r>
      <w:r>
        <w:rPr>
          <w:rFonts w:hint="eastAsia"/>
        </w:rPr>
        <w:t>低碳出行碳减排的核算原则与流程、</w:t>
      </w:r>
      <w:r>
        <w:rPr>
          <w:lang w:eastAsia="zh-Hans"/>
        </w:rPr>
        <w:t>碳排放</w:t>
      </w:r>
      <w:r>
        <w:rPr>
          <w:rFonts w:hint="eastAsia"/>
          <w:lang w:eastAsia="zh-Hans"/>
        </w:rPr>
        <w:t>核算边界及</w:t>
      </w:r>
      <w:r>
        <w:rPr>
          <w:lang w:eastAsia="zh-Hans"/>
        </w:rPr>
        <w:t>碳排放</w:t>
      </w:r>
      <w:r>
        <w:rPr>
          <w:rFonts w:hint="eastAsia"/>
          <w:lang w:eastAsia="zh-Hans"/>
        </w:rPr>
        <w:t>源种类</w:t>
      </w:r>
      <w:r>
        <w:rPr>
          <w:lang w:eastAsia="zh-Hans"/>
        </w:rPr>
        <w:t>、</w:t>
      </w:r>
      <w:r>
        <w:rPr>
          <w:rFonts w:hint="eastAsia"/>
        </w:rPr>
        <w:t>核算方法</w:t>
      </w:r>
      <w:r>
        <w:t>、</w:t>
      </w:r>
      <w:r>
        <w:rPr>
          <w:rFonts w:hint="eastAsia"/>
        </w:rPr>
        <w:t>数据来源</w:t>
      </w:r>
      <w:r>
        <w:rPr>
          <w:rFonts w:hint="eastAsia"/>
          <w:lang w:eastAsia="zh-Hans"/>
        </w:rPr>
        <w:t>和审定与核查要点</w:t>
      </w:r>
      <w:r>
        <w:rPr>
          <w:rFonts w:hint="eastAsia"/>
        </w:rPr>
        <w:t>。</w:t>
      </w:r>
    </w:p>
    <w:p>
      <w:pPr>
        <w:pStyle w:val="26"/>
      </w:pPr>
      <w:r>
        <w:rPr>
          <w:rFonts w:hint="eastAsia"/>
        </w:rPr>
        <w:t>本文件适用于指导开展京津冀区域范围内个人使用公共汽电车、城市轨道交通、自行车、步行及小微型客车合乘和自愿停驶等活动的碳减排量核算工作。</w:t>
      </w:r>
    </w:p>
    <w:p>
      <w:pPr>
        <w:pStyle w:val="47"/>
        <w:spacing w:before="312" w:after="312"/>
      </w:pPr>
      <w:bookmarkStart w:id="29" w:name="_Toc17878128"/>
      <w:bookmarkStart w:id="30" w:name="_Toc118127230"/>
      <w:r>
        <w:rPr>
          <w:rFonts w:hint="eastAsia"/>
        </w:rPr>
        <w:t>规范性引用文件</w:t>
      </w:r>
      <w:bookmarkEnd w:id="29"/>
      <w:bookmarkEnd w:id="30"/>
    </w:p>
    <w:p>
      <w:pPr>
        <w:pStyle w:val="26"/>
      </w:pPr>
      <w:r>
        <w:rPr>
          <w:rFonts w:hint="eastAsia"/>
        </w:rPr>
        <w:t>下列</w:t>
      </w:r>
      <w:r>
        <w:t>文件中的内容通过文中的规范性引用而构成本文件必不可少的条款。其中</w:t>
      </w:r>
      <w:r>
        <w:rPr>
          <w:rFonts w:hint="eastAsia"/>
        </w:rPr>
        <w:t>，</w:t>
      </w:r>
      <w:r>
        <w:t>注日期的引用文件，仅该日期对应的版本适用于本文件；不注日期的引用文件，</w:t>
      </w:r>
      <w:r>
        <w:rPr>
          <w:rFonts w:hint="eastAsia"/>
        </w:rPr>
        <w:t>其</w:t>
      </w:r>
      <w:r>
        <w:t>最新版本（</w:t>
      </w:r>
      <w:r>
        <w:rPr>
          <w:rFonts w:hint="eastAsia"/>
        </w:rPr>
        <w:t>包括</w:t>
      </w:r>
      <w:r>
        <w:t>所有的修改</w:t>
      </w:r>
      <w:r>
        <w:rPr>
          <w:rFonts w:hint="eastAsia"/>
        </w:rPr>
        <w:t>单</w:t>
      </w:r>
      <w:r>
        <w:t>）</w:t>
      </w:r>
      <w:r>
        <w:rPr>
          <w:rFonts w:hint="eastAsia"/>
        </w:rPr>
        <w:t>适用于</w:t>
      </w:r>
      <w:r>
        <w:t>本文件。</w:t>
      </w:r>
    </w:p>
    <w:p>
      <w:pPr>
        <w:pStyle w:val="26"/>
        <w:rPr>
          <w:lang w:val="en-AU"/>
        </w:rPr>
      </w:pPr>
      <w:bookmarkStart w:id="31" w:name="OLE_LINK2"/>
      <w:r>
        <w:rPr>
          <w:rFonts w:ascii="Times New Roman"/>
          <w:lang w:val="en-AU"/>
        </w:rPr>
        <w:t>GB/T 33760</w:t>
      </w:r>
      <w:bookmarkEnd w:id="31"/>
      <w:r>
        <w:rPr>
          <w:rFonts w:ascii="Times New Roman"/>
          <w:lang w:val="en-AU"/>
        </w:rPr>
        <w:t xml:space="preserve"> </w:t>
      </w:r>
      <w:r>
        <w:rPr>
          <w:rFonts w:hint="eastAsia"/>
          <w:lang w:val="en-AU"/>
        </w:rPr>
        <w:t xml:space="preserve"> 基于项目的温室气体减排量评估技术规范  通用要求</w:t>
      </w:r>
    </w:p>
    <w:p>
      <w:pPr>
        <w:pStyle w:val="26"/>
        <w:rPr>
          <w:lang w:val="en-AU"/>
        </w:rPr>
      </w:pPr>
      <w:r>
        <w:rPr>
          <w:rFonts w:ascii="Times New Roman"/>
          <w:lang w:val="en-AU"/>
        </w:rPr>
        <w:t xml:space="preserve">ISO 14064 </w:t>
      </w:r>
      <w:r>
        <w:rPr>
          <w:rFonts w:hint="eastAsia"/>
          <w:lang w:val="en-AU"/>
        </w:rPr>
        <w:t xml:space="preserve"> 温室气体  第</w:t>
      </w:r>
      <w:r>
        <w:rPr>
          <w:rFonts w:ascii="Times New Roman"/>
          <w:lang w:val="en-AU"/>
        </w:rPr>
        <w:t>2</w:t>
      </w:r>
      <w:r>
        <w:rPr>
          <w:rFonts w:hint="eastAsia"/>
          <w:lang w:val="en-AU"/>
        </w:rPr>
        <w:t>部分：项目层面上对温室气体和清除的量化与报告的规范及指南</w:t>
      </w:r>
    </w:p>
    <w:p>
      <w:pPr>
        <w:pStyle w:val="47"/>
        <w:spacing w:before="312" w:after="312"/>
      </w:pPr>
      <w:bookmarkStart w:id="32" w:name="_Toc17878129"/>
      <w:bookmarkEnd w:id="32"/>
      <w:bookmarkStart w:id="33" w:name="_Toc118127231"/>
      <w:r>
        <w:rPr>
          <w:rFonts w:hint="eastAsia"/>
        </w:rPr>
        <w:t>术语</w:t>
      </w:r>
      <w:r>
        <w:t>和定义</w:t>
      </w:r>
      <w:bookmarkEnd w:id="33"/>
    </w:p>
    <w:p>
      <w:pPr>
        <w:pStyle w:val="26"/>
      </w:pPr>
      <w:r>
        <w:rPr>
          <w:rFonts w:hint="eastAsia"/>
        </w:rPr>
        <w:t>下列</w:t>
      </w:r>
      <w:r>
        <w:t>术语和定义适用于本文件。</w:t>
      </w:r>
    </w:p>
    <w:p>
      <w:pPr>
        <w:pStyle w:val="44"/>
        <w:spacing w:before="156" w:after="156"/>
        <w:rPr>
          <w:lang w:val="en-AU" w:eastAsia="zh-Hans"/>
        </w:rPr>
      </w:pPr>
    </w:p>
    <w:p>
      <w:pPr>
        <w:pStyle w:val="26"/>
        <w:rPr>
          <w:rFonts w:ascii="黑体" w:hAnsi="黑体" w:eastAsia="黑体"/>
        </w:rPr>
      </w:pPr>
      <w:r>
        <w:rPr>
          <w:rFonts w:hint="eastAsia" w:ascii="黑体" w:hAnsi="黑体" w:eastAsia="黑体"/>
        </w:rPr>
        <w:t>高碳出行</w:t>
      </w:r>
      <w:r>
        <w:rPr>
          <w:rFonts w:ascii="黑体" w:hAnsi="黑体" w:eastAsia="黑体"/>
        </w:rPr>
        <w:t xml:space="preserve"> high-carbon travel</w:t>
      </w:r>
    </w:p>
    <w:p>
      <w:pPr>
        <w:pStyle w:val="26"/>
      </w:pPr>
      <w:r>
        <w:rPr>
          <w:rFonts w:hint="eastAsia"/>
        </w:rPr>
        <w:t>个人驾驶小微型客车或使用巡游出租车、网约出租车等乘用车出行方式在社会道路上从出发地向目的地移动的交通行为。</w:t>
      </w:r>
    </w:p>
    <w:p>
      <w:pPr>
        <w:pStyle w:val="66"/>
        <w:rPr>
          <w:lang w:val="en-AU"/>
        </w:rPr>
      </w:pPr>
      <w:r>
        <w:rPr>
          <w:rFonts w:hint="eastAsia"/>
        </w:rPr>
        <w:t xml:space="preserve"> GA 802</w:t>
      </w:r>
      <w:r>
        <w:t xml:space="preserve"> </w:t>
      </w:r>
      <w:r>
        <w:rPr>
          <w:rFonts w:hint="eastAsia"/>
        </w:rPr>
        <w:t>中小微型客车指车长小于或等于3500 mm且内燃机气缸总排量小于或等于1000 mL（对纯电动汽车为驱动电机总峰值功率小于或等于15 kW）的微型载客汽车和车长小于6000 mm且乘坐人数小于或等于9人的小型载客汽车。</w:t>
      </w:r>
    </w:p>
    <w:p>
      <w:pPr>
        <w:pStyle w:val="44"/>
        <w:spacing w:before="156" w:after="156"/>
      </w:pPr>
    </w:p>
    <w:p>
      <w:pPr>
        <w:pStyle w:val="26"/>
        <w:rPr>
          <w:rFonts w:ascii="黑体" w:hAnsi="黑体" w:eastAsia="黑体"/>
          <w:lang w:val="en-AU"/>
        </w:rPr>
      </w:pPr>
      <w:r>
        <w:rPr>
          <w:rFonts w:hint="eastAsia" w:ascii="黑体" w:hAnsi="黑体" w:eastAsia="黑体"/>
        </w:rPr>
        <w:t xml:space="preserve">低碳出行 </w:t>
      </w:r>
      <w:r>
        <w:rPr>
          <w:rFonts w:ascii="黑体" w:hAnsi="黑体" w:eastAsia="黑体"/>
        </w:rPr>
        <w:t xml:space="preserve">low-carbon travel </w:t>
      </w:r>
    </w:p>
    <w:p>
      <w:pPr>
        <w:pStyle w:val="26"/>
      </w:pPr>
      <w:r>
        <w:rPr>
          <w:rFonts w:hint="eastAsia"/>
        </w:rPr>
        <w:t>个人使用公共汽电车、城市轨道交通、自行车、步行以及小微型客车合乘等出行方式在社会道路上从出发地向目的地移动的交通行为和小微型客车停驶的行为。</w:t>
      </w:r>
    </w:p>
    <w:p>
      <w:pPr>
        <w:pStyle w:val="44"/>
        <w:spacing w:before="156" w:after="156"/>
        <w:rPr>
          <w:lang w:eastAsia="zh-Hans"/>
        </w:rPr>
      </w:pPr>
    </w:p>
    <w:p>
      <w:pPr>
        <w:pStyle w:val="26"/>
        <w:rPr>
          <w:rFonts w:ascii="黑体" w:hAnsi="黑体" w:eastAsia="黑体"/>
          <w:lang w:val="en-AU"/>
        </w:rPr>
      </w:pPr>
      <w:r>
        <w:rPr>
          <w:rFonts w:ascii="黑体" w:hAnsi="黑体" w:eastAsia="黑体"/>
        </w:rPr>
        <w:t>基准年</w:t>
      </w:r>
      <w:r>
        <w:rPr>
          <w:rFonts w:hint="eastAsia" w:ascii="黑体" w:hAnsi="黑体" w:eastAsia="黑体"/>
        </w:rPr>
        <w:t xml:space="preserve"> basic</w:t>
      </w:r>
      <w:r>
        <w:rPr>
          <w:rFonts w:ascii="黑体" w:hAnsi="黑体" w:eastAsia="黑体"/>
        </w:rPr>
        <w:t xml:space="preserve"> year</w:t>
      </w:r>
    </w:p>
    <w:p>
      <w:pPr>
        <w:pStyle w:val="26"/>
      </w:pPr>
      <w:r>
        <w:rPr>
          <w:rFonts w:hint="eastAsia"/>
        </w:rPr>
        <w:t>数据最近可获得年份。</w:t>
      </w:r>
    </w:p>
    <w:p>
      <w:pPr>
        <w:pStyle w:val="44"/>
        <w:spacing w:before="156" w:after="156"/>
        <w:rPr>
          <w:lang w:eastAsia="zh-Hans"/>
        </w:rPr>
      </w:pPr>
    </w:p>
    <w:p>
      <w:pPr>
        <w:pStyle w:val="26"/>
        <w:rPr>
          <w:rFonts w:ascii="黑体" w:hAnsi="黑体" w:eastAsia="黑体"/>
          <w:lang w:val="en-AU"/>
        </w:rPr>
      </w:pPr>
      <w:r>
        <w:rPr>
          <w:rFonts w:hint="eastAsia" w:ascii="黑体" w:hAnsi="黑体" w:eastAsia="黑体"/>
        </w:rPr>
        <w:t>泄漏 lea</w:t>
      </w:r>
      <w:r>
        <w:rPr>
          <w:rFonts w:ascii="黑体" w:hAnsi="黑体" w:eastAsia="黑体"/>
          <w:lang w:val="en-AU"/>
        </w:rPr>
        <w:t>kage</w:t>
      </w:r>
    </w:p>
    <w:p>
      <w:pPr>
        <w:pStyle w:val="26"/>
      </w:pPr>
      <w:r>
        <w:rPr>
          <w:rFonts w:hint="eastAsia"/>
        </w:rPr>
        <w:t>发生在核算边界之外的、可测量的温室气体源</w:t>
      </w:r>
      <w:r>
        <w:t>碳排放</w:t>
      </w:r>
      <w:r>
        <w:rPr>
          <w:rFonts w:hint="eastAsia"/>
        </w:rPr>
        <w:t>的增加量。</w:t>
      </w:r>
    </w:p>
    <w:p>
      <w:pPr>
        <w:pStyle w:val="47"/>
        <w:spacing w:before="312" w:after="312"/>
      </w:pPr>
      <w:r>
        <w:rPr>
          <w:rFonts w:hint="eastAsia"/>
          <w:lang w:eastAsia="zh-Hans"/>
        </w:rPr>
        <w:t>核算原则与流程</w:t>
      </w:r>
    </w:p>
    <w:p>
      <w:pPr>
        <w:pStyle w:val="44"/>
        <w:spacing w:before="156" w:after="156"/>
      </w:pPr>
      <w:r>
        <w:rPr>
          <w:rFonts w:hint="eastAsia" w:asciiTheme="minorEastAsia" w:hAnsiTheme="minorEastAsia" w:eastAsiaTheme="minorEastAsia" w:cstheme="minorEastAsia"/>
          <w:lang w:eastAsia="zh-Hans"/>
        </w:rPr>
        <w:t>低碳出行碳减排量</w:t>
      </w:r>
      <w:r>
        <w:rPr>
          <w:rFonts w:hint="eastAsia" w:asciiTheme="minorEastAsia" w:hAnsiTheme="minorEastAsia" w:eastAsiaTheme="minorEastAsia" w:cstheme="minorEastAsia"/>
        </w:rPr>
        <w:t>核算遵循</w:t>
      </w:r>
      <w:r>
        <w:rPr>
          <w:rFonts w:asciiTheme="minorEastAsia" w:hAnsiTheme="minorEastAsia" w:eastAsiaTheme="minorEastAsia" w:cstheme="minorEastAsia"/>
        </w:rPr>
        <w:t>ISO</w:t>
      </w:r>
      <w:r>
        <w:rPr>
          <w:rFonts w:hint="eastAsia" w:asciiTheme="minorEastAsia" w:hAnsiTheme="minorEastAsia" w:eastAsiaTheme="minorEastAsia" w:cstheme="minorEastAsia"/>
        </w:rPr>
        <w:t xml:space="preserve"> </w:t>
      </w:r>
      <w:r>
        <w:rPr>
          <w:rFonts w:asciiTheme="minorEastAsia" w:hAnsiTheme="minorEastAsia" w:eastAsiaTheme="minorEastAsia" w:cstheme="minorEastAsia"/>
        </w:rPr>
        <w:t>14064</w:t>
      </w:r>
      <w:r>
        <w:rPr>
          <w:rFonts w:hint="eastAsia" w:asciiTheme="minorEastAsia" w:hAnsiTheme="minorEastAsia" w:eastAsiaTheme="minorEastAsia" w:cstheme="minorEastAsia"/>
        </w:rPr>
        <w:t>的原则，即相关性、完整性、一致性、准确性、透明性和可操作性。</w:t>
      </w:r>
    </w:p>
    <w:p>
      <w:pPr>
        <w:pStyle w:val="44"/>
        <w:tabs>
          <w:tab w:val="center" w:pos="4201"/>
          <w:tab w:val="right" w:leader="dot" w:pos="9298"/>
        </w:tabs>
        <w:spacing w:before="156" w:after="156"/>
      </w:pPr>
      <w:r>
        <w:rPr>
          <w:rFonts w:hint="eastAsia" w:asciiTheme="minorEastAsia" w:hAnsiTheme="minorEastAsia" w:eastAsiaTheme="minorEastAsia" w:cstheme="minorEastAsia"/>
          <w:lang w:eastAsia="zh-Hans"/>
        </w:rPr>
        <w:t>低碳出行碳减排量核算流程</w:t>
      </w:r>
      <w:r>
        <w:rPr>
          <w:rFonts w:hint="eastAsia" w:asciiTheme="minorEastAsia" w:hAnsiTheme="minorEastAsia" w:eastAsiaTheme="minorEastAsia" w:cstheme="minorEastAsia"/>
        </w:rPr>
        <w:t>遵循GB/T 33760原则，具体流程</w:t>
      </w:r>
      <w:r>
        <w:rPr>
          <w:rFonts w:hint="eastAsia" w:asciiTheme="minorEastAsia" w:hAnsiTheme="minorEastAsia" w:eastAsiaTheme="minorEastAsia" w:cstheme="minorEastAsia"/>
          <w:lang w:eastAsia="zh-Hans"/>
        </w:rPr>
        <w:t>如下</w:t>
      </w:r>
      <w:r>
        <w:rPr>
          <w:rFonts w:asciiTheme="minorEastAsia" w:hAnsiTheme="minorEastAsia" w:eastAsiaTheme="minorEastAsia" w:cstheme="minorEastAsia"/>
          <w:lang w:eastAsia="zh-Hans"/>
        </w:rPr>
        <w:t>：</w:t>
      </w:r>
    </w:p>
    <w:p>
      <w:pPr>
        <w:pStyle w:val="26"/>
        <w:numPr>
          <w:ilvl w:val="0"/>
          <w:numId w:val="20"/>
        </w:numP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确定低碳出行碳减排量核算边界和</w:t>
      </w:r>
      <w:r>
        <w:rPr>
          <w:rFonts w:asciiTheme="minorEastAsia" w:hAnsiTheme="minorEastAsia" w:eastAsiaTheme="minorEastAsia" w:cstheme="minorEastAsia"/>
          <w:lang w:eastAsia="zh-Hans"/>
        </w:rPr>
        <w:t>碳排放</w:t>
      </w:r>
      <w:r>
        <w:rPr>
          <w:rFonts w:hint="eastAsia" w:asciiTheme="minorEastAsia" w:hAnsiTheme="minorEastAsia" w:eastAsiaTheme="minorEastAsia" w:cstheme="minorEastAsia"/>
          <w:lang w:eastAsia="zh-Hans"/>
        </w:rPr>
        <w:t>源种类</w:t>
      </w:r>
      <w:r>
        <w:rPr>
          <w:rFonts w:asciiTheme="minorEastAsia" w:hAnsiTheme="minorEastAsia" w:eastAsiaTheme="minorEastAsia" w:cstheme="minorEastAsia"/>
          <w:lang w:eastAsia="zh-Hans"/>
        </w:rPr>
        <w:t>；</w:t>
      </w:r>
    </w:p>
    <w:p>
      <w:pPr>
        <w:pStyle w:val="26"/>
        <w:numPr>
          <w:ilvl w:val="0"/>
          <w:numId w:val="20"/>
        </w:numP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识别基准线情景和项目情景</w:t>
      </w:r>
      <w:r>
        <w:rPr>
          <w:rFonts w:asciiTheme="minorEastAsia" w:hAnsiTheme="minorEastAsia" w:eastAsiaTheme="minorEastAsia" w:cstheme="minorEastAsia"/>
          <w:lang w:eastAsia="zh-Hans"/>
        </w:rPr>
        <w:t>；</w:t>
      </w:r>
    </w:p>
    <w:p>
      <w:pPr>
        <w:pStyle w:val="26"/>
        <w:numPr>
          <w:ilvl w:val="0"/>
          <w:numId w:val="20"/>
        </w:numPr>
        <w:rPr>
          <w:rFonts w:asciiTheme="minorEastAsia" w:hAnsiTheme="minorEastAsia" w:eastAsiaTheme="minorEastAsia" w:cstheme="minorEastAsia"/>
          <w:lang w:eastAsia="zh-Hans"/>
        </w:rPr>
      </w:pPr>
      <w:r>
        <w:rPr>
          <w:rFonts w:hint="eastAsia" w:asciiTheme="minorEastAsia" w:hAnsiTheme="minorEastAsia" w:eastAsiaTheme="minorEastAsia" w:cstheme="minorEastAsia"/>
          <w:lang w:eastAsia="zh-Hans"/>
        </w:rPr>
        <w:t>开展额外性论证</w:t>
      </w:r>
      <w:r>
        <w:rPr>
          <w:rFonts w:asciiTheme="minorEastAsia" w:hAnsiTheme="minorEastAsia" w:eastAsiaTheme="minorEastAsia" w:cstheme="minorEastAsia"/>
          <w:lang w:eastAsia="zh-Hans"/>
        </w:rPr>
        <w:t>；</w:t>
      </w:r>
    </w:p>
    <w:p>
      <w:pPr>
        <w:pStyle w:val="26"/>
        <w:numPr>
          <w:ilvl w:val="0"/>
          <w:numId w:val="20"/>
        </w:numPr>
        <w:ind w:firstLineChars="0"/>
      </w:pPr>
      <w:r>
        <w:rPr>
          <w:rFonts w:hint="eastAsia" w:asciiTheme="minorEastAsia" w:hAnsiTheme="minorEastAsia" w:eastAsiaTheme="minorEastAsia" w:cstheme="minorEastAsia"/>
          <w:lang w:eastAsia="zh-Hans"/>
        </w:rPr>
        <w:t>按照本标准规定的方法核算碳减排量</w:t>
      </w:r>
      <w:r>
        <w:rPr>
          <w:rFonts w:asciiTheme="minorEastAsia" w:hAnsiTheme="minorEastAsia" w:eastAsiaTheme="minorEastAsia" w:cstheme="minorEastAsia"/>
          <w:lang w:eastAsia="zh-Hans"/>
        </w:rPr>
        <w:t>。</w:t>
      </w:r>
    </w:p>
    <w:p>
      <w:pPr>
        <w:pStyle w:val="47"/>
        <w:spacing w:before="312" w:after="312"/>
      </w:pPr>
      <w:r>
        <w:rPr>
          <w:rFonts w:hint="eastAsia"/>
          <w:lang w:eastAsia="zh-Hans"/>
        </w:rPr>
        <w:t>核算边界及</w:t>
      </w:r>
      <w:r>
        <w:rPr>
          <w:lang w:eastAsia="zh-Hans"/>
        </w:rPr>
        <w:t>碳排放</w:t>
      </w:r>
      <w:r>
        <w:rPr>
          <w:rFonts w:hint="eastAsia"/>
          <w:lang w:eastAsia="zh-Hans"/>
        </w:rPr>
        <w:t>源种类</w:t>
      </w:r>
    </w:p>
    <w:p>
      <w:pPr>
        <w:pStyle w:val="44"/>
        <w:numPr>
          <w:numId w:val="0"/>
        </w:numPr>
        <w:tabs>
          <w:tab w:val="center" w:pos="4201"/>
          <w:tab w:val="right" w:leader="dot" w:pos="9298"/>
        </w:tabs>
        <w:spacing w:before="156" w:after="156"/>
        <w:ind w:leftChars="0" w:firstLine="420" w:firstLineChars="200"/>
        <w:rPr>
          <w:lang w:eastAsia="zh-Hans"/>
        </w:rPr>
      </w:pPr>
      <w:bookmarkStart w:id="184" w:name="_GoBack"/>
      <w:bookmarkEnd w:id="184"/>
      <w:r>
        <w:rPr>
          <w:rFonts w:hint="eastAsia" w:asciiTheme="minorEastAsia" w:hAnsiTheme="minorEastAsia" w:eastAsiaTheme="minorEastAsia" w:cstheme="minorEastAsia"/>
          <w:lang w:eastAsia="zh-Hans"/>
        </w:rPr>
        <w:t>低碳出行的</w:t>
      </w:r>
      <w:r>
        <w:rPr>
          <w:rFonts w:asciiTheme="minorEastAsia" w:hAnsiTheme="minorEastAsia" w:eastAsiaTheme="minorEastAsia" w:cstheme="minorEastAsia"/>
          <w:lang w:eastAsia="zh-Hans"/>
        </w:rPr>
        <w:t>碳排放</w:t>
      </w:r>
      <w:r>
        <w:rPr>
          <w:rFonts w:hint="eastAsia" w:asciiTheme="minorEastAsia" w:hAnsiTheme="minorEastAsia" w:eastAsiaTheme="minorEastAsia" w:cstheme="minorEastAsia"/>
          <w:lang w:eastAsia="zh-Hans"/>
        </w:rPr>
        <w:t>源种类应为二氧化碳</w:t>
      </w:r>
      <w:r>
        <w:rPr>
          <w:rFonts w:asciiTheme="minorEastAsia" w:hAnsiTheme="minorEastAsia" w:eastAsiaTheme="minorEastAsia" w:cstheme="minorEastAsia"/>
          <w:lang w:eastAsia="zh-Hans"/>
        </w:rPr>
        <w:t>。</w:t>
      </w:r>
    </w:p>
    <w:p>
      <w:pPr>
        <w:pStyle w:val="47"/>
        <w:spacing w:before="312" w:after="312"/>
      </w:pPr>
      <w:bookmarkStart w:id="34" w:name="_Toc118127237"/>
      <w:r>
        <w:rPr>
          <w:rFonts w:hint="eastAsia"/>
        </w:rPr>
        <w:t>核算方法</w:t>
      </w:r>
      <w:bookmarkEnd w:id="34"/>
    </w:p>
    <w:p>
      <w:pPr>
        <w:pStyle w:val="44"/>
        <w:spacing w:before="156" w:after="156"/>
        <w:rPr>
          <w:lang w:eastAsia="zh-Hans"/>
        </w:rPr>
      </w:pPr>
      <w:bookmarkStart w:id="35" w:name="_Toc104904870"/>
      <w:bookmarkStart w:id="36" w:name="_Toc97308064"/>
      <w:bookmarkStart w:id="37" w:name="_Toc105021481"/>
      <w:bookmarkStart w:id="38" w:name="_Toc106354526"/>
      <w:bookmarkStart w:id="39" w:name="_Toc105662584"/>
      <w:bookmarkStart w:id="40" w:name="_Toc106265174"/>
      <w:bookmarkStart w:id="41" w:name="_Toc106354466"/>
      <w:bookmarkStart w:id="42" w:name="_Toc105443218"/>
      <w:bookmarkStart w:id="43" w:name="_Toc105442586"/>
      <w:bookmarkStart w:id="44" w:name="_Toc118127238"/>
      <w:r>
        <w:rPr>
          <w:rFonts w:hint="eastAsia"/>
          <w:lang w:eastAsia="zh-Hans"/>
        </w:rPr>
        <w:t>基准线</w:t>
      </w:r>
      <w:bookmarkEnd w:id="35"/>
      <w:bookmarkEnd w:id="36"/>
      <w:r>
        <w:rPr>
          <w:rFonts w:hint="eastAsia"/>
          <w:lang w:eastAsia="zh-Hans"/>
        </w:rPr>
        <w:t>情景识别</w:t>
      </w:r>
      <w:bookmarkEnd w:id="37"/>
      <w:bookmarkEnd w:id="38"/>
      <w:bookmarkEnd w:id="39"/>
      <w:bookmarkEnd w:id="40"/>
      <w:bookmarkEnd w:id="41"/>
      <w:bookmarkEnd w:id="42"/>
      <w:bookmarkEnd w:id="43"/>
      <w:bookmarkEnd w:id="44"/>
    </w:p>
    <w:p>
      <w:pPr>
        <w:pStyle w:val="26"/>
      </w:pPr>
      <w:r>
        <w:rPr>
          <w:rFonts w:hint="eastAsia"/>
        </w:rPr>
        <w:t>基准线情景应为高碳出行的情景。</w:t>
      </w:r>
    </w:p>
    <w:p>
      <w:pPr>
        <w:pStyle w:val="44"/>
        <w:spacing w:before="156" w:after="156"/>
        <w:rPr>
          <w:lang w:eastAsia="zh-Hans"/>
        </w:rPr>
      </w:pPr>
      <w:r>
        <w:rPr>
          <w:rFonts w:hint="eastAsia"/>
          <w:lang w:eastAsia="zh-Hans"/>
        </w:rPr>
        <w:t>额外性论证</w:t>
      </w:r>
    </w:p>
    <w:p>
      <w:pPr>
        <w:pStyle w:val="26"/>
      </w:pPr>
      <w:r>
        <w:rPr>
          <w:rFonts w:hint="eastAsia"/>
          <w:lang w:eastAsia="zh-Hans"/>
        </w:rPr>
        <w:t>基于本标准核算原则和方法开发的自愿减排项目可免于额外性论证</w:t>
      </w:r>
      <w:r>
        <w:rPr>
          <w:lang w:eastAsia="zh-Hans"/>
        </w:rPr>
        <w:t>。</w:t>
      </w:r>
    </w:p>
    <w:p>
      <w:pPr>
        <w:pStyle w:val="44"/>
        <w:spacing w:before="156" w:after="156"/>
        <w:rPr>
          <w:lang w:eastAsia="zh-Hans"/>
        </w:rPr>
      </w:pPr>
      <w:bookmarkStart w:id="45" w:name="_Toc97308066"/>
      <w:bookmarkStart w:id="46" w:name="_Toc104904872"/>
      <w:bookmarkStart w:id="47" w:name="_Toc106265175"/>
      <w:bookmarkStart w:id="48" w:name="_Toc105021482"/>
      <w:bookmarkStart w:id="49" w:name="_Toc105442587"/>
      <w:bookmarkStart w:id="50" w:name="_Toc118127239"/>
      <w:bookmarkStart w:id="51" w:name="_Toc105662585"/>
      <w:bookmarkStart w:id="52" w:name="_Toc106354527"/>
      <w:bookmarkStart w:id="53" w:name="_Toc106354467"/>
      <w:bookmarkStart w:id="54" w:name="_Toc105443219"/>
      <w:r>
        <w:rPr>
          <w:rFonts w:hint="eastAsia"/>
          <w:lang w:eastAsia="zh-Hans"/>
        </w:rPr>
        <w:t>基准线</w:t>
      </w:r>
      <w:bookmarkEnd w:id="45"/>
      <w:bookmarkEnd w:id="46"/>
      <w:r>
        <w:rPr>
          <w:lang w:eastAsia="zh-Hans"/>
        </w:rPr>
        <w:t>碳排放</w:t>
      </w:r>
      <w:r>
        <w:rPr>
          <w:rFonts w:hint="eastAsia"/>
          <w:lang w:eastAsia="zh-Hans"/>
        </w:rPr>
        <w:t>计算</w:t>
      </w:r>
      <w:bookmarkEnd w:id="47"/>
      <w:bookmarkEnd w:id="48"/>
      <w:bookmarkEnd w:id="49"/>
      <w:bookmarkEnd w:id="50"/>
      <w:bookmarkEnd w:id="51"/>
      <w:bookmarkEnd w:id="52"/>
      <w:bookmarkEnd w:id="53"/>
      <w:bookmarkEnd w:id="54"/>
    </w:p>
    <w:p>
      <w:pPr>
        <w:spacing w:line="560" w:lineRule="exact"/>
        <w:ind w:firstLine="420" w:firstLineChars="200"/>
      </w:pPr>
      <w:r>
        <w:rPr>
          <w:rFonts w:hint="eastAsia"/>
        </w:rPr>
        <w:t>基准线</w:t>
      </w:r>
      <w:r>
        <w:t>碳排放</w:t>
      </w:r>
      <w:r>
        <w:rPr>
          <w:rFonts w:hint="eastAsia"/>
        </w:rPr>
        <w:t>量（</w:t>
      </w: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hint="eastAsia" w:ascii="Cambria Math" w:hAnsi="Cambria Math"/>
              </w:rPr>
              <m:t>y</m:t>
            </m:r>
            <m:ctrlPr>
              <w:rPr>
                <w:rFonts w:ascii="Cambria Math" w:hAnsi="Cambria Math"/>
                <w:i/>
              </w:rPr>
            </m:ctrlPr>
          </m:sub>
        </m:sSub>
      </m:oMath>
      <w:r>
        <w:rPr>
          <w:rFonts w:hint="eastAsia"/>
        </w:rPr>
        <w:t>）按公式（</w:t>
      </w:r>
      <w:r>
        <w:t>1</w:t>
      </w:r>
      <w:r>
        <w:rPr>
          <w:rFonts w:hint="eastAsia"/>
        </w:rPr>
        <w:t>）</w:t>
      </w:r>
      <w:r>
        <w:rPr>
          <w:rFonts w:hint="eastAsia"/>
          <w:lang w:val="en-AU"/>
        </w:rPr>
        <w:t>计算</w:t>
      </w:r>
      <w:r>
        <w:rPr>
          <w:rFonts w:hint="eastAsia"/>
        </w:rPr>
        <w:t>：</w:t>
      </w:r>
    </w:p>
    <w:p>
      <w:pPr>
        <w:pStyle w:val="26"/>
        <w:ind w:firstLineChars="0"/>
        <w:jc w:val="right"/>
        <w:rPr>
          <w:rFonts w:hint="eastAsia" w:ascii="Cambria Math" w:hAnsi="Cambria Math"/>
        </w:rPr>
      </w:pP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hint="eastAsia" w:ascii="Cambria Math" w:hAnsi="Cambria Math"/>
              </w:rPr>
              <m:t>y</m:t>
            </m:r>
            <m:ctrlPr>
              <w:rPr>
                <w:rFonts w:ascii="Cambria Math" w:hAnsi="Cambria Math"/>
                <w:i/>
              </w:rPr>
            </m:ctrlPr>
          </m:sub>
        </m:sSub>
        <m:r>
          <m:rPr/>
          <w:rPr>
            <w:rFonts w:ascii="Cambria Math" w:hAnsi="Cambria Math"/>
          </w:rPr>
          <m:t>=</m:t>
        </m:r>
        <m:nary>
          <m:naryPr>
            <m:chr m:val="∑"/>
            <m:limLoc m:val="subSup"/>
            <m:supHide m:val="1"/>
            <m:ctrlPr>
              <w:rPr>
                <w:rFonts w:ascii="Cambria Math" w:hAnsi="Cambria Math"/>
                <w:i/>
              </w:rPr>
            </m:ctrlPr>
          </m:naryPr>
          <m:sub>
            <m:r>
              <m:rPr/>
              <w:rPr>
                <w:rFonts w:hint="eastAsia" w:ascii="Cambria Math" w:hAnsi="Cambria Math"/>
              </w:rPr>
              <m:t>i</m:t>
            </m:r>
            <m:ctrlPr>
              <w:rPr>
                <w:rFonts w:ascii="Cambria Math" w:hAnsi="Cambria Math"/>
                <w:i/>
              </w:rPr>
            </m:ctrlPr>
          </m:sub>
          <m:sup>
            <m:ctrlPr>
              <w:rPr>
                <w:rFonts w:ascii="Cambria Math" w:hAnsi="Cambria Math"/>
                <w:i/>
              </w:rPr>
            </m:ctrlPr>
          </m:sup>
          <m:e>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PKM,</m:t>
                </m:r>
                <m:r>
                  <m:rPr/>
                  <w:rPr>
                    <w:rFonts w:hint="eastAsia" w:ascii="Cambria Math" w:hAnsi="Cambria Math"/>
                  </w:rPr>
                  <m:t>i</m:t>
                </m:r>
                <m:r>
                  <m:rPr/>
                  <w:rPr>
                    <w:rFonts w:ascii="Cambria Math" w:hAnsi="Cambria Math"/>
                  </w:rPr>
                  <m:t>,BL</m:t>
                </m:r>
                <m:ctrlPr>
                  <w:rPr>
                    <w:rFonts w:ascii="Cambria Math" w:hAnsi="Cambria Math"/>
                    <w:i/>
                  </w:rPr>
                </m:ctrlPr>
              </m:sub>
            </m:sSub>
            <m:ctrlPr>
              <w:rPr>
                <w:rFonts w:ascii="Cambria Math" w:hAnsi="Cambria Math"/>
                <w:i/>
              </w:rPr>
            </m:ctrlPr>
          </m:e>
        </m:nary>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ascii="Cambria Math" w:hAnsi="Cambria Math"/>
        </w:rPr>
        <w:t>) …………………………………</w:t>
      </w:r>
      <w:r>
        <w:rPr>
          <w:rFonts w:hint="eastAsia" w:ascii="Cambria Math" w:hAnsi="Cambria Math"/>
        </w:rPr>
        <w:t>（</w:t>
      </w:r>
      <w:r>
        <w:rPr>
          <w:rFonts w:hAnsi="宋体"/>
        </w:rPr>
        <w:t>1</w:t>
      </w:r>
      <w:r>
        <w:rPr>
          <w:rFonts w:hint="eastAsia" w:ascii="Cambria Math" w:hAnsi="Cambria Math"/>
        </w:rPr>
        <w:t>）</w:t>
      </w:r>
    </w:p>
    <w:p>
      <w:pPr>
        <w:pStyle w:val="26"/>
        <w:ind w:firstLineChars="0"/>
        <w:rPr>
          <w:rFonts w:hint="eastAsia" w:ascii="Cambria Math" w:hAnsi="Cambria Math"/>
        </w:rPr>
      </w:pPr>
      <w:r>
        <w:rPr>
          <w:rFonts w:hint="eastAsia" w:ascii="Cambria Math" w:hAnsi="Cambria Math"/>
        </w:rPr>
        <w:t>式中：</w:t>
      </w:r>
    </w:p>
    <w:p>
      <w:pPr>
        <w:pStyle w:val="26"/>
        <w:ind w:firstLineChars="0"/>
        <w:rPr>
          <w:rFonts w:hint="eastAsia" w:ascii="Cambria Math" w:hAnsi="Cambria Math"/>
        </w:rPr>
      </w:pP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hint="eastAsia" w:ascii="Cambria Math" w:hAnsi="Cambria Math"/>
              </w:rPr>
              <m:t>y</m:t>
            </m:r>
            <m:ctrlPr>
              <w:rPr>
                <w:rFonts w:ascii="Cambria Math" w:hAnsi="Cambria Math"/>
                <w:i/>
              </w:rPr>
            </m:ctrlPr>
          </m:sub>
        </m:sSub>
      </m:oMath>
      <w:r>
        <w:rPr>
          <w:rFonts w:hint="eastAsia" w:hAnsi="宋体"/>
        </w:rPr>
        <w:t>——</w:t>
      </w:r>
      <w:r>
        <w:rPr>
          <w:rFonts w:hint="eastAsia" w:ascii="Cambria Math" w:hAnsi="Cambria Math"/>
        </w:rPr>
        <w:t>第</w:t>
      </w:r>
      <w:r>
        <w:rPr>
          <w:rFonts w:ascii="Cambria Math" w:hAnsi="Cambria Math"/>
        </w:rPr>
        <w:t>y</w:t>
      </w:r>
      <w:r>
        <w:rPr>
          <w:rFonts w:hint="eastAsia" w:ascii="Cambria Math" w:hAnsi="Cambria Math"/>
        </w:rPr>
        <w:t>年</w:t>
      </w:r>
      <w:r>
        <w:rPr>
          <w:rFonts w:ascii="Cambria Math" w:hAnsi="Cambria Math"/>
        </w:rPr>
        <w:t>基准线碳排放量</w:t>
      </w:r>
      <w:r>
        <w:rPr>
          <w:rFonts w:hint="eastAsia" w:ascii="Cambria Math" w:hAnsi="Cambria Math"/>
        </w:rPr>
        <w:t>，单位为吨二氧化碳（</w:t>
      </w:r>
      <w:r>
        <w:rPr>
          <w:rFonts w:ascii="Times New Roman"/>
          <w:lang w:val="en-AU"/>
        </w:rPr>
        <w:t>tCO</w:t>
      </w:r>
      <w:r>
        <w:rPr>
          <w:rFonts w:ascii="Times New Roman"/>
          <w:vertAlign w:val="subscript"/>
          <w:lang w:val="en-AU"/>
        </w:rPr>
        <w:t>2</w:t>
      </w:r>
      <w:r>
        <w:rPr>
          <w:rFonts w:hint="eastAsia" w:ascii="Cambria Math" w:hAnsi="Cambria Math"/>
        </w:rPr>
        <w:t>）；</w:t>
      </w:r>
    </w:p>
    <w:p>
      <w:pPr>
        <w:pStyle w:val="26"/>
        <w:ind w:firstLineChars="0"/>
        <w:rPr>
          <w:rFonts w:hint="eastAsia" w:ascii="Cambria Math" w:hAnsi="Cambria Math"/>
        </w:rPr>
      </w:pP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i</m:t>
            </m:r>
            <m:r>
              <m:rPr>
                <m:sty m:val="p"/>
              </m:rPr>
              <w:rPr>
                <w:rFonts w:ascii="Cambria Math" w:hAnsi="Cambria Math"/>
              </w:rPr>
              <m:t>,</m:t>
            </m:r>
            <m:r>
              <m:rPr/>
              <w:rPr>
                <w:rFonts w:ascii="Cambria Math" w:hAnsi="Cambria Math"/>
              </w:rPr>
              <m:t>BL</m:t>
            </m:r>
            <m:ctrlPr>
              <w:rPr>
                <w:rFonts w:ascii="Cambria Math" w:hAnsi="Cambria Math"/>
              </w:rPr>
            </m:ctrlPr>
          </m:sub>
        </m:sSub>
      </m:oMath>
      <w:r>
        <w:rPr>
          <w:rFonts w:hint="eastAsia" w:hAnsi="宋体"/>
        </w:rPr>
        <w:t>——</w:t>
      </w:r>
      <w:r>
        <w:rPr>
          <w:rFonts w:hint="eastAsia" w:ascii="Cambria Math" w:hAnsi="Cambria Math"/>
        </w:rPr>
        <w:t>第i次出行基准线人公里速度</w:t>
      </w:r>
      <w:r>
        <w:rPr>
          <w:rFonts w:ascii="Cambria Math" w:hAnsi="Cambria Math"/>
        </w:rPr>
        <w:t>碳排放因子</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），应按照附录</w:t>
      </w:r>
      <w:r>
        <w:rPr>
          <w:rFonts w:hAnsi="宋体"/>
        </w:rPr>
        <w:t>A.1</w:t>
      </w:r>
      <w:r>
        <w:rPr>
          <w:rFonts w:hint="eastAsia" w:hAnsi="宋体"/>
        </w:rPr>
        <w:t>规定</w:t>
      </w:r>
      <w:r>
        <w:rPr>
          <w:rFonts w:hint="eastAsia" w:ascii="Cambria Math" w:hAnsi="Cambria Math"/>
        </w:rPr>
        <w:t>的方法计算；</w:t>
      </w:r>
    </w:p>
    <w:p>
      <w:pPr>
        <w:pStyle w:val="26"/>
        <w:ind w:firstLineChars="0"/>
        <w:rPr>
          <w:rFonts w:hint="eastAsia" w:ascii="Cambria Math" w:hAnsi="Cambria Math"/>
        </w:rPr>
      </w:pPr>
      <m:oMath>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hint="eastAsia" w:hAnsi="宋体"/>
        </w:rPr>
        <w:t>——</w:t>
      </w:r>
      <w:r>
        <w:rPr>
          <w:rFonts w:hint="eastAsia" w:ascii="Cambria Math" w:hAnsi="Cambria Math"/>
        </w:rPr>
        <w:t>第i次出行基准线情景被替代的高碳出行里程，单位为公里（k</w:t>
      </w:r>
      <w:r>
        <w:rPr>
          <w:rFonts w:ascii="Cambria Math" w:hAnsi="Cambria Math"/>
        </w:rPr>
        <w:t>m</w:t>
      </w:r>
      <w:r>
        <w:rPr>
          <w:rFonts w:hint="eastAsia" w:ascii="Cambria Math" w:hAnsi="Cambria Math"/>
        </w:rPr>
        <w:t>），应按照附录</w:t>
      </w:r>
      <w:r>
        <w:rPr>
          <w:rFonts w:hAnsi="宋体"/>
        </w:rPr>
        <w:t>B.1</w:t>
      </w:r>
      <w:r>
        <w:rPr>
          <w:rFonts w:hint="eastAsia" w:hAnsi="宋体"/>
        </w:rPr>
        <w:t>规定</w:t>
      </w:r>
      <w:r>
        <w:rPr>
          <w:rFonts w:hint="eastAsia" w:ascii="Cambria Math" w:hAnsi="Cambria Math"/>
        </w:rPr>
        <w:t>的方法计算。</w:t>
      </w:r>
    </w:p>
    <w:p>
      <w:pPr>
        <w:pStyle w:val="44"/>
        <w:spacing w:before="156" w:after="156"/>
        <w:rPr>
          <w:lang w:eastAsia="zh-Hans"/>
        </w:rPr>
      </w:pPr>
      <w:bookmarkStart w:id="55" w:name="_Toc97308068"/>
      <w:bookmarkStart w:id="56" w:name="_Toc104904874"/>
      <w:bookmarkStart w:id="57" w:name="_Toc105443220"/>
      <w:bookmarkStart w:id="58" w:name="_Toc106354528"/>
      <w:bookmarkStart w:id="59" w:name="_Toc105662586"/>
      <w:bookmarkStart w:id="60" w:name="_Toc106354468"/>
      <w:bookmarkStart w:id="61" w:name="_Toc118127240"/>
      <w:bookmarkStart w:id="62" w:name="_Toc105021483"/>
      <w:bookmarkStart w:id="63" w:name="_Toc105442588"/>
      <w:bookmarkStart w:id="64" w:name="_Toc106265176"/>
      <w:r>
        <w:rPr>
          <w:rFonts w:hint="eastAsia"/>
          <w:lang w:eastAsia="zh-Hans"/>
        </w:rPr>
        <w:t>项目</w:t>
      </w:r>
      <w:bookmarkEnd w:id="55"/>
      <w:bookmarkEnd w:id="56"/>
      <w:r>
        <w:rPr>
          <w:lang w:eastAsia="zh-Hans"/>
        </w:rPr>
        <w:t>碳排放</w:t>
      </w:r>
      <w:r>
        <w:rPr>
          <w:rFonts w:hint="eastAsia"/>
          <w:lang w:eastAsia="zh-Hans"/>
        </w:rPr>
        <w:t>计算</w:t>
      </w:r>
      <w:bookmarkEnd w:id="57"/>
      <w:bookmarkEnd w:id="58"/>
      <w:bookmarkEnd w:id="59"/>
      <w:bookmarkEnd w:id="60"/>
      <w:bookmarkEnd w:id="61"/>
      <w:bookmarkEnd w:id="62"/>
      <w:bookmarkEnd w:id="63"/>
      <w:bookmarkEnd w:id="64"/>
    </w:p>
    <w:p>
      <w:pPr>
        <w:pStyle w:val="26"/>
        <w:jc w:val="left"/>
        <w:rPr>
          <w:lang w:val="en-AU"/>
        </w:rPr>
      </w:pPr>
      <w:r>
        <w:rPr>
          <w:rFonts w:hint="eastAsia"/>
          <w:lang w:val="en-AU"/>
        </w:rPr>
        <w:t>项目</w:t>
      </w:r>
      <w:r>
        <w:t>碳排放</w:t>
      </w:r>
      <w:r>
        <w:rPr>
          <w:rFonts w:hint="eastAsia"/>
          <w:lang w:val="en-AU"/>
        </w:rPr>
        <w:t>量（</w:t>
      </w:r>
      <m:oMath>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hint="eastAsia" w:ascii="Cambria Math" w:hAnsi="Cambria Math"/>
              </w:rPr>
              <m:t>y</m:t>
            </m:r>
            <m:ctrlPr>
              <w:rPr>
                <w:rFonts w:ascii="Cambria Math" w:hAnsi="Cambria Math"/>
                <w:i/>
              </w:rPr>
            </m:ctrlPr>
          </m:sub>
        </m:sSub>
      </m:oMath>
      <w:r>
        <w:rPr>
          <w:rFonts w:hint="eastAsia"/>
          <w:lang w:val="en-AU"/>
        </w:rPr>
        <w:t>）</w:t>
      </w:r>
      <w:r>
        <w:rPr>
          <w:rFonts w:hint="eastAsia"/>
        </w:rPr>
        <w:t>按</w:t>
      </w:r>
      <w:r>
        <w:rPr>
          <w:rFonts w:hint="eastAsia"/>
          <w:lang w:val="en-AU"/>
        </w:rPr>
        <w:t>公式（</w:t>
      </w:r>
      <w:r>
        <w:rPr>
          <w:lang w:val="en-AU"/>
        </w:rPr>
        <w:t>2</w:t>
      </w:r>
      <w:r>
        <w:rPr>
          <w:rFonts w:hint="eastAsia"/>
          <w:lang w:val="en-AU"/>
        </w:rPr>
        <w:t>）计算：</w:t>
      </w:r>
    </w:p>
    <w:p>
      <w:pPr>
        <w:pStyle w:val="26"/>
        <w:ind w:firstLineChars="0"/>
        <w:jc w:val="right"/>
        <w:rPr>
          <w:rFonts w:hint="eastAsia" w:ascii="Cambria Math" w:hAnsi="Cambria Math"/>
        </w:rPr>
      </w:pPr>
      <m:oMath>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hint="eastAsia" w:ascii="Cambria Math" w:hAnsi="Cambria Math"/>
              </w:rPr>
              <m:t>y</m:t>
            </m:r>
            <m:ctrlPr>
              <w:rPr>
                <w:rFonts w:ascii="Cambria Math" w:hAnsi="Cambria Math"/>
                <w:i/>
              </w:rPr>
            </m:ctrlPr>
          </m:sub>
        </m:sSub>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i</m:t>
            </m:r>
            <m:ctrlPr>
              <w:rPr>
                <w:rFonts w:ascii="Cambria Math" w:hAnsi="Cambria Math"/>
                <w:i/>
              </w:rPr>
            </m:ctrlPr>
          </m:sub>
          <m:sup>
            <m:ctrlPr>
              <w:rPr>
                <w:rFonts w:ascii="Cambria Math" w:hAnsi="Cambria Math"/>
                <w:i/>
              </w:rPr>
            </m:ctrlPr>
          </m:sup>
          <m:e>
            <m:nary>
              <m:naryPr>
                <m:chr m:val="∑"/>
                <m:limLoc m:val="subSup"/>
                <m:supHide m:val="1"/>
                <m:ctrlPr>
                  <w:rPr>
                    <w:rFonts w:ascii="Cambria Math" w:hAnsi="Cambria Math"/>
                    <w:i/>
                  </w:rPr>
                </m:ctrlPr>
              </m:naryPr>
              <m:sub>
                <m:r>
                  <m:rPr/>
                  <w:rPr>
                    <w:rFonts w:hint="eastAsia" w:ascii="Cambria Math" w:hAnsi="Cambria Math"/>
                  </w:rPr>
                  <m:t>k</m:t>
                </m:r>
                <m:ctrlPr>
                  <w:rPr>
                    <w:rFonts w:ascii="Cambria Math" w:hAnsi="Cambria Math"/>
                    <w:i/>
                  </w:rPr>
                </m:ctrlPr>
              </m:sub>
              <m:sup>
                <m:ctrlPr>
                  <w:rPr>
                    <w:rFonts w:ascii="Cambria Math" w:hAnsi="Cambria Math"/>
                    <w:i/>
                  </w:rPr>
                </m:ctrlPr>
              </m:sup>
              <m:e>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PKM,k</m:t>
                    </m:r>
                    <m:ctrlPr>
                      <w:rPr>
                        <w:rFonts w:ascii="Cambria Math" w:hAnsi="Cambria Math"/>
                        <w:i/>
                      </w:rPr>
                    </m:ctrlPr>
                  </m:sub>
                </m:sSub>
                <m:r>
                  <m:rPr/>
                  <w:rPr>
                    <w:rFonts w:ascii="Cambria Math" w:hAnsi="Cambria Math"/>
                  </w:rPr>
                  <m:t>×</m:t>
                </m:r>
                <m:ctrlPr>
                  <w:rPr>
                    <w:rFonts w:ascii="Cambria Math" w:hAnsi="Cambria Math"/>
                    <w:i/>
                  </w:rPr>
                </m:ctrlPr>
              </m:e>
            </m:nary>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r>
              <m:rPr/>
              <w:rPr>
                <w:rFonts w:ascii="Cambria Math" w:hAnsi="Cambria Math"/>
              </w:rPr>
              <m:t>)</m:t>
            </m:r>
            <m:ctrlPr>
              <w:rPr>
                <w:rFonts w:ascii="Cambria Math" w:hAnsi="Cambria Math"/>
                <w:i/>
              </w:rPr>
            </m:ctrlPr>
          </m:e>
        </m:nary>
      </m:oMath>
      <w:r>
        <w:rPr>
          <w:rFonts w:ascii="Cambria Math" w:hAnsi="Cambria Math"/>
        </w:rPr>
        <w:t>………………………………</w:t>
      </w:r>
      <w:r>
        <w:rPr>
          <w:rFonts w:hint="eastAsia" w:ascii="Cambria Math" w:hAnsi="Cambria Math"/>
        </w:rPr>
        <w:t>（</w:t>
      </w:r>
      <w:r>
        <w:rPr>
          <w:rFonts w:hAnsi="宋体"/>
        </w:rPr>
        <w:t>2</w:t>
      </w:r>
      <w:r>
        <w:rPr>
          <w:rFonts w:hint="eastAsia" w:ascii="Cambria Math" w:hAnsi="Cambria Math"/>
        </w:rPr>
        <w:t>）</w:t>
      </w:r>
    </w:p>
    <w:p>
      <w:pPr>
        <w:pStyle w:val="26"/>
        <w:jc w:val="left"/>
        <w:rPr>
          <w:lang w:val="en-AU"/>
        </w:rPr>
      </w:pPr>
      <w:r>
        <w:rPr>
          <w:rFonts w:hint="eastAsia"/>
          <w:lang w:val="en-AU"/>
        </w:rPr>
        <w:t>式中：</w:t>
      </w:r>
    </w:p>
    <w:p>
      <w:pPr>
        <w:pStyle w:val="26"/>
        <w:jc w:val="left"/>
        <w:rPr>
          <w:rFonts w:ascii="Times New Roman"/>
          <w:lang w:val="en-AU"/>
        </w:rPr>
      </w:pPr>
      <m:oMath>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hint="eastAsia" w:ascii="Cambria Math" w:hAnsi="Cambria Math"/>
              </w:rPr>
              <m:t>y</m:t>
            </m:r>
            <m:ctrlPr>
              <w:rPr>
                <w:rFonts w:ascii="Cambria Math" w:hAnsi="Cambria Math"/>
                <w:i/>
              </w:rPr>
            </m:ctrlPr>
          </m:sub>
        </m:sSub>
      </m:oMath>
      <w:r>
        <w:rPr>
          <w:rFonts w:hint="eastAsia" w:hAnsi="宋体"/>
        </w:rPr>
        <w:t>——</w:t>
      </w:r>
      <w:r>
        <w:rPr>
          <w:rFonts w:ascii="Times New Roman"/>
          <w:lang w:val="en-AU"/>
        </w:rPr>
        <w:t>第y年项目</w:t>
      </w:r>
      <w:r>
        <w:rPr>
          <w:rFonts w:ascii="Times New Roman"/>
        </w:rPr>
        <w:t>碳排放</w:t>
      </w:r>
      <w:r>
        <w:rPr>
          <w:rFonts w:ascii="Times New Roman"/>
          <w:lang w:val="en-AU"/>
        </w:rPr>
        <w:t>量，单位为吨二氧化碳（tCO</w:t>
      </w:r>
      <w:r>
        <w:rPr>
          <w:rFonts w:ascii="Times New Roman"/>
          <w:vertAlign w:val="subscript"/>
          <w:lang w:val="en-AU"/>
        </w:rPr>
        <w:t>2</w:t>
      </w:r>
      <w:r>
        <w:rPr>
          <w:rFonts w:ascii="Times New Roman"/>
          <w:lang w:val="en-AU"/>
        </w:rPr>
        <w:t>）；</w:t>
      </w:r>
    </w:p>
    <w:p>
      <w:pPr>
        <w:pStyle w:val="26"/>
        <w:rPr>
          <w:rFonts w:ascii="Times New Roman"/>
          <w:lang w:val="en-AU"/>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PKM,k</m:t>
            </m:r>
            <m:ctrlPr>
              <w:rPr>
                <w:rFonts w:ascii="Cambria Math" w:hAnsi="Cambria Math"/>
                <w:i/>
              </w:rPr>
            </m:ctrlPr>
          </m:sub>
        </m:sSub>
      </m:oMath>
      <w:r>
        <w:rPr>
          <w:rFonts w:ascii="Times New Roman"/>
        </w:rPr>
        <w:t>——基准年</w:t>
      </w:r>
      <w:r>
        <w:rPr>
          <w:rFonts w:ascii="Times New Roman"/>
          <w:lang w:val="en-AU"/>
        </w:rPr>
        <w:t>低碳出行k方式人公里</w:t>
      </w:r>
      <w:r>
        <w:rPr>
          <w:rFonts w:ascii="Times New Roman"/>
        </w:rPr>
        <w:t>碳排放因子</w:t>
      </w:r>
      <w:r>
        <w:rPr>
          <w:rFonts w:ascii="Times New Roman"/>
          <w:lang w:val="en-AU"/>
        </w:rPr>
        <w:t>，单位为</w:t>
      </w:r>
      <w:r>
        <w:rPr>
          <w:rFonts w:hint="eastAsia" w:ascii="Cambria Math" w:hAnsi="Cambria Math"/>
        </w:rPr>
        <w:t>吨二氧化碳每人公里</w:t>
      </w:r>
      <w:r>
        <w:rPr>
          <w:rFonts w:ascii="Times New Roman"/>
          <w:lang w:val="en-AU"/>
        </w:rPr>
        <w:t>（tCO</w:t>
      </w:r>
      <w:r>
        <w:rPr>
          <w:rFonts w:ascii="Times New Roman"/>
          <w:vertAlign w:val="subscript"/>
          <w:lang w:val="en-AU"/>
        </w:rPr>
        <w:t>2</w:t>
      </w:r>
      <w:r>
        <w:rPr>
          <w:rFonts w:ascii="Times New Roman"/>
          <w:lang w:val="en-AU"/>
        </w:rPr>
        <w:t>/PKM）</w:t>
      </w:r>
      <w:r>
        <w:rPr>
          <w:rFonts w:hint="eastAsia" w:ascii="Times New Roman"/>
          <w:lang w:val="en-AU"/>
        </w:rPr>
        <w:t>，</w:t>
      </w:r>
      <w:r>
        <w:rPr>
          <w:rFonts w:hint="eastAsia" w:ascii="Cambria Math" w:hAnsi="Cambria Math"/>
        </w:rPr>
        <w:t>应按照附录</w:t>
      </w:r>
      <w:r>
        <w:rPr>
          <w:rFonts w:hAnsi="宋体"/>
        </w:rPr>
        <w:t>A.2</w:t>
      </w:r>
      <w:r>
        <w:rPr>
          <w:rFonts w:hint="eastAsia" w:hAnsi="宋体"/>
        </w:rPr>
        <w:t>规定</w:t>
      </w:r>
      <w:r>
        <w:rPr>
          <w:rFonts w:hint="eastAsia" w:ascii="Cambria Math" w:hAnsi="Cambria Math"/>
        </w:rPr>
        <w:t>的方法计算</w:t>
      </w:r>
      <w:r>
        <w:rPr>
          <w:rFonts w:ascii="Times New Roman"/>
          <w:lang w:val="en-AU"/>
        </w:rPr>
        <w:t>；</w:t>
      </w:r>
    </w:p>
    <w:p>
      <w:pPr>
        <w:pStyle w:val="26"/>
        <w:jc w:val="left"/>
        <w:rPr>
          <w:rFonts w:ascii="Times New Roman"/>
          <w:lang w:val="en-AU"/>
        </w:rPr>
      </w:pP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r>
        <w:rPr>
          <w:rFonts w:ascii="Times New Roman"/>
        </w:rPr>
        <w:t>——</w:t>
      </w:r>
      <w:r>
        <w:rPr>
          <w:rFonts w:ascii="Times New Roman"/>
          <w:lang w:val="en-AU"/>
        </w:rPr>
        <w:t>第y年第</w:t>
      </w:r>
      <w:r>
        <w:rPr>
          <w:rFonts w:hint="eastAsia" w:ascii="Times New Roman"/>
          <w:lang w:val="en-AU"/>
        </w:rPr>
        <w:t>i</w:t>
      </w:r>
      <w:r>
        <w:rPr>
          <w:rFonts w:ascii="Times New Roman"/>
          <w:lang w:val="en-AU"/>
        </w:rPr>
        <w:t>次</w:t>
      </w:r>
      <w:r>
        <w:rPr>
          <w:rFonts w:hint="eastAsia" w:ascii="Times New Roman"/>
          <w:lang w:val="en-AU"/>
        </w:rPr>
        <w:t>使用低碳出行</w:t>
      </w:r>
      <w:r>
        <w:rPr>
          <w:rFonts w:ascii="Times New Roman"/>
          <w:lang w:val="en-AU"/>
        </w:rPr>
        <w:t>k方式替代高碳出行的里程，单位为公里（km）</w:t>
      </w:r>
      <w:r>
        <w:rPr>
          <w:rFonts w:hint="eastAsia" w:ascii="Times New Roman"/>
          <w:lang w:val="en-AU"/>
        </w:rPr>
        <w:t>，</w:t>
      </w:r>
      <w:r>
        <w:rPr>
          <w:rFonts w:hint="eastAsia" w:ascii="Cambria Math" w:hAnsi="Cambria Math"/>
        </w:rPr>
        <w:t>应按照附录</w:t>
      </w:r>
      <w:r>
        <w:rPr>
          <w:rFonts w:hAnsi="宋体"/>
        </w:rPr>
        <w:t>B.2</w:t>
      </w:r>
      <w:r>
        <w:rPr>
          <w:rFonts w:hint="eastAsia" w:hAnsi="宋体"/>
        </w:rPr>
        <w:t>规定</w:t>
      </w:r>
      <w:r>
        <w:rPr>
          <w:rFonts w:hint="eastAsia" w:ascii="Cambria Math" w:hAnsi="Cambria Math"/>
        </w:rPr>
        <w:t>的方法计算</w:t>
      </w:r>
      <w:r>
        <w:rPr>
          <w:rFonts w:hint="eastAsia" w:ascii="Times New Roman"/>
          <w:lang w:val="en-AU"/>
        </w:rPr>
        <w:t>；</w:t>
      </w:r>
    </w:p>
    <w:p>
      <w:pPr>
        <w:pStyle w:val="26"/>
        <w:ind w:firstLineChars="0"/>
        <w:jc w:val="left"/>
        <w:rPr>
          <w:rFonts w:ascii="Times New Roman"/>
        </w:rPr>
      </w:pPr>
      <w:r>
        <w:rPr>
          <w:rFonts w:ascii="Times New Roman"/>
          <w:i/>
          <w:iCs/>
        </w:rPr>
        <w:t>k</w:t>
      </w:r>
      <w:r>
        <w:rPr>
          <w:rFonts w:ascii="Times New Roman"/>
        </w:rPr>
        <w:t>——低碳出行方式</w:t>
      </w:r>
      <w:r>
        <w:rPr>
          <w:rFonts w:hint="eastAsia" w:ascii="Times New Roman"/>
        </w:rPr>
        <w:t>。</w:t>
      </w:r>
    </w:p>
    <w:p>
      <w:pPr>
        <w:pStyle w:val="44"/>
        <w:spacing w:before="156" w:after="156"/>
        <w:rPr>
          <w:lang w:eastAsia="zh-Hans"/>
        </w:rPr>
      </w:pPr>
      <w:bookmarkStart w:id="65" w:name="_Toc105442589"/>
      <w:bookmarkStart w:id="66" w:name="_Toc105443221"/>
      <w:bookmarkStart w:id="67" w:name="_Toc105021484"/>
      <w:bookmarkStart w:id="68" w:name="_Toc104904878"/>
      <w:bookmarkStart w:id="69" w:name="_Toc97308072"/>
      <w:bookmarkStart w:id="70" w:name="_Toc105662587"/>
      <w:bookmarkStart w:id="71" w:name="_Toc118127241"/>
      <w:bookmarkStart w:id="72" w:name="_Toc106354469"/>
      <w:bookmarkStart w:id="73" w:name="_Toc106265177"/>
      <w:bookmarkStart w:id="74" w:name="_Toc106354529"/>
      <w:r>
        <w:rPr>
          <w:rFonts w:hint="eastAsia"/>
          <w:lang w:eastAsia="zh-Hans"/>
        </w:rPr>
        <w:t>泄漏</w:t>
      </w:r>
      <w:bookmarkEnd w:id="65"/>
      <w:bookmarkEnd w:id="66"/>
      <w:bookmarkEnd w:id="67"/>
      <w:bookmarkEnd w:id="68"/>
      <w:bookmarkEnd w:id="69"/>
      <w:bookmarkEnd w:id="70"/>
      <w:r>
        <w:rPr>
          <w:rFonts w:hint="eastAsia"/>
          <w:lang w:eastAsia="zh-Hans"/>
        </w:rPr>
        <w:t>量</w:t>
      </w:r>
      <w:bookmarkEnd w:id="71"/>
      <w:bookmarkEnd w:id="72"/>
      <w:bookmarkEnd w:id="73"/>
      <w:bookmarkEnd w:id="74"/>
      <w:r>
        <w:rPr>
          <w:rFonts w:hint="eastAsia"/>
          <w:lang w:eastAsia="zh-Hans"/>
        </w:rPr>
        <w:t>计算</w:t>
      </w:r>
    </w:p>
    <w:p>
      <w:pPr>
        <w:pStyle w:val="26"/>
        <w:ind w:firstLine="431" w:firstLineChars="0"/>
        <w:rPr>
          <w:lang w:val="en-AU"/>
        </w:rPr>
      </w:pPr>
      <w:r>
        <w:rPr>
          <w:rFonts w:hint="eastAsia"/>
          <w:lang w:val="en-AU"/>
        </w:rPr>
        <w:t>本标准不考虑对边界外温室气体</w:t>
      </w:r>
      <w:r>
        <w:t>碳排放</w:t>
      </w:r>
      <w:r>
        <w:rPr>
          <w:rFonts w:hint="eastAsia"/>
          <w:lang w:val="en-AU"/>
        </w:rPr>
        <w:t>的影响，泄漏量（</w:t>
      </w:r>
      <m:oMath>
        <m:sSub>
          <m:sSubPr>
            <m:ctrlPr>
              <w:rPr>
                <w:rFonts w:ascii="Cambria Math" w:hAnsi="Cambria Math"/>
                <w:i/>
              </w:rPr>
            </m:ctrlPr>
          </m:sSubPr>
          <m:e>
            <m:r>
              <m:rPr/>
              <w:rPr>
                <w:rFonts w:ascii="Cambria Math" w:hAnsi="Cambria Math"/>
                <w:lang w:val="en-AU"/>
              </w:rPr>
              <m:t>L</m:t>
            </m:r>
            <m:r>
              <m:rPr/>
              <w:rPr>
                <w:rFonts w:ascii="Cambria Math" w:hAnsi="Cambria Math"/>
              </w:rPr>
              <m:t>E</m:t>
            </m:r>
            <m:ctrlPr>
              <w:rPr>
                <w:rFonts w:ascii="Cambria Math" w:hAnsi="Cambria Math"/>
                <w:i/>
              </w:rPr>
            </m:ctrlPr>
          </m:e>
          <m:sub>
            <m:r>
              <m:rPr/>
              <w:rPr>
                <w:rFonts w:ascii="Cambria Math" w:hAnsi="Cambria Math"/>
              </w:rPr>
              <m:t>y</m:t>
            </m:r>
            <m:ctrlPr>
              <w:rPr>
                <w:rFonts w:ascii="Cambria Math" w:hAnsi="Cambria Math"/>
                <w:i/>
              </w:rPr>
            </m:ctrlPr>
          </m:sub>
        </m:sSub>
      </m:oMath>
      <w:r>
        <w:rPr>
          <w:rFonts w:hint="eastAsia"/>
        </w:rPr>
        <w:t>）按公式（3）</w:t>
      </w:r>
      <w:r>
        <w:rPr>
          <w:rFonts w:hint="eastAsia"/>
          <w:lang w:val="en-AU"/>
        </w:rPr>
        <w:t>计算：</w:t>
      </w:r>
    </w:p>
    <w:p>
      <w:pPr>
        <w:pStyle w:val="26"/>
        <w:ind w:firstLine="431" w:firstLineChars="0"/>
        <w:jc w:val="right"/>
        <w:rPr>
          <w:rFonts w:hint="eastAsia" w:ascii="Cambria Math" w:hAnsi="Cambria Math"/>
        </w:rPr>
      </w:pPr>
      <m:oMath>
        <m:sSub>
          <m:sSubPr>
            <m:ctrlPr>
              <w:rPr>
                <w:rFonts w:ascii="Cambria Math" w:hAnsi="Cambria Math"/>
                <w:i/>
              </w:rPr>
            </m:ctrlPr>
          </m:sSubPr>
          <m:e>
            <m:r>
              <m:rPr/>
              <w:rPr>
                <w:rFonts w:hint="eastAsia" w:ascii="Cambria Math" w:hAnsi="Cambria Math"/>
                <w:lang w:val="en-AU"/>
              </w:rPr>
              <m:t>L</m:t>
            </m:r>
            <m:r>
              <m:rPr/>
              <w:rPr>
                <w:rFonts w:hint="eastAsia" w:ascii="Cambria Math" w:hAnsi="Cambria Math"/>
              </w:rPr>
              <m:t>E</m:t>
            </m:r>
            <m:ctrlPr>
              <w:rPr>
                <w:rFonts w:ascii="Cambria Math" w:hAnsi="Cambria Math"/>
                <w:i/>
              </w:rPr>
            </m:ctrlPr>
          </m:e>
          <m:sub>
            <m:r>
              <m:rPr/>
              <w:rPr>
                <w:rFonts w:hint="eastAsia" w:ascii="Cambria Math" w:hAnsi="Cambria Math"/>
              </w:rPr>
              <m:t>y</m:t>
            </m:r>
            <m:ctrlPr>
              <w:rPr>
                <w:rFonts w:ascii="Cambria Math" w:hAnsi="Cambria Math"/>
                <w:i/>
              </w:rPr>
            </m:ctrlPr>
          </m:sub>
        </m:sSub>
        <m:r>
          <m:rPr/>
          <w:rPr>
            <w:rFonts w:hint="eastAsia" w:ascii="Cambria Math" w:hAnsi="Cambria Math"/>
            <w:lang w:val="en-AU"/>
          </w:rPr>
          <m:t>=0</m:t>
        </m:r>
      </m:oMath>
      <w:r>
        <w:rPr>
          <w:rFonts w:hint="eastAsia" w:ascii="Cambria Math" w:hAnsi="Cambria Math"/>
        </w:rPr>
        <w:t>…</w:t>
      </w:r>
      <w:r>
        <w:rPr>
          <w:rFonts w:ascii="Cambria Math" w:hAnsi="Cambria Math"/>
        </w:rPr>
        <w:t>………………………………………………</w:t>
      </w:r>
      <w:r>
        <w:rPr>
          <w:rFonts w:hint="eastAsia" w:ascii="Cambria Math" w:hAnsi="Cambria Math"/>
        </w:rPr>
        <w:t>（</w:t>
      </w:r>
      <w:r>
        <w:rPr>
          <w:rFonts w:hAnsi="宋体"/>
        </w:rPr>
        <w:t>3</w:t>
      </w:r>
      <w:r>
        <w:rPr>
          <w:rFonts w:hint="eastAsia" w:ascii="Cambria Math" w:hAnsi="Cambria Math"/>
        </w:rPr>
        <w:t>）</w:t>
      </w:r>
    </w:p>
    <w:p>
      <w:pPr>
        <w:pStyle w:val="26"/>
        <w:jc w:val="left"/>
        <w:rPr>
          <w:lang w:val="en-AU"/>
        </w:rPr>
      </w:pPr>
      <w:r>
        <w:rPr>
          <w:rFonts w:hint="eastAsia"/>
          <w:lang w:val="en-AU"/>
        </w:rPr>
        <w:t>式中：</w:t>
      </w:r>
    </w:p>
    <w:p>
      <w:pPr>
        <w:pStyle w:val="26"/>
        <w:ind w:firstLine="431" w:firstLineChars="0"/>
        <w:jc w:val="left"/>
        <w:rPr>
          <w:lang w:val="en-AU"/>
        </w:rPr>
      </w:pPr>
      <m:oMath>
        <m:sSub>
          <m:sSubPr>
            <m:ctrlPr>
              <w:rPr>
                <w:rFonts w:ascii="Cambria Math" w:hAnsi="Cambria Math"/>
                <w:i/>
              </w:rPr>
            </m:ctrlPr>
          </m:sSubPr>
          <m:e>
            <m:r>
              <m:rPr/>
              <w:rPr>
                <w:rFonts w:ascii="Cambria Math" w:hAnsi="Cambria Math"/>
                <w:lang w:val="en-AU"/>
              </w:rPr>
              <m:t>L</m:t>
            </m:r>
            <m:r>
              <m:rPr/>
              <w:rPr>
                <w:rFonts w:ascii="Cambria Math" w:hAnsi="Cambria Math"/>
              </w:rPr>
              <m:t>E</m:t>
            </m:r>
            <m:ctrlPr>
              <w:rPr>
                <w:rFonts w:ascii="Cambria Math" w:hAnsi="Cambria Math"/>
                <w:i/>
              </w:rPr>
            </m:ctrlPr>
          </m:e>
          <m:sub>
            <m:r>
              <m:rPr/>
              <w:rPr>
                <w:rFonts w:ascii="Cambria Math" w:hAnsi="Cambria Math"/>
              </w:rPr>
              <m:t>y</m:t>
            </m:r>
            <m:ctrlPr>
              <w:rPr>
                <w:rFonts w:ascii="Cambria Math" w:hAnsi="Cambria Math"/>
                <w:i/>
              </w:rPr>
            </m:ctrlPr>
          </m:sub>
        </m:sSub>
      </m:oMath>
      <w:r>
        <w:t>——</w:t>
      </w:r>
      <w:r>
        <w:rPr>
          <w:rFonts w:hint="eastAsia"/>
        </w:rPr>
        <w:t>第y年泄漏量，单位为</w:t>
      </w:r>
      <w:r>
        <w:rPr>
          <w:rFonts w:ascii="Times New Roman"/>
          <w:lang w:val="en-AU"/>
        </w:rPr>
        <w:t>吨二氧化碳（tCO</w:t>
      </w:r>
      <w:r>
        <w:rPr>
          <w:rFonts w:ascii="Times New Roman"/>
          <w:vertAlign w:val="subscript"/>
          <w:lang w:val="en-AU"/>
        </w:rPr>
        <w:t>2</w:t>
      </w:r>
      <w:r>
        <w:rPr>
          <w:rFonts w:ascii="Times New Roman"/>
          <w:lang w:val="en-AU"/>
        </w:rPr>
        <w:t>）</w:t>
      </w:r>
      <w:r>
        <w:rPr>
          <w:rFonts w:hint="eastAsia" w:ascii="Times New Roman"/>
          <w:lang w:val="en-AU"/>
        </w:rPr>
        <w:t>。</w:t>
      </w:r>
    </w:p>
    <w:p>
      <w:pPr>
        <w:pStyle w:val="44"/>
        <w:spacing w:before="156" w:after="156"/>
        <w:rPr>
          <w:lang w:eastAsia="zh-Hans"/>
        </w:rPr>
      </w:pPr>
      <w:bookmarkStart w:id="75" w:name="_Toc106354530"/>
      <w:bookmarkStart w:id="76" w:name="_Toc105443222"/>
      <w:bookmarkStart w:id="77" w:name="_Toc97308073"/>
      <w:bookmarkStart w:id="78" w:name="_Toc105442590"/>
      <w:bookmarkStart w:id="79" w:name="_Toc106265178"/>
      <w:bookmarkStart w:id="80" w:name="_Toc118127242"/>
      <w:bookmarkStart w:id="81" w:name="_Toc104904879"/>
      <w:bookmarkStart w:id="82" w:name="_Toc106354470"/>
      <w:bookmarkStart w:id="83" w:name="_Toc105662588"/>
      <w:bookmarkStart w:id="84" w:name="_Toc105021485"/>
      <w:r>
        <w:rPr>
          <w:rFonts w:hint="eastAsia"/>
          <w:lang w:eastAsia="zh-Hans"/>
        </w:rPr>
        <w:t>减排量</w:t>
      </w:r>
      <w:bookmarkEnd w:id="75"/>
      <w:bookmarkEnd w:id="76"/>
      <w:bookmarkEnd w:id="77"/>
      <w:bookmarkEnd w:id="78"/>
      <w:bookmarkEnd w:id="79"/>
      <w:bookmarkEnd w:id="80"/>
      <w:bookmarkEnd w:id="81"/>
      <w:bookmarkEnd w:id="82"/>
      <w:bookmarkEnd w:id="83"/>
      <w:bookmarkEnd w:id="84"/>
      <w:r>
        <w:rPr>
          <w:rFonts w:hint="eastAsia"/>
          <w:lang w:eastAsia="zh-Hans"/>
        </w:rPr>
        <w:t>核算</w:t>
      </w:r>
    </w:p>
    <w:p>
      <w:pPr>
        <w:pStyle w:val="26"/>
        <w:ind w:firstLineChars="0"/>
      </w:pPr>
      <w:r>
        <w:rPr>
          <w:rFonts w:hint="eastAsia"/>
        </w:rPr>
        <w:t>碳减排量（</w:t>
      </w:r>
      <m:oMath>
        <m:sSub>
          <m:sSubPr>
            <m:ctrlPr>
              <w:rPr>
                <w:rFonts w:ascii="Cambria Math" w:hAnsi="Cambria Math"/>
              </w:rPr>
            </m:ctrlPr>
          </m:sSubPr>
          <m:e>
            <m:r>
              <m:rPr/>
              <w:rPr>
                <w:rFonts w:ascii="Cambria Math" w:hAnsi="Cambria Math"/>
              </w:rPr>
              <m:t>ER</m:t>
            </m:r>
            <m:ctrlPr>
              <w:rPr>
                <w:rFonts w:ascii="Cambria Math" w:hAnsi="Cambria Math"/>
              </w:rPr>
            </m:ctrlPr>
          </m:e>
          <m:sub>
            <m:r>
              <m:rPr/>
              <w:rPr>
                <w:rFonts w:ascii="Cambria Math" w:hAnsi="Cambria Math"/>
              </w:rPr>
              <m:t>y</m:t>
            </m:r>
            <m:ctrlPr>
              <w:rPr>
                <w:rFonts w:ascii="Cambria Math" w:hAnsi="Cambria Math"/>
              </w:rPr>
            </m:ctrlPr>
          </m:sub>
        </m:sSub>
      </m:oMath>
      <w:r>
        <w:rPr>
          <w:rFonts w:hint="eastAsia"/>
        </w:rPr>
        <w:t>）按公式（</w:t>
      </w:r>
      <w:r>
        <w:t>4</w:t>
      </w:r>
      <w:r>
        <w:rPr>
          <w:rFonts w:hint="eastAsia"/>
        </w:rPr>
        <w:t>）</w:t>
      </w:r>
      <w:r>
        <w:rPr>
          <w:rFonts w:hint="eastAsia"/>
          <w:lang w:val="en-AU"/>
        </w:rPr>
        <w:t>计算</w:t>
      </w:r>
      <w:r>
        <w:rPr>
          <w:rFonts w:hint="eastAsia"/>
        </w:rPr>
        <w:t>：</w:t>
      </w:r>
    </w:p>
    <w:p>
      <w:pPr>
        <w:pStyle w:val="26"/>
        <w:ind w:firstLineChars="0"/>
        <w:jc w:val="right"/>
        <w:rPr>
          <w:rFonts w:hint="eastAsia" w:ascii="Cambria Math" w:hAnsi="Cambria Math"/>
        </w:rPr>
      </w:pPr>
      <m:oMath>
        <m:sSub>
          <m:sSubPr>
            <m:ctrlPr>
              <w:rPr>
                <w:rFonts w:ascii="Cambria Math" w:hAnsi="Cambria Math"/>
              </w:rPr>
            </m:ctrlPr>
          </m:sSubPr>
          <m:e>
            <m:r>
              <m:rPr/>
              <w:rPr>
                <w:rFonts w:ascii="Cambria Math" w:hAnsi="Cambria Math"/>
              </w:rPr>
              <m:t>ER</m:t>
            </m:r>
            <m:ctrlPr>
              <w:rPr>
                <w:rFonts w:ascii="Cambria Math" w:hAnsi="Cambria Math"/>
              </w:rPr>
            </m:ctrlPr>
          </m:e>
          <m:sub>
            <m:r>
              <m:rPr/>
              <w:rPr>
                <w:rFonts w:ascii="Cambria Math" w:hAnsi="Cambria Math"/>
              </w:rPr>
              <m:t>y</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BE</m:t>
            </m:r>
            <m:ctrlPr>
              <w:rPr>
                <w:rFonts w:ascii="Cambria Math" w:hAnsi="Cambria Math"/>
              </w:rPr>
            </m:ctrlPr>
          </m:e>
          <m:sub>
            <m:r>
              <m:rPr/>
              <w:rPr>
                <w:rFonts w:hint="eastAsia" w:ascii="Cambria Math" w:hAnsi="Cambria Math"/>
              </w:rPr>
              <m:t>y</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hint="eastAsia" w:ascii="Cambria Math" w:hAnsi="Cambria Math"/>
              </w:rPr>
              <m:t>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lang w:val="en-AU"/>
              </w:rPr>
              <m:t>L</m:t>
            </m:r>
            <m:r>
              <m:rPr/>
              <w:rPr>
                <w:rFonts w:ascii="Cambria Math" w:hAnsi="Cambria Math"/>
              </w:rPr>
              <m:t>E</m:t>
            </m:r>
            <m:ctrlPr>
              <w:rPr>
                <w:rFonts w:ascii="Cambria Math" w:hAnsi="Cambria Math"/>
                <w:i/>
              </w:rPr>
            </m:ctrlPr>
          </m:e>
          <m:sub>
            <m:r>
              <m:rPr/>
              <w:rPr>
                <w:rFonts w:ascii="Cambria Math" w:hAnsi="Cambria Math"/>
              </w:rPr>
              <m:t>y</m:t>
            </m:r>
            <m:ctrlPr>
              <w:rPr>
                <w:rFonts w:ascii="Cambria Math" w:hAnsi="Cambria Math"/>
                <w:i/>
              </w:rPr>
            </m:ctrlPr>
          </m:sub>
        </m:sSub>
      </m:oMath>
      <w:r>
        <w:rPr>
          <w:rFonts w:ascii="Cambria Math" w:hAnsi="Cambria Math"/>
        </w:rPr>
        <w:t>……………………………………………</w:t>
      </w:r>
      <w:r>
        <w:rPr>
          <w:rFonts w:hint="eastAsia" w:hAnsi="宋体"/>
        </w:rPr>
        <w:t>（</w:t>
      </w:r>
      <w:r>
        <w:rPr>
          <w:rFonts w:hAnsi="宋体"/>
        </w:rPr>
        <w:t>4</w:t>
      </w:r>
      <w:r>
        <w:rPr>
          <w:rFonts w:hint="eastAsia" w:hAnsi="宋体"/>
        </w:rPr>
        <w:t>）</w:t>
      </w:r>
    </w:p>
    <w:p>
      <w:pPr>
        <w:pStyle w:val="26"/>
      </w:pPr>
      <w:r>
        <w:rPr>
          <w:rFonts w:hint="eastAsia"/>
        </w:rPr>
        <w:t>式中：</w:t>
      </w:r>
    </w:p>
    <w:p>
      <w:pPr>
        <w:pStyle w:val="26"/>
        <w:rPr>
          <w:rFonts w:ascii="Times New Roman"/>
          <w:iCs/>
        </w:rPr>
      </w:pPr>
      <m:oMath>
        <m:sSub>
          <m:sSubPr>
            <m:ctrlPr>
              <w:rPr>
                <w:rFonts w:ascii="Cambria Math" w:hAnsi="Cambria Math"/>
                <w:i/>
              </w:rPr>
            </m:ctrlPr>
          </m:sSubPr>
          <m:e>
            <m:r>
              <m:rPr/>
              <w:rPr>
                <w:rFonts w:ascii="Cambria Math" w:hAnsi="Cambria Math"/>
              </w:rPr>
              <m:t>ER</m:t>
            </m:r>
            <m:ctrlPr>
              <w:rPr>
                <w:rFonts w:ascii="Cambria Math" w:hAnsi="Cambria Math"/>
                <w:i/>
              </w:rPr>
            </m:ctrlPr>
          </m:e>
          <m:sub>
            <m:r>
              <m:rPr/>
              <w:rPr>
                <w:rFonts w:ascii="Cambria Math" w:hAnsi="Cambria Math"/>
              </w:rPr>
              <m:t>y</m:t>
            </m:r>
            <m:ctrlPr>
              <w:rPr>
                <w:rFonts w:ascii="Cambria Math" w:hAnsi="Cambria Math"/>
                <w:i/>
              </w:rPr>
            </m:ctrlPr>
          </m:sub>
        </m:sSub>
      </m:oMath>
      <w:r>
        <w:rPr>
          <w:rFonts w:hint="eastAsia" w:hAnsi="宋体"/>
        </w:rPr>
        <w:t>——</w:t>
      </w:r>
      <w:r>
        <w:rPr>
          <w:rFonts w:hint="eastAsia"/>
          <w:iCs/>
        </w:rPr>
        <w:t>为第y年碳减排量，</w:t>
      </w:r>
      <w:r>
        <w:rPr>
          <w:rFonts w:ascii="Times New Roman"/>
          <w:iCs/>
        </w:rPr>
        <w:t>单位为</w:t>
      </w:r>
      <w:r>
        <w:rPr>
          <w:rFonts w:ascii="Times New Roman"/>
          <w:lang w:val="en-AU"/>
        </w:rPr>
        <w:t>吨二氧化碳</w:t>
      </w:r>
      <w:r>
        <w:rPr>
          <w:rFonts w:ascii="Times New Roman"/>
          <w:iCs/>
        </w:rPr>
        <w:t>（tCO</w:t>
      </w:r>
      <w:r>
        <w:rPr>
          <w:rFonts w:ascii="Times New Roman"/>
          <w:iCs/>
          <w:vertAlign w:val="subscript"/>
        </w:rPr>
        <w:t>2</w:t>
      </w:r>
      <w:r>
        <w:rPr>
          <w:rFonts w:ascii="Times New Roman"/>
          <w:iCs/>
        </w:rPr>
        <w:t>）；</w:t>
      </w:r>
    </w:p>
    <w:p>
      <w:pPr>
        <w:pStyle w:val="26"/>
        <w:rPr>
          <w:rFonts w:ascii="Times New Roman"/>
          <w:iCs/>
        </w:rPr>
      </w:pP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ascii="Cambria Math" w:hAnsi="Cambria Math"/>
              </w:rPr>
              <m:t>y</m:t>
            </m:r>
            <m:ctrlPr>
              <w:rPr>
                <w:rFonts w:ascii="Cambria Math" w:hAnsi="Cambria Math"/>
                <w:i/>
              </w:rPr>
            </m:ctrlPr>
          </m:sub>
        </m:sSub>
      </m:oMath>
      <w:r>
        <w:rPr>
          <w:rFonts w:ascii="Times New Roman"/>
        </w:rPr>
        <w:t>——</w:t>
      </w:r>
      <w:r>
        <w:rPr>
          <w:rFonts w:ascii="Times New Roman"/>
          <w:iCs/>
        </w:rPr>
        <w:t>为</w:t>
      </w:r>
      <w:r>
        <w:rPr>
          <w:rFonts w:hint="eastAsia" w:ascii="Times New Roman"/>
          <w:iCs/>
        </w:rPr>
        <w:t>第</w:t>
      </w:r>
      <w:r>
        <w:rPr>
          <w:rFonts w:ascii="Times New Roman"/>
          <w:iCs/>
        </w:rPr>
        <w:t>y年基准线碳排放量，单位为</w:t>
      </w:r>
      <w:r>
        <w:rPr>
          <w:rFonts w:ascii="Times New Roman"/>
          <w:lang w:val="en-AU"/>
        </w:rPr>
        <w:t>吨二氧化碳</w:t>
      </w:r>
      <w:r>
        <w:rPr>
          <w:rFonts w:ascii="Times New Roman"/>
          <w:iCs/>
        </w:rPr>
        <w:t>（tCO</w:t>
      </w:r>
      <w:r>
        <w:rPr>
          <w:rFonts w:ascii="Times New Roman"/>
          <w:iCs/>
          <w:vertAlign w:val="subscript"/>
        </w:rPr>
        <w:t>2</w:t>
      </w:r>
      <w:r>
        <w:rPr>
          <w:rFonts w:ascii="Times New Roman"/>
          <w:iCs/>
        </w:rPr>
        <w:t>）；</w:t>
      </w:r>
    </w:p>
    <w:p>
      <w:pPr>
        <w:pStyle w:val="26"/>
        <w:ind w:firstLineChars="0"/>
        <w:rPr>
          <w:rFonts w:ascii="Times New Roman"/>
        </w:rPr>
      </w:pPr>
      <m:oMath>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ascii="Cambria Math" w:hAnsi="Cambria Math"/>
              </w:rPr>
              <m:t>y</m:t>
            </m:r>
            <m:ctrlPr>
              <w:rPr>
                <w:rFonts w:ascii="Cambria Math" w:hAnsi="Cambria Math"/>
                <w:i/>
              </w:rPr>
            </m:ctrlPr>
          </m:sub>
        </m:sSub>
      </m:oMath>
      <w:r>
        <w:rPr>
          <w:rFonts w:ascii="Times New Roman"/>
        </w:rPr>
        <w:t>——为</w:t>
      </w:r>
      <w:r>
        <w:rPr>
          <w:rFonts w:hint="eastAsia" w:ascii="Times New Roman"/>
        </w:rPr>
        <w:t>第</w:t>
      </w:r>
      <w:r>
        <w:rPr>
          <w:rFonts w:ascii="Times New Roman"/>
        </w:rPr>
        <w:t>y年项目碳排放量，单位为</w:t>
      </w:r>
      <w:r>
        <w:rPr>
          <w:rFonts w:ascii="Times New Roman"/>
          <w:lang w:val="en-AU"/>
        </w:rPr>
        <w:t>吨二氧化碳</w:t>
      </w:r>
      <w:r>
        <w:rPr>
          <w:rFonts w:ascii="Times New Roman"/>
        </w:rPr>
        <w:t>（tCO</w:t>
      </w:r>
      <w:r>
        <w:rPr>
          <w:rFonts w:ascii="Times New Roman"/>
          <w:vertAlign w:val="subscript"/>
        </w:rPr>
        <w:t>2</w:t>
      </w:r>
      <w:r>
        <w:rPr>
          <w:rFonts w:ascii="Times New Roman"/>
        </w:rPr>
        <w:t>）</w:t>
      </w:r>
      <w:r>
        <w:rPr>
          <w:rFonts w:hint="eastAsia" w:ascii="Times New Roman"/>
        </w:rPr>
        <w:t>；</w:t>
      </w:r>
    </w:p>
    <w:p>
      <w:pPr>
        <w:pStyle w:val="26"/>
        <w:ind w:firstLine="431" w:firstLineChars="0"/>
        <w:jc w:val="left"/>
        <w:rPr>
          <w:lang w:val="en-AU"/>
        </w:rPr>
      </w:pPr>
      <m:oMath>
        <m:sSub>
          <m:sSubPr>
            <m:ctrlPr>
              <w:rPr>
                <w:rFonts w:ascii="Cambria Math" w:hAnsi="Cambria Math"/>
                <w:i/>
              </w:rPr>
            </m:ctrlPr>
          </m:sSubPr>
          <m:e>
            <m:r>
              <m:rPr/>
              <w:rPr>
                <w:rFonts w:ascii="Cambria Math" w:hAnsi="Cambria Math"/>
                <w:lang w:val="en-AU"/>
              </w:rPr>
              <m:t>L</m:t>
            </m:r>
            <m:r>
              <m:rPr/>
              <w:rPr>
                <w:rFonts w:ascii="Cambria Math" w:hAnsi="Cambria Math"/>
              </w:rPr>
              <m:t>E</m:t>
            </m:r>
            <m:ctrlPr>
              <w:rPr>
                <w:rFonts w:ascii="Cambria Math" w:hAnsi="Cambria Math"/>
                <w:i/>
              </w:rPr>
            </m:ctrlPr>
          </m:e>
          <m:sub>
            <m:r>
              <m:rPr/>
              <w:rPr>
                <w:rFonts w:ascii="Cambria Math" w:hAnsi="Cambria Math"/>
              </w:rPr>
              <m:t>y</m:t>
            </m:r>
            <m:ctrlPr>
              <w:rPr>
                <w:rFonts w:ascii="Cambria Math" w:hAnsi="Cambria Math"/>
                <w:i/>
              </w:rPr>
            </m:ctrlPr>
          </m:sub>
        </m:sSub>
      </m:oMath>
      <w:r>
        <w:t>——</w:t>
      </w:r>
      <w:r>
        <w:rPr>
          <w:rFonts w:hint="eastAsia"/>
        </w:rPr>
        <w:t>第y年泄漏量，单位为</w:t>
      </w:r>
      <w:r>
        <w:rPr>
          <w:rFonts w:ascii="Times New Roman"/>
          <w:lang w:val="en-AU"/>
        </w:rPr>
        <w:t>吨二氧化碳（tCO</w:t>
      </w:r>
      <w:r>
        <w:rPr>
          <w:rFonts w:ascii="Times New Roman"/>
          <w:vertAlign w:val="subscript"/>
          <w:lang w:val="en-AU"/>
        </w:rPr>
        <w:t>2</w:t>
      </w:r>
      <w:r>
        <w:rPr>
          <w:rFonts w:ascii="Times New Roman"/>
          <w:lang w:val="en-AU"/>
        </w:rPr>
        <w:t>）</w:t>
      </w:r>
      <w:r>
        <w:rPr>
          <w:rFonts w:hint="eastAsia" w:ascii="Times New Roman"/>
          <w:lang w:val="en-AU"/>
        </w:rPr>
        <w:t>。</w:t>
      </w:r>
    </w:p>
    <w:p>
      <w:pPr>
        <w:pStyle w:val="47"/>
        <w:spacing w:before="312" w:after="312"/>
      </w:pPr>
      <w:r>
        <w:rPr>
          <w:rFonts w:hint="eastAsia"/>
          <w:lang w:eastAsia="zh-Hans"/>
        </w:rPr>
        <w:t>数据来源</w:t>
      </w:r>
    </w:p>
    <w:p>
      <w:pPr>
        <w:pStyle w:val="44"/>
        <w:spacing w:before="156" w:after="156"/>
      </w:pPr>
      <w:r>
        <w:rPr>
          <w:rFonts w:hint="eastAsia"/>
          <w:lang w:eastAsia="zh-Hans"/>
        </w:rPr>
        <w:t>一般监测规则</w:t>
      </w:r>
    </w:p>
    <w:p>
      <w:pPr>
        <w:pStyle w:val="26"/>
      </w:pPr>
      <w:r>
        <w:rPr>
          <w:rFonts w:hint="eastAsia"/>
        </w:rPr>
        <w:t>作为监测的一部分，应当对收集的所有监测数据进行电子版存档并且至少保存至最后一个计入期结束后两年。如果在下表中没有特殊的说明，所有的数据都</w:t>
      </w:r>
      <w:r>
        <w:rPr>
          <w:rFonts w:hint="eastAsia"/>
          <w:lang w:eastAsia="zh-Hans"/>
        </w:rPr>
        <w:t>应</w:t>
      </w:r>
      <w:r>
        <w:rPr>
          <w:rFonts w:hint="eastAsia"/>
        </w:rPr>
        <w:t>进行</w:t>
      </w:r>
      <w:r>
        <w:rPr>
          <w:rFonts w:hint="eastAsia"/>
          <w:lang w:eastAsia="zh-Hans"/>
        </w:rPr>
        <w:t>全过程</w:t>
      </w:r>
      <w:r>
        <w:rPr>
          <w:rFonts w:hint="eastAsia"/>
        </w:rPr>
        <w:t>监测。所有的测量都应采用符合相关行业标准的校准测量仪器</w:t>
      </w:r>
      <w:r>
        <w:rPr>
          <w:rFonts w:hint="eastAsia"/>
          <w:lang w:eastAsia="zh-Hans"/>
        </w:rPr>
        <w:t>测量</w:t>
      </w:r>
      <w:r>
        <w:rPr>
          <w:rFonts w:hint="eastAsia"/>
        </w:rPr>
        <w:t>。</w:t>
      </w:r>
    </w:p>
    <w:p>
      <w:pPr>
        <w:pStyle w:val="44"/>
        <w:spacing w:before="156" w:after="156"/>
      </w:pPr>
      <w:r>
        <w:rPr>
          <w:rFonts w:hint="eastAsia"/>
          <w:lang w:eastAsia="zh-Hans"/>
        </w:rPr>
        <w:t>需监测的参数和数据</w:t>
      </w:r>
    </w:p>
    <w:p>
      <w:pPr>
        <w:pStyle w:val="26"/>
      </w:pPr>
      <w:r>
        <w:rPr>
          <w:rFonts w:hint="eastAsia"/>
        </w:rPr>
        <w:t>需要监测的数据和参数主要为低碳出行次数、低碳出行的时段、低碳出行方式、出行的起始位置和出行过程中的轨迹坐标等。具体数据和参数的单位和物理表述见表1，监测方法和频率应与表C.1保持一致。</w:t>
      </w:r>
    </w:p>
    <w:p>
      <w:pPr>
        <w:pStyle w:val="88"/>
        <w:numPr>
          <w:ilvl w:val="0"/>
          <w:numId w:val="0"/>
        </w:numPr>
        <w:tabs>
          <w:tab w:val="clear" w:pos="0"/>
        </w:tabs>
        <w:spacing w:before="156" w:after="156"/>
        <w:rPr>
          <w:lang w:val="en-AU"/>
        </w:rPr>
      </w:pPr>
      <w:r>
        <w:rPr>
          <w:rFonts w:hint="eastAsia"/>
        </w:rPr>
        <w:t>表</w:t>
      </w:r>
      <w:r>
        <w:rPr>
          <w:lang w:val="en-AU"/>
        </w:rPr>
        <w:t xml:space="preserve">1  </w:t>
      </w:r>
      <w:r>
        <w:rPr>
          <w:rFonts w:hint="eastAsia"/>
          <w:lang w:val="en-AU"/>
        </w:rPr>
        <w:t>需要监测的数据和参数</w:t>
      </w:r>
    </w:p>
    <w:tbl>
      <w:tblPr>
        <w:tblStyle w:val="3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2338"/>
        <w:gridCol w:w="5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widowControl/>
              <w:jc w:val="center"/>
              <w:rPr>
                <w:rFonts w:ascii="宋体" w:hAnsi="宋体" w:cs="Calibri"/>
                <w:color w:val="000000"/>
                <w:kern w:val="0"/>
                <w:szCs w:val="21"/>
                <w:lang w:val="en-AU"/>
              </w:rPr>
            </w:pPr>
            <w:r>
              <w:rPr>
                <w:rFonts w:hint="eastAsia" w:ascii="宋体" w:hAnsi="宋体" w:cs="Calibri"/>
                <w:color w:val="000000"/>
                <w:kern w:val="0"/>
                <w:szCs w:val="21"/>
                <w:lang w:val="en-AU"/>
              </w:rPr>
              <w:t>数据/参数</w:t>
            </w:r>
          </w:p>
        </w:tc>
        <w:tc>
          <w:tcPr>
            <w:tcW w:w="1221" w:type="pct"/>
            <w:noWrap/>
            <w:vAlign w:val="center"/>
          </w:tcPr>
          <w:p>
            <w:pPr>
              <w:widowControl/>
              <w:jc w:val="center"/>
              <w:rPr>
                <w:rFonts w:ascii="宋体" w:hAnsi="宋体" w:cs="Calibri"/>
                <w:color w:val="000000"/>
                <w:kern w:val="0"/>
                <w:szCs w:val="21"/>
                <w:lang w:val="en-AU"/>
              </w:rPr>
            </w:pPr>
            <w:r>
              <w:rPr>
                <w:rFonts w:hint="eastAsia" w:ascii="宋体" w:hAnsi="宋体" w:cs="Calibri"/>
                <w:color w:val="000000"/>
                <w:kern w:val="0"/>
                <w:szCs w:val="21"/>
                <w:lang w:val="en-AU"/>
              </w:rPr>
              <w:t>单位</w:t>
            </w:r>
          </w:p>
        </w:tc>
        <w:tc>
          <w:tcPr>
            <w:tcW w:w="3053" w:type="pct"/>
            <w:noWrap/>
            <w:vAlign w:val="center"/>
          </w:tcPr>
          <w:p>
            <w:pPr>
              <w:widowControl/>
              <w:jc w:val="center"/>
              <w:rPr>
                <w:rFonts w:ascii="宋体" w:hAnsi="宋体" w:cs="Calibri"/>
                <w:color w:val="000000"/>
                <w:kern w:val="0"/>
                <w:szCs w:val="21"/>
                <w:lang w:val="en-AU"/>
              </w:rPr>
            </w:pPr>
            <w:r>
              <w:rPr>
                <w:rFonts w:hint="eastAsia" w:ascii="宋体" w:hAnsi="宋体" w:cs="Calibri"/>
                <w:color w:val="000000"/>
                <w:kern w:val="0"/>
                <w:szCs w:val="21"/>
                <w:lang w:val="en-AU"/>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Times New Roman Regular" w:hAnsi="Times New Roman Regular" w:cs="Times New Roman Regular"/>
                <w:i/>
                <w:iCs/>
                <w:kern w:val="0"/>
                <w:sz w:val="20"/>
                <w:szCs w:val="18"/>
              </w:rPr>
            </w:pPr>
            <w:r>
              <w:rPr>
                <w:rFonts w:ascii="Times New Roman Regular" w:hAnsi="Times New Roman Regular" w:cs="Times New Roman Regular"/>
                <w:i/>
                <w:iCs/>
                <w:kern w:val="0"/>
                <w:sz w:val="20"/>
                <w:szCs w:val="18"/>
              </w:rPr>
              <w:t>i</w:t>
            </w:r>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次</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第y年替代高碳出行的低碳出行次数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Cambria Math" w:hAnsi="Cambria Math" w:cs="Cambria Math"/>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T</m:t>
                    </m:r>
                    <m:ctrlPr>
                      <w:rPr>
                        <w:rFonts w:ascii="Cambria Math" w:hAnsi="Cambria Math" w:cs="Cambria Math"/>
                        <w:i/>
                        <w:iCs/>
                        <w:kern w:val="0"/>
                        <w:sz w:val="20"/>
                        <w:szCs w:val="18"/>
                      </w:rPr>
                    </m:ctrlPr>
                  </m:e>
                  <m:sub>
                    <m:r>
                      <m:rPr/>
                      <w:rPr>
                        <w:rFonts w:ascii="Cambria Math" w:hAnsi="Cambria Math" w:cs="Cambria Math"/>
                        <w:kern w:val="0"/>
                        <w:sz w:val="20"/>
                        <w:szCs w:val="18"/>
                      </w:rPr>
                      <m:t>i</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时间</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w:t>
            </w:r>
            <w:r>
              <w:rPr>
                <w:rFonts w:ascii="宋体"/>
                <w:iCs/>
                <w:kern w:val="0"/>
                <w:sz w:val="20"/>
                <w:szCs w:val="18"/>
              </w:rPr>
              <w:t>i</w:t>
            </w:r>
            <w:r>
              <w:rPr>
                <w:rFonts w:hint="eastAsia" w:ascii="宋体"/>
                <w:iCs/>
                <w:kern w:val="0"/>
                <w:sz w:val="20"/>
                <w:szCs w:val="18"/>
              </w:rPr>
              <w:t>次出行的起始时间段对应的</w:t>
            </w:r>
            <w:r>
              <w:rPr>
                <w:rFonts w:ascii="宋体"/>
                <w:iCs/>
                <w:kern w:val="0"/>
                <w:sz w:val="20"/>
                <w:szCs w:val="18"/>
              </w:rPr>
              <w:t>基准年</w:t>
            </w:r>
            <w:r>
              <w:rPr>
                <w:rFonts w:hint="eastAsia" w:ascii="宋体"/>
                <w:iCs/>
                <w:kern w:val="0"/>
                <w:sz w:val="20"/>
                <w:szCs w:val="18"/>
              </w:rPr>
              <w:t>特定时间段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Times New Roman Regular" w:hAnsi="Times New Roman Regular" w:cs="Times New Roman Regular"/>
                <w:i/>
                <w:iCs/>
                <w:kern w:val="0"/>
                <w:sz w:val="20"/>
                <w:szCs w:val="18"/>
              </w:rPr>
            </w:pPr>
            <w:r>
              <w:rPr>
                <w:rFonts w:ascii="Times New Roman Regular" w:hAnsi="Times New Roman Regular" w:cs="Times New Roman Regular"/>
                <w:i/>
                <w:iCs/>
                <w:kern w:val="0"/>
                <w:sz w:val="20"/>
                <w:szCs w:val="18"/>
              </w:rPr>
              <w:t>k</w:t>
            </w:r>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无量纲</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w:t>
            </w:r>
            <w:r>
              <w:rPr>
                <w:rFonts w:ascii="宋体"/>
                <w:iCs/>
                <w:kern w:val="0"/>
                <w:sz w:val="20"/>
                <w:szCs w:val="18"/>
              </w:rPr>
              <w:t>i</w:t>
            </w:r>
            <w:r>
              <w:rPr>
                <w:rFonts w:hint="eastAsia" w:ascii="宋体"/>
                <w:iCs/>
                <w:kern w:val="0"/>
                <w:sz w:val="20"/>
                <w:szCs w:val="18"/>
              </w:rPr>
              <w:t>次低碳出行的方式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L</m:t>
                    </m:r>
                    <m:ctrlPr>
                      <w:rPr>
                        <w:rFonts w:ascii="Cambria Math" w:hAnsi="Cambria Math" w:cs="Cambria Math"/>
                        <w:i/>
                        <w:iCs/>
                        <w:kern w:val="0"/>
                        <w:sz w:val="20"/>
                        <w:szCs w:val="18"/>
                      </w:rPr>
                    </m:ctrlPr>
                  </m:e>
                  <m:sub>
                    <m:r>
                      <m:rPr/>
                      <w:rPr>
                        <w:rFonts w:ascii="Cambria Math" w:hAnsi="Cambria Math" w:cs="Cambria Math"/>
                        <w:kern w:val="0"/>
                        <w:sz w:val="20"/>
                        <w:szCs w:val="18"/>
                      </w:rPr>
                      <m:t>s,i</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平面地图二维坐标</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w:t>
            </w:r>
            <w:r>
              <w:rPr>
                <w:rFonts w:ascii="宋体"/>
                <w:iCs/>
                <w:kern w:val="0"/>
                <w:sz w:val="20"/>
                <w:szCs w:val="18"/>
              </w:rPr>
              <w:t>y年i</w:t>
            </w:r>
            <w:r>
              <w:rPr>
                <w:rFonts w:hint="eastAsia" w:ascii="宋体"/>
                <w:iCs/>
                <w:kern w:val="0"/>
                <w:sz w:val="20"/>
                <w:szCs w:val="18"/>
              </w:rPr>
              <w:t>次出行的起始位置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L</m:t>
                    </m:r>
                    <m:ctrlPr>
                      <w:rPr>
                        <w:rFonts w:ascii="Cambria Math" w:hAnsi="Cambria Math" w:cs="Cambria Math"/>
                        <w:i/>
                        <w:iCs/>
                        <w:kern w:val="0"/>
                        <w:sz w:val="20"/>
                        <w:szCs w:val="18"/>
                      </w:rPr>
                    </m:ctrlPr>
                  </m:e>
                  <m:sub>
                    <m:r>
                      <m:rPr/>
                      <w:rPr>
                        <w:rFonts w:ascii="Cambria Math" w:hAnsi="Cambria Math" w:cs="Cambria Math"/>
                        <w:kern w:val="0"/>
                        <w:sz w:val="20"/>
                        <w:szCs w:val="18"/>
                      </w:rPr>
                      <m:t>c,i</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平面地图二维坐标</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w:t>
            </w:r>
            <w:r>
              <w:rPr>
                <w:rFonts w:ascii="宋体"/>
                <w:iCs/>
                <w:kern w:val="0"/>
                <w:sz w:val="20"/>
                <w:szCs w:val="18"/>
              </w:rPr>
              <w:t>y年i</w:t>
            </w:r>
            <w:r>
              <w:rPr>
                <w:rFonts w:hint="eastAsia" w:ascii="宋体"/>
                <w:iCs/>
                <w:kern w:val="0"/>
                <w:sz w:val="20"/>
                <w:szCs w:val="18"/>
              </w:rPr>
              <w:t>次出行过程中的轨迹坐标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L</m:t>
                    </m:r>
                    <m:ctrlPr>
                      <w:rPr>
                        <w:rFonts w:ascii="Cambria Math" w:hAnsi="Cambria Math" w:cs="Cambria Math"/>
                        <w:i/>
                        <w:iCs/>
                        <w:kern w:val="0"/>
                        <w:sz w:val="20"/>
                        <w:szCs w:val="18"/>
                      </w:rPr>
                    </m:ctrlPr>
                  </m:e>
                  <m:sub>
                    <m:r>
                      <m:rPr/>
                      <w:rPr>
                        <w:rFonts w:ascii="Cambria Math" w:hAnsi="Cambria Math" w:cs="Cambria Math"/>
                        <w:kern w:val="0"/>
                        <w:sz w:val="20"/>
                        <w:szCs w:val="18"/>
                      </w:rPr>
                      <m:t>e,i</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平面地图二维坐标</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w:t>
            </w:r>
            <w:r>
              <w:rPr>
                <w:rFonts w:ascii="宋体"/>
                <w:iCs/>
                <w:kern w:val="0"/>
                <w:sz w:val="20"/>
                <w:szCs w:val="18"/>
              </w:rPr>
              <w:t>y年i</w:t>
            </w:r>
            <w:r>
              <w:rPr>
                <w:rFonts w:hint="eastAsia" w:ascii="宋体"/>
                <w:iCs/>
                <w:kern w:val="0"/>
                <w:sz w:val="20"/>
                <w:szCs w:val="18"/>
              </w:rPr>
              <w:t>次出行的结束位置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4" w:type="pct"/>
            <w:noWrap/>
            <w:vAlign w:val="center"/>
          </w:tcPr>
          <w:p>
            <w:pPr>
              <w:spacing w:line="360" w:lineRule="exact"/>
              <w:jc w:val="center"/>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n</m:t>
                    </m:r>
                    <m:ctrlPr>
                      <w:rPr>
                        <w:rFonts w:ascii="Cambria Math" w:hAnsi="Cambria Math" w:cs="Cambria Math"/>
                        <w:i/>
                        <w:iCs/>
                        <w:kern w:val="0"/>
                        <w:sz w:val="20"/>
                        <w:szCs w:val="18"/>
                      </w:rPr>
                    </m:ctrlPr>
                  </m:e>
                  <m:sub>
                    <m:r>
                      <m:rPr/>
                      <w:rPr>
                        <w:rFonts w:ascii="Cambria Math" w:hAnsi="Cambria Math" w:cs="Cambria Math"/>
                        <w:kern w:val="0"/>
                        <w:sz w:val="20"/>
                        <w:szCs w:val="18"/>
                      </w:rPr>
                      <m:t>i</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人数</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w:t>
            </w:r>
            <w:r>
              <w:rPr>
                <w:rFonts w:ascii="宋体"/>
                <w:iCs/>
                <w:kern w:val="0"/>
                <w:sz w:val="20"/>
                <w:szCs w:val="18"/>
              </w:rPr>
              <w:t>i</w:t>
            </w:r>
            <w:r>
              <w:rPr>
                <w:rFonts w:hint="eastAsia" w:ascii="宋体"/>
                <w:iCs/>
                <w:kern w:val="0"/>
                <w:sz w:val="20"/>
                <w:szCs w:val="18"/>
              </w:rPr>
              <w:t>次小微型客车合乘出行的人数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center"/>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PD</m:t>
                    </m:r>
                    <m:ctrlPr>
                      <w:rPr>
                        <w:rFonts w:ascii="Cambria Math" w:hAnsi="Cambria Math" w:cs="Cambria Math"/>
                        <w:i/>
                        <w:iCs/>
                        <w:kern w:val="0"/>
                        <w:sz w:val="20"/>
                        <w:szCs w:val="18"/>
                      </w:rPr>
                    </m:ctrlPr>
                  </m:e>
                  <m:sub>
                    <m:r>
                      <m:rPr/>
                      <w:rPr>
                        <w:rFonts w:ascii="Cambria Math" w:hAnsi="Cambria Math" w:cs="Cambria Math"/>
                        <w:kern w:val="0"/>
                        <w:sz w:val="20"/>
                        <w:szCs w:val="18"/>
                      </w:rPr>
                      <m:t>i,k,y</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rPr>
              <w:t>km</w:t>
            </w:r>
          </w:p>
        </w:tc>
        <w:tc>
          <w:tcPr>
            <w:tcW w:w="3053" w:type="pct"/>
            <w:noWrap/>
            <w:vAlign w:val="center"/>
          </w:tcPr>
          <w:p>
            <w:pPr>
              <w:spacing w:line="360" w:lineRule="exact"/>
              <w:jc w:val="left"/>
              <w:rPr>
                <w:rFonts w:ascii="宋体"/>
                <w:iCs/>
                <w:kern w:val="0"/>
                <w:sz w:val="20"/>
                <w:szCs w:val="18"/>
              </w:rPr>
            </w:pPr>
            <w:r>
              <w:rPr>
                <w:rFonts w:hint="eastAsia" w:ascii="宋体"/>
                <w:iCs/>
                <w:kern w:val="0"/>
                <w:sz w:val="20"/>
                <w:szCs w:val="18"/>
              </w:rPr>
              <w:t>第y年第i次使用低碳出行k方式替代高碳出行的里程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EF</m:t>
                    </m:r>
                    <m:ctrlPr>
                      <w:rPr>
                        <w:rFonts w:ascii="Cambria Math" w:hAnsi="Cambria Math" w:cs="Cambria Math"/>
                        <w:i/>
                        <w:iCs/>
                        <w:kern w:val="0"/>
                        <w:sz w:val="20"/>
                        <w:szCs w:val="18"/>
                      </w:rPr>
                    </m:ctrlPr>
                  </m:e>
                  <m:sub>
                    <m:r>
                      <m:rPr/>
                      <w:rPr>
                        <w:rFonts w:ascii="Cambria Math" w:hAnsi="Cambria Math" w:cs="Cambria Math"/>
                        <w:kern w:val="0"/>
                        <w:sz w:val="20"/>
                        <w:szCs w:val="18"/>
                      </w:rPr>
                      <m:t>x,j,v</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rPr>
              <w:t>tCO</w:t>
            </w:r>
            <w:r>
              <w:rPr>
                <w:rFonts w:ascii="宋体"/>
                <w:iCs/>
                <w:kern w:val="0"/>
                <w:sz w:val="20"/>
                <w:szCs w:val="18"/>
                <w:vertAlign w:val="subscript"/>
              </w:rPr>
              <w:t>2</w:t>
            </w:r>
            <w:r>
              <w:rPr>
                <w:rFonts w:ascii="宋体"/>
                <w:iCs/>
                <w:kern w:val="0"/>
                <w:sz w:val="20"/>
                <w:szCs w:val="18"/>
              </w:rPr>
              <w:t>/PKM</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基准年x</w:t>
            </w:r>
            <w:r>
              <w:rPr>
                <w:rFonts w:hint="eastAsia" w:ascii="宋体"/>
                <w:iCs/>
                <w:kern w:val="0"/>
                <w:sz w:val="20"/>
                <w:szCs w:val="18"/>
              </w:rPr>
              <w:t>能源类型排量为</w:t>
            </w:r>
            <w:r>
              <w:rPr>
                <w:rFonts w:ascii="宋体"/>
                <w:iCs/>
                <w:kern w:val="0"/>
                <w:sz w:val="20"/>
                <w:szCs w:val="18"/>
              </w:rPr>
              <w:t>j</w:t>
            </w:r>
            <w:r>
              <w:rPr>
                <w:rFonts w:hint="eastAsia" w:ascii="宋体"/>
                <w:iCs/>
                <w:kern w:val="0"/>
                <w:sz w:val="20"/>
                <w:szCs w:val="18"/>
              </w:rPr>
              <w:t>的小微型客车的人公里速度</w:t>
            </w:r>
            <w:r>
              <w:rPr>
                <w:rFonts w:ascii="宋体"/>
                <w:iCs/>
                <w:kern w:val="0"/>
                <w:sz w:val="20"/>
                <w:szCs w:val="18"/>
              </w:rPr>
              <w:t>碳排放因子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I</m:t>
                    </m:r>
                    <m:ctrlPr>
                      <w:rPr>
                        <w:rFonts w:ascii="Cambria Math" w:hAnsi="Cambria Math" w:cs="Cambria Math"/>
                        <w:i/>
                        <w:iCs/>
                        <w:kern w:val="0"/>
                        <w:sz w:val="20"/>
                        <w:szCs w:val="18"/>
                      </w:rPr>
                    </m:ctrlPr>
                  </m:e>
                  <m:sub>
                    <m:r>
                      <m:rPr/>
                      <w:rPr>
                        <w:rFonts w:ascii="Cambria Math" w:hAnsi="Cambria Math" w:cs="Cambria Math"/>
                        <w:kern w:val="0"/>
                        <w:sz w:val="20"/>
                        <w:szCs w:val="18"/>
                      </w:rPr>
                      <m:t>x,j</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数量</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基准年x能源类型</w:t>
            </w:r>
            <w:r>
              <w:rPr>
                <w:rFonts w:hint="eastAsia" w:ascii="宋体"/>
                <w:iCs/>
                <w:kern w:val="0"/>
                <w:sz w:val="20"/>
                <w:szCs w:val="18"/>
              </w:rPr>
              <w:t>排量为</w:t>
            </w:r>
            <w:r>
              <w:rPr>
                <w:rFonts w:ascii="宋体"/>
                <w:iCs/>
                <w:kern w:val="0"/>
                <w:sz w:val="20"/>
                <w:szCs w:val="18"/>
              </w:rPr>
              <w:t>j的</w:t>
            </w:r>
            <w:r>
              <w:rPr>
                <w:rFonts w:hint="eastAsia" w:ascii="宋体"/>
                <w:iCs/>
                <w:kern w:val="0"/>
                <w:sz w:val="20"/>
                <w:szCs w:val="18"/>
              </w:rPr>
              <w:t>小微型客车</w:t>
            </w:r>
            <w:r>
              <w:rPr>
                <w:rFonts w:ascii="宋体"/>
                <w:iCs/>
                <w:kern w:val="0"/>
                <w:sz w:val="20"/>
                <w:szCs w:val="18"/>
              </w:rPr>
              <w:t>的总数量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D</m:t>
                    </m:r>
                    <m:ctrlPr>
                      <w:rPr>
                        <w:rFonts w:ascii="Cambria Math" w:hAnsi="Cambria Math" w:cs="Cambria Math"/>
                        <w:i/>
                        <w:iCs/>
                        <w:kern w:val="0"/>
                        <w:sz w:val="20"/>
                        <w:szCs w:val="18"/>
                      </w:rPr>
                    </m:ctrlPr>
                  </m:e>
                  <m:sub>
                    <m:r>
                      <m:rPr/>
                      <w:rPr>
                        <w:rFonts w:ascii="Cambria Math" w:hAnsi="Cambria Math" w:cs="Cambria Math"/>
                        <w:kern w:val="0"/>
                        <w:sz w:val="20"/>
                        <w:szCs w:val="18"/>
                      </w:rPr>
                      <m:t>x,j</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rPr>
              <w:t>km</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基准年x能源类型</w:t>
            </w:r>
            <w:r>
              <w:rPr>
                <w:rFonts w:hint="eastAsia" w:ascii="宋体"/>
                <w:iCs/>
                <w:kern w:val="0"/>
                <w:sz w:val="20"/>
                <w:szCs w:val="18"/>
              </w:rPr>
              <w:t>排量为</w:t>
            </w:r>
            <w:r>
              <w:rPr>
                <w:rFonts w:ascii="宋体"/>
                <w:iCs/>
                <w:kern w:val="0"/>
                <w:sz w:val="20"/>
                <w:szCs w:val="18"/>
              </w:rPr>
              <w:t>j的</w:t>
            </w:r>
            <w:r>
              <w:rPr>
                <w:rFonts w:hint="eastAsia" w:ascii="宋体"/>
                <w:iCs/>
                <w:kern w:val="0"/>
                <w:sz w:val="20"/>
                <w:szCs w:val="18"/>
              </w:rPr>
              <w:t>小微型客车</w:t>
            </w:r>
            <w:r>
              <w:rPr>
                <w:rFonts w:ascii="宋体"/>
                <w:iCs/>
                <w:kern w:val="0"/>
                <w:sz w:val="20"/>
                <w:szCs w:val="18"/>
              </w:rPr>
              <w:t>的年均行驶里程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acc>
                  <m:accPr>
                    <m:chr m:val="̅"/>
                    <m:ctrlPr>
                      <w:rPr>
                        <w:rFonts w:ascii="DejaVu Math TeX Gyre" w:hAnsi="DejaVu Math TeX Gyre" w:eastAsia="楷体_GB2312" w:cs="Times New Roman Regular"/>
                        <w:i/>
                        <w:iCs/>
                        <w:sz w:val="20"/>
                        <w:szCs w:val="18"/>
                      </w:rPr>
                    </m:ctrlPr>
                  </m:accPr>
                  <m:e>
                    <m:sSub>
                      <m:sSubPr>
                        <m:ctrlPr>
                          <w:rPr>
                            <w:rFonts w:ascii="Cambria Math" w:hAnsi="Cambria Math" w:cs="Cambria Math"/>
                            <w:i/>
                            <w:iCs/>
                            <w:kern w:val="0"/>
                            <w:sz w:val="20"/>
                            <w:szCs w:val="18"/>
                          </w:rPr>
                        </m:ctrlPr>
                      </m:sSubPr>
                      <m:e>
                        <m:r>
                          <m:rPr/>
                          <w:rPr>
                            <w:rFonts w:ascii="Cambria Math" w:hAnsi="Cambria Math" w:cs="Cambria Math"/>
                            <w:kern w:val="0"/>
                            <w:sz w:val="20"/>
                            <w:szCs w:val="18"/>
                          </w:rPr>
                          <m:t>V</m:t>
                        </m:r>
                        <m:ctrlPr>
                          <w:rPr>
                            <w:rFonts w:ascii="Cambria Math" w:hAnsi="Cambria Math" w:cs="Cambria Math"/>
                            <w:i/>
                            <w:iCs/>
                            <w:kern w:val="0"/>
                            <w:sz w:val="20"/>
                            <w:szCs w:val="18"/>
                          </w:rPr>
                        </m:ctrlPr>
                      </m:e>
                      <m:sub>
                        <m:r>
                          <m:rPr/>
                          <w:rPr>
                            <w:rFonts w:ascii="Cambria Math" w:hAnsi="Cambria Math" w:cs="Cambria Math"/>
                            <w:kern w:val="0"/>
                            <w:sz w:val="20"/>
                            <w:szCs w:val="18"/>
                          </w:rPr>
                          <m:t>T</m:t>
                        </m:r>
                        <m:ctrlPr>
                          <w:rPr>
                            <w:rFonts w:ascii="Cambria Math" w:hAnsi="Cambria Math" w:cs="Cambria Math"/>
                            <w:i/>
                            <w:iCs/>
                            <w:kern w:val="0"/>
                            <w:sz w:val="20"/>
                            <w:szCs w:val="18"/>
                          </w:rPr>
                        </m:ctrlPr>
                      </m:sub>
                    </m:sSub>
                    <m:ctrlPr>
                      <w:rPr>
                        <w:rFonts w:ascii="DejaVu Math TeX Gyre" w:hAnsi="DejaVu Math TeX Gyre" w:eastAsia="楷体_GB2312" w:cs="Times New Roman Regular"/>
                        <w:i/>
                        <w:iCs/>
                        <w:sz w:val="20"/>
                        <w:szCs w:val="18"/>
                      </w:rPr>
                    </m:ctrlPr>
                  </m:e>
                </m:acc>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rPr>
              <w:t>km/h</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特定时间段T的路网平均运行速度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m</m:t>
                    </m:r>
                    <m:ctrlPr>
                      <w:rPr>
                        <w:rFonts w:ascii="Cambria Math" w:hAnsi="Cambria Math" w:cs="Cambria Math"/>
                        <w:i/>
                        <w:iCs/>
                        <w:kern w:val="0"/>
                        <w:sz w:val="20"/>
                        <w:szCs w:val="18"/>
                      </w:rPr>
                    </m:ctrlPr>
                  </m:e>
                  <m:sub>
                    <m:r>
                      <m:rPr/>
                      <w:rPr>
                        <w:rFonts w:ascii="Cambria Math" w:hAnsi="Cambria Math" w:cs="Cambria Math"/>
                        <w:kern w:val="0"/>
                        <w:sz w:val="20"/>
                        <w:szCs w:val="18"/>
                      </w:rPr>
                      <m:t>k</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无量纲</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，城市路网条件下，相同起讫点情况小微型客车最短出行距离与方式k出行距离比值的平均值；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FC</m:t>
                    </m:r>
                    <m:ctrlPr>
                      <w:rPr>
                        <w:rFonts w:ascii="Cambria Math" w:hAnsi="Cambria Math" w:cs="Cambria Math"/>
                        <w:i/>
                        <w:iCs/>
                        <w:kern w:val="0"/>
                        <w:sz w:val="20"/>
                        <w:szCs w:val="18"/>
                      </w:rPr>
                    </m:ctrlPr>
                  </m:e>
                  <m:sub>
                    <m:r>
                      <m:rPr/>
                      <w:rPr>
                        <w:rFonts w:ascii="Cambria Math" w:hAnsi="Cambria Math" w:cs="Cambria Math"/>
                        <w:kern w:val="0"/>
                        <w:sz w:val="20"/>
                        <w:szCs w:val="18"/>
                      </w:rPr>
                      <m:t>k,x</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质量或体积单位，</w:t>
            </w:r>
            <w:r>
              <w:rPr>
                <w:rFonts w:ascii="宋体"/>
                <w:iCs/>
                <w:kern w:val="0"/>
                <w:sz w:val="20"/>
                <w:szCs w:val="18"/>
              </w:rPr>
              <w:t>ton</w:t>
            </w:r>
            <w:r>
              <w:rPr>
                <w:rFonts w:hint="eastAsia" w:ascii="宋体"/>
                <w:iCs/>
                <w:kern w:val="0"/>
                <w:sz w:val="20"/>
                <w:szCs w:val="18"/>
              </w:rPr>
              <w:t>、</w:t>
            </w:r>
            <w:r>
              <w:rPr>
                <w:rFonts w:ascii="宋体"/>
                <w:iCs/>
                <w:kern w:val="0"/>
                <w:sz w:val="20"/>
                <w:szCs w:val="18"/>
              </w:rPr>
              <w:t>m</w:t>
            </w:r>
            <w:r>
              <w:rPr>
                <w:rFonts w:ascii="宋体"/>
                <w:iCs/>
                <w:kern w:val="0"/>
                <w:sz w:val="20"/>
                <w:szCs w:val="18"/>
                <w:vertAlign w:val="superscript"/>
              </w:rPr>
              <w:t>3</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出行方式k使用能源x的消耗总量，不包含电力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NCV</m:t>
                    </m:r>
                    <m:ctrlPr>
                      <w:rPr>
                        <w:rFonts w:ascii="Cambria Math" w:hAnsi="Cambria Math" w:cs="Cambria Math"/>
                        <w:i/>
                        <w:iCs/>
                        <w:kern w:val="0"/>
                        <w:sz w:val="20"/>
                        <w:szCs w:val="18"/>
                      </w:rPr>
                    </m:ctrlPr>
                  </m:e>
                  <m:sub>
                    <m:r>
                      <m:rPr/>
                      <w:rPr>
                        <w:rFonts w:ascii="Cambria Math" w:hAnsi="Cambria Math" w:cs="Cambria Math"/>
                        <w:kern w:val="0"/>
                        <w:sz w:val="20"/>
                        <w:szCs w:val="18"/>
                      </w:rPr>
                      <m:t>k,x</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rPr>
              <w:t>GJ/</w:t>
            </w:r>
            <w:r>
              <w:rPr>
                <w:rFonts w:hint="eastAsia" w:ascii="宋体"/>
                <w:iCs/>
                <w:kern w:val="0"/>
                <w:sz w:val="20"/>
                <w:szCs w:val="18"/>
              </w:rPr>
              <w:t>质量或体积单位</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出行方式k使用能源x的净热值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EC</m:t>
                    </m:r>
                    <m:ctrlPr>
                      <w:rPr>
                        <w:rFonts w:ascii="Cambria Math" w:hAnsi="Cambria Math" w:cs="Cambria Math"/>
                        <w:i/>
                        <w:iCs/>
                        <w:kern w:val="0"/>
                        <w:sz w:val="20"/>
                        <w:szCs w:val="18"/>
                      </w:rPr>
                    </m:ctrlPr>
                  </m:e>
                  <m:sub>
                    <m:r>
                      <m:rPr/>
                      <w:rPr>
                        <w:rFonts w:ascii="Cambria Math" w:hAnsi="Cambria Math" w:cs="Cambria Math"/>
                        <w:kern w:val="0"/>
                        <w:sz w:val="20"/>
                        <w:szCs w:val="18"/>
                      </w:rPr>
                      <m:t>k</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lang w:val="en-AU"/>
              </w:rPr>
              <w:t>M</w:t>
            </w:r>
            <w:r>
              <w:rPr>
                <w:rFonts w:ascii="宋体"/>
                <w:iCs/>
                <w:kern w:val="0"/>
                <w:sz w:val="20"/>
                <w:szCs w:val="18"/>
              </w:rPr>
              <w:t>Wh</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出行方式</w:t>
            </w:r>
            <w:r>
              <w:rPr>
                <w:rFonts w:ascii="宋体"/>
                <w:iCs/>
                <w:kern w:val="0"/>
                <w:sz w:val="20"/>
                <w:szCs w:val="18"/>
              </w:rPr>
              <w:t>k</w:t>
            </w:r>
            <w:r>
              <w:rPr>
                <w:rFonts w:hint="eastAsia" w:ascii="宋体"/>
                <w:iCs/>
                <w:kern w:val="0"/>
                <w:sz w:val="20"/>
                <w:szCs w:val="18"/>
              </w:rPr>
              <w:t>使用电力的耗电总量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kern w:val="0"/>
                <w:sz w:val="20"/>
                <w:szCs w:val="18"/>
              </w:rPr>
            </w:pPr>
            <m:oMathPara>
              <m:oMath>
                <m:r>
                  <m:rPr/>
                  <w:rPr>
                    <w:rFonts w:ascii="Cambria Math" w:hAnsi="Cambria Math" w:cs="Cambria Math"/>
                    <w:kern w:val="0"/>
                    <w:sz w:val="20"/>
                    <w:szCs w:val="18"/>
                  </w:rPr>
                  <m:t>TDL</m:t>
                </m:r>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无量纲</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的电力系统平均技术传输与分配损失系数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EF</m:t>
                    </m:r>
                    <m:ctrlPr>
                      <w:rPr>
                        <w:rFonts w:ascii="Cambria Math" w:hAnsi="Cambria Math" w:cs="Cambria Math"/>
                        <w:i/>
                        <w:iCs/>
                        <w:kern w:val="0"/>
                        <w:sz w:val="20"/>
                        <w:szCs w:val="18"/>
                      </w:rPr>
                    </m:ctrlPr>
                  </m:e>
                  <m:sub>
                    <m:r>
                      <m:rPr/>
                      <w:rPr>
                        <w:rFonts w:ascii="Cambria Math" w:hAnsi="Cambria Math" w:cs="Cambria Math"/>
                        <w:kern w:val="0"/>
                        <w:sz w:val="20"/>
                        <w:szCs w:val="18"/>
                      </w:rPr>
                      <m:t>CO2,x</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化石燃料为</w:t>
            </w:r>
            <w:r>
              <w:rPr>
                <w:rFonts w:ascii="宋体"/>
                <w:iCs/>
                <w:kern w:val="0"/>
                <w:sz w:val="20"/>
                <w:szCs w:val="18"/>
              </w:rPr>
              <w:t>tCO</w:t>
            </w:r>
            <w:r>
              <w:rPr>
                <w:rFonts w:ascii="宋体"/>
                <w:iCs/>
                <w:kern w:val="0"/>
                <w:sz w:val="20"/>
                <w:szCs w:val="18"/>
                <w:vertAlign w:val="subscript"/>
              </w:rPr>
              <w:t>2</w:t>
            </w:r>
            <w:r>
              <w:rPr>
                <w:rFonts w:ascii="宋体"/>
                <w:iCs/>
                <w:kern w:val="0"/>
                <w:sz w:val="20"/>
                <w:szCs w:val="18"/>
              </w:rPr>
              <w:t>/GJ</w:t>
            </w:r>
            <w:r>
              <w:rPr>
                <w:rFonts w:hint="eastAsia" w:ascii="宋体"/>
                <w:iCs/>
                <w:kern w:val="0"/>
                <w:sz w:val="20"/>
                <w:szCs w:val="18"/>
              </w:rPr>
              <w:t>，电力为</w:t>
            </w:r>
            <w:r>
              <w:rPr>
                <w:rFonts w:ascii="宋体"/>
                <w:iCs/>
                <w:kern w:val="0"/>
                <w:sz w:val="20"/>
                <w:szCs w:val="18"/>
              </w:rPr>
              <w:t>tCO</w:t>
            </w:r>
            <w:r>
              <w:rPr>
                <w:rFonts w:ascii="宋体"/>
                <w:iCs/>
                <w:kern w:val="0"/>
                <w:sz w:val="20"/>
                <w:szCs w:val="18"/>
                <w:vertAlign w:val="subscript"/>
              </w:rPr>
              <w:t>2</w:t>
            </w:r>
            <w:r>
              <w:rPr>
                <w:rFonts w:ascii="宋体"/>
                <w:iCs/>
                <w:kern w:val="0"/>
                <w:sz w:val="20"/>
                <w:szCs w:val="18"/>
              </w:rPr>
              <w:t>/MWh</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能源类型</w:t>
            </w:r>
            <w:r>
              <w:rPr>
                <w:rFonts w:ascii="宋体"/>
                <w:iCs/>
                <w:kern w:val="0"/>
                <w:sz w:val="20"/>
                <w:szCs w:val="18"/>
              </w:rPr>
              <w:t>x</w:t>
            </w:r>
            <w:r>
              <w:rPr>
                <w:rFonts w:hint="eastAsia" w:ascii="宋体"/>
                <w:iCs/>
                <w:kern w:val="0"/>
                <w:sz w:val="20"/>
                <w:szCs w:val="18"/>
              </w:rPr>
              <w:t>的</w:t>
            </w:r>
            <w:r>
              <w:rPr>
                <w:rFonts w:ascii="宋体"/>
                <w:iCs/>
                <w:kern w:val="0"/>
                <w:sz w:val="20"/>
                <w:szCs w:val="18"/>
              </w:rPr>
              <w:t>碳排放因子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D</m:t>
                    </m:r>
                    <m:ctrlPr>
                      <w:rPr>
                        <w:rFonts w:ascii="Cambria Math" w:hAnsi="Cambria Math" w:cs="Cambria Math"/>
                        <w:i/>
                        <w:iCs/>
                        <w:kern w:val="0"/>
                        <w:sz w:val="20"/>
                        <w:szCs w:val="18"/>
                      </w:rPr>
                    </m:ctrlPr>
                  </m:e>
                  <m:sub>
                    <m:r>
                      <m:rPr/>
                      <w:rPr>
                        <w:rFonts w:ascii="Cambria Math" w:hAnsi="Cambria Math" w:cs="Cambria Math"/>
                        <w:kern w:val="0"/>
                        <w:sz w:val="20"/>
                        <w:szCs w:val="18"/>
                      </w:rPr>
                      <m:t>k</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ascii="宋体"/>
                <w:iCs/>
                <w:kern w:val="0"/>
                <w:sz w:val="20"/>
                <w:szCs w:val="18"/>
              </w:rPr>
              <w:t>PKM/</w:t>
            </w:r>
            <w:r>
              <w:rPr>
                <w:rFonts w:hint="eastAsia" w:ascii="宋体"/>
                <w:iCs/>
                <w:kern w:val="0"/>
                <w:sz w:val="20"/>
                <w:szCs w:val="18"/>
              </w:rPr>
              <w:t>次</w:t>
            </w:r>
          </w:p>
        </w:tc>
        <w:tc>
          <w:tcPr>
            <w:tcW w:w="3053" w:type="pct"/>
            <w:noWrap/>
            <w:vAlign w:val="bottom"/>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出行方式</w:t>
            </w:r>
            <w:r>
              <w:rPr>
                <w:rFonts w:ascii="宋体"/>
                <w:iCs/>
                <w:kern w:val="0"/>
                <w:sz w:val="20"/>
                <w:szCs w:val="18"/>
              </w:rPr>
              <w:t>k</w:t>
            </w:r>
            <w:r>
              <w:rPr>
                <w:rFonts w:hint="eastAsia" w:ascii="宋体"/>
                <w:iCs/>
                <w:kern w:val="0"/>
                <w:sz w:val="20"/>
                <w:szCs w:val="18"/>
              </w:rPr>
              <w:t>的人均单次出行距离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rPr>
                      <m:t>P</m:t>
                    </m:r>
                    <m:ctrlPr>
                      <w:rPr>
                        <w:rFonts w:ascii="Cambria Math" w:hAnsi="Cambria Math" w:cs="Cambria Math"/>
                        <w:i/>
                        <w:iCs/>
                        <w:kern w:val="0"/>
                        <w:sz w:val="20"/>
                        <w:szCs w:val="18"/>
                      </w:rPr>
                    </m:ctrlPr>
                  </m:e>
                  <m:sub>
                    <m:r>
                      <m:rPr/>
                      <w:rPr>
                        <w:rFonts w:ascii="Cambria Math" w:hAnsi="Cambria Math" w:cs="Cambria Math"/>
                        <w:kern w:val="0"/>
                        <w:sz w:val="20"/>
                        <w:szCs w:val="18"/>
                      </w:rPr>
                      <m:t>k</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kern w:val="0"/>
                <w:sz w:val="20"/>
                <w:szCs w:val="18"/>
              </w:rPr>
              <w:t>次</w:t>
            </w:r>
          </w:p>
        </w:tc>
        <w:tc>
          <w:tcPr>
            <w:tcW w:w="3053" w:type="pct"/>
            <w:noWrap/>
            <w:vAlign w:val="center"/>
          </w:tcPr>
          <w:p>
            <w:pPr>
              <w:spacing w:line="360" w:lineRule="exact"/>
              <w:jc w:val="left"/>
              <w:rPr>
                <w:rFonts w:ascii="宋体"/>
                <w:iCs/>
                <w:kern w:val="0"/>
                <w:sz w:val="20"/>
                <w:szCs w:val="18"/>
              </w:rPr>
            </w:pPr>
            <w:r>
              <w:rPr>
                <w:rFonts w:ascii="宋体"/>
                <w:iCs/>
                <w:kern w:val="0"/>
                <w:sz w:val="20"/>
                <w:szCs w:val="18"/>
              </w:rPr>
              <w:t>基准年</w:t>
            </w:r>
            <w:r>
              <w:rPr>
                <w:rFonts w:hint="eastAsia" w:ascii="宋体"/>
                <w:iCs/>
                <w:kern w:val="0"/>
                <w:sz w:val="20"/>
                <w:szCs w:val="18"/>
              </w:rPr>
              <w:t>出行方式</w:t>
            </w:r>
            <w:r>
              <w:rPr>
                <w:rFonts w:ascii="宋体"/>
                <w:iCs/>
                <w:kern w:val="0"/>
                <w:sz w:val="20"/>
                <w:szCs w:val="18"/>
              </w:rPr>
              <w:t>k</w:t>
            </w:r>
            <w:r>
              <w:rPr>
                <w:rFonts w:hint="eastAsia" w:ascii="宋体"/>
                <w:iCs/>
                <w:kern w:val="0"/>
                <w:sz w:val="20"/>
                <w:szCs w:val="18"/>
              </w:rPr>
              <w:t>的年出行总量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i/>
                <w:iCs/>
                <w:sz w:val="20"/>
                <w:szCs w:val="18"/>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lang w:val="en-AU"/>
                      </w:rPr>
                      <m:t>WE</m:t>
                    </m:r>
                    <m:ctrlPr>
                      <w:rPr>
                        <w:rFonts w:ascii="Cambria Math" w:hAnsi="Cambria Math" w:cs="Cambria Math"/>
                        <w:i/>
                        <w:iCs/>
                        <w:kern w:val="0"/>
                        <w:sz w:val="20"/>
                        <w:szCs w:val="18"/>
                      </w:rPr>
                    </m:ctrlPr>
                  </m:e>
                  <m:sub>
                    <m:r>
                      <m:rPr/>
                      <w:rPr>
                        <w:rFonts w:ascii="Cambria Math" w:hAnsi="Cambria Math" w:cs="Cambria Math"/>
                        <w:kern w:val="0"/>
                        <w:sz w:val="20"/>
                        <w:szCs w:val="18"/>
                      </w:rPr>
                      <m:t>k</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kern w:val="0"/>
                <w:sz w:val="20"/>
                <w:szCs w:val="18"/>
              </w:rPr>
            </w:pPr>
            <w:r>
              <w:rPr>
                <w:rFonts w:hint="eastAsia" w:ascii="宋体"/>
                <w:iCs/>
              </w:rPr>
              <w:t>百分比</w:t>
            </w:r>
          </w:p>
        </w:tc>
        <w:tc>
          <w:tcPr>
            <w:tcW w:w="3053" w:type="pct"/>
            <w:noWrap/>
            <w:vAlign w:val="center"/>
          </w:tcPr>
          <w:p>
            <w:pPr>
              <w:spacing w:line="360" w:lineRule="exact"/>
              <w:jc w:val="left"/>
              <w:rPr>
                <w:rFonts w:ascii="宋体"/>
                <w:iCs/>
                <w:kern w:val="0"/>
                <w:sz w:val="20"/>
                <w:szCs w:val="18"/>
              </w:rPr>
            </w:pPr>
            <w:r>
              <w:rPr>
                <w:rFonts w:ascii="宋体"/>
                <w:iCs/>
              </w:rPr>
              <w:t>基准年</w:t>
            </w:r>
            <w:r>
              <w:rPr>
                <w:rFonts w:hint="eastAsia" w:ascii="宋体"/>
                <w:iCs/>
              </w:rPr>
              <w:t>电力自行车出行量占出行总量的比重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724" w:type="pct"/>
            <w:noWrap/>
            <w:vAlign w:val="center"/>
          </w:tcPr>
          <w:p>
            <w:pPr>
              <w:spacing w:line="360" w:lineRule="exact"/>
              <w:jc w:val="left"/>
              <w:rPr>
                <w:rFonts w:hint="eastAsia" w:ascii="宋体" w:hAnsi="Times New Roman Regular" w:cs="Times New Roman Regular"/>
                <w:oMath/>
              </w:rPr>
            </w:pPr>
            <m:oMathPara>
              <m:oMath>
                <m:sSub>
                  <m:sSubPr>
                    <m:ctrlPr>
                      <w:rPr>
                        <w:rFonts w:ascii="Cambria Math" w:hAnsi="Cambria Math" w:cs="Cambria Math"/>
                        <w:i/>
                        <w:iCs/>
                        <w:kern w:val="0"/>
                        <w:sz w:val="20"/>
                        <w:szCs w:val="18"/>
                      </w:rPr>
                    </m:ctrlPr>
                  </m:sSubPr>
                  <m:e>
                    <m:r>
                      <m:rPr/>
                      <w:rPr>
                        <w:rFonts w:ascii="Cambria Math" w:hAnsi="Cambria Math" w:cs="Cambria Math"/>
                        <w:kern w:val="0"/>
                        <w:sz w:val="20"/>
                        <w:szCs w:val="18"/>
                        <w:lang w:val="en-AU"/>
                      </w:rPr>
                      <m:t>W</m:t>
                    </m:r>
                    <m:r>
                      <m:rPr/>
                      <w:rPr>
                        <w:rFonts w:ascii="Cambria Math" w:hAnsi="Cambria Math" w:cs="Cambria Math"/>
                        <w:kern w:val="0"/>
                        <w:sz w:val="20"/>
                        <w:szCs w:val="18"/>
                      </w:rPr>
                      <m:t>P</m:t>
                    </m:r>
                    <m:ctrlPr>
                      <w:rPr>
                        <w:rFonts w:ascii="Cambria Math" w:hAnsi="Cambria Math" w:cs="Cambria Math"/>
                        <w:i/>
                        <w:iCs/>
                        <w:kern w:val="0"/>
                        <w:sz w:val="20"/>
                        <w:szCs w:val="18"/>
                      </w:rPr>
                    </m:ctrlPr>
                  </m:e>
                  <m:sub>
                    <m:r>
                      <m:rPr/>
                      <w:rPr>
                        <w:rFonts w:ascii="Cambria Math" w:hAnsi="Cambria Math" w:cs="Cambria Math"/>
                        <w:kern w:val="0"/>
                        <w:sz w:val="20"/>
                        <w:szCs w:val="18"/>
                      </w:rPr>
                      <m:t>k</m:t>
                    </m:r>
                    <m:ctrlPr>
                      <w:rPr>
                        <w:rFonts w:ascii="Cambria Math" w:hAnsi="Cambria Math" w:cs="Cambria Math"/>
                        <w:i/>
                        <w:iCs/>
                        <w:kern w:val="0"/>
                        <w:sz w:val="20"/>
                        <w:szCs w:val="18"/>
                      </w:rPr>
                    </m:ctrlPr>
                  </m:sub>
                </m:sSub>
              </m:oMath>
            </m:oMathPara>
          </w:p>
        </w:tc>
        <w:tc>
          <w:tcPr>
            <w:tcW w:w="1221" w:type="pct"/>
            <w:noWrap/>
            <w:vAlign w:val="center"/>
          </w:tcPr>
          <w:p>
            <w:pPr>
              <w:spacing w:line="360" w:lineRule="exact"/>
              <w:jc w:val="center"/>
              <w:rPr>
                <w:rFonts w:ascii="宋体"/>
                <w:iCs/>
              </w:rPr>
            </w:pPr>
            <w:r>
              <w:rPr>
                <w:rFonts w:hint="eastAsia" w:ascii="宋体"/>
                <w:iCs/>
              </w:rPr>
              <w:t>百分比</w:t>
            </w:r>
          </w:p>
        </w:tc>
        <w:tc>
          <w:tcPr>
            <w:tcW w:w="3053" w:type="pct"/>
            <w:noWrap/>
            <w:vAlign w:val="center"/>
          </w:tcPr>
          <w:p>
            <w:pPr>
              <w:spacing w:line="360" w:lineRule="exact"/>
              <w:jc w:val="left"/>
              <w:rPr>
                <w:rFonts w:ascii="宋体"/>
                <w:iCs/>
              </w:rPr>
            </w:pPr>
            <w:r>
              <w:rPr>
                <w:rFonts w:ascii="宋体"/>
                <w:iCs/>
              </w:rPr>
              <w:t>基准年</w:t>
            </w:r>
            <w:r>
              <w:rPr>
                <w:rFonts w:hint="eastAsia" w:ascii="宋体"/>
                <w:iCs/>
                <w:lang w:eastAsia="zh-Hans"/>
              </w:rPr>
              <w:t>普通</w:t>
            </w:r>
            <w:r>
              <w:rPr>
                <w:rFonts w:hint="eastAsia" w:ascii="宋体"/>
                <w:iCs/>
              </w:rPr>
              <w:t>自行车出行量占出行总量的比重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4" w:type="pct"/>
            <w:noWrap/>
            <w:vAlign w:val="center"/>
          </w:tcPr>
          <w:p>
            <w:pPr>
              <w:spacing w:line="360" w:lineRule="exact"/>
              <w:jc w:val="left"/>
              <w:rPr>
                <w:rFonts w:hint="eastAsia" w:ascii="宋体" w:hAnsi="Times New Roman Regular" w:cs="Times New Roman Regular"/>
                <w:i/>
                <w:iCs/>
                <w:sz w:val="20"/>
                <w:szCs w:val="18"/>
              </w:rPr>
            </w:pPr>
            <m:oMathPara>
              <m:oMath>
                <m:r>
                  <m:rPr/>
                  <w:rPr>
                    <w:rFonts w:ascii="Cambria Math" w:hAnsi="Cambria Math" w:cs="Cambria Math"/>
                    <w:kern w:val="0"/>
                    <w:sz w:val="20"/>
                    <w:szCs w:val="18"/>
                  </w:rPr>
                  <m:t>EC</m:t>
                </m:r>
              </m:oMath>
            </m:oMathPara>
          </w:p>
        </w:tc>
        <w:tc>
          <w:tcPr>
            <w:tcW w:w="1221" w:type="pct"/>
            <w:noWrap/>
            <w:vAlign w:val="center"/>
          </w:tcPr>
          <w:p>
            <w:pPr>
              <w:spacing w:line="360" w:lineRule="exact"/>
              <w:jc w:val="center"/>
              <w:rPr>
                <w:rFonts w:ascii="宋体"/>
                <w:iCs/>
                <w:kern w:val="0"/>
                <w:sz w:val="20"/>
                <w:szCs w:val="18"/>
              </w:rPr>
            </w:pPr>
            <w:r>
              <w:rPr>
                <w:rFonts w:hint="eastAsia" w:ascii="宋体" w:hAnsi="宋体"/>
                <w:iCs/>
                <w:sz w:val="18"/>
                <w:szCs w:val="18"/>
              </w:rPr>
              <w:t>MWh/km</w:t>
            </w:r>
          </w:p>
        </w:tc>
        <w:tc>
          <w:tcPr>
            <w:tcW w:w="3053" w:type="pct"/>
            <w:noWrap/>
            <w:vAlign w:val="center"/>
          </w:tcPr>
          <w:p>
            <w:pPr>
              <w:spacing w:line="360" w:lineRule="exact"/>
              <w:jc w:val="left"/>
              <w:rPr>
                <w:rFonts w:ascii="宋体"/>
                <w:iCs/>
                <w:kern w:val="0"/>
                <w:sz w:val="20"/>
                <w:szCs w:val="18"/>
              </w:rPr>
            </w:pPr>
            <w:r>
              <w:rPr>
                <w:rFonts w:hint="eastAsia" w:ascii="宋体"/>
                <w:iCs/>
              </w:rPr>
              <w:t>电动自行车的单位公里电耗</w:t>
            </w:r>
          </w:p>
        </w:tc>
      </w:tr>
    </w:tbl>
    <w:p>
      <w:pPr>
        <w:pStyle w:val="47"/>
        <w:spacing w:before="312" w:after="312"/>
      </w:pPr>
      <w:bookmarkStart w:id="85" w:name="_Toc97308080"/>
      <w:bookmarkEnd w:id="85"/>
      <w:r>
        <w:rPr>
          <w:rFonts w:hint="eastAsia"/>
          <w:lang w:eastAsia="zh-Hans"/>
        </w:rPr>
        <w:t>审定与核查要点</w:t>
      </w:r>
    </w:p>
    <w:p>
      <w:pPr>
        <w:pStyle w:val="44"/>
        <w:spacing w:before="156" w:after="156"/>
      </w:pPr>
      <w:r>
        <w:rPr>
          <w:rFonts w:hint="eastAsia"/>
          <w:lang w:eastAsia="zh-Hans"/>
        </w:rPr>
        <w:t>真实性</w:t>
      </w:r>
    </w:p>
    <w:p>
      <w:pPr>
        <w:pStyle w:val="48"/>
        <w:spacing w:before="156" w:after="156"/>
        <w:rPr>
          <w:lang w:eastAsia="zh-Hans"/>
        </w:rPr>
      </w:pPr>
      <w:r>
        <w:rPr>
          <w:rFonts w:hint="eastAsia" w:ascii="宋体" w:hAnsi="宋体" w:eastAsia="宋体" w:cs="宋体"/>
          <w:lang w:eastAsia="zh-Hans"/>
        </w:rPr>
        <w:t>公交和轨道的出行记录应与票务系统所提供的出行记录进行交叉核对，应按照票务系统提供的出行信息为准。</w:t>
      </w:r>
    </w:p>
    <w:p>
      <w:pPr>
        <w:pStyle w:val="48"/>
        <w:spacing w:before="156" w:after="156"/>
        <w:rPr>
          <w:lang w:eastAsia="zh-Hans"/>
        </w:rPr>
      </w:pPr>
      <w:r>
        <w:rPr>
          <w:rFonts w:ascii="宋体" w:hAnsi="宋体" w:eastAsia="宋体" w:cs="宋体"/>
          <w:lang w:eastAsia="zh-Hans"/>
        </w:rPr>
        <w:t>自行车</w:t>
      </w:r>
      <w:r>
        <w:rPr>
          <w:rFonts w:hint="eastAsia" w:ascii="宋体" w:hAnsi="宋体" w:eastAsia="宋体" w:cs="宋体"/>
          <w:lang w:eastAsia="zh-Hans"/>
        </w:rPr>
        <w:t>和步行的出行记录应基于GPS轨迹信息的平均速度、瞬时最大速度、出行里程、出行时间等特征判定是否符合京津冀区域内步行和</w:t>
      </w:r>
      <w:r>
        <w:rPr>
          <w:rFonts w:ascii="宋体" w:hAnsi="宋体" w:eastAsia="宋体" w:cs="宋体"/>
          <w:lang w:eastAsia="zh-Hans"/>
        </w:rPr>
        <w:t>自行车</w:t>
      </w:r>
      <w:r>
        <w:rPr>
          <w:rFonts w:hint="eastAsia" w:ascii="宋体" w:hAnsi="宋体" w:eastAsia="宋体" w:cs="宋体"/>
          <w:lang w:eastAsia="zh-Hans"/>
        </w:rPr>
        <w:t>的出行特征</w:t>
      </w:r>
      <w:r>
        <w:rPr>
          <w:rFonts w:ascii="宋体" w:hAnsi="宋体" w:eastAsia="宋体" w:cs="宋体"/>
          <w:lang w:eastAsia="zh-Hans"/>
        </w:rPr>
        <w:t>。</w:t>
      </w:r>
    </w:p>
    <w:p>
      <w:pPr>
        <w:pStyle w:val="48"/>
        <w:spacing w:before="156" w:after="156"/>
        <w:rPr>
          <w:lang w:eastAsia="zh-Hans"/>
        </w:rPr>
      </w:pPr>
      <w:r>
        <w:rPr>
          <w:rFonts w:hint="eastAsia" w:ascii="宋体" w:hAnsi="宋体" w:eastAsia="宋体" w:cs="宋体"/>
          <w:lang w:eastAsia="zh-Hans"/>
        </w:rPr>
        <w:t>合乘的出行记录应基于监测的合乘出行GPS轨迹记录与基于合乘订单识别的出行行为进行交叉核对。</w:t>
      </w:r>
    </w:p>
    <w:p>
      <w:pPr>
        <w:pStyle w:val="48"/>
        <w:spacing w:before="156" w:after="156"/>
        <w:rPr>
          <w:lang w:eastAsia="zh-Hans"/>
        </w:rPr>
      </w:pPr>
      <w:r>
        <w:rPr>
          <w:rFonts w:hint="eastAsia" w:ascii="宋体" w:hAnsi="宋体" w:eastAsia="宋体" w:cs="宋体"/>
          <w:lang w:eastAsia="zh-Hans"/>
        </w:rPr>
        <w:t>停驶的出行记录应基于小微型客车停驶记录的简单随机抽样结果进行核对</w:t>
      </w:r>
      <w:r>
        <w:rPr>
          <w:rFonts w:ascii="宋体" w:hAnsi="宋体" w:eastAsia="宋体" w:cs="宋体"/>
          <w:lang w:eastAsia="zh-Hans"/>
        </w:rPr>
        <w:t>。</w:t>
      </w:r>
    </w:p>
    <w:p>
      <w:pPr>
        <w:pStyle w:val="44"/>
        <w:spacing w:before="156" w:after="156"/>
      </w:pPr>
      <w:r>
        <w:rPr>
          <w:rFonts w:hint="eastAsia"/>
          <w:lang w:eastAsia="zh-Hans"/>
        </w:rPr>
        <w:t>准确性</w:t>
      </w:r>
    </w:p>
    <w:p>
      <w:pPr>
        <w:pStyle w:val="48"/>
        <w:spacing w:before="156" w:after="156"/>
        <w:rPr>
          <w:rFonts w:ascii="宋体" w:hAnsi="宋体" w:eastAsia="宋体" w:cs="宋体"/>
          <w:lang w:eastAsia="zh-Hans"/>
        </w:rPr>
      </w:pPr>
      <w:r>
        <w:rPr>
          <w:rFonts w:ascii="宋体" w:hAnsi="宋体" w:eastAsia="宋体" w:cs="宋体"/>
          <w:lang w:eastAsia="zh-Hans"/>
        </w:rPr>
        <w:t>碳排放</w:t>
      </w:r>
      <w:r>
        <w:rPr>
          <w:rFonts w:hint="eastAsia" w:ascii="宋体" w:hAnsi="宋体" w:eastAsia="宋体" w:cs="宋体"/>
          <w:lang w:eastAsia="zh-Hans"/>
        </w:rPr>
        <w:t>边界和</w:t>
      </w:r>
      <w:r>
        <w:rPr>
          <w:rFonts w:ascii="宋体" w:hAnsi="宋体" w:eastAsia="宋体" w:cs="宋体"/>
          <w:lang w:eastAsia="zh-Hans"/>
        </w:rPr>
        <w:t>碳排放</w:t>
      </w:r>
      <w:r>
        <w:rPr>
          <w:rFonts w:hint="eastAsia" w:ascii="宋体" w:hAnsi="宋体" w:eastAsia="宋体" w:cs="宋体"/>
          <w:lang w:eastAsia="zh-Hans"/>
        </w:rPr>
        <w:t>源种类应符合本标准的要求</w:t>
      </w:r>
      <w:r>
        <w:rPr>
          <w:rFonts w:ascii="宋体" w:hAnsi="宋体" w:eastAsia="宋体" w:cs="宋体"/>
          <w:lang w:eastAsia="zh-Hans"/>
        </w:rPr>
        <w:t>。</w:t>
      </w:r>
    </w:p>
    <w:p>
      <w:pPr>
        <w:pStyle w:val="48"/>
        <w:spacing w:before="156" w:after="156"/>
        <w:rPr>
          <w:rFonts w:ascii="宋体" w:hAnsi="宋体" w:eastAsia="宋体" w:cs="宋体"/>
          <w:lang w:eastAsia="zh-Hans"/>
        </w:rPr>
      </w:pPr>
      <w:r>
        <w:rPr>
          <w:rFonts w:hint="eastAsia" w:ascii="宋体" w:hAnsi="宋体" w:eastAsia="宋体" w:cs="宋体"/>
          <w:lang w:eastAsia="zh-Hans"/>
        </w:rPr>
        <w:t>减排量核算方法应基于本标准的核算方法</w:t>
      </w:r>
      <w:r>
        <w:rPr>
          <w:rFonts w:ascii="宋体" w:hAnsi="宋体" w:eastAsia="宋体" w:cs="宋体"/>
          <w:lang w:eastAsia="zh-Hans"/>
        </w:rPr>
        <w:t>，</w:t>
      </w:r>
      <w:r>
        <w:rPr>
          <w:rFonts w:hint="eastAsia" w:ascii="宋体" w:hAnsi="宋体" w:eastAsia="宋体" w:cs="宋体"/>
          <w:lang w:eastAsia="zh-Hans"/>
        </w:rPr>
        <w:t>按照核算原则和步骤开展。</w:t>
      </w:r>
    </w:p>
    <w:p>
      <w:pPr>
        <w:pStyle w:val="48"/>
        <w:spacing w:before="156" w:after="156"/>
        <w:rPr>
          <w:lang w:eastAsia="zh-Hans"/>
        </w:rPr>
      </w:pPr>
      <w:r>
        <w:rPr>
          <w:rFonts w:hint="eastAsia" w:ascii="宋体" w:hAnsi="宋体" w:eastAsia="宋体" w:cs="宋体"/>
          <w:lang w:eastAsia="zh-Hans"/>
        </w:rPr>
        <w:t>公交和轨道的出行里程准确性应基于</w:t>
      </w:r>
      <w:r>
        <w:rPr>
          <w:rFonts w:ascii="宋体" w:hAnsi="宋体" w:eastAsia="宋体" w:cs="宋体"/>
          <w:lang w:eastAsia="zh-Hans"/>
        </w:rPr>
        <w:t>GPS</w:t>
      </w:r>
      <w:r>
        <w:rPr>
          <w:rFonts w:hint="eastAsia" w:ascii="宋体" w:hAnsi="宋体" w:eastAsia="宋体" w:cs="宋体"/>
          <w:lang w:eastAsia="zh-Hans"/>
        </w:rPr>
        <w:t>公交出行轨迹的起讫点与公交</w:t>
      </w:r>
      <w:r>
        <w:rPr>
          <w:rFonts w:ascii="宋体" w:hAnsi="宋体" w:eastAsia="宋体" w:cs="宋体"/>
          <w:lang w:eastAsia="zh-Hans"/>
        </w:rPr>
        <w:t>、</w:t>
      </w:r>
      <w:r>
        <w:rPr>
          <w:rFonts w:hint="eastAsia" w:ascii="宋体" w:hAnsi="宋体" w:eastAsia="宋体" w:cs="宋体"/>
          <w:lang w:eastAsia="zh-Hans"/>
        </w:rPr>
        <w:t>轨道官方路网图匹配</w:t>
      </w:r>
      <w:r>
        <w:rPr>
          <w:rFonts w:hint="eastAsia" w:ascii="宋体" w:hAnsi="宋体" w:eastAsia="宋体" w:cs="宋体"/>
        </w:rPr>
        <w:t>，获得每次实际出行里程，并将</w:t>
      </w:r>
      <w:r>
        <w:rPr>
          <w:rFonts w:hint="eastAsia" w:ascii="宋体" w:hAnsi="宋体" w:eastAsia="宋体" w:cs="宋体"/>
          <w:lang w:eastAsia="zh-Hans"/>
        </w:rPr>
        <w:t>结果</w:t>
      </w:r>
      <w:r>
        <w:rPr>
          <w:rFonts w:hint="eastAsia" w:ascii="宋体" w:hAnsi="宋体" w:eastAsia="宋体" w:cs="宋体"/>
        </w:rPr>
        <w:t>与监测里程数据</w:t>
      </w:r>
      <w:r>
        <w:rPr>
          <w:rFonts w:hint="eastAsia" w:ascii="宋体" w:hAnsi="宋体" w:eastAsia="宋体" w:cs="宋体"/>
          <w:lang w:eastAsia="zh-Hans"/>
        </w:rPr>
        <w:t>进行交叉核对</w:t>
      </w:r>
      <w:r>
        <w:rPr>
          <w:rFonts w:ascii="宋体" w:hAnsi="宋体" w:eastAsia="宋体" w:cs="宋体"/>
          <w:lang w:eastAsia="zh-Hans"/>
        </w:rPr>
        <w:t>。</w:t>
      </w:r>
    </w:p>
    <w:p>
      <w:pPr>
        <w:pStyle w:val="48"/>
        <w:spacing w:before="156" w:after="156"/>
        <w:rPr>
          <w:lang w:eastAsia="zh-Hans"/>
        </w:rPr>
      </w:pPr>
      <w:r>
        <w:rPr>
          <w:rFonts w:hint="eastAsia" w:ascii="宋体" w:hAnsi="宋体" w:eastAsia="宋体" w:cs="宋体"/>
          <w:lang w:eastAsia="zh-Hans"/>
        </w:rPr>
        <w:t>步行</w:t>
      </w:r>
      <w:r>
        <w:rPr>
          <w:rFonts w:ascii="宋体" w:hAnsi="宋体" w:eastAsia="宋体" w:cs="宋体"/>
          <w:lang w:eastAsia="zh-Hans"/>
        </w:rPr>
        <w:t>、自行车</w:t>
      </w:r>
      <w:r>
        <w:rPr>
          <w:rFonts w:hint="eastAsia" w:ascii="宋体" w:hAnsi="宋体" w:eastAsia="宋体" w:cs="宋体"/>
          <w:lang w:eastAsia="zh-Hans"/>
        </w:rPr>
        <w:t>的出行里程准确性应基于监测期内</w:t>
      </w:r>
      <w:r>
        <w:rPr>
          <w:rFonts w:ascii="宋体" w:hAnsi="宋体" w:eastAsia="宋体" w:cs="宋体"/>
          <w:lang w:eastAsia="zh-Hans"/>
        </w:rPr>
        <w:t>GPS</w:t>
      </w:r>
      <w:r>
        <w:rPr>
          <w:rFonts w:hint="eastAsia" w:ascii="宋体" w:hAnsi="宋体" w:eastAsia="宋体" w:cs="宋体"/>
          <w:lang w:eastAsia="zh-Hans"/>
        </w:rPr>
        <w:t>步行</w:t>
      </w:r>
      <w:r>
        <w:rPr>
          <w:rFonts w:ascii="宋体" w:hAnsi="宋体" w:eastAsia="宋体" w:cs="宋体"/>
          <w:lang w:eastAsia="zh-Hans"/>
        </w:rPr>
        <w:t>、自行车</w:t>
      </w:r>
      <w:r>
        <w:rPr>
          <w:rFonts w:hint="eastAsia" w:ascii="宋体" w:hAnsi="宋体" w:eastAsia="宋体" w:cs="宋体"/>
          <w:lang w:eastAsia="zh-Hans"/>
        </w:rPr>
        <w:t>出行轨迹数据随机抽样的样本数据</w:t>
      </w:r>
      <w:r>
        <w:rPr>
          <w:rFonts w:hint="eastAsia" w:ascii="宋体" w:hAnsi="宋体" w:eastAsia="宋体" w:cs="宋体"/>
        </w:rPr>
        <w:t>，使用不同算法核算样本数据出行里程，将</w:t>
      </w:r>
      <w:r>
        <w:rPr>
          <w:rFonts w:hint="eastAsia" w:ascii="宋体" w:hAnsi="宋体" w:eastAsia="宋体" w:cs="宋体"/>
          <w:lang w:eastAsia="zh-Hans"/>
        </w:rPr>
        <w:t>核算结果和</w:t>
      </w:r>
      <w:r>
        <w:rPr>
          <w:rFonts w:hint="eastAsia" w:ascii="宋体" w:hAnsi="宋体" w:eastAsia="宋体" w:cs="宋体"/>
        </w:rPr>
        <w:t>监测的步</w:t>
      </w:r>
      <w:r>
        <w:rPr>
          <w:rFonts w:hint="eastAsia" w:ascii="宋体" w:hAnsi="宋体" w:eastAsia="宋体" w:cs="宋体"/>
          <w:lang w:eastAsia="zh-Hans"/>
        </w:rPr>
        <w:t>行</w:t>
      </w:r>
      <w:r>
        <w:rPr>
          <w:rFonts w:ascii="宋体" w:hAnsi="宋体" w:eastAsia="宋体" w:cs="宋体"/>
          <w:lang w:eastAsia="zh-Hans"/>
        </w:rPr>
        <w:t>、</w:t>
      </w:r>
      <w:r>
        <w:rPr>
          <w:rFonts w:ascii="宋体" w:hAnsi="宋体" w:eastAsia="宋体" w:cs="宋体"/>
        </w:rPr>
        <w:t>自行车</w:t>
      </w:r>
      <w:r>
        <w:rPr>
          <w:rFonts w:hint="eastAsia" w:ascii="宋体" w:hAnsi="宋体" w:eastAsia="宋体" w:cs="宋体"/>
          <w:lang w:eastAsia="zh-Hans"/>
        </w:rPr>
        <w:t>出行里程数据结果进行交叉核对</w:t>
      </w:r>
      <w:r>
        <w:rPr>
          <w:rFonts w:ascii="宋体" w:hAnsi="宋体" w:eastAsia="宋体" w:cs="宋体"/>
          <w:lang w:eastAsia="zh-Hans"/>
        </w:rPr>
        <w:t>。</w:t>
      </w:r>
    </w:p>
    <w:p>
      <w:pPr>
        <w:pStyle w:val="48"/>
        <w:spacing w:before="156" w:after="156"/>
        <w:rPr>
          <w:lang w:eastAsia="zh-Hans"/>
        </w:rPr>
      </w:pPr>
      <w:r>
        <w:rPr>
          <w:rFonts w:hint="eastAsia" w:ascii="宋体" w:hAnsi="宋体" w:eastAsia="宋体" w:cs="宋体"/>
          <w:lang w:eastAsia="zh-Hans"/>
        </w:rPr>
        <w:t>合乘的出行里程准确性应基于监测期内</w:t>
      </w:r>
      <w:r>
        <w:rPr>
          <w:rFonts w:ascii="宋体" w:hAnsi="宋体" w:eastAsia="宋体" w:cs="宋体"/>
          <w:lang w:eastAsia="zh-Hans"/>
        </w:rPr>
        <w:t>GPS</w:t>
      </w:r>
      <w:r>
        <w:rPr>
          <w:rFonts w:hint="eastAsia" w:ascii="宋体" w:hAnsi="宋体" w:eastAsia="宋体" w:cs="宋体"/>
          <w:lang w:eastAsia="zh-Hans"/>
        </w:rPr>
        <w:t>合乘出行轨迹数据使用不同算法核算的结果与合乘出行订单信息的里程数据进行交叉核对</w:t>
      </w:r>
      <w:r>
        <w:rPr>
          <w:rFonts w:ascii="宋体" w:hAnsi="宋体" w:eastAsia="宋体" w:cs="宋体"/>
          <w:lang w:eastAsia="zh-Hans"/>
        </w:rPr>
        <w:t>。</w:t>
      </w:r>
    </w:p>
    <w:p>
      <w:pPr>
        <w:pStyle w:val="48"/>
        <w:spacing w:before="156" w:after="156"/>
        <w:rPr>
          <w:lang w:eastAsia="zh-Hans"/>
        </w:rPr>
      </w:pPr>
      <w:r>
        <w:rPr>
          <w:rFonts w:hint="eastAsia" w:ascii="宋体" w:hAnsi="宋体" w:eastAsia="宋体" w:cs="宋体"/>
          <w:lang w:eastAsia="zh-Hans"/>
        </w:rPr>
        <w:t>停驶的出行里程准确性应基于确认停驶后出行行为可识别的前提下</w:t>
      </w:r>
      <w:r>
        <w:rPr>
          <w:rFonts w:ascii="宋体" w:hAnsi="宋体" w:eastAsia="宋体" w:cs="宋体"/>
          <w:lang w:eastAsia="zh-Hans"/>
        </w:rPr>
        <w:t>，</w:t>
      </w:r>
      <w:r>
        <w:rPr>
          <w:rFonts w:hint="eastAsia" w:ascii="宋体" w:hAnsi="宋体" w:eastAsia="宋体" w:cs="宋体"/>
          <w:lang w:eastAsia="zh-Hans"/>
        </w:rPr>
        <w:t>以停驶后实际出行的里程为准</w:t>
      </w:r>
      <w:r>
        <w:rPr>
          <w:rFonts w:ascii="宋体" w:hAnsi="宋体" w:eastAsia="宋体" w:cs="宋体"/>
          <w:lang w:eastAsia="zh-Hans"/>
        </w:rPr>
        <w:t>。</w:t>
      </w:r>
      <w:r>
        <w:rPr>
          <w:rFonts w:hint="eastAsia" w:ascii="宋体" w:hAnsi="宋体" w:eastAsia="宋体" w:cs="宋体"/>
          <w:lang w:eastAsia="zh-Hans"/>
        </w:rPr>
        <w:t>在无法准确识别时</w:t>
      </w:r>
      <w:r>
        <w:rPr>
          <w:rFonts w:ascii="宋体" w:hAnsi="宋体" w:eastAsia="宋体" w:cs="宋体"/>
          <w:lang w:eastAsia="zh-Hans"/>
        </w:rPr>
        <w:t>，</w:t>
      </w:r>
      <w:r>
        <w:rPr>
          <w:rFonts w:hint="eastAsia" w:ascii="宋体" w:hAnsi="宋体" w:eastAsia="宋体" w:cs="宋体"/>
          <w:lang w:eastAsia="zh-Hans"/>
        </w:rPr>
        <w:t>可参照京津冀区域基准年小微型客车的次均出行里程和保守性原则进行判定</w:t>
      </w:r>
      <w:r>
        <w:rPr>
          <w:rFonts w:ascii="宋体" w:hAnsi="宋体" w:eastAsia="宋体" w:cs="宋体"/>
          <w:lang w:eastAsia="zh-Hans"/>
        </w:rPr>
        <w:t>。</w:t>
      </w:r>
    </w:p>
    <w:p>
      <w:pPr>
        <w:pStyle w:val="44"/>
        <w:spacing w:before="156" w:after="156"/>
      </w:pPr>
      <w:r>
        <w:rPr>
          <w:rFonts w:hint="eastAsia"/>
          <w:lang w:eastAsia="zh-Hans"/>
        </w:rPr>
        <w:t>保守性</w:t>
      </w:r>
    </w:p>
    <w:p>
      <w:pPr>
        <w:pStyle w:val="48"/>
        <w:spacing w:before="156" w:after="156"/>
        <w:rPr>
          <w:rFonts w:ascii="宋体" w:hAnsi="宋体" w:eastAsia="宋体" w:cs="宋体"/>
        </w:rPr>
      </w:pPr>
      <w:r>
        <w:rPr>
          <w:rFonts w:hint="eastAsia" w:ascii="宋体" w:hAnsi="宋体" w:eastAsia="宋体" w:cs="宋体"/>
          <w:lang w:eastAsia="zh-Hans"/>
        </w:rPr>
        <w:t>在基准年城市路网条件下</w:t>
      </w:r>
      <w:r>
        <w:rPr>
          <w:rFonts w:ascii="宋体" w:hAnsi="宋体" w:eastAsia="宋体" w:cs="宋体"/>
          <w:lang w:eastAsia="zh-Hans"/>
        </w:rPr>
        <w:t>，</w:t>
      </w:r>
      <w:r>
        <w:rPr>
          <w:rFonts w:hint="eastAsia" w:ascii="宋体" w:hAnsi="宋体" w:eastAsia="宋体" w:cs="宋体"/>
          <w:lang w:eastAsia="zh-Hans"/>
        </w:rPr>
        <w:t>相同起讫点下小微型客车的出行距离应按照最短路径原则选择</w:t>
      </w:r>
      <w:r>
        <w:rPr>
          <w:rFonts w:ascii="宋体" w:hAnsi="宋体" w:eastAsia="宋体" w:cs="宋体"/>
          <w:lang w:eastAsia="zh-Hans"/>
        </w:rPr>
        <w:t>。</w:t>
      </w:r>
    </w:p>
    <w:p>
      <w:pPr>
        <w:pStyle w:val="48"/>
        <w:spacing w:before="156" w:after="156"/>
        <w:rPr>
          <w:rFonts w:ascii="宋体" w:hAnsi="宋体" w:eastAsia="宋体" w:cs="宋体"/>
        </w:rPr>
      </w:pPr>
      <w:r>
        <w:rPr>
          <w:rFonts w:hint="eastAsia" w:ascii="宋体" w:hAnsi="宋体" w:eastAsia="宋体" w:cs="宋体"/>
          <w:lang w:eastAsia="zh-Hans"/>
        </w:rPr>
        <w:t>步行和</w:t>
      </w:r>
      <w:r>
        <w:rPr>
          <w:rFonts w:ascii="宋体" w:hAnsi="宋体" w:eastAsia="宋体" w:cs="宋体"/>
          <w:lang w:eastAsia="zh-Hans"/>
        </w:rPr>
        <w:t>自行车</w:t>
      </w:r>
      <w:r>
        <w:rPr>
          <w:rFonts w:hint="eastAsia" w:ascii="宋体" w:hAnsi="宋体" w:eastAsia="宋体" w:cs="宋体"/>
          <w:lang w:eastAsia="zh-Hans"/>
        </w:rPr>
        <w:t>出行的距离应不超过基于行为习惯等因素确定的步行</w:t>
      </w:r>
      <w:r>
        <w:rPr>
          <w:rFonts w:ascii="宋体" w:hAnsi="宋体" w:eastAsia="宋体" w:cs="宋体"/>
          <w:lang w:eastAsia="zh-Hans"/>
        </w:rPr>
        <w:t>、自行车</w:t>
      </w:r>
      <w:r>
        <w:rPr>
          <w:rFonts w:hint="eastAsia" w:ascii="宋体" w:hAnsi="宋体" w:eastAsia="宋体" w:cs="宋体"/>
        </w:rPr>
        <w:t>出行</w:t>
      </w:r>
      <w:r>
        <w:rPr>
          <w:rFonts w:hint="eastAsia" w:ascii="宋体" w:hAnsi="宋体" w:eastAsia="宋体" w:cs="宋体"/>
          <w:lang w:eastAsia="zh-Hans"/>
        </w:rPr>
        <w:t>阈值</w:t>
      </w:r>
      <w:r>
        <w:rPr>
          <w:rFonts w:ascii="宋体" w:hAnsi="宋体" w:eastAsia="宋体" w:cs="宋体"/>
          <w:lang w:eastAsia="zh-Hans"/>
        </w:rPr>
        <w:t>。</w:t>
      </w:r>
    </w:p>
    <w:p>
      <w:pPr>
        <w:pStyle w:val="44"/>
        <w:spacing w:before="156" w:after="156"/>
      </w:pPr>
      <w:r>
        <w:rPr>
          <w:rFonts w:hint="eastAsia"/>
          <w:lang w:eastAsia="zh-Hans"/>
        </w:rPr>
        <w:t>唯一性</w:t>
      </w:r>
    </w:p>
    <w:p>
      <w:pPr>
        <w:pStyle w:val="48"/>
        <w:spacing w:before="156" w:after="156"/>
        <w:rPr>
          <w:rFonts w:ascii="宋体" w:hAnsi="宋体" w:eastAsia="宋体" w:cs="宋体"/>
        </w:rPr>
        <w:sectPr>
          <w:pgSz w:w="11906" w:h="16838"/>
          <w:pgMar w:top="567" w:right="1134" w:bottom="1134" w:left="1418" w:header="1418" w:footer="1134" w:gutter="0"/>
          <w:cols w:space="425" w:num="1"/>
          <w:formProt w:val="0"/>
          <w:docGrid w:type="lines" w:linePitch="312" w:charSpace="0"/>
        </w:sectPr>
      </w:pPr>
      <w:r>
        <w:rPr>
          <w:rFonts w:hint="eastAsia" w:ascii="宋体" w:hAnsi="宋体" w:eastAsia="宋体" w:cs="宋体"/>
          <w:lang w:eastAsia="zh-Hans"/>
        </w:rPr>
        <w:t>用于核算低碳出行碳减排量的参数和数据应满足唯一性要求</w:t>
      </w:r>
      <w:r>
        <w:rPr>
          <w:rFonts w:ascii="宋体" w:hAnsi="宋体" w:eastAsia="宋体" w:cs="宋体"/>
          <w:lang w:eastAsia="zh-Hans"/>
        </w:rPr>
        <w:t>。</w:t>
      </w:r>
    </w:p>
    <w:p>
      <w:pPr>
        <w:pStyle w:val="85"/>
        <w:spacing w:before="156" w:after="156"/>
        <w:ind w:left="0"/>
      </w:pPr>
      <w:bookmarkStart w:id="86" w:name="_Toc106354533"/>
      <w:bookmarkEnd w:id="86"/>
      <w:bookmarkStart w:id="87" w:name="_Toc118127244"/>
      <w:bookmarkEnd w:id="87"/>
      <w:bookmarkStart w:id="88" w:name="_Toc118127245"/>
      <w:bookmarkEnd w:id="88"/>
      <w:bookmarkStart w:id="89" w:name="_Toc106265180"/>
      <w:bookmarkEnd w:id="89"/>
      <w:bookmarkStart w:id="90" w:name="_Toc106265181"/>
      <w:bookmarkEnd w:id="90"/>
      <w:bookmarkStart w:id="91" w:name="_Toc97308079"/>
      <w:bookmarkEnd w:id="91"/>
      <w:bookmarkStart w:id="92" w:name="_Toc105443224"/>
      <w:bookmarkEnd w:id="92"/>
      <w:bookmarkStart w:id="93" w:name="_Toc106354473"/>
      <w:bookmarkEnd w:id="93"/>
      <w:bookmarkStart w:id="94" w:name="_Toc104904884"/>
      <w:bookmarkEnd w:id="94"/>
      <w:bookmarkStart w:id="95" w:name="_Toc106354472"/>
      <w:bookmarkEnd w:id="95"/>
      <w:bookmarkStart w:id="96" w:name="_Toc105021487"/>
      <w:bookmarkEnd w:id="96"/>
      <w:bookmarkStart w:id="97" w:name="_Toc105442592"/>
      <w:bookmarkEnd w:id="97"/>
      <w:bookmarkStart w:id="98" w:name="_Toc104904885"/>
      <w:bookmarkEnd w:id="98"/>
      <w:bookmarkStart w:id="99" w:name="_Toc105662591"/>
      <w:bookmarkEnd w:id="99"/>
      <w:bookmarkStart w:id="100" w:name="_Toc105662590"/>
      <w:bookmarkEnd w:id="100"/>
      <w:bookmarkStart w:id="101" w:name="_Toc105021488"/>
      <w:bookmarkEnd w:id="101"/>
      <w:bookmarkStart w:id="102" w:name="_Toc105442593"/>
      <w:bookmarkEnd w:id="102"/>
      <w:bookmarkStart w:id="103" w:name="_Toc105443225"/>
      <w:bookmarkEnd w:id="103"/>
      <w:bookmarkStart w:id="104" w:name="_Toc106354532"/>
      <w:bookmarkEnd w:id="104"/>
      <w:r>
        <w:br w:type="textWrapping"/>
      </w:r>
      <w:bookmarkStart w:id="105" w:name="_Toc118127246"/>
      <w:r>
        <w:rPr>
          <w:rFonts w:hint="eastAsia"/>
        </w:rPr>
        <w:t>（规范性）</w:t>
      </w:r>
      <w:r>
        <w:br w:type="textWrapping"/>
      </w:r>
      <w:r>
        <w:t>碳排放因子</w:t>
      </w:r>
      <w:r>
        <w:rPr>
          <w:rFonts w:hint="eastAsia"/>
        </w:rPr>
        <w:t>的计算方法</w:t>
      </w:r>
      <w:bookmarkEnd w:id="105"/>
    </w:p>
    <w:p>
      <w:pPr>
        <w:pStyle w:val="102"/>
        <w:tabs>
          <w:tab w:val="clear" w:pos="360"/>
        </w:tabs>
        <w:spacing w:before="156" w:beforeLines="50" w:after="156" w:afterLines="50"/>
        <w:ind w:left="0"/>
        <w:rPr>
          <w:rFonts w:hAnsi="黑体"/>
        </w:rPr>
      </w:pPr>
      <w:bookmarkStart w:id="106" w:name="_Toc105021490"/>
      <w:bookmarkStart w:id="107" w:name="_Toc118127247"/>
      <w:bookmarkStart w:id="108" w:name="_Toc106265183"/>
      <w:bookmarkStart w:id="109" w:name="_Toc105662593"/>
      <w:bookmarkStart w:id="110" w:name="_Toc105442595"/>
      <w:bookmarkStart w:id="111" w:name="_Toc105443227"/>
      <w:bookmarkStart w:id="112" w:name="_Toc106354475"/>
      <w:bookmarkStart w:id="113" w:name="_Toc106354535"/>
      <w:r>
        <w:rPr>
          <w:rFonts w:hint="eastAsia" w:hAnsi="黑体"/>
        </w:rPr>
        <w:t>基准线人公里速度</w:t>
      </w:r>
      <w:r>
        <w:rPr>
          <w:rFonts w:hAnsi="黑体"/>
          <w:lang w:eastAsia="zh-Hans"/>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ascii="Cambria Math" w:hAnsi="Cambria Math"/>
              </w:rPr>
              <m:t>i</m:t>
            </m:r>
            <m:r>
              <m:rPr>
                <m:sty m:val="p"/>
              </m:rPr>
              <w:rPr>
                <w:rFonts w:ascii="Cambria Math" w:hAnsi="Cambria Math"/>
              </w:rPr>
              <m:t>,</m:t>
            </m:r>
            <m:r>
              <m:rPr/>
              <w:rPr>
                <w:rFonts w:ascii="Cambria Math" w:hAnsi="Cambria Math"/>
              </w:rPr>
              <m:t>BL</m:t>
            </m:r>
            <m:ctrlPr>
              <w:rPr>
                <w:rFonts w:ascii="Cambria Math" w:hAnsi="Cambria Math"/>
              </w:rPr>
            </m:ctrlPr>
          </m:sub>
        </m:sSub>
      </m:oMath>
      <w:bookmarkEnd w:id="106"/>
      <w:bookmarkEnd w:id="107"/>
      <w:bookmarkEnd w:id="108"/>
      <w:bookmarkEnd w:id="109"/>
      <w:bookmarkEnd w:id="110"/>
      <w:bookmarkEnd w:id="111"/>
      <w:bookmarkEnd w:id="112"/>
      <w:bookmarkEnd w:id="113"/>
    </w:p>
    <w:p>
      <w:pPr>
        <w:pStyle w:val="103"/>
        <w:tabs>
          <w:tab w:val="clear" w:pos="360"/>
        </w:tabs>
        <w:spacing w:before="156" w:after="156"/>
        <w:ind w:left="0"/>
        <w:rPr>
          <w:rFonts w:asciiTheme="minorEastAsia" w:hAnsiTheme="minorEastAsia" w:eastAsiaTheme="minorEastAsia"/>
        </w:rPr>
      </w:pPr>
      <w:r>
        <w:rPr>
          <w:rFonts w:hAnsi="黑体"/>
        </w:rPr>
        <w:t>基准年</w:t>
      </w:r>
      <w:r>
        <w:rPr>
          <w:rFonts w:hint="eastAsia" w:hAnsi="黑体"/>
        </w:rPr>
        <w:t>基准线人公里速度</w:t>
      </w:r>
      <w:r>
        <w:rPr>
          <w:rFonts w:hAnsi="黑体"/>
          <w:lang w:eastAsia="zh-Hans"/>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hint="eastAsia" w:ascii="Cambria Math" w:hAnsi="Cambria Math"/>
              </w:rPr>
              <m:t>v</m:t>
            </m:r>
            <m:ctrlPr>
              <w:rPr>
                <w:rFonts w:ascii="Cambria Math" w:hAnsi="Cambria Math"/>
              </w:rPr>
            </m:ctrlPr>
          </m:sub>
        </m:sSub>
      </m:oMath>
    </w:p>
    <w:p>
      <w:pPr>
        <w:pStyle w:val="26"/>
        <w:rPr>
          <w:rFonts w:ascii="Times New Roman"/>
        </w:rPr>
      </w:pPr>
      <w:r>
        <w:rPr>
          <w:rFonts w:ascii="Times New Roman"/>
        </w:rPr>
        <w:t>计算时综合考虑基准年车辆能源类型、排量，</w:t>
      </w:r>
      <w:r>
        <w:rPr>
          <w:rFonts w:hint="eastAsia" w:ascii="Times New Roman"/>
          <w:lang w:eastAsia="zh-Hans"/>
        </w:rPr>
        <w:t>基准年基准线</w:t>
      </w:r>
      <w:r>
        <w:rPr>
          <w:rFonts w:ascii="Times New Roman"/>
        </w:rPr>
        <w:t>人公里速度碳排放因子</w:t>
      </w:r>
      <w:r>
        <w:rPr>
          <w:rFonts w:hint="eastAsia" w:ascii="Times New Roman"/>
        </w:rPr>
        <w:t>按</w:t>
      </w:r>
      <w:r>
        <w:rPr>
          <w:rFonts w:ascii="Times New Roman"/>
        </w:rPr>
        <w:t>式（</w:t>
      </w:r>
      <w:r>
        <w:rPr>
          <w:rFonts w:hAnsi="宋体"/>
        </w:rPr>
        <w:t>A.1</w:t>
      </w:r>
      <w:r>
        <w:rPr>
          <w:rFonts w:ascii="Times New Roman"/>
        </w:rPr>
        <w:t>）</w:t>
      </w:r>
      <w:r>
        <w:rPr>
          <w:rFonts w:hint="eastAsia" w:ascii="Times New Roman"/>
        </w:rPr>
        <w:t>计算：</w:t>
      </w:r>
    </w:p>
    <w:p>
      <w:pPr>
        <w:pStyle w:val="26"/>
        <w:jc w:val="right"/>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hint="eastAsia" w:ascii="Cambria Math" w:hAnsi="Cambria Math"/>
              </w:rPr>
              <m:t>v</m:t>
            </m:r>
            <m:ctrlPr>
              <w:rPr>
                <w:rFonts w:ascii="Cambria Math" w:hAnsi="Cambria Math"/>
                <w:i/>
              </w:rPr>
            </m:ctrlPr>
          </m:sub>
        </m:sSub>
        <m:r>
          <m:rPr/>
          <w:rPr>
            <w:rFonts w:ascii="Cambria Math" w:hAnsi="Cambria Math"/>
          </w:rPr>
          <m:t>=</m:t>
        </m:r>
        <m:d>
          <m:dPr>
            <m:ctrlPr>
              <w:rPr>
                <w:rFonts w:ascii="Cambria Math" w:hAnsi="Cambria Math"/>
                <w:i/>
              </w:rPr>
            </m:ctrlPr>
          </m:dPr>
          <m:e>
            <m:nary>
              <m:naryPr>
                <m:chr m:val="∑"/>
                <m:limLoc m:val="subSup"/>
                <m:supHide m:val="1"/>
                <m:ctrlPr>
                  <w:rPr>
                    <w:rFonts w:ascii="Cambria Math" w:hAnsi="Cambria Math"/>
                    <w:i/>
                  </w:rPr>
                </m:ctrlPr>
              </m:naryPr>
              <m:sub>
                <m:r>
                  <m:rPr/>
                  <w:rPr>
                    <w:rFonts w:ascii="Cambria Math" w:hAnsi="Cambria Math"/>
                  </w:rPr>
                  <m:t>x</m:t>
                </m:r>
                <m:ctrlPr>
                  <w:rPr>
                    <w:rFonts w:ascii="Cambria Math" w:hAnsi="Cambria Math"/>
                    <w:i/>
                  </w:rPr>
                </m:ctrlPr>
              </m:sub>
              <m:sup>
                <m:ctrlPr>
                  <w:rPr>
                    <w:rFonts w:ascii="Cambria Math" w:hAnsi="Cambria Math"/>
                    <w:i/>
                  </w:rPr>
                </m:ctrlPr>
              </m:sup>
              <m:e>
                <m:nary>
                  <m:naryPr>
                    <m:chr m:val="∑"/>
                    <m:limLoc m:val="subSup"/>
                    <m:supHide m:val="1"/>
                    <m:ctrlPr>
                      <w:rPr>
                        <w:rFonts w:ascii="Cambria Math" w:hAnsi="Cambria Math"/>
                        <w:i/>
                      </w:rPr>
                    </m:ctrlPr>
                  </m:naryPr>
                  <m:sub>
                    <m:r>
                      <m:rPr/>
                      <w:rPr>
                        <w:rFonts w:ascii="Cambria Math" w:hAnsi="Cambria Math"/>
                      </w:rPr>
                      <m:t>j</m:t>
                    </m:r>
                    <m:ctrlPr>
                      <w:rPr>
                        <w:rFonts w:ascii="Cambria Math" w:hAnsi="Cambria Math"/>
                        <w:i/>
                      </w:rPr>
                    </m:ctrlPr>
                  </m:sub>
                  <m:sup>
                    <m:ctrlPr>
                      <w:rPr>
                        <w:rFonts w:ascii="Cambria Math" w:hAnsi="Cambria Math"/>
                        <w:i/>
                      </w:rPr>
                    </m:ctrlPr>
                  </m:sup>
                  <m:e>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x,</m:t>
                        </m:r>
                        <m:r>
                          <m:rPr/>
                          <w:rPr>
                            <w:rFonts w:hint="eastAsia" w:ascii="Cambria Math" w:hAnsi="Cambria Math"/>
                          </w:rPr>
                          <m:t>j</m:t>
                        </m:r>
                        <m:r>
                          <m:rPr/>
                          <w:rPr>
                            <w:rFonts w:ascii="Cambria Math" w:hAnsi="Cambria Math"/>
                          </w:rPr>
                          <m:t>,v</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w:rPr>
                            <w:rFonts w:ascii="Cambria Math" w:hAnsi="Cambria Math"/>
                          </w:rPr>
                          <m:t>x,j</m:t>
                        </m:r>
                        <m:ctrlPr>
                          <w:rPr>
                            <w:rFonts w:ascii="Cambria Math" w:hAnsi="Cambria Math"/>
                            <w:i/>
                          </w:rPr>
                        </m:ctrlPr>
                      </m:sub>
                    </m:sSub>
                    <m:ctrlPr>
                      <w:rPr>
                        <w:rFonts w:ascii="Cambria Math" w:hAnsi="Cambria Math"/>
                        <w:i/>
                      </w:rPr>
                    </m:ctrlPr>
                  </m:e>
                </m:nary>
                <m:ctrlPr>
                  <w:rPr>
                    <w:rFonts w:ascii="Cambria Math" w:hAnsi="Cambria Math"/>
                    <w:i/>
                  </w:rPr>
                </m:ctrlPr>
              </m:e>
            </m:nary>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x,j</m:t>
                </m:r>
                <m:ctrlPr>
                  <w:rPr>
                    <w:rFonts w:ascii="Cambria Math" w:hAnsi="Cambria Math"/>
                    <w:i/>
                  </w:rPr>
                </m:ctrlPr>
              </m:sub>
            </m:sSub>
            <m:ctrlPr>
              <w:rPr>
                <w:rFonts w:ascii="Cambria Math" w:hAnsi="Cambria Math"/>
                <w:i/>
              </w:rPr>
            </m:ctrlPr>
          </m:e>
        </m:d>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x</m:t>
            </m:r>
            <m:ctrlPr>
              <w:rPr>
                <w:rFonts w:ascii="Cambria Math" w:hAnsi="Cambria Math"/>
                <w:i/>
              </w:rPr>
            </m:ctrlPr>
          </m:sub>
          <m:sup>
            <m:ctrlPr>
              <w:rPr>
                <w:rFonts w:ascii="Cambria Math" w:hAnsi="Cambria Math"/>
                <w:i/>
              </w:rPr>
            </m:ctrlPr>
          </m:sup>
          <m:e>
            <m:nary>
              <m:naryPr>
                <m:chr m:val="∑"/>
                <m:limLoc m:val="subSup"/>
                <m:supHide m:val="1"/>
                <m:ctrlPr>
                  <w:rPr>
                    <w:rFonts w:ascii="Cambria Math" w:hAnsi="Cambria Math"/>
                    <w:i/>
                  </w:rPr>
                </m:ctrlPr>
              </m:naryPr>
              <m:sub>
                <m:r>
                  <m:rPr/>
                  <w:rPr>
                    <w:rFonts w:ascii="Cambria Math" w:hAnsi="Cambria Math"/>
                  </w:rPr>
                  <m:t>j</m:t>
                </m:r>
                <m:ctrlPr>
                  <w:rPr>
                    <w:rFonts w:ascii="Cambria Math" w:hAnsi="Cambria Math"/>
                    <w:i/>
                  </w:rPr>
                </m:ctrlPr>
              </m:sub>
              <m:sup>
                <m:ctrlPr>
                  <w:rPr>
                    <w:rFonts w:ascii="Cambria Math" w:hAnsi="Cambria Math"/>
                    <w:i/>
                  </w:rPr>
                </m:ctrlPr>
              </m:sup>
              <m:e>
                <m:r>
                  <m:rPr/>
                  <w:rPr>
                    <w:rFonts w:hint="eastAsia"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w:rPr>
                        <w:rFonts w:ascii="Cambria Math" w:hAnsi="Cambria Math"/>
                      </w:rPr>
                      <m:t>x,j</m:t>
                    </m:r>
                    <m:ctrlPr>
                      <w:rPr>
                        <w:rFonts w:ascii="Cambria Math" w:hAnsi="Cambria Math"/>
                        <w:i/>
                      </w:rPr>
                    </m:ctrlPr>
                  </m:sub>
                </m:sSub>
                <m:ctrlPr>
                  <w:rPr>
                    <w:rFonts w:ascii="Cambria Math" w:hAnsi="Cambria Math"/>
                    <w:i/>
                  </w:rPr>
                </m:ctrlPr>
              </m:e>
            </m:nary>
            <m:ctrlPr>
              <w:rPr>
                <w:rFonts w:ascii="Cambria Math" w:hAnsi="Cambria Math"/>
                <w:i/>
              </w:rPr>
            </m:ctrlPr>
          </m:e>
        </m:nary>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x,j</m:t>
            </m:r>
            <m:ctrlPr>
              <w:rPr>
                <w:rFonts w:ascii="Cambria Math" w:hAnsi="Cambria Math"/>
                <w:i/>
              </w:rPr>
            </m:ctrlPr>
          </m:sub>
        </m:sSub>
      </m:oMath>
      <w:r>
        <w:rPr>
          <w:rFonts w:hint="eastAsia"/>
        </w:rPr>
        <w:t>)</w:t>
      </w:r>
      <w:r>
        <w:rPr>
          <w:rFonts w:asciiTheme="minorEastAsia" w:hAnsiTheme="minorEastAsia"/>
          <w:szCs w:val="21"/>
          <w:vertAlign w:val="superscript"/>
        </w:rPr>
        <w:t xml:space="preserve"> </w:t>
      </w:r>
      <w:r>
        <w:t>…………………</w:t>
      </w:r>
      <w:r>
        <w:rPr>
          <w:rFonts w:hint="eastAsia"/>
        </w:rPr>
        <w:t>（</w:t>
      </w:r>
      <w:r>
        <w:rPr>
          <w:rFonts w:hAnsi="宋体"/>
        </w:rPr>
        <w:t>A.1</w:t>
      </w:r>
      <w:r>
        <w:rPr>
          <w:rFonts w:hint="eastAsia"/>
        </w:rPr>
        <w:t>）</w:t>
      </w:r>
    </w:p>
    <w:p>
      <w:pPr>
        <w:pStyle w:val="26"/>
        <w:jc w:val="left"/>
        <w:rPr>
          <w:rFonts w:ascii="Times New Roman"/>
        </w:rPr>
      </w:pPr>
      <w:r>
        <w:rPr>
          <w:rFonts w:ascii="Times New Roman"/>
        </w:rPr>
        <w:t>式中：</w:t>
      </w:r>
    </w:p>
    <w:p>
      <w:pPr>
        <w:pStyle w:val="26"/>
        <w:rPr>
          <w:rFonts w:ascii="Times New Roman"/>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v</m:t>
            </m:r>
            <m:ctrlPr>
              <w:rPr>
                <w:rFonts w:ascii="Cambria Math" w:hAnsi="Cambria Math"/>
                <w:i/>
              </w:rPr>
            </m:ctrlPr>
          </m:sub>
        </m:sSub>
      </m:oMath>
      <w:r>
        <w:rPr>
          <w:rFonts w:ascii="Times New Roman"/>
        </w:rPr>
        <w:t>——基准年基准线高碳出行加权平均人公里速度碳排放因子，</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w:t>
      </w:r>
      <w:r>
        <w:rPr>
          <w:rFonts w:ascii="Times New Roman"/>
        </w:rPr>
        <w:t>；</w:t>
      </w:r>
    </w:p>
    <w:p>
      <w:pPr>
        <w:pStyle w:val="26"/>
        <w:jc w:val="left"/>
        <w:rPr>
          <w:rFonts w:ascii="Times New Roman"/>
        </w:rPr>
      </w:pPr>
      <w:r>
        <w:rPr>
          <w:rFonts w:ascii="Times New Roman"/>
          <w:i/>
          <w:iCs/>
        </w:rPr>
        <w:t>x</w:t>
      </w:r>
      <w:r>
        <w:rPr>
          <w:rFonts w:ascii="Times New Roman"/>
        </w:rPr>
        <w:t>——能源类型，可取汽油，电力，天然气，柴油；</w:t>
      </w:r>
    </w:p>
    <w:p>
      <w:pPr>
        <w:pStyle w:val="26"/>
        <w:jc w:val="left"/>
        <w:rPr>
          <w:rFonts w:ascii="Times New Roman"/>
        </w:rPr>
      </w:pPr>
      <w:r>
        <w:rPr>
          <w:rFonts w:ascii="Times New Roman"/>
          <w:i/>
          <w:iCs/>
        </w:rPr>
        <w:t>j</w:t>
      </w:r>
      <w:r>
        <w:rPr>
          <w:rFonts w:ascii="Times New Roman"/>
        </w:rPr>
        <w:t>——</w:t>
      </w:r>
      <w:r>
        <w:rPr>
          <w:rFonts w:hint="eastAsia"/>
          <w:sz w:val="20"/>
          <w:szCs w:val="18"/>
        </w:rPr>
        <w:t>小微型客车</w:t>
      </w:r>
      <w:r>
        <w:rPr>
          <w:rFonts w:ascii="Times New Roman"/>
        </w:rPr>
        <w:t>排量，取值为1.0L以下、1.0L~1.8L、1.8L~2.4L、2.4L以上，单位为升</w:t>
      </w:r>
      <w:r>
        <w:rPr>
          <w:rFonts w:ascii="Times New Roman"/>
          <w:lang w:val="en-AU"/>
        </w:rPr>
        <w:t>(L)</w:t>
      </w:r>
      <w:r>
        <w:rPr>
          <w:rFonts w:ascii="Times New Roman"/>
        </w:rPr>
        <w:t>；</w:t>
      </w:r>
    </w:p>
    <w:p>
      <w:pPr>
        <w:pStyle w:val="26"/>
        <w:jc w:val="left"/>
        <w:rPr>
          <w:rFonts w:ascii="Times New Roman"/>
        </w:rPr>
      </w:pPr>
      <w:r>
        <w:rPr>
          <w:rFonts w:ascii="Times New Roman"/>
          <w:i/>
          <w:iCs/>
        </w:rPr>
        <w:t>v</w:t>
      </w:r>
      <w:r>
        <w:rPr>
          <w:rFonts w:ascii="Times New Roman"/>
        </w:rPr>
        <w:t>——</w:t>
      </w:r>
      <w:r>
        <w:rPr>
          <w:rFonts w:hint="eastAsia"/>
          <w:sz w:val="20"/>
          <w:szCs w:val="18"/>
        </w:rPr>
        <w:t>小微型客车</w:t>
      </w:r>
      <w:r>
        <w:rPr>
          <w:rFonts w:ascii="Times New Roman"/>
        </w:rPr>
        <w:t>行驶速度，取0~120，单位为公里</w:t>
      </w:r>
      <w:r>
        <w:rPr>
          <w:rFonts w:hint="eastAsia" w:ascii="Times New Roman"/>
          <w:lang w:eastAsia="zh-Hans"/>
        </w:rPr>
        <w:t>每小时</w:t>
      </w:r>
      <w:r>
        <w:rPr>
          <w:rFonts w:ascii="Times New Roman"/>
        </w:rPr>
        <w:t>（km/h）；</w:t>
      </w:r>
    </w:p>
    <w:p>
      <w:pPr>
        <w:pStyle w:val="26"/>
        <w:jc w:val="left"/>
        <w:rPr>
          <w:rFonts w:ascii="Times New Roman"/>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x,j,v</m:t>
            </m:r>
            <m:ctrlPr>
              <w:rPr>
                <w:rFonts w:ascii="Cambria Math" w:hAnsi="Cambria Math"/>
                <w:i/>
              </w:rPr>
            </m:ctrlPr>
          </m:sub>
        </m:sSub>
      </m:oMath>
      <w:r>
        <w:rPr>
          <w:rFonts w:ascii="Times New Roman"/>
        </w:rPr>
        <w:t>——能源类型为x，排量为j的</w:t>
      </w:r>
      <w:r>
        <w:rPr>
          <w:rFonts w:hint="eastAsia"/>
          <w:sz w:val="20"/>
          <w:szCs w:val="18"/>
        </w:rPr>
        <w:t>小微型客车</w:t>
      </w:r>
      <w:r>
        <w:rPr>
          <w:rFonts w:ascii="Times New Roman"/>
        </w:rPr>
        <w:t>在速度为v时的人公里碳排放因子，</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w:t>
      </w:r>
      <w:r>
        <w:rPr>
          <w:rFonts w:ascii="Times New Roman"/>
        </w:rPr>
        <w:t>；</w:t>
      </w:r>
    </w:p>
    <w:p>
      <w:pPr>
        <w:pStyle w:val="26"/>
        <w:jc w:val="left"/>
        <w:rPr>
          <w:rFonts w:ascii="Times New Roman"/>
        </w:rPr>
      </w:pPr>
      <m:oMath>
        <m:sSub>
          <m:sSubPr>
            <m:ctrlPr>
              <w:rPr>
                <w:rFonts w:ascii="Cambria Math" w:hAnsi="Cambria Math"/>
              </w:rPr>
            </m:ctrlPr>
          </m:sSubPr>
          <m:e>
            <m:r>
              <m:rPr/>
              <w:rPr>
                <w:rFonts w:ascii="Cambria Math" w:hAnsi="Cambria Math"/>
              </w:rPr>
              <m:t>I</m:t>
            </m:r>
            <m:ctrlPr>
              <w:rPr>
                <w:rFonts w:ascii="Cambria Math" w:hAnsi="Cambria Math"/>
              </w:rPr>
            </m:ctrlPr>
          </m:e>
          <m:sub>
            <m:r>
              <m:rPr/>
              <w:rPr>
                <w:rFonts w:ascii="Cambria Math" w:hAnsi="Cambria Math"/>
              </w:rPr>
              <m:t>x</m:t>
            </m:r>
            <m:r>
              <m:rPr>
                <m:sty m:val="p"/>
              </m:rPr>
              <w:rPr>
                <w:rFonts w:ascii="Cambria Math" w:hAnsi="Cambria Math"/>
              </w:rPr>
              <m:t>,</m:t>
            </m:r>
            <m:r>
              <m:rPr/>
              <w:rPr>
                <w:rFonts w:ascii="Cambria Math" w:hAnsi="Cambria Math"/>
              </w:rPr>
              <m:t>j</m:t>
            </m:r>
            <m:ctrlPr>
              <w:rPr>
                <w:rFonts w:ascii="Cambria Math" w:hAnsi="Cambria Math"/>
              </w:rPr>
            </m:ctrlPr>
          </m:sub>
        </m:sSub>
      </m:oMath>
      <w:r>
        <w:rPr>
          <w:rFonts w:ascii="Times New Roman"/>
        </w:rPr>
        <w:t>——基准年能源类型为x，排量为j的</w:t>
      </w:r>
      <w:r>
        <w:rPr>
          <w:rFonts w:hint="eastAsia"/>
          <w:sz w:val="20"/>
          <w:szCs w:val="18"/>
        </w:rPr>
        <w:t>小微型客车</w:t>
      </w:r>
      <w:r>
        <w:rPr>
          <w:rFonts w:ascii="Times New Roman"/>
        </w:rPr>
        <w:t>的总数量，单位为辆（辆）；</w:t>
      </w:r>
    </w:p>
    <w:p>
      <w:pPr>
        <w:pStyle w:val="26"/>
        <w:jc w:val="left"/>
        <w:rPr>
          <w:rFonts w:ascii="Times New Roman"/>
        </w:rPr>
      </w:pP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x</m:t>
            </m:r>
            <m:r>
              <m:rPr>
                <m:sty m:val="p"/>
              </m:rPr>
              <w:rPr>
                <w:rFonts w:ascii="Cambria Math" w:hAnsi="Cambria Math"/>
              </w:rPr>
              <m:t>,</m:t>
            </m:r>
            <m:r>
              <m:rPr/>
              <w:rPr>
                <w:rFonts w:ascii="Cambria Math" w:hAnsi="Cambria Math"/>
              </w:rPr>
              <m:t>j</m:t>
            </m:r>
            <m:ctrlPr>
              <w:rPr>
                <w:rFonts w:ascii="Cambria Math" w:hAnsi="Cambria Math"/>
              </w:rPr>
            </m:ctrlPr>
          </m:sub>
        </m:sSub>
      </m:oMath>
      <w:r>
        <w:rPr>
          <w:rFonts w:ascii="Times New Roman"/>
        </w:rPr>
        <w:t>——基准年能源类型为x，排量为j的</w:t>
      </w:r>
      <w:r>
        <w:rPr>
          <w:rFonts w:hint="eastAsia"/>
          <w:sz w:val="20"/>
          <w:szCs w:val="18"/>
        </w:rPr>
        <w:t>小微型客车</w:t>
      </w:r>
      <w:r>
        <w:rPr>
          <w:rFonts w:ascii="Times New Roman"/>
        </w:rPr>
        <w:t>的年均行驶里程，单位为公里（km）</w:t>
      </w:r>
      <w:r>
        <w:rPr>
          <w:rFonts w:hint="eastAsia" w:ascii="Times New Roman"/>
        </w:rPr>
        <w:t>。</w:t>
      </w:r>
    </w:p>
    <w:p>
      <w:pPr>
        <w:pStyle w:val="103"/>
        <w:tabs>
          <w:tab w:val="clear" w:pos="360"/>
        </w:tabs>
        <w:spacing w:before="156" w:after="156"/>
        <w:ind w:left="0"/>
        <w:rPr>
          <w:rFonts w:hAnsi="黑体"/>
        </w:rPr>
      </w:pPr>
      <w:r>
        <w:rPr>
          <w:rFonts w:hAnsi="黑体"/>
        </w:rPr>
        <w:t>基准线人公里速度碳排放因子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ascii="Cambria Math" w:hAnsi="Cambria Math"/>
              </w:rPr>
              <m:t>i</m:t>
            </m:r>
            <m:r>
              <m:rPr>
                <m:sty m:val="p"/>
              </m:rPr>
              <w:rPr>
                <w:rFonts w:ascii="Cambria Math" w:hAnsi="Cambria Math"/>
              </w:rPr>
              <m:t>,</m:t>
            </m:r>
            <m:r>
              <m:rPr/>
              <w:rPr>
                <w:rFonts w:ascii="Cambria Math" w:hAnsi="Cambria Math"/>
              </w:rPr>
              <m:t>BL</m:t>
            </m:r>
            <m:ctrlPr>
              <w:rPr>
                <w:rFonts w:ascii="Cambria Math" w:hAnsi="Cambria Math"/>
              </w:rPr>
            </m:ctrlPr>
          </m:sub>
        </m:sSub>
      </m:oMath>
    </w:p>
    <w:p>
      <w:pPr>
        <w:pStyle w:val="89"/>
        <w:numPr>
          <w:ilvl w:val="0"/>
          <w:numId w:val="21"/>
        </w:numPr>
        <w:tabs>
          <w:tab w:val="clear" w:pos="360"/>
        </w:tabs>
        <w:spacing w:beforeLines="0" w:afterLines="0"/>
        <w:rPr>
          <w:rFonts w:asciiTheme="minorEastAsia" w:hAnsiTheme="minorEastAsia" w:eastAsiaTheme="minorEastAsia"/>
        </w:rPr>
      </w:pPr>
      <w:r>
        <w:rPr>
          <w:rFonts w:asciiTheme="minorEastAsia" w:hAnsiTheme="minorEastAsia" w:eastAsiaTheme="minorEastAsia"/>
        </w:rPr>
        <w:t>可获取出行时段路网平均运行速度v</w:t>
      </w:r>
      <w:r>
        <w:rPr>
          <w:rFonts w:asciiTheme="minorEastAsia" w:hAnsiTheme="minorEastAsia" w:eastAsiaTheme="minorEastAsia"/>
          <w:vertAlign w:val="subscript"/>
        </w:rPr>
        <w:t>0</w:t>
      </w:r>
      <w:r>
        <w:rPr>
          <w:rFonts w:hint="eastAsia" w:asciiTheme="minorEastAsia" w:hAnsiTheme="minorEastAsia" w:eastAsiaTheme="minorEastAsia"/>
        </w:rPr>
        <w:t>时，</w:t>
      </w:r>
      <w:r>
        <w:rPr>
          <w:rFonts w:asciiTheme="minorEastAsia" w:hAnsiTheme="minorEastAsia" w:eastAsiaTheme="minorEastAsia"/>
        </w:rPr>
        <w:t>基准线人公里速度碳排放因子</w:t>
      </w:r>
      <w:r>
        <w:rPr>
          <w:rFonts w:hint="eastAsia" w:asciiTheme="minorEastAsia" w:hAnsiTheme="minorEastAsia" w:eastAsiaTheme="minorEastAsia"/>
        </w:rPr>
        <w:t>按</w:t>
      </w:r>
      <w:r>
        <w:rPr>
          <w:rFonts w:asciiTheme="minorEastAsia" w:hAnsiTheme="minorEastAsia" w:eastAsiaTheme="minorEastAsia"/>
        </w:rPr>
        <w:t>式（</w:t>
      </w:r>
      <w:r>
        <w:rPr>
          <w:rFonts w:ascii="宋体" w:hAnsi="宋体" w:eastAsia="宋体"/>
          <w:kern w:val="0"/>
        </w:rPr>
        <w:t>A.2）</w:t>
      </w:r>
      <w:r>
        <w:rPr>
          <w:rFonts w:hint="eastAsia" w:asciiTheme="minorEastAsia" w:hAnsiTheme="minorEastAsia" w:eastAsiaTheme="minorEastAsia"/>
        </w:rPr>
        <w:t>计算：</w:t>
      </w:r>
    </w:p>
    <w:p>
      <w:pPr>
        <w:spacing w:line="560" w:lineRule="exact"/>
        <w:ind w:firstLine="640"/>
        <w:jc w:val="right"/>
      </w:pPr>
      <m:oMath>
        <m:sSub>
          <m:sSubPr>
            <m:ctrlPr>
              <w:rPr>
                <w:rFonts w:ascii="Cambria Math" w:hAnsi="Cambria Math"/>
                <w:i/>
                <w:iCs/>
              </w:rPr>
            </m:ctrlPr>
          </m:sSubPr>
          <m:e>
            <m:r>
              <m:rPr/>
              <w:rPr>
                <w:rFonts w:hint="eastAsia" w:ascii="Cambria Math" w:hAnsi="Cambria Math"/>
              </w:rPr>
              <m:t>EF</m:t>
            </m:r>
            <m:ctrlPr>
              <w:rPr>
                <w:rFonts w:ascii="Cambria Math" w:hAnsi="Cambria Math"/>
                <w:i/>
                <w:iCs/>
              </w:rPr>
            </m:ctrlPr>
          </m:e>
          <m:sub>
            <m:r>
              <m:rPr/>
              <w:rPr>
                <w:rFonts w:hint="eastAsia" w:ascii="Cambria Math" w:hAnsi="Cambria Math"/>
              </w:rPr>
              <m:t>PKM,i,BL</m:t>
            </m:r>
            <m:ctrlPr>
              <w:rPr>
                <w:rFonts w:ascii="Cambria Math" w:hAnsi="Cambria Math"/>
                <w:i/>
                <w:iCs/>
              </w:rPr>
            </m:ctrlPr>
          </m:sub>
        </m:sSub>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sSub>
              <m:sSubPr>
                <m:ctrlPr>
                  <w:rPr>
                    <w:rFonts w:ascii="Cambria Math" w:hAnsi="Cambria Math"/>
                    <w:i/>
                  </w:rPr>
                </m:ctrlPr>
              </m:sSubPr>
              <m:e>
                <m:r>
                  <m:rPr/>
                  <w:rPr>
                    <w:rFonts w:hint="eastAsia" w:ascii="Cambria Math" w:hAnsi="Cambria Math"/>
                  </w:rPr>
                  <m:t>v</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sub>
        </m:sSub>
      </m:oMath>
      <w:r>
        <w:t>………………………………………</w:t>
      </w:r>
      <w:r>
        <w:rPr>
          <w:rFonts w:hint="eastAsia"/>
        </w:rPr>
        <w:t>（</w:t>
      </w:r>
      <w:r>
        <w:rPr>
          <w:rFonts w:ascii="宋体" w:hAnsi="宋体"/>
          <w:kern w:val="0"/>
          <w:szCs w:val="20"/>
        </w:rPr>
        <w:t>A.2</w:t>
      </w:r>
      <w:r>
        <w:rPr>
          <w:rFonts w:hint="eastAsia" w:ascii="宋体" w:hAnsi="宋体"/>
          <w:kern w:val="0"/>
          <w:szCs w:val="20"/>
        </w:rPr>
        <w:t>）</w:t>
      </w:r>
    </w:p>
    <w:p>
      <w:pPr>
        <w:pStyle w:val="26"/>
        <w:jc w:val="left"/>
      </w:pPr>
      <w:r>
        <w:rPr>
          <w:rFonts w:hint="eastAsia"/>
        </w:rPr>
        <w:t>式中：</w:t>
      </w:r>
    </w:p>
    <w:p>
      <w:pPr>
        <w:pStyle w:val="26"/>
        <w:jc w:val="left"/>
      </w:pPr>
      <m:oMath>
        <m:sSub>
          <m:sSubPr>
            <m:ctrlPr>
              <w:rPr>
                <w:rFonts w:ascii="Cambria Math" w:hAnsi="Cambria Math"/>
                <w:i/>
                <w:iCs/>
              </w:rPr>
            </m:ctrlPr>
          </m:sSubPr>
          <m:e>
            <m:r>
              <m:rPr/>
              <w:rPr>
                <w:rFonts w:hint="eastAsia" w:ascii="Cambria Math" w:hAnsi="Cambria Math"/>
              </w:rPr>
              <m:t>EF</m:t>
            </m:r>
            <m:ctrlPr>
              <w:rPr>
                <w:rFonts w:ascii="Cambria Math" w:hAnsi="Cambria Math"/>
                <w:i/>
                <w:iCs/>
              </w:rPr>
            </m:ctrlPr>
          </m:e>
          <m:sub>
            <m:r>
              <m:rPr/>
              <w:rPr>
                <w:rFonts w:hint="eastAsia" w:ascii="Cambria Math" w:hAnsi="Cambria Math"/>
              </w:rPr>
              <m:t>PKM,i,BL</m:t>
            </m:r>
            <m:ctrlPr>
              <w:rPr>
                <w:rFonts w:ascii="Cambria Math" w:hAnsi="Cambria Math"/>
                <w:i/>
                <w:iCs/>
              </w:rPr>
            </m:ctrlPr>
          </m:sub>
        </m:sSub>
      </m:oMath>
      <w:r>
        <w:rPr>
          <w:rFonts w:hint="eastAsia" w:hAnsi="宋体"/>
        </w:rPr>
        <w:t>——</w:t>
      </w:r>
      <w:r>
        <w:rPr>
          <w:rFonts w:hint="eastAsia"/>
        </w:rPr>
        <w:t>基准线人公里速度</w:t>
      </w:r>
      <w:r>
        <w:t>碳排放因子</w:t>
      </w:r>
      <w:r>
        <w:rPr>
          <w:rFonts w:hint="eastAsia"/>
        </w:rPr>
        <w:t>,</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w:t>
      </w:r>
      <w:r>
        <w:rPr>
          <w:rFonts w:hint="eastAsia"/>
        </w:rPr>
        <w:t>；</w:t>
      </w:r>
    </w:p>
    <w:p>
      <w:pPr>
        <w:pStyle w:val="26"/>
        <w:jc w:val="left"/>
        <w:rPr>
          <w:rFonts w:ascii="Times New Roman"/>
        </w:rPr>
      </w:pPr>
      <w:r>
        <w:rPr>
          <w:rFonts w:ascii="Times New Roman"/>
          <w:i/>
          <w:iCs/>
        </w:rPr>
        <w:t>i</w:t>
      </w:r>
      <w:r>
        <w:rPr>
          <w:rFonts w:ascii="Times New Roman"/>
        </w:rPr>
        <w:t>——y年低碳出行次数，单位为次（次）；</w:t>
      </w:r>
    </w:p>
    <w:p>
      <w:pPr>
        <w:pStyle w:val="26"/>
        <w:jc w:val="left"/>
      </w:pPr>
      <w:r>
        <w:rPr>
          <w:rFonts w:ascii="Times New Roman"/>
          <w:i/>
          <w:iCs/>
        </w:rPr>
        <w:t>v</w:t>
      </w:r>
      <w:r>
        <w:rPr>
          <w:rFonts w:ascii="Times New Roman"/>
          <w:i/>
          <w:iCs/>
          <w:vertAlign w:val="subscript"/>
        </w:rPr>
        <w:t>0</w:t>
      </w:r>
      <w:r>
        <w:rPr>
          <w:rFonts w:hint="eastAsia" w:hAnsi="宋体"/>
        </w:rPr>
        <w:t>——</w:t>
      </w:r>
      <w:r>
        <w:rPr>
          <w:rFonts w:hint="eastAsia"/>
        </w:rPr>
        <w:t>出行时段路网平均运行速度，单位为公里每小时</w:t>
      </w:r>
      <w:r>
        <w:rPr>
          <w:rFonts w:ascii="Times New Roman"/>
        </w:rPr>
        <w:t>（km/h）</w:t>
      </w:r>
      <w:r>
        <w:rPr>
          <w:rFonts w:hint="eastAsia"/>
        </w:rPr>
        <w:t>；</w:t>
      </w:r>
    </w:p>
    <w:p>
      <w:pPr>
        <w:pStyle w:val="26"/>
        <w:jc w:val="left"/>
      </w:pPr>
      <m:oMath>
        <m:sSub>
          <m:sSubPr>
            <m:ctrlPr>
              <w:rPr>
                <w:rFonts w:ascii="Cambria Math" w:hAnsi="Cambria Math"/>
                <w:i/>
              </w:rPr>
            </m:ctrlPr>
          </m:sSubPr>
          <m:e>
            <m:r>
              <m:rPr/>
              <w:rPr>
                <w:rFonts w:ascii="Cambria Math" w:hAnsi="Cambria Math"/>
              </w:rPr>
              <m:t>EF</m:t>
            </m:r>
            <m:ctrlPr>
              <w:rPr>
                <w:rFonts w:ascii="Cambria Math" w:hAnsi="Cambria Math"/>
                <w:i/>
              </w:rPr>
            </m:ctrlPr>
          </m:e>
          <m:sub>
            <m:sSub>
              <m:sSubPr>
                <m:ctrlPr>
                  <w:rPr>
                    <w:rFonts w:ascii="Cambria Math" w:hAnsi="Cambria Math"/>
                    <w:i/>
                  </w:rPr>
                </m:ctrlPr>
              </m:sSubPr>
              <m:e>
                <m:r>
                  <m:rPr/>
                  <w:rPr>
                    <w:rFonts w:hint="eastAsia" w:ascii="Cambria Math" w:hAnsi="Cambria Math"/>
                  </w:rPr>
                  <m:t>v</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sub>
        </m:sSub>
      </m:oMath>
      <w:r>
        <w:rPr>
          <w:rFonts w:hint="eastAsia" w:hAnsi="宋体"/>
        </w:rPr>
        <w:t>——</w:t>
      </w:r>
      <w:r>
        <w:rPr>
          <w:rFonts w:hint="eastAsia"/>
        </w:rPr>
        <w:t>运行速度v取</w:t>
      </w:r>
      <w:r>
        <w:rPr>
          <w:rFonts w:ascii="Times New Roman"/>
          <w:lang w:val="en-AU"/>
        </w:rPr>
        <w:t>v</w:t>
      </w:r>
      <w:r>
        <w:rPr>
          <w:rFonts w:ascii="Times New Roman"/>
          <w:vertAlign w:val="subscript"/>
          <w:lang w:val="en-AU"/>
        </w:rPr>
        <w:t>0</w:t>
      </w:r>
      <w:r>
        <w:rPr>
          <w:rFonts w:hint="eastAsia"/>
        </w:rPr>
        <w:t>时的</w:t>
      </w: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hint="eastAsia" w:ascii="Cambria Math" w:hAnsi="Cambria Math"/>
              </w:rPr>
              <m:t>v</m:t>
            </m:r>
            <m:ctrlPr>
              <w:rPr>
                <w:rFonts w:ascii="Cambria Math" w:hAnsi="Cambria Math"/>
                <w:i/>
              </w:rPr>
            </m:ctrlPr>
          </m:sub>
        </m:sSub>
      </m:oMath>
      <w:r>
        <w:rPr>
          <w:rFonts w:hint="eastAsia"/>
        </w:rPr>
        <w:t>的取值，</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w:t>
      </w:r>
      <w:r>
        <w:rPr>
          <w:rFonts w:hint="eastAsia"/>
        </w:rPr>
        <w:t>。</w:t>
      </w:r>
    </w:p>
    <w:p>
      <w:pPr>
        <w:pStyle w:val="89"/>
        <w:numPr>
          <w:ilvl w:val="0"/>
          <w:numId w:val="21"/>
        </w:numPr>
        <w:tabs>
          <w:tab w:val="clear" w:pos="360"/>
        </w:tabs>
        <w:spacing w:beforeLines="0" w:afterLines="0"/>
        <w:rPr>
          <w:rFonts w:asciiTheme="minorEastAsia" w:hAnsiTheme="minorEastAsia" w:eastAsiaTheme="minorEastAsia"/>
        </w:rPr>
      </w:pPr>
      <w:r>
        <w:rPr>
          <w:rFonts w:hint="eastAsia" w:asciiTheme="minorEastAsia" w:hAnsiTheme="minorEastAsia" w:eastAsiaTheme="minorEastAsia"/>
        </w:rPr>
        <w:t>未获取出行时段路网平均运行速度</w:t>
      </w:r>
      <w:r>
        <w:rPr>
          <w:rFonts w:asciiTheme="minorEastAsia" w:hAnsiTheme="minorEastAsia" w:eastAsiaTheme="minorEastAsia"/>
        </w:rPr>
        <w:t>v</w:t>
      </w:r>
      <w:r>
        <w:rPr>
          <w:rFonts w:asciiTheme="minorEastAsia" w:hAnsiTheme="minorEastAsia" w:eastAsiaTheme="minorEastAsia"/>
          <w:vertAlign w:val="subscript"/>
        </w:rPr>
        <w:t>0</w:t>
      </w:r>
      <w:r>
        <w:rPr>
          <w:rFonts w:hint="eastAsia" w:asciiTheme="minorEastAsia" w:hAnsiTheme="minorEastAsia" w:eastAsiaTheme="minorEastAsia"/>
        </w:rPr>
        <w:t>，</w:t>
      </w:r>
      <w:r>
        <w:rPr>
          <w:rFonts w:asciiTheme="minorEastAsia" w:hAnsiTheme="minorEastAsia" w:eastAsiaTheme="minorEastAsia"/>
        </w:rPr>
        <w:t>基准线人公里速度碳排放因子</w:t>
      </w:r>
      <w:r>
        <w:rPr>
          <w:rFonts w:hint="eastAsia" w:asciiTheme="minorEastAsia" w:hAnsiTheme="minorEastAsia" w:eastAsiaTheme="minorEastAsia"/>
        </w:rPr>
        <w:t>按</w:t>
      </w:r>
      <w:r>
        <w:rPr>
          <w:rFonts w:asciiTheme="minorEastAsia" w:hAnsiTheme="minorEastAsia" w:eastAsiaTheme="minorEastAsia"/>
        </w:rPr>
        <w:t>式（</w:t>
      </w:r>
      <w:r>
        <w:rPr>
          <w:rFonts w:ascii="宋体" w:hAnsi="宋体" w:eastAsia="宋体"/>
          <w:kern w:val="0"/>
        </w:rPr>
        <w:t>A.3</w:t>
      </w:r>
      <w:r>
        <w:rPr>
          <w:rFonts w:asciiTheme="minorEastAsia" w:hAnsiTheme="minorEastAsia" w:eastAsiaTheme="minorEastAsia"/>
        </w:rPr>
        <w:t>）</w:t>
      </w:r>
      <w:r>
        <w:rPr>
          <w:rFonts w:hint="eastAsia" w:asciiTheme="minorEastAsia" w:hAnsiTheme="minorEastAsia" w:eastAsiaTheme="minorEastAsia"/>
        </w:rPr>
        <w:t>计算：</w:t>
      </w:r>
    </w:p>
    <w:p>
      <w:pPr>
        <w:spacing w:line="560" w:lineRule="exact"/>
        <w:ind w:firstLine="640"/>
        <w:jc w:val="right"/>
      </w:pP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PKM,i,BL</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acc>
              <m:accPr>
                <m:chr m:val="̅"/>
                <m:ctrlPr>
                  <w:rPr>
                    <w:rFonts w:ascii="Cambria Math" w:hAnsi="Cambria Math"/>
                    <w:i/>
                  </w:rPr>
                </m:ctrlPr>
              </m:accPr>
              <m:e>
                <m:sSub>
                  <m:sSubPr>
                    <m:ctrlPr>
                      <w:rPr>
                        <w:rFonts w:ascii="Cambria Math" w:hAnsi="Cambria Math"/>
                        <w:i/>
                      </w:rPr>
                    </m:ctrlPr>
                  </m:sSubPr>
                  <m:e>
                    <m:r>
                      <m:rPr/>
                      <w:rPr>
                        <w:rFonts w:ascii="Cambria Math" w:hAnsi="Cambria Math"/>
                      </w:rPr>
                      <m:t>V</m:t>
                    </m:r>
                    <m:ctrlPr>
                      <w:rPr>
                        <w:rFonts w:ascii="Cambria Math" w:hAnsi="Cambria Math"/>
                        <w:i/>
                      </w:rPr>
                    </m:ctrlPr>
                  </m:e>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ctrlPr>
                  <w:rPr>
                    <w:rFonts w:ascii="Cambria Math" w:hAnsi="Cambria Math"/>
                    <w:i/>
                  </w:rPr>
                </m:ctrlPr>
              </m:e>
            </m:acc>
            <m:ctrlPr>
              <w:rPr>
                <w:rFonts w:ascii="Cambria Math" w:hAnsi="Cambria Math"/>
                <w:i/>
              </w:rPr>
            </m:ctrlPr>
          </m:sub>
        </m:sSub>
      </m:oMath>
      <w:r>
        <w:t>………………………………………</w:t>
      </w:r>
      <w:r>
        <w:rPr>
          <w:rFonts w:hint="eastAsia"/>
        </w:rPr>
        <w:t>（</w:t>
      </w:r>
      <w:r>
        <w:rPr>
          <w:rFonts w:ascii="宋体" w:hAnsi="宋体"/>
          <w:kern w:val="0"/>
          <w:szCs w:val="20"/>
        </w:rPr>
        <w:t>A.3</w:t>
      </w:r>
      <w:r>
        <w:rPr>
          <w:rFonts w:hint="eastAsia"/>
        </w:rPr>
        <w:t>）</w:t>
      </w:r>
    </w:p>
    <w:p>
      <w:pPr>
        <w:pStyle w:val="26"/>
        <w:jc w:val="left"/>
      </w:pPr>
      <w:r>
        <w:rPr>
          <w:rFonts w:hint="eastAsia"/>
        </w:rPr>
        <w:t>式中：</w:t>
      </w:r>
    </w:p>
    <w:p>
      <w:pPr>
        <w:pStyle w:val="26"/>
        <w:jc w:val="left"/>
        <w:rPr>
          <w:rFonts w:ascii="Times New Roman"/>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PKM,i,BL</m:t>
            </m:r>
            <m:ctrlPr>
              <w:rPr>
                <w:rFonts w:ascii="Cambria Math" w:hAnsi="Cambria Math"/>
                <w:i/>
              </w:rPr>
            </m:ctrlPr>
          </m:sub>
        </m:sSub>
      </m:oMath>
      <w:r>
        <w:rPr>
          <w:rFonts w:hint="eastAsia" w:hAnsi="宋体"/>
        </w:rPr>
        <w:t>——</w:t>
      </w:r>
      <w:r>
        <w:rPr>
          <w:rFonts w:hint="eastAsia"/>
        </w:rPr>
        <w:t>基准线人公里速度</w:t>
      </w:r>
      <w:r>
        <w:t>碳排放因子</w:t>
      </w:r>
      <w:r>
        <w:rPr>
          <w:rFonts w:hint="eastAsia"/>
        </w:rPr>
        <w:t>，</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w:t>
      </w:r>
      <w:r>
        <w:rPr>
          <w:rFonts w:ascii="Times New Roman"/>
        </w:rPr>
        <w:t>；</w:t>
      </w:r>
    </w:p>
    <w:p>
      <w:pPr>
        <w:pStyle w:val="26"/>
        <w:jc w:val="left"/>
        <w:rPr>
          <w:rFonts w:ascii="Times New Roman"/>
        </w:rPr>
      </w:pPr>
      <w:r>
        <w:rPr>
          <w:rFonts w:ascii="Times New Roman"/>
          <w:i/>
          <w:iCs/>
        </w:rPr>
        <w:t>T</w:t>
      </w:r>
      <w:r>
        <w:rPr>
          <w:rFonts w:ascii="Times New Roman"/>
          <w:i/>
          <w:iCs/>
          <w:vertAlign w:val="subscript"/>
        </w:rPr>
        <w:t>i</w:t>
      </w:r>
      <w:r>
        <w:rPr>
          <w:rFonts w:ascii="Times New Roman"/>
        </w:rPr>
        <w:t>——第i次出行所处的时段对应的基准年特定时段</w:t>
      </w:r>
      <w:r>
        <w:rPr>
          <w:rFonts w:hint="eastAsia" w:ascii="Times New Roman"/>
        </w:rPr>
        <w:t>，特定时间段的划分可按照月、日期属性（工作日、非工作日、小长假、长假、春节）、时间属性（1天24小时）分类</w:t>
      </w:r>
      <w:r>
        <w:rPr>
          <w:rFonts w:ascii="Times New Roman"/>
        </w:rPr>
        <w:t>；</w:t>
      </w:r>
    </w:p>
    <w:p>
      <w:pPr>
        <w:pStyle w:val="26"/>
        <w:jc w:val="left"/>
        <w:rPr>
          <w:rFonts w:ascii="Times New Roman"/>
        </w:rPr>
      </w:pPr>
      <m:oMath>
        <m:acc>
          <m:accPr>
            <m:chr m:val="̅"/>
            <m:ctrlPr>
              <w:rPr>
                <w:rFonts w:ascii="Cambria Math" w:hAnsi="Cambria Math"/>
                <w:i/>
              </w:rPr>
            </m:ctrlPr>
          </m:accPr>
          <m:e>
            <m:sSub>
              <m:sSubPr>
                <m:ctrlPr>
                  <w:rPr>
                    <w:rFonts w:ascii="Cambria Math" w:hAnsi="Cambria Math"/>
                    <w:i/>
                  </w:rPr>
                </m:ctrlPr>
              </m:sSubPr>
              <m:e>
                <m:r>
                  <m:rPr/>
                  <w:rPr>
                    <w:rFonts w:ascii="Cambria Math" w:hAnsi="Cambria Math"/>
                  </w:rPr>
                  <m:t>V</m:t>
                </m:r>
                <m:ctrlPr>
                  <w:rPr>
                    <w:rFonts w:ascii="Cambria Math" w:hAnsi="Cambria Math"/>
                    <w:i/>
                  </w:rPr>
                </m:ctrlPr>
              </m:e>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ctrlPr>
              <w:rPr>
                <w:rFonts w:ascii="Cambria Math" w:hAnsi="Cambria Math"/>
                <w:i/>
              </w:rPr>
            </m:ctrlPr>
          </m:e>
        </m:acc>
      </m:oMath>
      <w:r>
        <w:rPr>
          <w:rFonts w:ascii="Times New Roman"/>
        </w:rPr>
        <w:t>——基准年特定时间段Ti的路网平均运行速度，单位为公里每小时（km/h）；</w:t>
      </w:r>
    </w:p>
    <w:p>
      <w:pPr>
        <w:pStyle w:val="26"/>
        <w:jc w:val="left"/>
        <w:rPr>
          <w:rFonts w:ascii="Times New Roman"/>
        </w:rPr>
      </w:pPr>
      <m:oMath>
        <m:sSub>
          <m:sSubPr>
            <m:ctrlPr>
              <w:rPr>
                <w:rFonts w:ascii="Cambria Math" w:hAnsi="Cambria Math"/>
              </w:rPr>
            </m:ctrlPr>
          </m:sSubPr>
          <m:e>
            <m:r>
              <m:rPr/>
              <w:rPr>
                <w:rFonts w:ascii="Cambria Math" w:hAnsi="Cambria Math"/>
              </w:rPr>
              <m:t>EF</m:t>
            </m:r>
            <m:ctrlPr>
              <w:rPr>
                <w:rFonts w:ascii="Cambria Math" w:hAnsi="Cambria Math"/>
              </w:rPr>
            </m:ctrlPr>
          </m:e>
          <m:sub>
            <m:acc>
              <m:accPr>
                <m:chr m:val="̅"/>
                <m:ctrlPr>
                  <w:rPr>
                    <w:rFonts w:ascii="Cambria Math" w:hAnsi="Cambria Math"/>
                  </w:rPr>
                </m:ctrlPr>
              </m:accPr>
              <m:e>
                <m:sSub>
                  <m:sSubPr>
                    <m:ctrlPr>
                      <w:rPr>
                        <w:rFonts w:ascii="Cambria Math" w:hAnsi="Cambria Math"/>
                      </w:rPr>
                    </m:ctrlPr>
                  </m:sSubPr>
                  <m:e>
                    <m:r>
                      <m:rPr/>
                      <w:rPr>
                        <w:rFonts w:ascii="Cambria Math" w:hAnsi="Cambria Math"/>
                      </w:rPr>
                      <m:t>V</m:t>
                    </m:r>
                    <m:ctrlPr>
                      <w:rPr>
                        <w:rFonts w:ascii="Cambria Math" w:hAnsi="Cambria Math"/>
                      </w:rPr>
                    </m:ctrlPr>
                  </m:e>
                  <m:sub>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sub>
                </m:sSub>
                <m:ctrlPr>
                  <w:rPr>
                    <w:rFonts w:ascii="Cambria Math" w:hAnsi="Cambria Math"/>
                  </w:rPr>
                </m:ctrlPr>
              </m:e>
            </m:acc>
            <m:ctrlPr>
              <w:rPr>
                <w:rFonts w:ascii="Cambria Math" w:hAnsi="Cambria Math"/>
              </w:rPr>
            </m:ctrlPr>
          </m:sub>
        </m:sSub>
      </m:oMath>
      <w:r>
        <w:rPr>
          <w:rFonts w:ascii="Times New Roman"/>
        </w:rPr>
        <w:t>——速度为</w:t>
      </w:r>
      <m:oMath>
        <m:sSub>
          <m:sSubPr>
            <m:ctrlPr>
              <w:rPr>
                <w:rFonts w:ascii="Cambria Math" w:hAnsi="Cambria Math"/>
              </w:rPr>
            </m:ctrlPr>
          </m:sSubPr>
          <m:e>
            <m:r>
              <m:rPr/>
              <w:rPr>
                <w:rFonts w:ascii="Cambria Math" w:hAnsi="Cambria Math"/>
              </w:rPr>
              <m:t>V</m:t>
            </m:r>
            <m:ctrlPr>
              <w:rPr>
                <w:rFonts w:ascii="Cambria Math" w:hAnsi="Cambria Math"/>
              </w:rPr>
            </m:ctrlPr>
          </m:e>
          <m:sub>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sub>
        </m:sSub>
      </m:oMath>
      <w:r>
        <w:rPr>
          <w:rFonts w:ascii="Times New Roman"/>
        </w:rPr>
        <w:t>时</w:t>
      </w: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hint="eastAsia" w:ascii="Cambria Math" w:hAnsi="Cambria Math"/>
              </w:rPr>
              <m:t>v</m:t>
            </m:r>
            <m:ctrlPr>
              <w:rPr>
                <w:rFonts w:ascii="Cambria Math" w:hAnsi="Cambria Math"/>
                <w:i/>
              </w:rPr>
            </m:ctrlPr>
          </m:sub>
        </m:sSub>
      </m:oMath>
      <w:r>
        <w:rPr>
          <w:rFonts w:ascii="Times New Roman"/>
        </w:rPr>
        <w:t>的取值，</w:t>
      </w:r>
      <w:r>
        <w:rPr>
          <w:rFonts w:hint="eastAsia" w:ascii="Cambria Math" w:hAnsi="Cambria Math"/>
        </w:rPr>
        <w:t>单位为吨二氧化碳每人公里（</w:t>
      </w:r>
      <w:r>
        <w:rPr>
          <w:rFonts w:ascii="Cambria Math" w:hAnsi="Cambria Math"/>
        </w:rPr>
        <w:t>tCO</w:t>
      </w:r>
      <w:r>
        <w:rPr>
          <w:rFonts w:ascii="Cambria Math" w:hAnsi="Cambria Math"/>
          <w:vertAlign w:val="subscript"/>
        </w:rPr>
        <w:t>2</w:t>
      </w:r>
      <w:r>
        <w:rPr>
          <w:rFonts w:hint="eastAsia" w:ascii="Cambria Math" w:hAnsi="Cambria Math"/>
        </w:rPr>
        <w:t>/</w:t>
      </w:r>
      <w:r>
        <w:rPr>
          <w:rFonts w:ascii="Cambria Math" w:hAnsi="Cambria Math"/>
        </w:rPr>
        <w:t>PKM</w:t>
      </w:r>
      <w:r>
        <w:rPr>
          <w:rFonts w:hint="eastAsia" w:ascii="Cambria Math" w:hAnsi="Cambria Math"/>
        </w:rPr>
        <w:t>）</w:t>
      </w:r>
      <w:r>
        <w:rPr>
          <w:rFonts w:hint="eastAsia" w:ascii="Times New Roman"/>
        </w:rPr>
        <w:t>。</w:t>
      </w:r>
    </w:p>
    <w:p>
      <w:pPr>
        <w:pStyle w:val="102"/>
        <w:tabs>
          <w:tab w:val="clear" w:pos="360"/>
        </w:tabs>
        <w:spacing w:before="156" w:beforeLines="50" w:after="156" w:afterLines="50"/>
        <w:ind w:left="0"/>
        <w:rPr>
          <w:rFonts w:hAnsi="黑体"/>
        </w:rPr>
      </w:pPr>
      <w:bookmarkStart w:id="114" w:name="_Toc106354476"/>
      <w:bookmarkStart w:id="115" w:name="_Toc106265185"/>
      <w:bookmarkStart w:id="116" w:name="_Toc105662595"/>
      <w:bookmarkStart w:id="117" w:name="_Toc106354536"/>
      <w:bookmarkStart w:id="118" w:name="_Toc118127248"/>
      <w:bookmarkStart w:id="119" w:name="_Toc105021492"/>
      <w:bookmarkStart w:id="120" w:name="_Toc105443229"/>
      <w:bookmarkStart w:id="121" w:name="_Toc105442597"/>
      <w:r>
        <w:rPr>
          <w:rFonts w:hint="eastAsia" w:hAnsi="黑体"/>
        </w:rPr>
        <w:t>每种低碳出行方式人公里</w:t>
      </w:r>
      <w:r>
        <w:rPr>
          <w:rFonts w:hAnsi="黑体"/>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k</m:t>
            </m:r>
            <m:ctrlPr>
              <w:rPr>
                <w:rFonts w:ascii="Cambria Math" w:hAnsi="Cambria Math"/>
              </w:rPr>
            </m:ctrlPr>
            <w:bookmarkEnd w:id="114"/>
            <w:bookmarkEnd w:id="115"/>
            <w:bookmarkEnd w:id="116"/>
            <w:bookmarkEnd w:id="117"/>
            <w:bookmarkEnd w:id="118"/>
            <w:bookmarkEnd w:id="119"/>
            <w:bookmarkEnd w:id="120"/>
            <w:bookmarkEnd w:id="121"/>
          </m:sub>
        </m:sSub>
      </m:oMath>
    </w:p>
    <w:p>
      <w:pPr>
        <w:pStyle w:val="103"/>
        <w:tabs>
          <w:tab w:val="clear" w:pos="360"/>
        </w:tabs>
        <w:spacing w:before="156" w:after="156"/>
        <w:ind w:left="0"/>
        <w:rPr>
          <w:rFonts w:hAnsi="黑体"/>
        </w:rPr>
      </w:pPr>
      <w:r>
        <w:rPr>
          <w:rFonts w:hint="eastAsia" w:hAnsi="黑体"/>
        </w:rPr>
        <w:t>公共汽电车、城市轨道交通</w:t>
      </w:r>
      <w:r>
        <w:rPr>
          <w:rFonts w:hAnsi="黑体"/>
        </w:rPr>
        <w:t>出行</w:t>
      </w:r>
      <w:r>
        <w:rPr>
          <w:rFonts w:hint="eastAsia" w:hAnsi="黑体"/>
        </w:rPr>
        <w:t>方式的</w:t>
      </w:r>
      <w:r>
        <w:rPr>
          <w:rFonts w:hAnsi="黑体"/>
        </w:rPr>
        <w:t>人公里碳排放因子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k</m:t>
            </m:r>
            <m:ctrlPr>
              <w:rPr>
                <w:rFonts w:ascii="Cambria Math" w:hAnsi="Cambria Math"/>
              </w:rPr>
            </m:ctrlPr>
          </m:sub>
        </m:sSub>
      </m:oMath>
    </w:p>
    <w:p>
      <w:pPr>
        <w:ind w:firstLine="420" w:firstLineChars="200"/>
      </w:pPr>
      <w:r>
        <w:rPr>
          <w:rFonts w:hint="eastAsia"/>
        </w:rPr>
        <w:t>公共汽电车、城市轨道交通</w:t>
      </w:r>
      <w:r>
        <w:t>出行</w:t>
      </w:r>
      <w:r>
        <w:rPr>
          <w:rFonts w:hint="eastAsia"/>
        </w:rPr>
        <w:t>方式的</w:t>
      </w:r>
      <w:r>
        <w:t>人公里碳排放因子</w:t>
      </w:r>
      <w:r>
        <w:rPr>
          <w:rFonts w:hint="eastAsia"/>
        </w:rPr>
        <w:t>按</w:t>
      </w:r>
      <w:r>
        <w:t>式（</w:t>
      </w:r>
      <w:r>
        <w:rPr>
          <w:rFonts w:ascii="宋体" w:hAnsi="宋体"/>
        </w:rPr>
        <w:t>A.4</w:t>
      </w:r>
      <w:r>
        <w:t>）</w:t>
      </w:r>
      <w:r>
        <w:rPr>
          <w:rFonts w:hint="eastAsia"/>
        </w:rPr>
        <w:t>计算</w:t>
      </w:r>
      <w:r>
        <w:t>：</w:t>
      </w:r>
    </w:p>
    <w:p>
      <w:pPr>
        <w:pStyle w:val="26"/>
        <w:ind w:firstLine="0" w:firstLineChars="0"/>
        <w:jc w:val="right"/>
        <w:rPr>
          <w:rFonts w:ascii="Times New Roman"/>
        </w:rPr>
      </w:pPr>
      <m:oMath>
        <m:sSub>
          <m:sSubPr>
            <m:ctrlPr>
              <w:rPr>
                <w:rFonts w:ascii="Cambria Math" w:hAnsi="Cambria Math"/>
                <w:szCs w:val="24"/>
              </w:rPr>
            </m:ctrlPr>
          </m:sSubPr>
          <m:e>
            <m:r>
              <m:rPr/>
              <w:rPr>
                <w:rFonts w:ascii="Cambria Math" w:hAnsi="Cambria Math"/>
              </w:rPr>
              <m:t>EF</m:t>
            </m:r>
            <m:ctrlPr>
              <w:rPr>
                <w:rFonts w:ascii="Cambria Math" w:hAnsi="Cambria Math"/>
                <w:szCs w:val="24"/>
              </w:rPr>
            </m:ctrlPr>
          </m:e>
          <m:sub>
            <m:r>
              <m:rPr/>
              <w:rPr>
                <w:rFonts w:ascii="Cambria Math" w:hAnsi="Cambria Math"/>
              </w:rPr>
              <m:t>PKM,k</m:t>
            </m:r>
            <m:ctrlPr>
              <w:rPr>
                <w:rFonts w:ascii="Cambria Math" w:hAnsi="Cambria Math"/>
                <w:szCs w:val="24"/>
              </w:rPr>
            </m:ctrlPr>
          </m:sub>
        </m:sSub>
        <m:r>
          <m:rPr/>
          <w:rPr>
            <w:rFonts w:ascii="Cambria Math" w:hAnsi="Cambria Math"/>
          </w:rPr>
          <m:t>=[</m:t>
        </m:r>
        <m:nary>
          <m:naryPr>
            <m:chr m:val="∑"/>
            <m:limLoc m:val="subSup"/>
            <m:supHide m:val="1"/>
            <m:ctrlPr>
              <w:rPr>
                <w:rFonts w:ascii="Cambria Math" w:hAnsi="Cambria Math"/>
                <w:i/>
                <w:szCs w:val="24"/>
              </w:rPr>
            </m:ctrlPr>
          </m:naryPr>
          <m:sub>
            <m:r>
              <m:rPr/>
              <w:rPr>
                <w:rFonts w:ascii="Cambria Math" w:hAnsi="Cambria Math"/>
              </w:rPr>
              <m:t>x</m:t>
            </m:r>
            <m:ctrlPr>
              <w:rPr>
                <w:rFonts w:ascii="Cambria Math" w:hAnsi="Cambria Math"/>
                <w:i/>
                <w:szCs w:val="24"/>
              </w:rPr>
            </m:ctrlPr>
          </m:sub>
          <m:sup>
            <m:ctrlPr>
              <w:rPr>
                <w:rFonts w:ascii="Cambria Math" w:hAnsi="Cambria Math"/>
                <w:i/>
                <w:szCs w:val="24"/>
              </w:rPr>
            </m:ctrlPr>
          </m:sup>
          <m:e>
            <m:sSub>
              <m:sSubPr>
                <m:ctrlPr>
                  <w:rPr>
                    <w:rFonts w:ascii="Cambria Math" w:hAnsi="Cambria Math"/>
                    <w:i/>
                    <w:szCs w:val="24"/>
                  </w:rPr>
                </m:ctrlPr>
              </m:sSubPr>
              <m:e>
                <m:r>
                  <m:rPr/>
                  <w:rPr>
                    <w:rFonts w:ascii="Cambria Math" w:hAnsi="Cambria Math"/>
                    <w:lang w:val="en-AU"/>
                  </w:rPr>
                  <m:t>(</m:t>
                </m:r>
                <m:r>
                  <m:rPr/>
                  <w:rPr>
                    <w:rFonts w:ascii="Cambria Math" w:hAnsi="Cambria Math"/>
                  </w:rPr>
                  <m:t>EF</m:t>
                </m:r>
                <m:ctrlPr>
                  <w:rPr>
                    <w:rFonts w:ascii="Cambria Math" w:hAnsi="Cambria Math"/>
                    <w:i/>
                    <w:szCs w:val="24"/>
                  </w:rPr>
                </m:ctrlPr>
              </m:e>
              <m:sub>
                <m:r>
                  <m:rPr/>
                  <w:rPr>
                    <w:rFonts w:ascii="Cambria Math" w:hAnsi="Cambria Math"/>
                  </w:rPr>
                  <m:t>CO2,x</m:t>
                </m:r>
                <m:ctrlPr>
                  <w:rPr>
                    <w:rFonts w:ascii="Cambria Math" w:hAnsi="Cambria Math"/>
                    <w:i/>
                    <w:szCs w:val="24"/>
                  </w:rPr>
                </m:ctrlPr>
              </m:sub>
            </m:sSub>
            <m:r>
              <m:rPr/>
              <w:rPr>
                <w:rFonts w:ascii="Cambria Math" w:hAnsi="Cambria Math"/>
              </w:rPr>
              <m:t>×</m:t>
            </m:r>
            <m:sSub>
              <m:sSubPr>
                <m:ctrlPr>
                  <w:rPr>
                    <w:rFonts w:ascii="Cambria Math" w:hAnsi="Cambria Math"/>
                    <w:i/>
                    <w:szCs w:val="24"/>
                  </w:rPr>
                </m:ctrlPr>
              </m:sSubPr>
              <m:e>
                <m:r>
                  <m:rPr/>
                  <w:rPr>
                    <w:rFonts w:ascii="Cambria Math" w:hAnsi="Cambria Math"/>
                  </w:rPr>
                  <m:t>FC</m:t>
                </m:r>
                <m:ctrlPr>
                  <w:rPr>
                    <w:rFonts w:ascii="Cambria Math" w:hAnsi="Cambria Math"/>
                    <w:i/>
                    <w:szCs w:val="24"/>
                  </w:rPr>
                </m:ctrlPr>
              </m:e>
              <m:sub>
                <m:r>
                  <m:rPr/>
                  <w:rPr>
                    <w:rFonts w:ascii="Cambria Math" w:hAnsi="Cambria Math"/>
                  </w:rPr>
                  <m:t>k,x</m:t>
                </m:r>
                <m:ctrlPr>
                  <w:rPr>
                    <w:rFonts w:ascii="Cambria Math" w:hAnsi="Cambria Math"/>
                    <w:i/>
                    <w:szCs w:val="24"/>
                  </w:rPr>
                </m:ctrlPr>
              </m:sub>
            </m:sSub>
            <m:ctrlPr>
              <w:rPr>
                <w:rFonts w:ascii="Cambria Math" w:hAnsi="Cambria Math"/>
                <w:i/>
                <w:szCs w:val="24"/>
              </w:rPr>
            </m:ctrlPr>
          </m:e>
        </m:nary>
        <m:r>
          <m:rPr/>
          <w:rPr>
            <w:rFonts w:ascii="Cambria Math" w:hAnsi="Cambria Math"/>
          </w:rPr>
          <m:t>×</m:t>
        </m:r>
        <m:sSub>
          <m:sSubPr>
            <m:ctrlPr>
              <w:rPr>
                <w:rFonts w:ascii="Cambria Math" w:hAnsi="Cambria Math"/>
                <w:i/>
                <w:szCs w:val="24"/>
              </w:rPr>
            </m:ctrlPr>
          </m:sSubPr>
          <m:e>
            <m:r>
              <m:rPr/>
              <w:rPr>
                <w:rFonts w:ascii="Cambria Math" w:hAnsi="Cambria Math"/>
              </w:rPr>
              <m:t>NCV</m:t>
            </m:r>
            <m:ctrlPr>
              <w:rPr>
                <w:rFonts w:ascii="Cambria Math" w:hAnsi="Cambria Math"/>
                <w:i/>
                <w:szCs w:val="24"/>
              </w:rPr>
            </m:ctrlPr>
          </m:e>
          <m:sub>
            <m:r>
              <m:rPr/>
              <w:rPr>
                <w:rFonts w:ascii="Cambria Math" w:hAnsi="Cambria Math"/>
              </w:rPr>
              <m:t>k,x</m:t>
            </m:r>
            <m:ctrlPr>
              <w:rPr>
                <w:rFonts w:ascii="Cambria Math" w:hAnsi="Cambria Math"/>
                <w:i/>
                <w:szCs w:val="24"/>
              </w:rPr>
            </m:ctrlPr>
          </m:sub>
        </m:sSub>
        <m:r>
          <m:rPr/>
          <w:rPr>
            <w:rFonts w:ascii="Cambria Math" w:hAnsi="Cambria Math"/>
          </w:rPr>
          <m:t>+</m:t>
        </m:r>
        <m:sSub>
          <m:sSubPr>
            <m:ctrlPr>
              <w:rPr>
                <w:rFonts w:ascii="Cambria Math" w:hAnsi="Cambria Math"/>
                <w:i/>
                <w:szCs w:val="24"/>
              </w:rPr>
            </m:ctrlPr>
          </m:sSubPr>
          <m:e>
            <m:r>
              <m:rPr/>
              <w:rPr>
                <w:rFonts w:ascii="Cambria Math" w:hAnsi="Cambria Math"/>
              </w:rPr>
              <m:t>（EF</m:t>
            </m:r>
            <m:ctrlPr>
              <w:rPr>
                <w:rFonts w:ascii="Cambria Math" w:hAnsi="Cambria Math"/>
                <w:i/>
                <w:szCs w:val="24"/>
              </w:rPr>
            </m:ctrlPr>
          </m:e>
          <m:sub>
            <m:r>
              <m:rPr/>
              <w:rPr>
                <w:rFonts w:ascii="Cambria Math" w:hAnsi="Cambria Math"/>
              </w:rPr>
              <m:t>CO2,x</m:t>
            </m:r>
            <m:ctrlPr>
              <w:rPr>
                <w:rFonts w:ascii="Cambria Math" w:hAnsi="Cambria Math"/>
                <w:i/>
                <w:szCs w:val="24"/>
              </w:rPr>
            </m:ctrlPr>
          </m:sub>
        </m:sSub>
        <m:sSub>
          <m:sSubPr>
            <m:ctrlPr>
              <w:rPr>
                <w:rFonts w:ascii="Cambria Math" w:hAnsi="Cambria Math"/>
                <w:i/>
                <w:szCs w:val="24"/>
              </w:rPr>
            </m:ctrlPr>
          </m:sSubPr>
          <m:e>
            <m:r>
              <m:rPr/>
              <w:rPr>
                <w:rFonts w:ascii="Cambria Math" w:hAnsi="Cambria Math"/>
              </w:rPr>
              <m:t>×EC</m:t>
            </m:r>
            <m:ctrlPr>
              <w:rPr>
                <w:rFonts w:ascii="Cambria Math" w:hAnsi="Cambria Math"/>
                <w:i/>
                <w:szCs w:val="24"/>
              </w:rPr>
            </m:ctrlPr>
          </m:e>
          <m:sub>
            <m:r>
              <m:rPr/>
              <w:rPr>
                <w:rFonts w:ascii="Cambria Math" w:hAnsi="Cambria Math"/>
              </w:rPr>
              <m:t>k</m:t>
            </m:r>
            <m:ctrlPr>
              <w:rPr>
                <w:rFonts w:ascii="Cambria Math" w:hAnsi="Cambria Math"/>
                <w:i/>
                <w:szCs w:val="24"/>
              </w:rPr>
            </m:ctrlPr>
          </m:sub>
        </m:sSub>
        <m:r>
          <m:rPr/>
          <w:rPr>
            <w:rFonts w:ascii="Cambria Math" w:hAnsi="Cambria Math"/>
          </w:rPr>
          <m:t>×</m:t>
        </m:r>
        <m:d>
          <m:dPr>
            <m:ctrlPr>
              <w:rPr>
                <w:rFonts w:ascii="Cambria Math" w:hAnsi="Cambria Math"/>
                <w:i/>
                <w:szCs w:val="24"/>
              </w:rPr>
            </m:ctrlPr>
          </m:dPr>
          <m:e>
            <m:r>
              <m:rPr/>
              <w:rPr>
                <w:rFonts w:ascii="Cambria Math" w:hAnsi="Cambria Math"/>
              </w:rPr>
              <m:t>1+TDL</m:t>
            </m:r>
            <m:ctrlPr>
              <w:rPr>
                <w:rFonts w:ascii="Cambria Math" w:hAnsi="Cambria Math"/>
                <w:i/>
                <w:szCs w:val="24"/>
              </w:rPr>
            </m:ctrlPr>
          </m:e>
        </m:d>
        <m:r>
          <m:rPr/>
          <w:rPr>
            <w:rFonts w:ascii="Cambria Math" w:hAnsi="Cambria Math"/>
          </w:rPr>
          <m:t>)]/(</m:t>
        </m:r>
        <m:sSub>
          <m:sSubPr>
            <m:ctrlPr>
              <w:rPr>
                <w:rFonts w:ascii="Cambria Math" w:hAnsi="Cambria Math"/>
                <w:i/>
                <w:szCs w:val="24"/>
              </w:rPr>
            </m:ctrlPr>
          </m:sSubPr>
          <m:e>
            <m:r>
              <m:rPr/>
              <w:rPr>
                <w:rFonts w:ascii="Cambria Math" w:hAnsi="Cambria Math"/>
              </w:rPr>
              <m:t>D</m:t>
            </m:r>
            <m:ctrlPr>
              <w:rPr>
                <w:rFonts w:ascii="Cambria Math" w:hAnsi="Cambria Math"/>
                <w:i/>
                <w:szCs w:val="24"/>
              </w:rPr>
            </m:ctrlPr>
          </m:e>
          <m:sub>
            <m:r>
              <m:rPr/>
              <w:rPr>
                <w:rFonts w:ascii="Cambria Math" w:hAnsi="Cambria Math"/>
              </w:rPr>
              <m:t>k</m:t>
            </m:r>
            <m:ctrlPr>
              <w:rPr>
                <w:rFonts w:ascii="Cambria Math" w:hAnsi="Cambria Math"/>
                <w:i/>
                <w:szCs w:val="24"/>
              </w:rPr>
            </m:ctrlPr>
          </m:sub>
        </m:sSub>
        <m:r>
          <m:rPr/>
          <w:rPr>
            <w:rFonts w:ascii="Cambria Math" w:hAnsi="Cambria Math"/>
          </w:rPr>
          <m:t>×</m:t>
        </m:r>
        <m:sSub>
          <m:sSubPr>
            <m:ctrlPr>
              <w:rPr>
                <w:rFonts w:ascii="Cambria Math" w:hAnsi="Cambria Math"/>
                <w:i/>
                <w:szCs w:val="24"/>
              </w:rPr>
            </m:ctrlPr>
          </m:sSubPr>
          <m:e>
            <m:r>
              <m:rPr/>
              <w:rPr>
                <w:rFonts w:ascii="Cambria Math" w:hAnsi="Cambria Math"/>
              </w:rPr>
              <m:t>P</m:t>
            </m:r>
            <m:ctrlPr>
              <w:rPr>
                <w:rFonts w:ascii="Cambria Math" w:hAnsi="Cambria Math"/>
                <w:i/>
                <w:szCs w:val="24"/>
              </w:rPr>
            </m:ctrlPr>
          </m:e>
          <m:sub>
            <m:r>
              <m:rPr/>
              <w:rPr>
                <w:rFonts w:ascii="Cambria Math" w:hAnsi="Cambria Math"/>
              </w:rPr>
              <m:t>k</m:t>
            </m:r>
            <m:ctrlPr>
              <w:rPr>
                <w:rFonts w:ascii="Cambria Math" w:hAnsi="Cambria Math"/>
                <w:i/>
                <w:szCs w:val="24"/>
              </w:rPr>
            </m:ctrlPr>
          </m:sub>
        </m:sSub>
        <m:r>
          <m:rPr/>
          <w:rPr>
            <w:rFonts w:ascii="Cambria Math" w:hAnsi="Cambria Math"/>
          </w:rPr>
          <m:t>)</m:t>
        </m:r>
      </m:oMath>
      <w:r>
        <w:rPr>
          <w:rFonts w:ascii="Cambria Math" w:hAnsi="Cambria Math"/>
        </w:rPr>
        <w:t xml:space="preserve"> …</w:t>
      </w:r>
      <w:r>
        <w:rPr>
          <w:rFonts w:ascii="Times New Roman"/>
        </w:rPr>
        <w:t>（</w:t>
      </w:r>
      <w:r>
        <w:rPr>
          <w:rFonts w:hAnsi="宋体"/>
        </w:rPr>
        <w:t>A.4</w:t>
      </w:r>
      <w:r>
        <w:rPr>
          <w:rFonts w:ascii="Times New Roman"/>
        </w:rPr>
        <w:t>）</w:t>
      </w:r>
    </w:p>
    <w:p>
      <w:pPr>
        <w:pStyle w:val="26"/>
        <w:ind w:firstLineChars="0"/>
        <w:jc w:val="left"/>
        <w:rPr>
          <w:rFonts w:ascii="Times New Roman"/>
        </w:rPr>
      </w:pPr>
      <w:r>
        <w:rPr>
          <w:rFonts w:ascii="Times New Roman"/>
        </w:rPr>
        <w:t>式中：</w:t>
      </w:r>
    </w:p>
    <w:p>
      <w:pPr>
        <w:pStyle w:val="26"/>
        <w:ind w:firstLineChars="0"/>
        <w:jc w:val="left"/>
        <w:rPr>
          <w:rFonts w:ascii="Times New Roman"/>
          <w:iCs/>
        </w:rPr>
      </w:pPr>
      <m:oMath>
        <m:sSub>
          <m:sSubPr>
            <m:ctrlPr>
              <w:rPr>
                <w:rFonts w:ascii="Cambria Math" w:hAnsi="Cambria Math"/>
                <w:i/>
                <w:szCs w:val="24"/>
              </w:rPr>
            </m:ctrlPr>
          </m:sSubPr>
          <m:e>
            <m:r>
              <m:rPr/>
              <w:rPr>
                <w:rFonts w:ascii="Cambria Math" w:hAnsi="Cambria Math"/>
              </w:rPr>
              <m:t>EF</m:t>
            </m:r>
            <m:ctrlPr>
              <w:rPr>
                <w:rFonts w:ascii="Cambria Math" w:hAnsi="Cambria Math"/>
                <w:i/>
                <w:szCs w:val="24"/>
              </w:rPr>
            </m:ctrlPr>
          </m:e>
          <m:sub>
            <m:r>
              <m:rPr/>
              <w:rPr>
                <w:rFonts w:ascii="Cambria Math" w:hAnsi="Cambria Math"/>
              </w:rPr>
              <m:t>PKM,k</m:t>
            </m:r>
            <m:ctrlPr>
              <w:rPr>
                <w:rFonts w:ascii="Cambria Math" w:hAnsi="Cambria Math"/>
                <w:i/>
                <w:szCs w:val="24"/>
              </w:rPr>
            </m:ctrlPr>
          </m:sub>
        </m:sSub>
      </m:oMath>
      <w:r>
        <w:rPr>
          <w:rFonts w:ascii="Times New Roman"/>
        </w:rPr>
        <w:t>——</w:t>
      </w:r>
      <w:r>
        <w:rPr>
          <w:rFonts w:ascii="Times New Roman"/>
          <w:iCs/>
        </w:rPr>
        <w:t>基准年出行方式k的人公里碳排放因子,</w:t>
      </w:r>
      <w:r>
        <w:rPr>
          <w:rFonts w:ascii="Times New Roman"/>
          <w:lang w:val="en-AU"/>
        </w:rPr>
        <w:t>单位为</w:t>
      </w:r>
      <w:r>
        <w:rPr>
          <w:rFonts w:hint="eastAsia" w:ascii="Cambria Math" w:hAnsi="Cambria Math"/>
        </w:rPr>
        <w:t>吨二氧化碳每人公里</w:t>
      </w:r>
      <w:r>
        <w:rPr>
          <w:rFonts w:ascii="Times New Roman"/>
          <w:lang w:val="en-AU"/>
        </w:rPr>
        <w:t>（tCO</w:t>
      </w:r>
      <w:r>
        <w:rPr>
          <w:rFonts w:ascii="Times New Roman"/>
          <w:vertAlign w:val="subscript"/>
          <w:lang w:val="en-AU"/>
        </w:rPr>
        <w:t>2</w:t>
      </w:r>
      <w:r>
        <w:rPr>
          <w:rFonts w:ascii="Times New Roman"/>
          <w:lang w:val="en-AU"/>
        </w:rPr>
        <w:t>/PKM）</w:t>
      </w:r>
      <w:r>
        <w:rPr>
          <w:rFonts w:ascii="Times New Roman"/>
          <w:iCs/>
        </w:rPr>
        <w:t>；</w:t>
      </w:r>
    </w:p>
    <w:p>
      <w:pPr>
        <w:pStyle w:val="26"/>
        <w:ind w:firstLineChars="0"/>
        <w:jc w:val="left"/>
        <w:rPr>
          <w:rFonts w:ascii="Times New Roman"/>
          <w:iCs/>
        </w:rPr>
      </w:pPr>
      <m:oMath>
        <m:sSub>
          <m:sSubPr>
            <m:ctrlPr>
              <w:rPr>
                <w:rFonts w:ascii="Cambria Math" w:hAnsi="Cambria Math"/>
                <w:i/>
                <w:szCs w:val="24"/>
              </w:rPr>
            </m:ctrlPr>
          </m:sSubPr>
          <m:e>
            <m:r>
              <m:rPr/>
              <w:rPr>
                <w:rFonts w:ascii="Cambria Math" w:hAnsi="Cambria Math"/>
              </w:rPr>
              <m:t>FC</m:t>
            </m:r>
            <m:ctrlPr>
              <w:rPr>
                <w:rFonts w:ascii="Cambria Math" w:hAnsi="Cambria Math"/>
                <w:i/>
                <w:szCs w:val="24"/>
              </w:rPr>
            </m:ctrlPr>
          </m:e>
          <m:sub>
            <m:r>
              <m:rPr/>
              <w:rPr>
                <w:rFonts w:ascii="Cambria Math" w:hAnsi="Cambria Math"/>
              </w:rPr>
              <m:t>k,x</m:t>
            </m:r>
            <m:ctrlPr>
              <w:rPr>
                <w:rFonts w:ascii="Cambria Math" w:hAnsi="Cambria Math"/>
                <w:i/>
                <w:szCs w:val="24"/>
              </w:rPr>
            </m:ctrlPr>
          </m:sub>
        </m:sSub>
      </m:oMath>
      <w:r>
        <w:rPr>
          <w:rFonts w:ascii="Times New Roman"/>
        </w:rPr>
        <w:t>——</w:t>
      </w:r>
      <w:r>
        <w:rPr>
          <w:rFonts w:ascii="Times New Roman"/>
          <w:iCs/>
        </w:rPr>
        <w:t>基准年出行方式k使用能源x的消耗总量，不包含电力，单位为吨、立方米(质量或体积单位，ton、m</w:t>
      </w:r>
      <w:r>
        <w:rPr>
          <w:rFonts w:ascii="Times New Roman"/>
          <w:iCs/>
          <w:vertAlign w:val="superscript"/>
        </w:rPr>
        <w:t>3</w:t>
      </w:r>
      <w:r>
        <w:rPr>
          <w:rFonts w:ascii="Times New Roman"/>
          <w:iCs/>
        </w:rPr>
        <w:t>)；</w:t>
      </w:r>
    </w:p>
    <w:p>
      <w:pPr>
        <w:pStyle w:val="26"/>
        <w:ind w:firstLineChars="0"/>
        <w:jc w:val="left"/>
        <w:rPr>
          <w:rFonts w:ascii="Times New Roman"/>
        </w:rPr>
      </w:pPr>
      <m:oMath>
        <m:sSub>
          <m:sSubPr>
            <m:ctrlPr>
              <w:rPr>
                <w:rFonts w:ascii="Cambria Math" w:hAnsi="Cambria Math"/>
                <w:i/>
                <w:szCs w:val="24"/>
              </w:rPr>
            </m:ctrlPr>
          </m:sSubPr>
          <m:e>
            <m:r>
              <m:rPr/>
              <w:rPr>
                <w:rFonts w:ascii="Cambria Math" w:hAnsi="Cambria Math"/>
              </w:rPr>
              <m:t>NCV</m:t>
            </m:r>
            <m:ctrlPr>
              <w:rPr>
                <w:rFonts w:ascii="Cambria Math" w:hAnsi="Cambria Math"/>
                <w:i/>
                <w:szCs w:val="24"/>
              </w:rPr>
            </m:ctrlPr>
          </m:e>
          <m:sub>
            <m:r>
              <m:rPr/>
              <w:rPr>
                <w:rFonts w:ascii="Cambria Math" w:hAnsi="Cambria Math"/>
              </w:rPr>
              <m:t>k,x</m:t>
            </m:r>
            <m:ctrlPr>
              <w:rPr>
                <w:rFonts w:ascii="Cambria Math" w:hAnsi="Cambria Math"/>
                <w:i/>
                <w:szCs w:val="24"/>
              </w:rPr>
            </m:ctrlPr>
          </m:sub>
        </m:sSub>
      </m:oMath>
      <w:r>
        <w:rPr>
          <w:rFonts w:ascii="Times New Roman"/>
        </w:rPr>
        <w:t>——基准年出行方式k使用能源x的净热值，单位为</w:t>
      </w:r>
      <w:r>
        <w:rPr>
          <w:rFonts w:hint="eastAsia" w:ascii="Times New Roman"/>
          <w:lang w:eastAsia="zh-Hans"/>
        </w:rPr>
        <w:t>吉</w:t>
      </w:r>
      <w:r>
        <w:rPr>
          <w:rFonts w:ascii="Times New Roman"/>
        </w:rPr>
        <w:t>焦/质量或体积单位（GJ/质量或体积单位）</w:t>
      </w:r>
      <w:r>
        <w:rPr>
          <w:rFonts w:hint="eastAsia" w:ascii="Times New Roman"/>
        </w:rPr>
        <w:t>，</w:t>
      </w:r>
      <w:r>
        <w:rPr>
          <w:rFonts w:hint="eastAsia" w:ascii="Times New Roman"/>
          <w:szCs w:val="24"/>
        </w:rPr>
        <w:t>取值参见附录</w:t>
      </w:r>
      <w:r>
        <w:rPr>
          <w:rFonts w:ascii="Times New Roman" w:hAnsi="宋体"/>
          <w:szCs w:val="24"/>
        </w:rPr>
        <w:t>D</w:t>
      </w:r>
      <w:r>
        <w:rPr>
          <w:rFonts w:hint="eastAsia" w:hAnsi="宋体"/>
          <w:szCs w:val="24"/>
          <w:lang w:val="en-AU"/>
        </w:rPr>
        <w:t>中表</w:t>
      </w:r>
      <w:r>
        <w:rPr>
          <w:rFonts w:ascii="Times New Roman Regular" w:hAnsi="Times New Roman Regular" w:cs="Times New Roman Regular"/>
          <w:szCs w:val="24"/>
        </w:rPr>
        <w:t>D.</w:t>
      </w:r>
      <w:r>
        <w:rPr>
          <w:rFonts w:ascii="Times New Roman Regular" w:hAnsi="Times New Roman Regular" w:cs="Times New Roman Regular"/>
          <w:szCs w:val="24"/>
          <w:lang w:val="en-AU"/>
        </w:rPr>
        <w:t>2</w:t>
      </w:r>
      <w:r>
        <w:rPr>
          <w:rFonts w:ascii="Times New Roman"/>
        </w:rPr>
        <w:t>；</w:t>
      </w:r>
    </w:p>
    <w:p>
      <w:pPr>
        <w:pStyle w:val="26"/>
        <w:ind w:firstLineChars="0"/>
        <w:jc w:val="left"/>
        <w:rPr>
          <w:rFonts w:ascii="Times New Roman"/>
        </w:rPr>
      </w:pPr>
      <m:oMath>
        <m:sSub>
          <m:sSubPr>
            <m:ctrlPr>
              <w:rPr>
                <w:rFonts w:ascii="Cambria Math" w:hAnsi="Cambria Math"/>
                <w:i/>
                <w:szCs w:val="24"/>
              </w:rPr>
            </m:ctrlPr>
          </m:sSubPr>
          <m:e>
            <m:r>
              <m:rPr/>
              <w:rPr>
                <w:rFonts w:ascii="Cambria Math" w:hAnsi="Cambria Math"/>
              </w:rPr>
              <m:t>EC</m:t>
            </m:r>
            <m:ctrlPr>
              <w:rPr>
                <w:rFonts w:ascii="Cambria Math" w:hAnsi="Cambria Math"/>
                <w:i/>
                <w:szCs w:val="24"/>
              </w:rPr>
            </m:ctrlPr>
          </m:e>
          <m:sub>
            <m:r>
              <m:rPr/>
              <w:rPr>
                <w:rFonts w:ascii="Cambria Math" w:hAnsi="Cambria Math"/>
              </w:rPr>
              <m:t>k</m:t>
            </m:r>
            <m:ctrlPr>
              <w:rPr>
                <w:rFonts w:ascii="Cambria Math" w:hAnsi="Cambria Math"/>
                <w:i/>
                <w:szCs w:val="24"/>
              </w:rPr>
            </m:ctrlPr>
          </m:sub>
        </m:sSub>
      </m:oMath>
      <w:r>
        <w:rPr>
          <w:rFonts w:ascii="Times New Roman"/>
        </w:rPr>
        <w:t>——基准年出行方式k使用电力的耗电总量，单位为</w:t>
      </w:r>
      <w:r>
        <w:rPr>
          <w:rFonts w:hint="eastAsia" w:ascii="Times New Roman"/>
        </w:rPr>
        <w:t>兆</w:t>
      </w:r>
      <w:r>
        <w:rPr>
          <w:rFonts w:ascii="Times New Roman"/>
        </w:rPr>
        <w:t>瓦时(MWh)；</w:t>
      </w:r>
    </w:p>
    <w:p>
      <w:pPr>
        <w:pStyle w:val="26"/>
        <w:ind w:firstLineChars="0"/>
        <w:jc w:val="left"/>
        <w:rPr>
          <w:rFonts w:ascii="Times New Roman"/>
        </w:rPr>
      </w:pPr>
      <m:oMath>
        <m:r>
          <m:rPr/>
          <w:rPr>
            <w:rFonts w:ascii="Cambria Math" w:hAnsi="Cambria Math"/>
          </w:rPr>
          <m:t>TDL</m:t>
        </m:r>
      </m:oMath>
      <w:r>
        <w:rPr>
          <w:rFonts w:ascii="Times New Roman"/>
        </w:rPr>
        <w:t>——基准年电力系统平均技术传输与分配损失系数，无量纲</w:t>
      </w:r>
      <w:r>
        <w:rPr>
          <w:rFonts w:hint="eastAsia" w:ascii="Times New Roman"/>
        </w:rPr>
        <w:t>，</w:t>
      </w:r>
      <w:r>
        <w:rPr>
          <w:rFonts w:hint="eastAsia" w:ascii="Times New Roman"/>
          <w:lang w:val="en-AU"/>
        </w:rPr>
        <w:t>默认值为3</w:t>
      </w:r>
      <w:r>
        <w:rPr>
          <w:rFonts w:ascii="Times New Roman"/>
          <w:lang w:val="en-AU"/>
        </w:rPr>
        <w:t>%</w:t>
      </w:r>
      <w:r>
        <w:rPr>
          <w:rFonts w:ascii="Times New Roman"/>
        </w:rPr>
        <w:t>；</w:t>
      </w:r>
    </w:p>
    <w:p>
      <w:pPr>
        <w:pStyle w:val="26"/>
        <w:ind w:firstLineChars="0"/>
        <w:jc w:val="left"/>
        <w:rPr>
          <w:rFonts w:ascii="Times New Roman"/>
        </w:rPr>
      </w:pPr>
      <m:oMath>
        <m:sSub>
          <m:sSubPr>
            <m:ctrlPr>
              <w:rPr>
                <w:rFonts w:ascii="Cambria Math" w:hAnsi="Cambria Math"/>
                <w:i/>
                <w:szCs w:val="24"/>
              </w:rPr>
            </m:ctrlPr>
          </m:sSubPr>
          <m:e>
            <m:r>
              <m:rPr/>
              <w:rPr>
                <w:rFonts w:ascii="Cambria Math" w:hAnsi="Cambria Math"/>
              </w:rPr>
              <m:t>EF</m:t>
            </m:r>
            <m:ctrlPr>
              <w:rPr>
                <w:rFonts w:ascii="Cambria Math" w:hAnsi="Cambria Math"/>
                <w:i/>
                <w:szCs w:val="24"/>
              </w:rPr>
            </m:ctrlPr>
          </m:e>
          <m:sub>
            <m:r>
              <m:rPr/>
              <w:rPr>
                <w:rFonts w:ascii="Cambria Math" w:hAnsi="Cambria Math"/>
              </w:rPr>
              <m:t>CO2,x</m:t>
            </m:r>
            <m:ctrlPr>
              <w:rPr>
                <w:rFonts w:ascii="Cambria Math" w:hAnsi="Cambria Math"/>
                <w:i/>
                <w:szCs w:val="24"/>
              </w:rPr>
            </m:ctrlPr>
          </m:sub>
        </m:sSub>
      </m:oMath>
      <w:r>
        <w:rPr>
          <w:rFonts w:ascii="Times New Roman"/>
        </w:rPr>
        <w:t>——基准年能源x的碳排放因子，单位为</w:t>
      </w:r>
      <w:r>
        <w:rPr>
          <w:rFonts w:hint="eastAsia" w:ascii="Times New Roman"/>
          <w:lang w:eastAsia="zh-Hans"/>
        </w:rPr>
        <w:t>吨</w:t>
      </w:r>
      <w:r>
        <w:rPr>
          <w:rFonts w:ascii="Times New Roman"/>
        </w:rPr>
        <w:t>二氧化碳每</w:t>
      </w:r>
      <w:r>
        <w:rPr>
          <w:rFonts w:hint="eastAsia" w:ascii="Times New Roman"/>
          <w:lang w:eastAsia="zh-Hans"/>
        </w:rPr>
        <w:t>吉</w:t>
      </w:r>
      <w:r>
        <w:rPr>
          <w:rFonts w:ascii="Times New Roman"/>
        </w:rPr>
        <w:t>焦（化石燃料），</w:t>
      </w:r>
      <w:r>
        <w:rPr>
          <w:rFonts w:hint="eastAsia" w:ascii="Times New Roman"/>
          <w:lang w:eastAsia="zh-Hans"/>
        </w:rPr>
        <w:t>吨</w:t>
      </w:r>
      <w:r>
        <w:rPr>
          <w:rFonts w:ascii="Times New Roman"/>
        </w:rPr>
        <w:t>二氧化碳每</w:t>
      </w:r>
      <w:r>
        <w:rPr>
          <w:rFonts w:hint="eastAsia" w:ascii="Times New Roman"/>
        </w:rPr>
        <w:t>兆瓦</w:t>
      </w:r>
      <w:r>
        <w:rPr>
          <w:rFonts w:ascii="Times New Roman"/>
        </w:rPr>
        <w:t>时（电力）（化石燃料为tCO</w:t>
      </w:r>
      <w:r>
        <w:rPr>
          <w:rFonts w:ascii="Times New Roman"/>
          <w:vertAlign w:val="subscript"/>
        </w:rPr>
        <w:t>2</w:t>
      </w:r>
      <w:r>
        <w:rPr>
          <w:rFonts w:ascii="Times New Roman"/>
        </w:rPr>
        <w:t>/GJ，电力为tCO</w:t>
      </w:r>
      <w:r>
        <w:rPr>
          <w:rFonts w:ascii="Times New Roman"/>
          <w:vertAlign w:val="subscript"/>
        </w:rPr>
        <w:t>2</w:t>
      </w:r>
      <w:r>
        <w:rPr>
          <w:rFonts w:ascii="Times New Roman"/>
        </w:rPr>
        <w:t>/MWh）</w:t>
      </w:r>
      <w:r>
        <w:rPr>
          <w:rFonts w:hint="eastAsia" w:ascii="Times New Roman"/>
        </w:rPr>
        <w:t>，</w:t>
      </w:r>
      <w:r>
        <w:rPr>
          <w:rFonts w:hint="eastAsia" w:ascii="Times New Roman"/>
          <w:iCs/>
          <w:szCs w:val="24"/>
        </w:rPr>
        <w:t>取值参见表</w:t>
      </w:r>
      <w:r>
        <w:rPr>
          <w:rFonts w:ascii="Times New Roman"/>
          <w:iCs/>
          <w:szCs w:val="24"/>
        </w:rPr>
        <w:t>D.</w:t>
      </w:r>
      <w:r>
        <w:rPr>
          <w:rFonts w:hAnsi="宋体"/>
          <w:iCs/>
          <w:szCs w:val="24"/>
        </w:rPr>
        <w:t>1</w:t>
      </w:r>
      <w:r>
        <w:rPr>
          <w:rFonts w:ascii="Times New Roman"/>
        </w:rPr>
        <w:t>；</w:t>
      </w:r>
    </w:p>
    <w:p>
      <w:pPr>
        <w:pStyle w:val="26"/>
        <w:ind w:firstLineChars="0"/>
        <w:jc w:val="left"/>
        <w:rPr>
          <w:rFonts w:ascii="Times New Roman"/>
        </w:rPr>
      </w:pPr>
      <m:oMath>
        <m:sSub>
          <m:sSubPr>
            <m:ctrlPr>
              <w:rPr>
                <w:rFonts w:ascii="Cambria Math" w:hAnsi="Cambria Math"/>
                <w:i/>
                <w:szCs w:val="24"/>
              </w:rPr>
            </m:ctrlPr>
          </m:sSubPr>
          <m:e>
            <m:r>
              <m:rPr/>
              <w:rPr>
                <w:rFonts w:ascii="Cambria Math" w:hAnsi="Cambria Math"/>
              </w:rPr>
              <m:t>D</m:t>
            </m:r>
            <m:ctrlPr>
              <w:rPr>
                <w:rFonts w:ascii="Cambria Math" w:hAnsi="Cambria Math"/>
                <w:i/>
                <w:szCs w:val="24"/>
              </w:rPr>
            </m:ctrlPr>
          </m:e>
          <m:sub>
            <m:r>
              <m:rPr/>
              <w:rPr>
                <w:rFonts w:ascii="Cambria Math" w:hAnsi="Cambria Math"/>
              </w:rPr>
              <m:t>k</m:t>
            </m:r>
            <m:ctrlPr>
              <w:rPr>
                <w:rFonts w:ascii="Cambria Math" w:hAnsi="Cambria Math"/>
                <w:i/>
                <w:szCs w:val="24"/>
              </w:rPr>
            </m:ctrlPr>
          </m:sub>
        </m:sSub>
      </m:oMath>
      <w:r>
        <w:rPr>
          <w:rFonts w:ascii="Times New Roman"/>
        </w:rPr>
        <w:t>——基准年出行方式k的人均单次出行距离，单位为人公里每次（PKM/次）；</w:t>
      </w:r>
    </w:p>
    <w:p>
      <w:pPr>
        <w:pStyle w:val="26"/>
        <w:ind w:firstLineChars="0"/>
        <w:jc w:val="left"/>
        <w:rPr>
          <w:rFonts w:ascii="Times New Roman"/>
        </w:rPr>
      </w:pPr>
      <m:oMath>
        <m:sSub>
          <m:sSubPr>
            <m:ctrlPr>
              <w:rPr>
                <w:rFonts w:ascii="Cambria Math" w:hAnsi="Cambria Math"/>
                <w:iCs/>
                <w:szCs w:val="24"/>
              </w:rPr>
            </m:ctrlPr>
          </m:sSubPr>
          <m:e>
            <m:r>
              <m:rPr>
                <m:sty m:val="p"/>
              </m:rPr>
              <w:rPr>
                <w:rFonts w:ascii="Cambria Math" w:hAnsi="Cambria Math"/>
              </w:rPr>
              <m:t>P</m:t>
            </m:r>
            <m:ctrlPr>
              <w:rPr>
                <w:rFonts w:ascii="Cambria Math" w:hAnsi="Cambria Math"/>
                <w:iCs/>
                <w:szCs w:val="24"/>
              </w:rPr>
            </m:ctrlPr>
          </m:e>
          <m:sub>
            <m:r>
              <m:rPr>
                <m:sty m:val="p"/>
              </m:rPr>
              <w:rPr>
                <w:rFonts w:ascii="Cambria Math" w:hAnsi="Cambria Math"/>
              </w:rPr>
              <m:t>k</m:t>
            </m:r>
            <m:ctrlPr>
              <w:rPr>
                <w:rFonts w:ascii="Cambria Math" w:hAnsi="Cambria Math"/>
                <w:iCs/>
                <w:szCs w:val="24"/>
              </w:rPr>
            </m:ctrlPr>
          </m:sub>
        </m:sSub>
      </m:oMath>
      <w:r>
        <w:rPr>
          <w:rFonts w:ascii="Times New Roman"/>
        </w:rPr>
        <w:t>——基准年出行方式k的年出行总量，单位为次数(次)；</w:t>
      </w:r>
    </w:p>
    <w:p>
      <w:pPr>
        <w:pStyle w:val="26"/>
        <w:ind w:firstLineChars="0"/>
        <w:jc w:val="left"/>
        <w:rPr>
          <w:rFonts w:ascii="Times New Roman"/>
        </w:rPr>
      </w:pPr>
      <w:r>
        <w:rPr>
          <w:rFonts w:ascii="Times New Roman"/>
          <w:i/>
          <w:iCs/>
        </w:rPr>
        <w:t>k</w:t>
      </w:r>
      <w:r>
        <w:rPr>
          <w:rFonts w:ascii="Times New Roman"/>
        </w:rPr>
        <w:t>——低碳出行方式。</w:t>
      </w:r>
    </w:p>
    <w:p>
      <w:pPr>
        <w:pStyle w:val="103"/>
        <w:tabs>
          <w:tab w:val="clear" w:pos="360"/>
        </w:tabs>
        <w:spacing w:before="156" w:after="156"/>
        <w:ind w:left="0"/>
        <w:rPr>
          <w:rFonts w:hAnsi="黑体"/>
        </w:rPr>
      </w:pPr>
      <w:r>
        <w:rPr>
          <w:rFonts w:hAnsi="黑体"/>
        </w:rPr>
        <w:t>步行出行</w:t>
      </w:r>
      <w:r>
        <w:rPr>
          <w:rFonts w:hint="eastAsia" w:hAnsi="黑体"/>
        </w:rPr>
        <w:t>的人公里</w:t>
      </w:r>
      <w:r>
        <w:rPr>
          <w:rFonts w:hAnsi="黑体"/>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k</m:t>
            </m:r>
            <m:ctrlPr>
              <w:rPr>
                <w:rFonts w:ascii="Cambria Math" w:hAnsi="Cambria Math"/>
              </w:rPr>
            </m:ctrlPr>
          </m:sub>
        </m:sSub>
      </m:oMath>
    </w:p>
    <w:p>
      <w:pPr>
        <w:ind w:firstLine="420" w:firstLineChars="200"/>
        <w:rPr>
          <w:lang w:val="en-AU"/>
        </w:rPr>
      </w:pPr>
      <w:r>
        <w:rPr>
          <w:lang w:val="en-AU"/>
        </w:rPr>
        <w:t>步行出行的人公里</w:t>
      </w:r>
      <w:r>
        <w:t>碳排放因子</w:t>
      </w:r>
      <w:r>
        <w:rPr>
          <w:lang w:val="en-AU"/>
        </w:rPr>
        <w:t>为0。</w:t>
      </w:r>
    </w:p>
    <w:p>
      <w:pPr>
        <w:pStyle w:val="103"/>
        <w:tabs>
          <w:tab w:val="clear" w:pos="360"/>
        </w:tabs>
        <w:spacing w:before="156" w:after="156"/>
        <w:ind w:left="0"/>
        <w:rPr>
          <w:rFonts w:hAnsi="黑体"/>
        </w:rPr>
      </w:pPr>
      <w:r>
        <w:rPr>
          <w:rFonts w:hAnsi="黑体"/>
        </w:rPr>
        <w:t>自行车出行</w:t>
      </w:r>
      <w:r>
        <w:rPr>
          <w:rFonts w:hint="eastAsia" w:hAnsi="黑体"/>
        </w:rPr>
        <w:t>的人公里</w:t>
      </w:r>
      <w:r>
        <w:rPr>
          <w:rFonts w:hAnsi="黑体"/>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k</m:t>
            </m:r>
            <m:ctrlPr>
              <w:rPr>
                <w:rFonts w:ascii="Cambria Math" w:hAnsi="Cambria Math"/>
              </w:rPr>
            </m:ctrlPr>
          </m:sub>
        </m:sSub>
      </m:oMath>
    </w:p>
    <w:p>
      <w:pPr>
        <w:pStyle w:val="26"/>
        <w:rPr>
          <w:rFonts w:hAnsi="宋体"/>
        </w:rPr>
      </w:pPr>
      <w:r>
        <w:rPr>
          <w:rFonts w:hint="eastAsia"/>
          <w:lang w:val="en-AU"/>
        </w:rPr>
        <w:t>普通自行车出行的人公里碳排放因子为0；电动自行车出行的人公里</w:t>
      </w:r>
      <w:r>
        <w:t>碳排放因子</w:t>
      </w:r>
      <w:r>
        <w:rPr>
          <w:rFonts w:hint="eastAsia"/>
          <w:lang w:val="en-AU"/>
        </w:rPr>
        <w:t>按</w:t>
      </w:r>
      <w:r>
        <w:rPr>
          <w:lang w:val="en-AU"/>
        </w:rPr>
        <w:t>式（</w:t>
      </w:r>
      <w:r>
        <w:rPr>
          <w:rFonts w:hAnsi="宋体"/>
        </w:rPr>
        <w:t>A.5）</w:t>
      </w:r>
      <w:r>
        <w:rPr>
          <w:rFonts w:hint="eastAsia" w:hAnsi="宋体"/>
        </w:rPr>
        <w:t>计算</w:t>
      </w:r>
      <w:r>
        <w:rPr>
          <w:rFonts w:hAnsi="宋体"/>
        </w:rPr>
        <w:t>：</w:t>
      </w:r>
    </w:p>
    <w:p>
      <w:pPr>
        <w:pStyle w:val="26"/>
        <w:ind w:firstLine="0" w:firstLineChars="0"/>
        <w:jc w:val="right"/>
        <w:rPr>
          <w:rStyle w:val="42"/>
          <w:rFonts w:ascii="Times New Roman"/>
          <w:kern w:val="2"/>
        </w:rPr>
      </w:pPr>
      <m:oMath>
        <m:sSub>
          <m:sSubPr>
            <m:ctrlPr>
              <w:rPr>
                <w:rFonts w:ascii="Cambria Math" w:hAnsi="Cambria Math" w:cs="Cambria Math"/>
                <w:i/>
                <w:iCs/>
              </w:rPr>
            </m:ctrlPr>
          </m:sSubPr>
          <m:e>
            <m:sSub>
              <m:sSubPr>
                <m:ctrlPr>
                  <w:rPr>
                    <w:rFonts w:ascii="Cambria Math" w:hAnsi="Cambria Math" w:cs="Cambria Math"/>
                    <w:i/>
                    <w:iCs/>
                  </w:rPr>
                </m:ctrlPr>
              </m:sSubPr>
              <m:e>
                <m:r>
                  <m:rPr/>
                  <w:rPr>
                    <w:rFonts w:ascii="Cambria Math" w:hAnsi="Cambria Math" w:cs="Cambria Math"/>
                  </w:rPr>
                  <m:t>EF</m:t>
                </m:r>
                <m:ctrlPr>
                  <w:rPr>
                    <w:rFonts w:ascii="Cambria Math" w:hAnsi="Cambria Math" w:cs="Cambria Math"/>
                    <w:i/>
                    <w:iCs/>
                  </w:rPr>
                </m:ctrlPr>
              </m:e>
              <m:sub>
                <m:r>
                  <m:rPr/>
                  <w:rPr>
                    <w:rFonts w:ascii="Cambria Math" w:hAnsi="Cambria Math" w:cs="Cambria Math"/>
                  </w:rPr>
                  <m:t>PKM,k</m:t>
                </m:r>
                <m:ctrlPr>
                  <w:rPr>
                    <w:rFonts w:ascii="Cambria Math" w:hAnsi="Cambria Math" w:cs="Cambria Math"/>
                    <w:i/>
                    <w:iCs/>
                  </w:rPr>
                </m:ctrlPr>
              </m:sub>
            </m:sSub>
            <m:r>
              <m:rPr/>
              <w:rPr>
                <w:rFonts w:ascii="Cambria Math" w:hAnsi="Cambria Math" w:cs="Cambria Math"/>
              </w:rPr>
              <m:t>=EF</m:t>
            </m:r>
            <m:ctrlPr>
              <w:rPr>
                <w:rFonts w:ascii="Cambria Math" w:hAnsi="Cambria Math" w:cs="Cambria Math"/>
                <w:i/>
                <w:iCs/>
              </w:rPr>
            </m:ctrlPr>
          </m:e>
          <m:sub>
            <m:r>
              <m:rPr/>
              <w:rPr>
                <w:rFonts w:ascii="Cambria Math" w:hAnsi="Cambria Math" w:cs="Cambria Math"/>
              </w:rPr>
              <m:t>CO2,x</m:t>
            </m:r>
            <m:ctrlPr>
              <w:rPr>
                <w:rFonts w:ascii="Cambria Math" w:hAnsi="Cambria Math" w:cs="Cambria Math"/>
                <w:i/>
                <w:iCs/>
              </w:rPr>
            </m:ctrlPr>
          </m:sub>
        </m:sSub>
        <m:r>
          <m:rPr>
            <m:sty m:val="p"/>
          </m:rPr>
          <w:rPr>
            <w:rFonts w:ascii="Cambria Math" w:hAnsi="Cambria Math"/>
          </w:rPr>
          <m:t>×</m:t>
        </m:r>
        <m:r>
          <m:rPr/>
          <w:rPr>
            <w:rFonts w:ascii="Cambria Math" w:hAnsi="Cambria Math"/>
          </w:rPr>
          <m:t>EC</m:t>
        </m:r>
        <m:r>
          <m:rPr>
            <m:sty m:val="p"/>
          </m:rPr>
          <w:rPr>
            <w:rFonts w:ascii="Cambria Math" w:hAnsi="Cambria Math"/>
          </w:rPr>
          <m:t>×</m:t>
        </m:r>
        <m:d>
          <m:dPr>
            <m:ctrlPr>
              <w:rPr>
                <w:rFonts w:ascii="Cambria Math" w:hAnsi="Cambria Math"/>
              </w:rPr>
            </m:ctrlPr>
          </m:dPr>
          <m:e>
            <m:r>
              <m:rPr>
                <m:sty m:val="p"/>
              </m:rPr>
              <w:rPr>
                <w:rFonts w:ascii="Cambria Math" w:hAnsi="Cambria Math"/>
              </w:rPr>
              <m:t>1+</m:t>
            </m:r>
            <m:r>
              <m:rPr/>
              <w:rPr>
                <w:rFonts w:ascii="Cambria Math" w:hAnsi="Cambria Math"/>
              </w:rPr>
              <m:t>TDL</m:t>
            </m:r>
            <m:ctrlPr>
              <w:rPr>
                <w:rFonts w:ascii="Cambria Math" w:hAnsi="Cambria Math"/>
              </w:rPr>
            </m:ctrlPr>
          </m:e>
        </m:d>
      </m:oMath>
      <w:r>
        <w:rPr>
          <w:rFonts w:ascii="Cambria Math" w:hAnsi="Cambria Math"/>
        </w:rPr>
        <w:t>…………………</w:t>
      </w:r>
      <w:r>
        <w:rPr>
          <w:rFonts w:hint="eastAsia" w:ascii="Cambria Math" w:hAnsi="Cambria Math"/>
        </w:rPr>
        <w:t>（</w:t>
      </w:r>
      <w:r>
        <w:rPr>
          <w:rFonts w:hAnsi="宋体"/>
        </w:rPr>
        <w:t>A.5</w:t>
      </w:r>
      <w:r>
        <w:rPr>
          <w:rFonts w:hint="eastAsia" w:ascii="Cambria Math" w:hAnsi="Cambria Math"/>
        </w:rPr>
        <w:t>）</w:t>
      </w:r>
    </w:p>
    <w:p>
      <w:pPr>
        <w:pStyle w:val="26"/>
        <w:rPr>
          <w:lang w:val="en-AU"/>
        </w:rPr>
      </w:pPr>
      <w:r>
        <w:rPr>
          <w:rFonts w:hint="eastAsia"/>
          <w:lang w:val="en-AU"/>
        </w:rPr>
        <w:t>式中：</w:t>
      </w:r>
    </w:p>
    <w:p>
      <w:pPr>
        <w:pStyle w:val="159"/>
        <w:ind w:firstLine="420"/>
        <w:rPr>
          <w:rFonts w:ascii="Times New Roman"/>
          <w:szCs w:val="24"/>
        </w:rPr>
      </w:pPr>
      <w:bookmarkStart w:id="122" w:name="OLE_LINK16"/>
      <m:oMath>
        <m:sSub>
          <m:sSubPr>
            <m:ctrlPr>
              <w:rPr>
                <w:rFonts w:ascii="Cambria Math" w:hAnsi="Cambria Math"/>
                <w:i/>
                <w:iCs/>
                <w:szCs w:val="24"/>
              </w:rPr>
            </m:ctrlPr>
          </m:sSubPr>
          <m:e>
            <m:r>
              <m:rPr/>
              <w:rPr>
                <w:rFonts w:ascii="Cambria Math" w:hAnsi="Cambria Math"/>
              </w:rPr>
              <m:t>EF</m:t>
            </m:r>
            <m:ctrlPr>
              <w:rPr>
                <w:rFonts w:ascii="Cambria Math" w:hAnsi="Cambria Math"/>
                <w:i/>
                <w:iCs/>
                <w:szCs w:val="24"/>
              </w:rPr>
            </m:ctrlPr>
          </m:e>
          <m:sub>
            <m:r>
              <m:rPr/>
              <w:rPr>
                <w:rFonts w:ascii="Cambria Math" w:hAnsi="Cambria Math"/>
              </w:rPr>
              <m:t>PKM,k</m:t>
            </m:r>
            <m:ctrlPr>
              <w:rPr>
                <w:rFonts w:ascii="Cambria Math" w:hAnsi="Cambria Math"/>
                <w:i/>
                <w:iCs/>
                <w:szCs w:val="24"/>
              </w:rPr>
            </m:ctrlPr>
          </m:sub>
        </m:sSub>
      </m:oMath>
      <w:r>
        <w:rPr>
          <w:rFonts w:hAnsi="宋体"/>
        </w:rPr>
        <w:t>——基准年</w:t>
      </w:r>
      <w:r>
        <w:rPr>
          <w:rFonts w:hint="eastAsia" w:hAnsi="宋体"/>
        </w:rPr>
        <w:t>出</w:t>
      </w:r>
      <w:r>
        <w:rPr>
          <w:rFonts w:ascii="Times New Roman"/>
        </w:rPr>
        <w:t>行方式k</w:t>
      </w:r>
      <w:r>
        <w:rPr>
          <w:rFonts w:ascii="Times New Roman"/>
          <w:szCs w:val="24"/>
        </w:rPr>
        <w:t>的人公里碳排放因子，</w:t>
      </w:r>
      <w:r>
        <w:rPr>
          <w:rFonts w:ascii="Times New Roman"/>
          <w:lang w:val="en-AU"/>
        </w:rPr>
        <w:t>单位为</w:t>
      </w:r>
      <w:r>
        <w:rPr>
          <w:rFonts w:ascii="Times New Roman"/>
        </w:rPr>
        <w:t>吨二氧化碳每人公里</w:t>
      </w:r>
      <w:r>
        <w:rPr>
          <w:rFonts w:ascii="Times New Roman"/>
          <w:lang w:val="en-AU"/>
        </w:rPr>
        <w:t>（tCO</w:t>
      </w:r>
      <w:r>
        <w:rPr>
          <w:rFonts w:ascii="Times New Roman"/>
          <w:vertAlign w:val="subscript"/>
          <w:lang w:val="en-AU"/>
        </w:rPr>
        <w:t>2</w:t>
      </w:r>
      <w:r>
        <w:rPr>
          <w:rFonts w:ascii="Times New Roman"/>
          <w:lang w:val="en-AU"/>
        </w:rPr>
        <w:t>/PKM）</w:t>
      </w:r>
      <w:r>
        <w:rPr>
          <w:rFonts w:ascii="Times New Roman"/>
          <w:szCs w:val="24"/>
        </w:rPr>
        <w:t>；</w:t>
      </w:r>
      <w:bookmarkEnd w:id="122"/>
    </w:p>
    <w:p>
      <w:pPr>
        <w:pStyle w:val="26"/>
        <w:jc w:val="left"/>
        <w:rPr>
          <w:rFonts w:ascii="Times New Roman"/>
        </w:rPr>
      </w:pPr>
      <m:oMath>
        <m:r>
          <m:rPr/>
          <w:rPr>
            <w:rFonts w:ascii="Cambria Math" w:hAnsi="Cambria Math"/>
          </w:rPr>
          <m:t>EC</m:t>
        </m:r>
      </m:oMath>
      <w:r>
        <w:rPr>
          <w:rFonts w:ascii="Times New Roman"/>
        </w:rPr>
        <w:t>——电动自行车的单位公里电耗，</w:t>
      </w:r>
      <w:r>
        <w:rPr>
          <w:rFonts w:hint="eastAsia" w:ascii="Times New Roman"/>
          <w:lang w:eastAsia="zh-Hans"/>
        </w:rPr>
        <w:t>单位为兆瓦时每公里</w:t>
      </w:r>
      <w:r>
        <w:rPr>
          <w:rFonts w:ascii="Times New Roman"/>
        </w:rPr>
        <w:t>(MWh/km)；</w:t>
      </w:r>
    </w:p>
    <w:p>
      <w:pPr>
        <w:pStyle w:val="26"/>
        <w:rPr>
          <w:rFonts w:ascii="Times New Roman"/>
        </w:rPr>
      </w:pPr>
      <m:oMath>
        <m:sSub>
          <m:sSubPr>
            <m:ctrlPr>
              <w:rPr>
                <w:rFonts w:ascii="Cambria Math" w:hAnsi="Cambria Math"/>
                <w:i/>
                <w:szCs w:val="24"/>
              </w:rPr>
            </m:ctrlPr>
          </m:sSubPr>
          <m:e>
            <m:r>
              <m:rPr/>
              <w:rPr>
                <w:rFonts w:ascii="Cambria Math" w:hAnsi="Cambria Math"/>
              </w:rPr>
              <m:t>EF</m:t>
            </m:r>
            <m:ctrlPr>
              <w:rPr>
                <w:rFonts w:ascii="Cambria Math" w:hAnsi="Cambria Math"/>
                <w:i/>
                <w:szCs w:val="24"/>
              </w:rPr>
            </m:ctrlPr>
          </m:e>
          <m:sub>
            <m:r>
              <m:rPr/>
              <w:rPr>
                <w:rFonts w:ascii="Cambria Math" w:hAnsi="Cambria Math"/>
              </w:rPr>
              <m:t>CO2</m:t>
            </m:r>
            <m:r>
              <m:rPr/>
              <w:rPr>
                <w:rFonts w:ascii="DejaVu Math TeX Gyre" w:hAnsi="DejaVu Math TeX Gyre"/>
              </w:rPr>
              <m:t>,x</m:t>
            </m:r>
            <m:ctrlPr>
              <w:rPr>
                <w:rFonts w:ascii="Cambria Math" w:hAnsi="Cambria Math"/>
                <w:i/>
                <w:szCs w:val="24"/>
              </w:rPr>
            </m:ctrlPr>
          </m:sub>
        </m:sSub>
      </m:oMath>
      <w:r>
        <w:rPr>
          <w:rFonts w:ascii="Times New Roman"/>
        </w:rPr>
        <w:t>——基准年能源x的碳排放因子，电力为tCO</w:t>
      </w:r>
      <w:r>
        <w:rPr>
          <w:rFonts w:ascii="Times New Roman"/>
          <w:vertAlign w:val="subscript"/>
        </w:rPr>
        <w:t>2</w:t>
      </w:r>
      <w:r>
        <w:rPr>
          <w:rFonts w:ascii="Times New Roman"/>
        </w:rPr>
        <w:t>/MWh，</w:t>
      </w:r>
      <w:r>
        <w:rPr>
          <w:rFonts w:hint="eastAsia" w:ascii="Times New Roman"/>
          <w:lang w:eastAsia="zh-Hans"/>
        </w:rPr>
        <w:t>单位为吨二氧化碳每兆瓦时</w:t>
      </w:r>
      <w:r>
        <w:rPr>
          <w:rFonts w:ascii="Times New Roman"/>
        </w:rPr>
        <w:t>；</w:t>
      </w:r>
    </w:p>
    <w:p>
      <w:pPr>
        <w:pStyle w:val="26"/>
        <w:spacing w:line="360" w:lineRule="auto"/>
        <w:rPr>
          <w:rFonts w:ascii="Times New Roman"/>
        </w:rPr>
      </w:pPr>
      <m:oMath>
        <m:r>
          <m:rPr/>
          <w:rPr>
            <w:rFonts w:ascii="Cambria Math" w:hAnsi="Cambria Math"/>
          </w:rPr>
          <m:t>TDL</m:t>
        </m:r>
      </m:oMath>
      <w:r>
        <w:rPr>
          <w:rFonts w:ascii="Times New Roman"/>
        </w:rPr>
        <w:t>——基准年电力系统平均技术传输与分配损失系数，无量纲。默认值为3%；</w:t>
      </w:r>
    </w:p>
    <w:p>
      <w:pPr>
        <w:pStyle w:val="26"/>
        <w:spacing w:line="360" w:lineRule="auto"/>
        <w:jc w:val="left"/>
        <w:rPr>
          <w:rFonts w:ascii="Times New Roman"/>
        </w:rPr>
      </w:pPr>
      <w:r>
        <w:rPr>
          <w:rFonts w:ascii="Times New Roman"/>
          <w:i/>
          <w:iCs/>
        </w:rPr>
        <w:t>k</w:t>
      </w:r>
      <w:r>
        <w:rPr>
          <w:rFonts w:ascii="Times New Roman"/>
        </w:rPr>
        <w:t>——</w:t>
      </w:r>
      <w:r>
        <w:rPr>
          <w:rFonts w:hint="eastAsia" w:ascii="Times New Roman"/>
        </w:rPr>
        <w:t>自行车</w:t>
      </w:r>
      <w:r>
        <w:rPr>
          <w:rFonts w:ascii="Times New Roman"/>
        </w:rPr>
        <w:t>出行方式。</w:t>
      </w:r>
    </w:p>
    <w:p>
      <w:pPr>
        <w:pStyle w:val="26"/>
      </w:pPr>
      <w:r>
        <w:rPr>
          <w:rFonts w:hint="eastAsia"/>
          <w:lang w:eastAsia="zh-Hans"/>
        </w:rPr>
        <w:t>当</w:t>
      </w:r>
      <w:r>
        <w:rPr>
          <w:rFonts w:hint="eastAsia"/>
          <w:lang w:val="en-AU"/>
        </w:rPr>
        <w:t>通过监测数据难以准确区分普通自行车和电动自行车</w:t>
      </w:r>
      <w:r>
        <w:rPr>
          <w:rFonts w:hint="eastAsia"/>
          <w:lang w:eastAsia="zh-Hans"/>
        </w:rPr>
        <w:t>时</w:t>
      </w:r>
      <w:r>
        <w:rPr>
          <w:rFonts w:hint="eastAsia"/>
          <w:lang w:val="en-AU"/>
        </w:rPr>
        <w:t>，自行车出行的人公里</w:t>
      </w:r>
      <w:r>
        <w:t>碳排放因子</w:t>
      </w:r>
      <w:r>
        <w:rPr>
          <w:rFonts w:hint="eastAsia"/>
          <w:lang w:val="en-AU"/>
        </w:rPr>
        <w:t>，可按式</w:t>
      </w:r>
      <w:r>
        <w:rPr>
          <w:lang w:val="en-AU"/>
        </w:rPr>
        <w:t>（</w:t>
      </w:r>
      <w:r>
        <w:rPr>
          <w:rFonts w:hAnsi="宋体"/>
        </w:rPr>
        <w:t>A.6）</w:t>
      </w:r>
      <w:r>
        <w:rPr>
          <w:rFonts w:hint="eastAsia" w:hAnsi="宋体"/>
        </w:rPr>
        <w:t>计算获得。</w:t>
      </w:r>
    </w:p>
    <w:p>
      <w:pPr>
        <w:pStyle w:val="26"/>
        <w:jc w:val="right"/>
        <w:rPr>
          <w:rFonts w:ascii="Times New Roman" w:eastAsia="仿宋_GB2312"/>
        </w:rPr>
      </w:pPr>
      <m:oMath>
        <m:sSub>
          <m:sSubPr>
            <m:ctrlPr>
              <w:rPr>
                <w:rFonts w:ascii="Cambria Math" w:hAnsi="Cambria Math"/>
                <w:i/>
                <w:iCs/>
              </w:rPr>
            </m:ctrlPr>
          </m:sSubPr>
          <m:e>
            <m:r>
              <m:rPr/>
              <w:rPr>
                <w:rFonts w:ascii="Cambria Math" w:hAnsi="Cambria Math"/>
              </w:rPr>
              <m:t>EF</m:t>
            </m:r>
            <m:ctrlPr>
              <w:rPr>
                <w:rFonts w:ascii="Cambria Math" w:hAnsi="Cambria Math"/>
                <w:i/>
                <w:iCs/>
              </w:rPr>
            </m:ctrlPr>
          </m:e>
          <m:sub>
            <m:r>
              <m:rPr/>
              <w:rPr>
                <w:rFonts w:ascii="Cambria Math" w:hAnsi="Cambria Math"/>
              </w:rPr>
              <m:t>PKM,k</m:t>
            </m:r>
            <m:ctrlPr>
              <w:rPr>
                <w:rFonts w:ascii="Cambria Math" w:hAnsi="Cambria Math"/>
                <w:i/>
                <w:iCs/>
              </w:rPr>
            </m:ctrlPr>
          </m:sub>
        </m:sSub>
        <m:r>
          <m:rPr>
            <m:sty m:val="p"/>
          </m:rPr>
          <w:rPr>
            <w:rFonts w:ascii="Cambria Math" w:hAnsi="Cambria Math"/>
          </w:rPr>
          <m:t>=</m:t>
        </m:r>
        <m:sSub>
          <m:sSubPr>
            <m:ctrlPr>
              <w:rPr>
                <w:rFonts w:ascii="Cambria Math" w:hAnsi="Cambria Math" w:cs="Cambria Math"/>
                <w:i/>
              </w:rPr>
            </m:ctrlPr>
          </m:sSubPr>
          <m:e>
            <m:r>
              <m:rPr/>
              <w:rPr>
                <w:rFonts w:ascii="Cambria Math" w:hAnsi="Cambria Math" w:cs="Cambria Math"/>
              </w:rPr>
              <m:t>EF</m:t>
            </m:r>
            <m:ctrlPr>
              <w:rPr>
                <w:rFonts w:ascii="Cambria Math" w:hAnsi="Cambria Math" w:cs="Cambria Math"/>
                <w:i/>
              </w:rPr>
            </m:ctrlPr>
          </m:e>
          <m:sub>
            <m:r>
              <m:rPr/>
              <w:rPr>
                <w:rFonts w:ascii="Cambria Math" w:hAnsi="Cambria Math" w:cs="Cambria Math"/>
              </w:rPr>
              <m:t>PKM,k</m:t>
            </m:r>
            <m:ctrlPr>
              <w:rPr>
                <w:rFonts w:ascii="Cambria Math" w:hAnsi="Cambria Math" w:cs="Cambria Math"/>
                <w:i/>
              </w:rPr>
            </m:ctrlPr>
          </m:sub>
        </m:sSub>
        <m:r>
          <m:rPr>
            <m:sty m:val="p"/>
          </m:rPr>
          <w:rPr>
            <w:rFonts w:ascii="DejaVu Math TeX Gyre" w:hAnsi="DejaVu Math TeX Gyre"/>
          </w:rPr>
          <m:t>×</m:t>
        </m:r>
        <m:sSub>
          <m:sSubPr>
            <m:ctrlPr>
              <w:rPr>
                <w:rFonts w:ascii="Cambria Math" w:hAnsi="Cambria Math"/>
                <w:i/>
                <w:iCs/>
              </w:rPr>
            </m:ctrlPr>
          </m:sSubPr>
          <m:e>
            <m:r>
              <m:rPr/>
              <w:rPr>
                <w:rFonts w:ascii="Cambria Math" w:hAnsi="Cambria Math"/>
                <w:lang w:val="en-AU"/>
              </w:rPr>
              <m:t>WE</m:t>
            </m:r>
            <m:ctrlPr>
              <w:rPr>
                <w:rFonts w:ascii="Cambria Math" w:hAnsi="Cambria Math"/>
                <w:i/>
                <w:iCs/>
              </w:rPr>
            </m:ctrlPr>
          </m:e>
          <m:sub>
            <m:r>
              <m:rPr/>
              <w:rPr>
                <w:rFonts w:ascii="Cambria Math" w:hAnsi="Cambria Math"/>
              </w:rPr>
              <m:t>k</m:t>
            </m:r>
            <m:ctrlPr>
              <w:rPr>
                <w:rFonts w:ascii="Cambria Math" w:hAnsi="Cambria Math"/>
                <w:i/>
                <w:iCs/>
              </w:rPr>
            </m:ctrlPr>
          </m:sub>
        </m:sSub>
        <m:r>
          <m:rPr>
            <m:sty m:val="p"/>
          </m:rPr>
          <w:rPr>
            <w:rFonts w:ascii="DejaVu Math TeX Gyre" w:hAnsi="DejaVu Math TeX Gyre"/>
          </w:rPr>
          <m:t>+0×</m:t>
        </m:r>
        <m:sSub>
          <m:sSubPr>
            <m:ctrlPr>
              <w:rPr>
                <w:rFonts w:ascii="Cambria Math" w:hAnsi="Cambria Math" w:cs="Cambria Math"/>
                <w:i/>
                <w:iCs/>
              </w:rPr>
            </m:ctrlPr>
          </m:sSubPr>
          <m:e>
            <m:r>
              <m:rPr/>
              <w:rPr>
                <w:rFonts w:hint="eastAsia" w:ascii="Cambria Math" w:hAnsi="Cambria Math" w:cs="Cambria Math"/>
                <w:lang w:val="en-AU"/>
              </w:rPr>
              <m:t>W</m:t>
            </m:r>
            <m:r>
              <m:rPr/>
              <w:rPr>
                <w:rFonts w:ascii="Cambria Math" w:hAnsi="Cambria Math" w:cs="Cambria Math"/>
              </w:rPr>
              <m:t>P</m:t>
            </m:r>
            <m:ctrlPr>
              <w:rPr>
                <w:rFonts w:ascii="Cambria Math" w:hAnsi="Cambria Math" w:cs="Cambria Math"/>
                <w:i/>
                <w:iCs/>
              </w:rPr>
            </m:ctrlPr>
          </m:e>
          <m:sub>
            <m:r>
              <m:rPr/>
              <w:rPr>
                <w:rFonts w:hint="eastAsia" w:ascii="Cambria Math" w:hAnsi="Cambria Math" w:cs="Cambria Math"/>
              </w:rPr>
              <m:t>k</m:t>
            </m:r>
            <m:ctrlPr>
              <w:rPr>
                <w:rFonts w:ascii="Cambria Math" w:hAnsi="Cambria Math" w:cs="Cambria Math"/>
                <w:i/>
                <w:iCs/>
              </w:rPr>
            </m:ctrlPr>
          </m:sub>
        </m:sSub>
      </m:oMath>
      <w:r>
        <w:rPr>
          <w:rFonts w:ascii="Cambria Math" w:hAnsi="Cambria Math"/>
        </w:rPr>
        <w:t>……………………………</w:t>
      </w:r>
      <w:r>
        <w:rPr>
          <w:rFonts w:ascii="Times New Roman" w:eastAsia="仿宋_GB2312"/>
        </w:rPr>
        <w:t>（</w:t>
      </w:r>
      <w:r>
        <w:rPr>
          <w:rFonts w:hAnsi="宋体"/>
        </w:rPr>
        <w:t>A.6</w:t>
      </w:r>
      <w:r>
        <w:rPr>
          <w:rFonts w:ascii="Times New Roman" w:eastAsia="仿宋_GB2312"/>
        </w:rPr>
        <w:t>）</w:t>
      </w:r>
    </w:p>
    <w:p>
      <w:pPr>
        <w:pStyle w:val="26"/>
        <w:jc w:val="left"/>
        <w:rPr>
          <w:rFonts w:hAnsi="宋体"/>
          <w:lang w:eastAsia="zh-Hans"/>
        </w:rPr>
      </w:pPr>
      <w:r>
        <w:rPr>
          <w:rFonts w:hint="eastAsia" w:hAnsi="宋体"/>
        </w:rPr>
        <w:t>式中：</w:t>
      </w:r>
    </w:p>
    <w:p>
      <w:pPr>
        <w:pStyle w:val="26"/>
        <w:ind w:left="420" w:hanging="420" w:hangingChars="200"/>
        <w:jc w:val="left"/>
        <w:rPr>
          <w:rFonts w:ascii="Times New Roman"/>
          <w:lang w:eastAsia="zh-Hans"/>
        </w:rPr>
      </w:pPr>
      <w:r>
        <w:rPr>
          <w:rFonts w:hint="eastAsia" w:ascii="Times New Roman" w:hAnsi="Cambria Math"/>
          <w:szCs w:val="24"/>
        </w:rPr>
        <w:t xml:space="preserve">   </w:t>
      </w:r>
      <m:oMath>
        <m:sSub>
          <m:sSubPr>
            <m:ctrlPr>
              <w:rPr>
                <w:rFonts w:ascii="Cambria Math" w:hAnsi="Cambria Math" w:cs="Cambria Math"/>
                <w:i/>
              </w:rPr>
            </m:ctrlPr>
          </m:sSubPr>
          <m:e>
            <m:r>
              <m:rPr/>
              <w:rPr>
                <w:rFonts w:ascii="Cambria Math" w:hAnsi="Cambria Math" w:cs="Cambria Math"/>
              </w:rPr>
              <m:t>EF</m:t>
            </m:r>
            <m:ctrlPr>
              <w:rPr>
                <w:rFonts w:ascii="Cambria Math" w:hAnsi="Cambria Math" w:cs="Cambria Math"/>
                <w:i/>
              </w:rPr>
            </m:ctrlPr>
          </m:e>
          <m:sub>
            <m:r>
              <m:rPr/>
              <w:rPr>
                <w:rFonts w:ascii="Cambria Math" w:hAnsi="Cambria Math" w:cs="Cambria Math"/>
              </w:rPr>
              <m:t>PKM,k</m:t>
            </m:r>
            <m:ctrlPr>
              <w:rPr>
                <w:rFonts w:ascii="Cambria Math" w:hAnsi="Cambria Math" w:cs="Cambria Math"/>
                <w:i/>
              </w:rPr>
            </m:ctrlPr>
          </m:sub>
        </m:sSub>
      </m:oMath>
      <w:r>
        <w:rPr>
          <w:rFonts w:ascii="Times New Roman"/>
        </w:rPr>
        <w:t>——</w:t>
      </w:r>
      <w:r>
        <w:rPr>
          <w:rFonts w:hint="eastAsia" w:ascii="Times New Roman"/>
          <w:lang w:eastAsia="zh-Hans"/>
        </w:rPr>
        <w:t>基准年出行方式k的人公里碳排放因子</w:t>
      </w:r>
      <w:r>
        <w:rPr>
          <w:rFonts w:ascii="Times New Roman"/>
          <w:lang w:eastAsia="zh-Hans"/>
        </w:rPr>
        <w:t>，</w:t>
      </w:r>
      <w:r>
        <w:rPr>
          <w:rFonts w:hint="eastAsia" w:ascii="Times New Roman"/>
          <w:lang w:eastAsia="zh-Hans"/>
        </w:rPr>
        <w:t>单位为</w:t>
      </w:r>
      <w:r>
        <w:rPr>
          <w:rFonts w:ascii="Times New Roman"/>
        </w:rPr>
        <w:t>吨二氧化碳每人公里</w:t>
      </w:r>
      <w:r>
        <w:rPr>
          <w:rFonts w:ascii="Times New Roman"/>
          <w:lang w:val="en-AU"/>
        </w:rPr>
        <w:t>（tCO</w:t>
      </w:r>
      <w:r>
        <w:rPr>
          <w:rFonts w:ascii="Times New Roman"/>
          <w:vertAlign w:val="subscript"/>
          <w:lang w:val="en-AU"/>
        </w:rPr>
        <w:t>2</w:t>
      </w:r>
      <w:r>
        <w:rPr>
          <w:rFonts w:ascii="Times New Roman"/>
          <w:lang w:val="en-AU"/>
        </w:rPr>
        <w:t>/PKM</w:t>
      </w:r>
      <w:r>
        <w:rPr>
          <w:rFonts w:hint="eastAsia" w:ascii="Times New Roman"/>
          <w:lang w:val="en-AU"/>
        </w:rPr>
        <w:t>）</w:t>
      </w:r>
      <w:r>
        <w:rPr>
          <w:rFonts w:hint="eastAsia" w:ascii="Times New Roman"/>
          <w:szCs w:val="24"/>
        </w:rPr>
        <w:t>；</w:t>
      </w:r>
    </w:p>
    <w:p>
      <w:pPr>
        <w:pStyle w:val="26"/>
        <w:jc w:val="left"/>
      </w:pPr>
      <m:oMath>
        <m:sSub>
          <m:sSubPr>
            <m:ctrlPr>
              <w:rPr>
                <w:rFonts w:ascii="Cambria Math" w:hAnsi="Cambria Math"/>
                <w:i/>
                <w:iCs/>
              </w:rPr>
            </m:ctrlPr>
          </m:sSubPr>
          <m:e>
            <m:r>
              <m:rPr/>
              <w:rPr>
                <w:rFonts w:ascii="Cambria Math" w:hAnsi="Cambria Math"/>
                <w:lang w:val="en-AU"/>
              </w:rPr>
              <m:t>WE</m:t>
            </m:r>
            <m:ctrlPr>
              <w:rPr>
                <w:rFonts w:ascii="Cambria Math" w:hAnsi="Cambria Math"/>
                <w:i/>
                <w:iCs/>
              </w:rPr>
            </m:ctrlPr>
          </m:e>
          <m:sub>
            <m:r>
              <m:rPr/>
              <w:rPr>
                <w:rFonts w:ascii="Cambria Math" w:hAnsi="Cambria Math"/>
              </w:rPr>
              <m:t>k</m:t>
            </m:r>
            <m:ctrlPr>
              <w:rPr>
                <w:rFonts w:ascii="Cambria Math" w:hAnsi="Cambria Math"/>
                <w:i/>
                <w:iCs/>
              </w:rPr>
            </m:ctrlPr>
          </m:sub>
        </m:sSub>
      </m:oMath>
      <w:r>
        <w:rPr>
          <w:rFonts w:hint="eastAsia"/>
        </w:rPr>
        <w:t>——</w:t>
      </w:r>
      <w:r>
        <w:t>基准年</w:t>
      </w:r>
      <w:r>
        <w:rPr>
          <w:rFonts w:hint="eastAsia"/>
        </w:rPr>
        <w:t>电动自行车出行量占自行车出行总量的比重，单位为百分比（%）；</w:t>
      </w:r>
    </w:p>
    <w:p>
      <w:pPr>
        <w:pStyle w:val="26"/>
        <w:ind w:left="420" w:leftChars="200" w:firstLine="0" w:firstLineChars="0"/>
        <w:jc w:val="left"/>
      </w:pPr>
      <m:oMath>
        <m:sSub>
          <m:sSubPr>
            <m:ctrlPr>
              <w:rPr>
                <w:rFonts w:ascii="Cambria Math" w:hAnsi="Cambria Math"/>
                <w:i/>
                <w:iCs/>
                <w:lang w:val="en-AU"/>
              </w:rPr>
            </m:ctrlPr>
          </m:sSubPr>
          <m:e>
            <m:r>
              <m:rPr/>
              <w:rPr>
                <w:rFonts w:ascii="Cambria Math" w:hAnsi="Cambria Math"/>
                <w:lang w:val="en-AU"/>
              </w:rPr>
              <m:t>WP</m:t>
            </m:r>
            <m:ctrlPr>
              <w:rPr>
                <w:rFonts w:ascii="Cambria Math" w:hAnsi="Cambria Math"/>
                <w:i/>
                <w:iCs/>
                <w:lang w:val="en-AU"/>
              </w:rPr>
            </m:ctrlPr>
          </m:e>
          <m:sub>
            <m:r>
              <m:rPr/>
              <w:rPr>
                <w:rFonts w:hint="eastAsia" w:ascii="Cambria Math" w:hAnsi="Cambria Math"/>
                <w:lang w:val="en-AU"/>
              </w:rPr>
              <m:t>k</m:t>
            </m:r>
            <m:ctrlPr>
              <w:rPr>
                <w:rFonts w:ascii="Cambria Math" w:hAnsi="Cambria Math"/>
                <w:i/>
                <w:iCs/>
                <w:lang w:val="en-AU"/>
              </w:rPr>
            </m:ctrlPr>
          </m:sub>
        </m:sSub>
      </m:oMath>
      <w:r>
        <w:rPr>
          <w:rFonts w:hint="eastAsia"/>
        </w:rPr>
        <w:t>——</w:t>
      </w:r>
      <w:r>
        <w:t>基准年</w:t>
      </w:r>
      <w:r>
        <w:rPr>
          <w:rFonts w:hint="eastAsia"/>
          <w:lang w:eastAsia="zh-Hans"/>
        </w:rPr>
        <w:t>普通</w:t>
      </w:r>
      <w:r>
        <w:rPr>
          <w:rFonts w:hint="eastAsia"/>
        </w:rPr>
        <w:t>自行车出行量占自行车出行总量的比重，单位为百分比（%）</w:t>
      </w:r>
      <w:r>
        <w:t>。</w:t>
      </w:r>
    </w:p>
    <w:p>
      <w:pPr>
        <w:pStyle w:val="103"/>
        <w:tabs>
          <w:tab w:val="clear" w:pos="360"/>
        </w:tabs>
        <w:spacing w:before="156" w:after="156"/>
        <w:ind w:left="0"/>
        <w:rPr>
          <w:rFonts w:hAnsi="黑体"/>
        </w:rPr>
      </w:pPr>
      <w:r>
        <w:rPr>
          <w:rFonts w:hint="eastAsia" w:hAnsi="黑体"/>
        </w:rPr>
        <w:t>小微型客车</w:t>
      </w:r>
      <w:r>
        <w:rPr>
          <w:rFonts w:hAnsi="黑体"/>
        </w:rPr>
        <w:t>合乘出行</w:t>
      </w:r>
      <w:r>
        <w:rPr>
          <w:rFonts w:hint="eastAsia" w:hAnsi="黑体"/>
        </w:rPr>
        <w:t>的人公里</w:t>
      </w:r>
      <w:r>
        <w:rPr>
          <w:rFonts w:hAnsi="黑体"/>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k</m:t>
            </m:r>
            <m:ctrlPr>
              <w:rPr>
                <w:rFonts w:ascii="Cambria Math" w:hAnsi="Cambria Math"/>
              </w:rPr>
            </m:ctrlPr>
          </m:sub>
        </m:sSub>
      </m:oMath>
    </w:p>
    <w:p>
      <w:pPr>
        <w:ind w:firstLine="420" w:firstLineChars="200"/>
        <w:rPr>
          <w:rFonts w:hAnsi="宋体"/>
        </w:rPr>
      </w:pPr>
      <w:r>
        <w:rPr>
          <w:rFonts w:hint="eastAsia"/>
          <w:lang w:val="en-AU"/>
        </w:rPr>
        <w:t>小微型客车合乘出行的人公里</w:t>
      </w:r>
      <w:r>
        <w:t>碳排放因子</w:t>
      </w:r>
      <w:r>
        <w:rPr>
          <w:rFonts w:hint="eastAsia"/>
          <w:lang w:val="en-AU"/>
        </w:rPr>
        <w:t>按</w:t>
      </w:r>
      <w:r>
        <w:rPr>
          <w:lang w:val="en-AU"/>
        </w:rPr>
        <w:t>式（</w:t>
      </w:r>
      <w:r>
        <w:rPr>
          <w:rFonts w:hAnsi="宋体"/>
        </w:rPr>
        <w:t>A.7）</w:t>
      </w:r>
      <w:r>
        <w:rPr>
          <w:rFonts w:hint="eastAsia" w:hAnsi="宋体"/>
        </w:rPr>
        <w:t>计算</w:t>
      </w:r>
      <w:r>
        <w:rPr>
          <w:rFonts w:hAnsi="宋体"/>
        </w:rPr>
        <w:t>：</w:t>
      </w:r>
    </w:p>
    <w:p>
      <w:pPr>
        <w:pStyle w:val="26"/>
        <w:ind w:firstLine="0" w:firstLineChars="0"/>
        <w:jc w:val="right"/>
        <w:rPr>
          <w:rFonts w:hint="eastAsia" w:ascii="Cambria Math" w:hAnsi="Cambria Math"/>
        </w:rPr>
      </w:pPr>
      <m:oMath>
        <m:sSub>
          <m:sSubPr>
            <m:ctrlPr>
              <w:rPr>
                <w:rFonts w:ascii="Cambria Math" w:hAnsi="Cambria Math" w:cs="宋体"/>
                <w:szCs w:val="24"/>
              </w:rPr>
            </m:ctrlPr>
          </m:sSubPr>
          <m:e>
            <m:r>
              <m:rPr/>
              <w:rPr>
                <w:rFonts w:ascii="Cambria Math" w:hAnsi="Cambria Math"/>
              </w:rPr>
              <m:t>EF</m:t>
            </m:r>
            <m:ctrlPr>
              <w:rPr>
                <w:rFonts w:ascii="Cambria Math" w:hAnsi="Cambria Math" w:cs="宋体"/>
                <w:szCs w:val="24"/>
              </w:rPr>
            </m:ctrlPr>
          </m:e>
          <m:sub>
            <m:r>
              <m:rPr/>
              <w:rPr>
                <w:rFonts w:ascii="Cambria Math" w:hAnsi="Cambria Math"/>
              </w:rPr>
              <m:t>PKM,k</m:t>
            </m:r>
            <m:ctrlPr>
              <w:rPr>
                <w:rFonts w:ascii="Cambria Math" w:hAnsi="Cambria Math" w:cs="宋体"/>
                <w:szCs w:val="24"/>
              </w:rPr>
            </m:ctrlPr>
          </m:sub>
        </m:sSub>
        <m:r>
          <m:rPr/>
          <w:rPr>
            <w:rFonts w:ascii="Cambria Math" w:hAnsi="Cambria Math"/>
          </w:rPr>
          <m:t>=</m:t>
        </m:r>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PKM,i,BL</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i,y</m:t>
            </m:r>
            <m:ctrlPr>
              <w:rPr>
                <w:rFonts w:ascii="Cambria Math" w:hAnsi="Cambria Math"/>
                <w:i/>
              </w:rPr>
            </m:ctrlPr>
          </m:sub>
        </m:sSub>
      </m:oMath>
      <w:r>
        <w:rPr>
          <w:rFonts w:ascii="Cambria Math" w:hAnsi="Cambria Math"/>
        </w:rPr>
        <w:t>……………………………</w:t>
      </w:r>
      <w:r>
        <w:rPr>
          <w:rFonts w:hint="eastAsia" w:ascii="Cambria Math" w:hAnsi="Cambria Math"/>
        </w:rPr>
        <w:t>（</w:t>
      </w:r>
      <w:r>
        <w:rPr>
          <w:rFonts w:hAnsi="宋体"/>
        </w:rPr>
        <w:t>A.7</w:t>
      </w:r>
      <w:r>
        <w:rPr>
          <w:rFonts w:hint="eastAsia" w:ascii="Cambria Math" w:hAnsi="Cambria Math"/>
        </w:rPr>
        <w:t>）</w:t>
      </w:r>
    </w:p>
    <w:p>
      <w:pPr>
        <w:pStyle w:val="26"/>
        <w:jc w:val="left"/>
        <w:rPr>
          <w:rFonts w:ascii="Times New Roman"/>
        </w:rPr>
      </w:pPr>
      <w:r>
        <w:rPr>
          <w:rFonts w:ascii="Times New Roman"/>
        </w:rPr>
        <w:t>式中：</w:t>
      </w:r>
    </w:p>
    <w:p>
      <w:pPr>
        <w:pStyle w:val="26"/>
        <w:jc w:val="left"/>
        <w:rPr>
          <w:rFonts w:ascii="Times New Roman"/>
        </w:rPr>
      </w:pP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PKM,i,BL</m:t>
            </m:r>
            <m:ctrlPr>
              <w:rPr>
                <w:rFonts w:ascii="Cambria Math" w:hAnsi="Cambria Math"/>
              </w:rPr>
            </m:ctrlPr>
          </m:sub>
        </m:sSub>
      </m:oMath>
      <w:r>
        <w:rPr>
          <w:rFonts w:ascii="Times New Roman"/>
        </w:rPr>
        <w:t>——第i次出行的基准线人公里</w:t>
      </w:r>
      <w:r>
        <w:rPr>
          <w:rFonts w:hint="eastAsia" w:ascii="Times New Roman"/>
          <w:lang w:eastAsia="zh-Hans"/>
        </w:rPr>
        <w:t>速度</w:t>
      </w:r>
      <w:r>
        <w:rPr>
          <w:rFonts w:ascii="Times New Roman"/>
        </w:rPr>
        <w:t>碳排放因子，</w:t>
      </w:r>
      <w:r>
        <w:rPr>
          <w:rFonts w:ascii="Times New Roman"/>
          <w:lang w:val="en-AU"/>
        </w:rPr>
        <w:t>单位为</w:t>
      </w:r>
      <w:r>
        <w:rPr>
          <w:rFonts w:hint="eastAsia" w:ascii="Cambria Math" w:hAnsi="Cambria Math"/>
        </w:rPr>
        <w:t>吨二氧化碳每人公里</w:t>
      </w:r>
      <w:r>
        <w:rPr>
          <w:rFonts w:ascii="Times New Roman"/>
          <w:lang w:val="en-AU"/>
        </w:rPr>
        <w:t>（tCO</w:t>
      </w:r>
      <w:r>
        <w:rPr>
          <w:rFonts w:ascii="Times New Roman"/>
          <w:vertAlign w:val="subscript"/>
          <w:lang w:val="en-AU"/>
        </w:rPr>
        <w:t>2</w:t>
      </w:r>
      <w:r>
        <w:rPr>
          <w:rFonts w:ascii="Times New Roman"/>
          <w:lang w:val="en-AU"/>
        </w:rPr>
        <w:t>/PKM）</w:t>
      </w:r>
      <w:r>
        <w:rPr>
          <w:rFonts w:ascii="Times New Roman"/>
        </w:rPr>
        <w:t>；</w:t>
      </w:r>
    </w:p>
    <w:p>
      <w:pPr>
        <w:pStyle w:val="26"/>
        <w:jc w:val="left"/>
        <w:rPr>
          <w:rFonts w:ascii="Times New Roman"/>
        </w:rPr>
      </w:pP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i,y</m:t>
            </m:r>
            <m:ctrlPr>
              <w:rPr>
                <w:rFonts w:ascii="Cambria Math" w:hAnsi="Cambria Math"/>
                <w:i/>
              </w:rPr>
            </m:ctrlPr>
          </m:sub>
        </m:sSub>
      </m:oMath>
      <w:r>
        <w:rPr>
          <w:rFonts w:ascii="Times New Roman"/>
        </w:rPr>
        <w:t>——第y年第i次</w:t>
      </w:r>
      <w:r>
        <w:rPr>
          <w:rFonts w:hint="eastAsia" w:ascii="Times New Roman"/>
        </w:rPr>
        <w:t>小微型客车</w:t>
      </w:r>
      <w:r>
        <w:rPr>
          <w:rFonts w:ascii="Times New Roman"/>
        </w:rPr>
        <w:t>合乘出行的人数；</w:t>
      </w:r>
    </w:p>
    <w:p>
      <w:pPr>
        <w:pStyle w:val="26"/>
        <w:jc w:val="left"/>
        <w:rPr>
          <w:rFonts w:ascii="Times New Roman"/>
        </w:rPr>
      </w:pPr>
      <w:r>
        <w:rPr>
          <w:rFonts w:ascii="Times New Roman"/>
          <w:i/>
          <w:iCs/>
        </w:rPr>
        <w:t>k</w:t>
      </w:r>
      <w:r>
        <w:rPr>
          <w:rFonts w:ascii="Times New Roman"/>
        </w:rPr>
        <w:t>——</w:t>
      </w:r>
      <w:r>
        <w:rPr>
          <w:rFonts w:hint="eastAsia" w:ascii="Times New Roman"/>
        </w:rPr>
        <w:t>小微型客车</w:t>
      </w:r>
      <w:r>
        <w:rPr>
          <w:rFonts w:ascii="Times New Roman"/>
        </w:rPr>
        <w:t>合乘出行方式。</w:t>
      </w:r>
    </w:p>
    <w:p>
      <w:pPr>
        <w:pStyle w:val="26"/>
        <w:jc w:val="left"/>
        <w:rPr>
          <w:rFonts w:ascii="Times New Roman"/>
        </w:rPr>
      </w:pPr>
      <w:r>
        <w:rPr>
          <w:rFonts w:hint="eastAsia" w:ascii="Times New Roman"/>
        </w:rPr>
        <w:t>注：在获取小微型客车合乘出行人数难度大时，</w:t>
      </w:r>
      <m:oMath>
        <m:r>
          <m:rPr/>
          <w:rPr>
            <w:rFonts w:ascii="Cambria Math" w:hAnsi="Cambria Math"/>
          </w:rPr>
          <m:t xml:space="preserve"> </m:t>
        </m:r>
      </m:oMath>
      <w:r>
        <w:rPr>
          <w:rFonts w:hint="eastAsia" w:ascii="Times New Roman"/>
        </w:rPr>
        <w:t>则取乘车人数为2进行保守计算。</w:t>
      </w:r>
    </w:p>
    <w:p>
      <w:pPr>
        <w:pStyle w:val="103"/>
        <w:tabs>
          <w:tab w:val="clear" w:pos="360"/>
        </w:tabs>
        <w:spacing w:before="156" w:after="156"/>
        <w:ind w:left="0"/>
        <w:rPr>
          <w:rFonts w:hAnsi="黑体"/>
        </w:rPr>
      </w:pPr>
      <w:r>
        <w:rPr>
          <w:rFonts w:hint="eastAsia" w:ascii="Times New Roman"/>
        </w:rPr>
        <w:t>小微型客车停驶后的人公里</w:t>
      </w:r>
      <w:r>
        <w:rPr>
          <w:rFonts w:ascii="Times New Roman"/>
        </w:rPr>
        <w:t>碳排放因子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PKM</m:t>
            </m:r>
            <m:r>
              <m:rPr>
                <m:sty m:val="p"/>
              </m:rPr>
              <w:rPr>
                <w:rFonts w:ascii="Cambria Math" w:hAnsi="Cambria Math"/>
              </w:rPr>
              <m:t>,</m:t>
            </m:r>
            <m:r>
              <m:rPr/>
              <w:rPr>
                <w:rFonts w:hint="eastAsia" w:ascii="Cambria Math" w:hAnsi="Cambria Math"/>
              </w:rPr>
              <m:t>k</m:t>
            </m:r>
            <m:ctrlPr>
              <w:rPr>
                <w:rFonts w:ascii="Cambria Math" w:hAnsi="Cambria Math"/>
              </w:rPr>
            </m:ctrlPr>
          </m:sub>
        </m:sSub>
      </m:oMath>
    </w:p>
    <w:p>
      <w:pPr>
        <w:pStyle w:val="26"/>
        <w:rPr>
          <w:lang w:val="en-AU"/>
        </w:rPr>
      </w:pPr>
      <w:r>
        <w:rPr>
          <w:rFonts w:hint="eastAsia"/>
        </w:rPr>
        <w:t>在识别并确认汽车存在停驶行为后，小微型客车停驶后的人公里</w:t>
      </w:r>
      <w:r>
        <w:t>碳排放因子</w:t>
      </w:r>
      <w:r>
        <w:rPr>
          <w:rFonts w:hint="eastAsia"/>
        </w:rPr>
        <w:t>为可选择低碳出行方式的加权平均</w:t>
      </w:r>
      <w:r>
        <w:t>碳排放因子</w:t>
      </w:r>
      <w:r>
        <w:rPr>
          <w:rFonts w:hint="eastAsia"/>
        </w:rPr>
        <w:t>，按式（</w:t>
      </w:r>
      <w:r>
        <w:rPr>
          <w:lang w:val="en-AU"/>
        </w:rPr>
        <w:t>A.8</w:t>
      </w:r>
      <w:r>
        <w:rPr>
          <w:rFonts w:hint="eastAsia"/>
          <w:lang w:val="en-AU"/>
        </w:rPr>
        <w:t>）计算：</w:t>
      </w:r>
    </w:p>
    <w:p>
      <w:pPr>
        <w:pStyle w:val="26"/>
        <w:ind w:firstLineChars="0"/>
        <w:jc w:val="right"/>
        <w:rPr>
          <w:rFonts w:hint="eastAsia" w:ascii="Cambria Math" w:hAnsi="Cambria Math"/>
        </w:rPr>
      </w:pPr>
      <m:oMath>
        <m:sSub>
          <m:sSubPr>
            <m:ctrlPr>
              <w:rPr>
                <w:rFonts w:ascii="Cambria Math" w:hAnsi="Cambria Math" w:cs="宋体"/>
                <w:szCs w:val="24"/>
              </w:rPr>
            </m:ctrlPr>
          </m:sSubPr>
          <m:e>
            <m:r>
              <m:rPr/>
              <w:rPr>
                <w:rFonts w:ascii="Cambria Math" w:hAnsi="Cambria Math"/>
              </w:rPr>
              <m:t>EF</m:t>
            </m:r>
            <m:ctrlPr>
              <w:rPr>
                <w:rFonts w:ascii="Cambria Math" w:hAnsi="Cambria Math" w:cs="宋体"/>
                <w:szCs w:val="24"/>
              </w:rPr>
            </m:ctrlPr>
          </m:e>
          <m:sub>
            <m:r>
              <m:rPr/>
              <w:rPr>
                <w:rFonts w:ascii="Cambria Math" w:hAnsi="Cambria Math"/>
              </w:rPr>
              <m:t>k,PKM</m:t>
            </m:r>
            <m:ctrlPr>
              <w:rPr>
                <w:rFonts w:ascii="Cambria Math" w:hAnsi="Cambria Math" w:cs="宋体"/>
                <w:szCs w:val="24"/>
              </w:rPr>
            </m:ctrlPr>
          </m:sub>
        </m:sSub>
        <m:r>
          <m:rPr/>
          <w:rPr>
            <w:rFonts w:ascii="Cambria Math" w:hAnsi="Cambria Math" w:cs="宋体"/>
            <w:szCs w:val="24"/>
          </w:rPr>
          <m:t>=</m:t>
        </m:r>
        <m:sSub>
          <m:sSubPr>
            <m:ctrlPr>
              <w:rPr>
                <w:rFonts w:ascii="Cambria Math" w:hAnsi="Cambria Math" w:cs="宋体"/>
                <w:i/>
                <w:szCs w:val="24"/>
              </w:rPr>
            </m:ctrlPr>
          </m:sSubPr>
          <m:e>
            <m:r>
              <m:rPr/>
              <w:rPr>
                <w:rFonts w:ascii="Cambria Math" w:hAnsi="Cambria Math" w:cs="宋体"/>
                <w:szCs w:val="24"/>
              </w:rPr>
              <m:t>EF</m:t>
            </m:r>
            <m:ctrlPr>
              <w:rPr>
                <w:rFonts w:ascii="Cambria Math" w:hAnsi="Cambria Math" w:cs="宋体"/>
                <w:i/>
                <w:szCs w:val="24"/>
              </w:rPr>
            </m:ctrlPr>
          </m:e>
          <m:sub>
            <m:r>
              <m:rPr/>
              <w:rPr>
                <w:rFonts w:ascii="Cambria Math" w:hAnsi="Cambria Math" w:cs="宋体"/>
                <w:szCs w:val="24"/>
              </w:rPr>
              <m:t>M,PKM</m:t>
            </m:r>
            <m:ctrlPr>
              <w:rPr>
                <w:rFonts w:ascii="Cambria Math" w:hAnsi="Cambria Math" w:cs="宋体"/>
                <w:i/>
                <w:szCs w:val="24"/>
              </w:rPr>
            </m:ctrlPr>
          </m:sub>
        </m:sSub>
      </m:oMath>
      <w:r>
        <w:rPr>
          <w:rFonts w:ascii="Cambria Math" w:hAnsi="Cambria Math"/>
        </w:rPr>
        <w:t>…………………………………</w:t>
      </w:r>
      <w:r>
        <w:rPr>
          <w:rFonts w:hint="eastAsia" w:ascii="Cambria Math" w:hAnsi="Cambria Math"/>
        </w:rPr>
        <w:t>（</w:t>
      </w:r>
      <w:r>
        <w:rPr>
          <w:rFonts w:hAnsi="宋体"/>
        </w:rPr>
        <w:t>A.8</w:t>
      </w:r>
      <w:r>
        <w:rPr>
          <w:rFonts w:hint="eastAsia" w:ascii="Cambria Math" w:hAnsi="Cambria Math"/>
        </w:rPr>
        <w:t>）</w:t>
      </w:r>
    </w:p>
    <w:p>
      <w:pPr>
        <w:widowControl/>
        <w:jc w:val="left"/>
        <w:rPr>
          <w:rFonts w:ascii="宋体"/>
          <w:kern w:val="0"/>
          <w:szCs w:val="20"/>
          <w:lang w:val="en-AU"/>
        </w:rPr>
      </w:pPr>
      <w:r>
        <w:br w:type="page"/>
      </w:r>
    </w:p>
    <w:p>
      <w:pPr>
        <w:pStyle w:val="85"/>
        <w:spacing w:before="156" w:after="156"/>
        <w:ind w:left="0"/>
      </w:pPr>
      <w:r>
        <w:br w:type="textWrapping"/>
      </w:r>
      <w:bookmarkStart w:id="123" w:name="_Toc105443230"/>
      <w:bookmarkStart w:id="124" w:name="_Toc118127249"/>
      <w:r>
        <w:rPr>
          <w:rFonts w:hint="eastAsia"/>
        </w:rPr>
        <w:t>（规范性）</w:t>
      </w:r>
      <w:r>
        <w:br w:type="textWrapping"/>
      </w:r>
      <w:r>
        <w:rPr>
          <w:rFonts w:hint="eastAsia"/>
        </w:rPr>
        <w:t>出行里程的计算方法</w:t>
      </w:r>
      <w:bookmarkEnd w:id="123"/>
      <w:bookmarkEnd w:id="124"/>
    </w:p>
    <w:p>
      <w:pPr>
        <w:pStyle w:val="102"/>
        <w:tabs>
          <w:tab w:val="clear" w:pos="360"/>
        </w:tabs>
        <w:spacing w:before="156" w:beforeLines="50" w:after="156" w:afterLines="50"/>
        <w:ind w:left="0"/>
        <w:rPr>
          <w:rFonts w:hAnsi="黑体"/>
        </w:rPr>
      </w:pPr>
      <w:bookmarkStart w:id="125" w:name="_Toc106354538"/>
      <w:bookmarkStart w:id="126" w:name="_Toc118127250"/>
      <w:bookmarkStart w:id="127" w:name="_Toc106354478"/>
      <w:r>
        <w:rPr>
          <w:rFonts w:hint="eastAsia" w:hAnsi="黑体"/>
        </w:rPr>
        <w:t>基准线情景下被替代的高碳出行里程</w:t>
      </w:r>
      <m:oMath>
        <m:sSub>
          <m:sSubPr>
            <m:ctrlPr>
              <w:rPr>
                <w:rFonts w:ascii="Cambria Math" w:hAnsi="Cambria Math"/>
              </w:rPr>
            </m:ctrlPr>
          </m:sSubPr>
          <m:e>
            <m:r>
              <m:rPr/>
              <w:rPr>
                <w:rFonts w:ascii="Cambria Math" w:hAnsi="Cambria Math"/>
              </w:rPr>
              <m:t>BD</m:t>
            </m:r>
            <m:ctrlPr>
              <w:rPr>
                <w:rFonts w:ascii="Cambria Math" w:hAnsi="Cambria Math"/>
              </w:rPr>
            </m:ctrlPr>
          </m:e>
          <m:sub>
            <m:r>
              <m:rPr/>
              <w:rPr>
                <w:rFonts w:ascii="Cambria Math" w:hAnsi="Cambria Math"/>
              </w:rPr>
              <m:t>i</m:t>
            </m:r>
            <m:r>
              <m:rPr>
                <m:sty m:val="p"/>
              </m:rPr>
              <w:rPr>
                <w:rFonts w:ascii="Cambria Math" w:hAnsi="Cambria Math"/>
              </w:rPr>
              <m:t>,</m:t>
            </m:r>
            <m:r>
              <m:rPr/>
              <w:rPr>
                <w:rFonts w:ascii="Cambria Math" w:hAnsi="Cambria Math"/>
              </w:rPr>
              <m:t>BL</m:t>
            </m:r>
            <m:ctrlPr>
              <w:rPr>
                <w:rFonts w:ascii="Cambria Math" w:hAnsi="Cambria Math"/>
              </w:rPr>
            </m:ctrlPr>
          </m:sub>
        </m:sSub>
      </m:oMath>
      <w:bookmarkEnd w:id="125"/>
      <w:bookmarkEnd w:id="126"/>
      <w:bookmarkEnd w:id="127"/>
    </w:p>
    <w:p>
      <w:pPr>
        <w:ind w:firstLine="420" w:firstLineChars="200"/>
        <w:rPr>
          <w:kern w:val="0"/>
          <w:lang w:eastAsia="zh-Hans"/>
        </w:rPr>
      </w:pPr>
      <w:r>
        <w:rPr>
          <w:rFonts w:hint="eastAsia" w:hAnsi="黑体"/>
        </w:rPr>
        <w:t>基准线情景下被替代的高碳出行里程</w:t>
      </w:r>
      <w:r>
        <w:rPr>
          <w:rFonts w:hint="eastAsia" w:hAnsi="黑体"/>
          <w:lang w:eastAsia="zh-Hans"/>
        </w:rPr>
        <w:t>应是基于保守性原则</w:t>
      </w:r>
      <w:r>
        <w:rPr>
          <w:rFonts w:hAnsi="黑体"/>
          <w:lang w:eastAsia="zh-Hans"/>
        </w:rPr>
        <w:t>，</w:t>
      </w:r>
      <w:r>
        <w:rPr>
          <w:rFonts w:hint="eastAsia" w:hAnsi="黑体"/>
          <w:lang w:eastAsia="zh-Hans"/>
        </w:rPr>
        <w:t>计算起讫点间小微型客车行驶的最短路径</w:t>
      </w:r>
      <w:r>
        <w:rPr>
          <w:rFonts w:hAnsi="黑体"/>
          <w:lang w:eastAsia="zh-Hans"/>
        </w:rPr>
        <w:t>。</w:t>
      </w:r>
    </w:p>
    <w:p>
      <w:pPr>
        <w:ind w:firstLine="420" w:firstLineChars="200"/>
        <w:rPr>
          <w:kern w:val="0"/>
        </w:rPr>
      </w:pPr>
      <w:r>
        <w:rPr>
          <w:rFonts w:hint="eastAsia"/>
          <w:kern w:val="0"/>
          <w:lang w:eastAsia="zh-Hans"/>
        </w:rPr>
        <w:t>在计算难度大时</w:t>
      </w:r>
      <w:r>
        <w:rPr>
          <w:kern w:val="0"/>
          <w:lang w:eastAsia="zh-Hans"/>
        </w:rPr>
        <w:t>，</w:t>
      </w:r>
      <w:r>
        <w:rPr>
          <w:rFonts w:hint="eastAsia"/>
          <w:kern w:val="0"/>
        </w:rPr>
        <w:t>基准线情景下被替代的高碳出行里程</w:t>
      </w:r>
      <w:r>
        <w:rPr>
          <w:rFonts w:hint="eastAsia"/>
          <w:kern w:val="0"/>
          <w:lang w:eastAsia="zh-Hans"/>
        </w:rPr>
        <w:t>可通过</w:t>
      </w:r>
      <w:r>
        <w:rPr>
          <w:kern w:val="0"/>
        </w:rPr>
        <w:t>实际出行距离乘</w:t>
      </w:r>
      <w:r>
        <w:rPr>
          <w:rFonts w:ascii="宋体" w:hAnsi="宋体"/>
          <w:kern w:val="0"/>
        </w:rPr>
        <w:t>以</w:t>
      </w:r>
      <w:r>
        <w:rPr>
          <w:rFonts w:hint="eastAsia" w:ascii="宋体" w:hAnsi="宋体"/>
          <w:kern w:val="0"/>
          <w:sz w:val="20"/>
          <w:szCs w:val="18"/>
        </w:rPr>
        <w:t>小微型客车</w:t>
      </w:r>
      <w:r>
        <w:rPr>
          <w:kern w:val="0"/>
        </w:rPr>
        <w:t>路网与实际出行方式路网转换系数获得，</w:t>
      </w:r>
      <w:r>
        <w:rPr>
          <w:rFonts w:hint="eastAsia"/>
          <w:kern w:val="0"/>
        </w:rPr>
        <w:t>则</w:t>
      </w:r>
      <m:oMath>
        <m:sSub>
          <m:sSubPr>
            <m:ctrlPr>
              <w:rPr>
                <w:rFonts w:ascii="Cambria Math" w:hAnsi="Cambria Math"/>
              </w:rPr>
            </m:ctrlPr>
          </m:sSubPr>
          <m:e>
            <m:r>
              <m:rPr/>
              <w:rPr>
                <w:rFonts w:ascii="Cambria Math" w:hAnsi="Cambria Math"/>
                <w:kern w:val="0"/>
              </w:rPr>
              <m:t>BD</m:t>
            </m:r>
            <m:ctrlPr>
              <w:rPr>
                <w:rFonts w:ascii="Cambria Math" w:hAnsi="Cambria Math"/>
              </w:rPr>
            </m:ctrlPr>
          </m:e>
          <m:sub>
            <m:r>
              <m:rPr/>
              <w:rPr>
                <w:rFonts w:ascii="Cambria Math" w:hAnsi="Cambria Math"/>
                <w:kern w:val="0"/>
              </w:rPr>
              <m:t>i</m:t>
            </m:r>
            <m:r>
              <m:rPr>
                <m:sty m:val="p"/>
              </m:rPr>
              <w:rPr>
                <w:rFonts w:ascii="Cambria Math" w:hAnsi="Cambria Math"/>
                <w:kern w:val="0"/>
              </w:rPr>
              <m:t>,</m:t>
            </m:r>
            <m:r>
              <m:rPr/>
              <w:rPr>
                <w:rFonts w:ascii="Cambria Math" w:hAnsi="Cambria Math"/>
                <w:kern w:val="0"/>
              </w:rPr>
              <m:t>BL</m:t>
            </m:r>
            <m:ctrlPr>
              <w:rPr>
                <w:rFonts w:ascii="Cambria Math" w:hAnsi="Cambria Math"/>
              </w:rPr>
            </m:ctrlPr>
          </m:sub>
        </m:sSub>
      </m:oMath>
      <w:r>
        <w:rPr>
          <w:rFonts w:hint="eastAsia"/>
          <w:kern w:val="0"/>
        </w:rPr>
        <w:t>按式</w:t>
      </w:r>
      <w:r>
        <w:rPr>
          <w:kern w:val="0"/>
        </w:rPr>
        <w:t>（</w:t>
      </w:r>
      <w:r>
        <w:rPr>
          <w:rFonts w:ascii="宋体" w:hAnsi="宋体"/>
          <w:kern w:val="0"/>
        </w:rPr>
        <w:t>B.1）</w:t>
      </w:r>
      <w:r>
        <w:rPr>
          <w:rFonts w:hint="eastAsia"/>
          <w:kern w:val="0"/>
        </w:rPr>
        <w:t>计算：</w:t>
      </w:r>
    </w:p>
    <w:p>
      <w:pPr>
        <w:pStyle w:val="26"/>
        <w:ind w:firstLineChars="0"/>
        <w:jc w:val="right"/>
        <w:rPr>
          <w:rFonts w:hint="eastAsia" w:ascii="Cambria Math" w:hAnsi="Cambria Math"/>
        </w:rPr>
      </w:pPr>
      <m:oMath>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ascii="Cambria Math" w:hAnsi="Cambria Math"/>
        </w:rPr>
        <w:t>=</w:t>
      </w:r>
      <m:oMath>
        <m:sSub>
          <m:sSubPr>
            <m:ctrlPr>
              <w:rPr>
                <w:rFonts w:ascii="Cambria Math" w:hAnsi="Cambria Math"/>
                <w:i/>
              </w:rPr>
            </m:ctrlPr>
          </m:sSubPr>
          <m:e>
            <m:r>
              <m:rPr/>
              <w:rPr>
                <w:rFonts w:ascii="Cambria Math" w:hAnsi="Cambria Math"/>
              </w:rPr>
              <m:t>m</m:t>
            </m:r>
            <m:ctrlPr>
              <w:rPr>
                <w:rFonts w:ascii="Cambria Math" w:hAnsi="Cambria Math"/>
                <w:i/>
              </w:rPr>
            </m:ctrlPr>
          </m:e>
          <m:sub>
            <m:r>
              <m:rPr/>
              <w:rPr>
                <w:rFonts w:hint="eastAsia" w:ascii="Cambria Math" w:hAnsi="Cambria Math"/>
              </w:rPr>
              <m:t>k</m:t>
            </m:r>
            <m:ctrlPr>
              <w:rPr>
                <w:rFonts w:ascii="Cambria Math" w:hAnsi="Cambria Math"/>
                <w:i/>
              </w:rPr>
            </m:ctrlPr>
          </m:sub>
        </m:sSub>
        <m:r>
          <m:rPr/>
          <w:rPr>
            <w:rFonts w:ascii="Cambria Math" w:hAnsi="Cambria Math"/>
          </w:rPr>
          <m:t>×</m:t>
        </m:r>
        <m:sSub>
          <m:sSubPr>
            <m:ctrlPr>
              <w:rPr>
                <w:rFonts w:ascii="Cambria Math" w:hAnsi="Cambria Math" w:cs="宋体"/>
                <w:szCs w:val="24"/>
              </w:rPr>
            </m:ctrlPr>
          </m:sSubPr>
          <m:e>
            <m:r>
              <m:rPr/>
              <w:rPr>
                <w:rFonts w:ascii="Cambria Math" w:hAnsi="Cambria Math"/>
              </w:rPr>
              <m:t>PD</m:t>
            </m:r>
            <m:ctrlPr>
              <w:rPr>
                <w:rFonts w:ascii="Cambria Math" w:hAnsi="Cambria Math" w:cs="宋体"/>
                <w:szCs w:val="24"/>
              </w:rPr>
            </m:ctrlPr>
          </m:e>
          <m:sub>
            <m:r>
              <m:rPr/>
              <w:rPr>
                <w:rFonts w:ascii="Cambria Math" w:hAnsi="Cambria Math"/>
              </w:rPr>
              <m:t>i,k,y</m:t>
            </m:r>
            <m:ctrlPr>
              <w:rPr>
                <w:rFonts w:ascii="Cambria Math" w:hAnsi="Cambria Math" w:cs="宋体"/>
                <w:szCs w:val="24"/>
              </w:rPr>
            </m:ctrlPr>
          </m:sub>
        </m:sSub>
      </m:oMath>
      <w:r>
        <w:rPr>
          <w:rFonts w:ascii="Cambria Math" w:hAnsi="Cambria Math"/>
        </w:rPr>
        <w:t>……………………………………</w:t>
      </w:r>
      <w:r>
        <w:rPr>
          <w:rFonts w:hint="eastAsia" w:ascii="Cambria Math" w:hAnsi="Cambria Math"/>
        </w:rPr>
        <w:t>（</w:t>
      </w:r>
      <w:r>
        <w:rPr>
          <w:rFonts w:hAnsi="宋体"/>
        </w:rPr>
        <w:t>B.1</w:t>
      </w:r>
      <w:r>
        <w:rPr>
          <w:rFonts w:hint="eastAsia" w:ascii="Cambria Math" w:hAnsi="Cambria Math"/>
        </w:rPr>
        <w:t>）</w:t>
      </w:r>
    </w:p>
    <w:p>
      <w:pPr>
        <w:pStyle w:val="26"/>
        <w:ind w:firstLineChars="0"/>
        <w:rPr>
          <w:rFonts w:hint="eastAsia" w:ascii="Cambria Math" w:hAnsi="Cambria Math"/>
        </w:rPr>
      </w:pPr>
      <w:r>
        <w:rPr>
          <w:rFonts w:hint="eastAsia" w:ascii="Cambria Math" w:hAnsi="Cambria Math"/>
        </w:rPr>
        <w:t>式中：</w:t>
      </w:r>
    </w:p>
    <w:p>
      <w:pPr>
        <w:pStyle w:val="26"/>
        <w:ind w:firstLineChars="0"/>
        <w:rPr>
          <w:rFonts w:ascii="Times New Roman"/>
        </w:rPr>
      </w:pPr>
      <m:oMath>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ascii="Times New Roman"/>
        </w:rPr>
        <w:t>——第i次出行基准线情景被替代的高碳出行里程，单位为公里（km）；</w:t>
      </w:r>
    </w:p>
    <w:p>
      <w:pPr>
        <w:pStyle w:val="26"/>
        <w:jc w:val="left"/>
        <w:rPr>
          <w:rFonts w:ascii="Times New Roman"/>
        </w:rPr>
      </w:pPr>
      <w:r>
        <w:rPr>
          <w:rFonts w:ascii="Times New Roman"/>
          <w:i/>
          <w:iCs/>
        </w:rPr>
        <w:t>k</w:t>
      </w:r>
      <w:r>
        <w:rPr>
          <w:rFonts w:ascii="Times New Roman"/>
        </w:rPr>
        <w:t>——采取的低碳出行方式</w:t>
      </w:r>
      <w:r>
        <w:rPr>
          <w:rFonts w:hint="eastAsia" w:ascii="Times New Roman"/>
        </w:rPr>
        <w:t>，包括公交、轨道、自行车、步行、合乘</w:t>
      </w:r>
      <w:r>
        <w:rPr>
          <w:rFonts w:ascii="Times New Roman"/>
        </w:rPr>
        <w:t>；</w:t>
      </w:r>
    </w:p>
    <w:p>
      <w:pPr>
        <w:pStyle w:val="26"/>
        <w:jc w:val="left"/>
        <w:rPr>
          <w:rFonts w:ascii="Times New Roman"/>
        </w:rPr>
      </w:pPr>
      <m:oMath>
        <m:sSub>
          <m:sSubPr>
            <m:ctrlPr>
              <w:rPr>
                <w:rFonts w:ascii="Cambria Math" w:hAnsi="Cambria Math"/>
                <w:i/>
              </w:rPr>
            </m:ctrlPr>
          </m:sSubPr>
          <m:e>
            <m:r>
              <m:rPr/>
              <w:rPr>
                <w:rFonts w:ascii="Cambria Math" w:hAnsi="Cambria Math"/>
              </w:rPr>
              <m:t>m</m:t>
            </m:r>
            <m:ctrlPr>
              <w:rPr>
                <w:rFonts w:ascii="Cambria Math" w:hAnsi="Cambria Math"/>
                <w:i/>
              </w:rPr>
            </m:ctrlPr>
          </m:e>
          <m:sub>
            <m:r>
              <m:rPr/>
              <w:rPr>
                <w:rFonts w:hint="eastAsia" w:ascii="Cambria Math" w:hAnsi="Cambria Math"/>
              </w:rPr>
              <m:t>k</m:t>
            </m:r>
            <m:ctrlPr>
              <w:rPr>
                <w:rFonts w:ascii="Cambria Math" w:hAnsi="Cambria Math"/>
                <w:i/>
              </w:rPr>
            </m:ctrlPr>
          </m:sub>
        </m:sSub>
      </m:oMath>
      <w:r>
        <w:rPr>
          <w:rFonts w:ascii="Times New Roman"/>
        </w:rPr>
        <w:t>——</w:t>
      </w:r>
      <w:r>
        <w:rPr>
          <w:rFonts w:hint="eastAsia" w:ascii="Times New Roman"/>
          <w:lang w:eastAsia="zh-Hans"/>
        </w:rPr>
        <w:t>路网转化系数</w:t>
      </w:r>
      <w:r>
        <w:rPr>
          <w:rFonts w:ascii="Times New Roman"/>
          <w:lang w:eastAsia="zh-Hans"/>
        </w:rPr>
        <w:t>，</w:t>
      </w:r>
      <w:r>
        <w:rPr>
          <w:rFonts w:hint="eastAsia" w:ascii="Times New Roman"/>
          <w:lang w:eastAsia="zh-Hans"/>
        </w:rPr>
        <w:t>即</w:t>
      </w:r>
      <w:r>
        <w:rPr>
          <w:rFonts w:ascii="Times New Roman"/>
        </w:rPr>
        <w:t>在基准年</w:t>
      </w:r>
      <w:r>
        <w:rPr>
          <w:rFonts w:hint="eastAsia" w:ascii="Times New Roman"/>
        </w:rPr>
        <w:t>城市</w:t>
      </w:r>
      <w:r>
        <w:rPr>
          <w:rFonts w:ascii="Times New Roman"/>
        </w:rPr>
        <w:t>路网条件下，相同起讫点下</w:t>
      </w:r>
      <w:r>
        <w:rPr>
          <w:rFonts w:hint="eastAsia" w:hAnsi="宋体"/>
          <w:sz w:val="20"/>
          <w:szCs w:val="18"/>
        </w:rPr>
        <w:t>小微型客车</w:t>
      </w:r>
      <w:r>
        <w:rPr>
          <w:rFonts w:ascii="Times New Roman"/>
        </w:rPr>
        <w:t>最短出行距离与低碳出行方式k出行距离比值的平均值；</w:t>
      </w:r>
    </w:p>
    <w:p>
      <w:pPr>
        <w:pStyle w:val="26"/>
      </w:pPr>
      <m:oMath>
        <m:sSub>
          <m:sSubPr>
            <m:ctrlPr>
              <w:rPr>
                <w:rFonts w:ascii="Cambria Math" w:hAnsi="Cambria Math" w:cs="宋体"/>
                <w:i/>
                <w:szCs w:val="24"/>
              </w:rPr>
            </m:ctrlPr>
          </m:sSubPr>
          <m:e>
            <m:r>
              <m:rPr/>
              <w:rPr>
                <w:rFonts w:ascii="Cambria Math" w:hAnsi="Cambria Math"/>
              </w:rPr>
              <m:t>PD</m:t>
            </m:r>
            <m:ctrlPr>
              <w:rPr>
                <w:rFonts w:ascii="Cambria Math" w:hAnsi="Cambria Math" w:cs="宋体"/>
                <w:i/>
                <w:szCs w:val="24"/>
              </w:rPr>
            </m:ctrlPr>
          </m:e>
          <m:sub>
            <m:r>
              <m:rPr/>
              <w:rPr>
                <w:rFonts w:ascii="Cambria Math" w:hAnsi="Cambria Math"/>
              </w:rPr>
              <m:t>i,k,y</m:t>
            </m:r>
            <m:ctrlPr>
              <w:rPr>
                <w:rFonts w:ascii="Cambria Math" w:hAnsi="Cambria Math" w:cs="宋体"/>
                <w:i/>
                <w:szCs w:val="24"/>
              </w:rPr>
            </m:ctrlPr>
          </m:sub>
        </m:sSub>
      </m:oMath>
      <w:r>
        <w:rPr>
          <w:rFonts w:ascii="Times New Roman"/>
        </w:rPr>
        <w:t>——</w:t>
      </w:r>
      <w:r>
        <w:rPr>
          <w:rFonts w:hint="eastAsia" w:ascii="Times New Roman"/>
        </w:rPr>
        <w:t>第</w:t>
      </w:r>
      <w:r>
        <w:rPr>
          <w:rFonts w:ascii="Times New Roman"/>
        </w:rPr>
        <w:t>y年第i次</w:t>
      </w:r>
      <w:r>
        <w:rPr>
          <w:rFonts w:hint="eastAsia" w:ascii="Times New Roman"/>
        </w:rPr>
        <w:t>使用低碳出行k方式替代高碳出行的里程</w:t>
      </w:r>
      <w:r>
        <w:rPr>
          <w:rFonts w:ascii="Times New Roman"/>
        </w:rPr>
        <w:t>，单位为公里（km）。</w:t>
      </w:r>
    </w:p>
    <w:p>
      <w:pPr>
        <w:pStyle w:val="102"/>
        <w:tabs>
          <w:tab w:val="clear" w:pos="360"/>
        </w:tabs>
        <w:spacing w:before="156" w:beforeLines="50" w:after="156" w:afterLines="50"/>
        <w:ind w:left="0"/>
        <w:rPr>
          <w:rFonts w:hAnsi="黑体"/>
        </w:rPr>
      </w:pPr>
      <w:bookmarkStart w:id="128" w:name="_Toc106354539"/>
      <w:bookmarkStart w:id="129" w:name="_Toc105442599"/>
      <w:bookmarkStart w:id="130" w:name="_Toc106265187"/>
      <w:bookmarkStart w:id="131" w:name="_Toc105662597"/>
      <w:bookmarkStart w:id="132" w:name="_Toc105443231"/>
      <w:bookmarkStart w:id="133" w:name="_Toc106354479"/>
      <w:bookmarkStart w:id="134" w:name="_Toc105021494"/>
      <w:bookmarkStart w:id="135" w:name="_Toc118127251"/>
      <w:r>
        <w:rPr>
          <w:rFonts w:hint="eastAsia" w:hAnsi="黑体"/>
        </w:rPr>
        <w:t>使用低碳出行k方式替代高碳出行的里程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w:bookmarkEnd w:id="128"/>
            <w:bookmarkEnd w:id="129"/>
            <w:bookmarkEnd w:id="130"/>
            <w:bookmarkEnd w:id="131"/>
            <w:bookmarkEnd w:id="132"/>
            <w:bookmarkEnd w:id="133"/>
            <w:bookmarkEnd w:id="134"/>
            <w:bookmarkEnd w:id="135"/>
          </m:sub>
        </m:sSub>
      </m:oMath>
    </w:p>
    <w:p>
      <w:pPr>
        <w:pStyle w:val="103"/>
        <w:tabs>
          <w:tab w:val="clear" w:pos="360"/>
        </w:tabs>
        <w:spacing w:before="156" w:after="156"/>
        <w:ind w:left="0"/>
        <w:rPr>
          <w:rFonts w:hAnsi="黑体"/>
        </w:rPr>
      </w:pPr>
      <w:r>
        <w:rPr>
          <w:rFonts w:hint="eastAsia" w:hAnsi="黑体"/>
        </w:rPr>
        <w:t>公共汽电车、城市轨道交通</w:t>
      </w:r>
      <w:r>
        <w:rPr>
          <w:rFonts w:hAnsi="黑体"/>
        </w:rPr>
        <w:t>出行</w:t>
      </w:r>
      <w:r>
        <w:rPr>
          <w:rFonts w:hint="eastAsia" w:hAnsi="黑体"/>
        </w:rPr>
        <w:t>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p>
    <w:p>
      <w:pPr>
        <w:ind w:firstLine="420" w:firstLineChars="200"/>
      </w:pPr>
      <w:bookmarkStart w:id="136" w:name="_Toc106354480"/>
      <w:bookmarkStart w:id="137" w:name="_Toc106265188"/>
      <w:bookmarkStart w:id="138" w:name="_Toc105442600"/>
      <w:bookmarkStart w:id="139" w:name="_Toc105662598"/>
      <w:bookmarkStart w:id="140" w:name="_Toc105443232"/>
      <w:bookmarkStart w:id="141" w:name="_Toc106354540"/>
      <w:bookmarkStart w:id="142" w:name="_Toc105021495"/>
      <w:r>
        <w:rPr>
          <w:rFonts w:hint="eastAsia"/>
        </w:rPr>
        <w:t>公共汽电车、城市轨道交通出行的出行方式k和出行里程</w:t>
      </w:r>
      <m:oMath>
        <m:sSub>
          <m:sSubPr>
            <m:ctrlPr>
              <w:rPr>
                <w:rFonts w:ascii="Cambria Math" w:hAnsi="Cambria Math"/>
                <w:i/>
                <w:iCs/>
              </w:rPr>
            </m:ctrlPr>
          </m:sSubPr>
          <m:e>
            <m:r>
              <m:rPr/>
              <w:rPr>
                <w:rFonts w:hint="eastAsia" w:ascii="Cambria Math" w:hAnsi="Cambria Math"/>
              </w:rPr>
              <m:t>PD</m:t>
            </m:r>
            <m:ctrlPr>
              <w:rPr>
                <w:rFonts w:ascii="Cambria Math" w:hAnsi="Cambria Math"/>
                <w:i/>
                <w:iCs/>
              </w:rPr>
            </m:ctrlPr>
          </m:e>
          <m:sub>
            <m:r>
              <m:rPr/>
              <w:rPr>
                <w:rFonts w:ascii="Cambria Math" w:hAnsi="Cambria Math"/>
              </w:rPr>
              <m:t>i,k,y</m:t>
            </m:r>
            <m:ctrlPr>
              <w:rPr>
                <w:rFonts w:ascii="Cambria Math" w:hAnsi="Cambria Math"/>
                <w:i/>
                <w:iCs/>
              </w:rPr>
            </m:ctrlPr>
          </m:sub>
        </m:sSub>
      </m:oMath>
      <w:r>
        <w:rPr>
          <w:rFonts w:hint="eastAsia"/>
        </w:rPr>
        <w:t>应通过票务数据（“一卡通”、“亿通行”等）获取准确的数据信息。在项目开发方无法获得相关票务系统数据时，出行方式k和出行里程</w:t>
      </w:r>
      <m:oMath>
        <m:sSub>
          <m:sSubPr>
            <m:ctrlPr>
              <w:rPr>
                <w:rFonts w:hint="eastAsia" w:ascii="Cambria Math" w:hAnsi="Cambria Math"/>
                <w:i/>
              </w:rPr>
            </m:ctrlPr>
          </m:sSubPr>
          <m:e>
            <m:r>
              <m:rPr/>
              <w:rPr>
                <w:rFonts w:hint="eastAsia" w:ascii="Cambria Math" w:hAnsi="Cambria Math"/>
              </w:rPr>
              <m:t>PD</m:t>
            </m:r>
            <m:ctrlPr>
              <w:rPr>
                <w:rFonts w:hint="eastAsia" w:ascii="Cambria Math" w:hAnsi="Cambria Math"/>
                <w:i/>
              </w:rPr>
            </m:ctrlPr>
          </m:e>
          <m:sub>
            <m:r>
              <m:rPr/>
              <w:rPr>
                <w:rFonts w:hint="eastAsia" w:ascii="Cambria Math" w:hAnsi="Cambria Math"/>
              </w:rPr>
              <m:t>i,k,y</m:t>
            </m:r>
            <m:ctrlPr>
              <w:rPr>
                <w:rFonts w:hint="eastAsia" w:ascii="Cambria Math" w:hAnsi="Cambria Math"/>
                <w:i/>
              </w:rPr>
            </m:ctrlPr>
          </m:sub>
        </m:sSub>
      </m:oMath>
      <w:r>
        <w:rPr>
          <w:rFonts w:hint="eastAsia"/>
        </w:rPr>
        <w:t>应基于在相关平台监测到的出行轨迹</w:t>
      </w:r>
      <m:oMath>
        <m:sSub>
          <m:sSubPr>
            <m:ctrlPr>
              <w:rPr>
                <w:rFonts w:hint="eastAsia" w:ascii="Cambria Math" w:hAnsi="Cambria Math"/>
                <w:i/>
              </w:rPr>
            </m:ctrlPr>
          </m:sSubPr>
          <m:e>
            <m:r>
              <m:rPr/>
              <w:rPr>
                <w:rFonts w:hint="eastAsia" w:ascii="Cambria Math" w:hAnsi="Cambria Math"/>
              </w:rPr>
              <m:t>L</m:t>
            </m:r>
            <m:ctrlPr>
              <w:rPr>
                <w:rFonts w:hint="eastAsia" w:ascii="Cambria Math" w:hAnsi="Cambria Math"/>
                <w:i/>
              </w:rPr>
            </m:ctrlPr>
          </m:e>
          <m:sub>
            <m:r>
              <m:rPr/>
              <w:rPr>
                <w:rFonts w:hint="eastAsia" w:ascii="Cambria Math" w:hAnsi="Cambria Math"/>
              </w:rPr>
              <m:t>s,i</m:t>
            </m:r>
            <m:ctrlPr>
              <w:rPr>
                <w:rFonts w:hint="eastAsia" w:ascii="Cambria Math" w:hAnsi="Cambria Math"/>
                <w:i/>
              </w:rPr>
            </m:ctrlPr>
          </m:sub>
        </m:sSub>
      </m:oMath>
      <w:r>
        <w:rPr>
          <w:rFonts w:hint="eastAsia"/>
        </w:rPr>
        <w:t>、</w:t>
      </w:r>
      <m:oMath>
        <m:sSub>
          <m:sSubPr>
            <m:ctrlPr>
              <w:rPr>
                <w:rFonts w:hint="eastAsia" w:ascii="Cambria Math" w:hAnsi="Cambria Math"/>
                <w:i/>
              </w:rPr>
            </m:ctrlPr>
          </m:sSubPr>
          <m:e>
            <m:r>
              <m:rPr/>
              <w:rPr>
                <w:rFonts w:hint="eastAsia" w:ascii="Cambria Math" w:hAnsi="Cambria Math"/>
              </w:rPr>
              <m:t>L</m:t>
            </m:r>
            <m:ctrlPr>
              <w:rPr>
                <w:rFonts w:hint="eastAsia" w:ascii="Cambria Math" w:hAnsi="Cambria Math"/>
                <w:i/>
              </w:rPr>
            </m:ctrlPr>
          </m:e>
          <m:sub>
            <m:r>
              <m:rPr/>
              <w:rPr>
                <w:rFonts w:hint="eastAsia" w:ascii="Cambria Math" w:hAnsi="Cambria Math"/>
              </w:rPr>
              <m:t>c,i</m:t>
            </m:r>
            <m:ctrlPr>
              <w:rPr>
                <w:rFonts w:hint="eastAsia" w:ascii="Cambria Math" w:hAnsi="Cambria Math"/>
                <w:i/>
              </w:rPr>
            </m:ctrlPr>
          </m:sub>
        </m:sSub>
      </m:oMath>
      <w:r>
        <w:rPr>
          <w:rFonts w:hint="eastAsia"/>
        </w:rPr>
        <w:t>、</w:t>
      </w:r>
      <m:oMath>
        <m:sSub>
          <m:sSubPr>
            <m:ctrlPr>
              <w:rPr>
                <w:rFonts w:hint="eastAsia" w:ascii="Cambria Math" w:hAnsi="Cambria Math"/>
                <w:i/>
              </w:rPr>
            </m:ctrlPr>
          </m:sSubPr>
          <m:e>
            <m:r>
              <m:rPr/>
              <w:rPr>
                <w:rFonts w:hint="eastAsia" w:ascii="Cambria Math" w:hAnsi="Cambria Math"/>
              </w:rPr>
              <m:t>L</m:t>
            </m:r>
            <m:ctrlPr>
              <w:rPr>
                <w:rFonts w:hint="eastAsia" w:ascii="Cambria Math" w:hAnsi="Cambria Math"/>
                <w:i/>
              </w:rPr>
            </m:ctrlPr>
          </m:e>
          <m:sub>
            <m:r>
              <m:rPr/>
              <w:rPr>
                <w:rFonts w:hint="eastAsia" w:ascii="Cambria Math" w:hAnsi="Cambria Math"/>
              </w:rPr>
              <m:t>e,i</m:t>
            </m:r>
            <m:ctrlPr>
              <w:rPr>
                <w:rFonts w:hint="eastAsia" w:ascii="Cambria Math" w:hAnsi="Cambria Math"/>
                <w:i/>
              </w:rPr>
            </m:ctrlPr>
          </m:sub>
        </m:sSub>
      </m:oMath>
      <w:r>
        <w:rPr>
          <w:rFonts w:hint="eastAsia"/>
        </w:rPr>
        <w:t>等数据，利用相关的方式识别算法和里程计算算法识别获得。</w:t>
      </w:r>
      <w:bookmarkEnd w:id="136"/>
      <w:bookmarkEnd w:id="137"/>
      <w:bookmarkEnd w:id="138"/>
      <w:bookmarkEnd w:id="139"/>
      <w:bookmarkEnd w:id="140"/>
      <w:bookmarkEnd w:id="141"/>
    </w:p>
    <w:p>
      <w:pPr>
        <w:ind w:firstLine="420" w:firstLineChars="200"/>
      </w:pPr>
      <w:r>
        <w:rPr>
          <w:rFonts w:hint="eastAsia"/>
        </w:rPr>
        <w:t>鉴于乘坐公共汽电车存在单次刷卡和双次刷卡两种刷卡方式，在识别出行方式和计算出行里程时应区分处理：</w:t>
      </w:r>
    </w:p>
    <w:p>
      <w:pPr>
        <w:pStyle w:val="61"/>
      </w:pPr>
      <w:r>
        <w:rPr>
          <w:rFonts w:hint="eastAsia"/>
        </w:rPr>
        <w:t>双次刷卡方式所对应出行里程的监测方法：在公共汽电车的刷卡方式为双次刷卡方式时，应根据票务数据信息中监测到的单次上车时间、下车时间、公共汽电车GPS行驶轨迹信息，利用相关里程计算方法进行里程计算。</w:t>
      </w:r>
    </w:p>
    <w:p>
      <w:pPr>
        <w:pStyle w:val="61"/>
      </w:pPr>
      <w:r>
        <w:rPr>
          <w:rFonts w:hint="eastAsia"/>
        </w:rPr>
        <w:t>单次刷卡方式所对应出行里程的监测方法：在公共汽电车的刷卡方式为单次刷卡时，出行里程使用城市平均公交出行距离，数据通过采样调查获得。</w:t>
      </w:r>
    </w:p>
    <w:bookmarkEnd w:id="142"/>
    <w:p>
      <w:pPr>
        <w:pStyle w:val="103"/>
        <w:tabs>
          <w:tab w:val="clear" w:pos="360"/>
        </w:tabs>
        <w:spacing w:before="156" w:after="156"/>
        <w:ind w:left="0"/>
      </w:pPr>
      <w:r>
        <w:rPr>
          <w:rFonts w:hint="eastAsia"/>
        </w:rPr>
        <w:t>步行出行的里程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p>
    <w:p>
      <w:pPr>
        <w:ind w:firstLine="420" w:firstLineChars="200"/>
        <w:rPr>
          <w:rFonts w:ascii="宋体" w:hAnsi="宋体"/>
          <w:lang w:val="en-AU"/>
        </w:rPr>
      </w:pPr>
      <w:bookmarkStart w:id="143" w:name="_Toc106354481"/>
      <w:bookmarkStart w:id="144" w:name="_Toc105662599"/>
      <w:bookmarkStart w:id="145" w:name="_Toc118127252"/>
      <w:bookmarkStart w:id="146" w:name="_Toc105443233"/>
      <w:bookmarkStart w:id="147" w:name="_Toc106265189"/>
      <w:bookmarkStart w:id="148" w:name="_Toc106354541"/>
      <w:bookmarkStart w:id="149" w:name="_Toc105442601"/>
      <w:r>
        <w:rPr>
          <w:rFonts w:hint="eastAsia" w:ascii="宋体" w:hAnsi="宋体"/>
        </w:rPr>
        <w:t>步行的出行方式和出行里程</w:t>
      </w:r>
      <m:oMath>
        <m:sSub>
          <m:sSubPr>
            <m:ctrlPr>
              <w:rPr>
                <w:rFonts w:ascii="Cambria Math" w:hAnsi="Cambria Math"/>
              </w:rPr>
            </m:ctrlPr>
          </m:sSubPr>
          <m:e>
            <m:r>
              <m:rPr/>
              <w:rPr>
                <w:rFonts w:ascii="Cambria Math" w:hAnsi="Cambria Math"/>
              </w:rPr>
              <m:t>PD</m:t>
            </m:r>
            <m:ctrlPr>
              <w:rPr>
                <w:rFonts w:ascii="Cambria Math" w:hAnsi="Cambria Math"/>
              </w:rPr>
            </m:ctrlPr>
          </m:e>
          <m:sub>
            <m:r>
              <m:rPr/>
              <w:rPr>
                <w:rFonts w:ascii="Cambria Math" w:hAnsi="Cambria Math"/>
              </w:rPr>
              <m:t>i</m:t>
            </m:r>
            <m:r>
              <m:rPr>
                <m:sty m:val="p"/>
              </m:rPr>
              <w:rPr>
                <w:rFonts w:ascii="Cambria Math" w:hAnsi="Cambria Math"/>
              </w:rPr>
              <m:t>,</m:t>
            </m:r>
            <m:r>
              <m:rPr/>
              <w:rPr>
                <w:rFonts w:ascii="Cambria Math" w:hAnsi="Cambria Math"/>
              </w:rPr>
              <m:t>k</m:t>
            </m:r>
            <m:r>
              <m:rPr>
                <m:sty m:val="p"/>
              </m:rPr>
              <w:rPr>
                <w:rFonts w:ascii="Cambria Math" w:hAnsi="Cambria Math"/>
              </w:rPr>
              <m:t>,</m:t>
            </m:r>
            <m:r>
              <m:rPr/>
              <w:rPr>
                <w:rFonts w:ascii="Cambria Math" w:hAnsi="Cambria Math"/>
              </w:rPr>
              <m:t>y</m:t>
            </m:r>
            <m:ctrlPr>
              <w:rPr>
                <w:rFonts w:ascii="Cambria Math" w:hAnsi="Cambria Math"/>
              </w:rPr>
            </m:ctrlPr>
          </m:sub>
        </m:sSub>
      </m:oMath>
      <w:r>
        <w:rPr>
          <w:rFonts w:hint="eastAsia" w:ascii="宋体" w:hAnsi="宋体"/>
        </w:rPr>
        <w:t>应通过识别单次出行轨迹</w:t>
      </w:r>
      <m:oMath>
        <m:sSub>
          <m:sSubPr>
            <m:ctrlPr>
              <w:rPr>
                <w:rFonts w:hint="eastAsia" w:ascii="Cambria Math" w:hAnsi="Cambria Math"/>
                <w:i/>
              </w:rPr>
            </m:ctrlPr>
          </m:sSubPr>
          <m:e>
            <m:r>
              <m:rPr/>
              <w:rPr>
                <w:rFonts w:hint="eastAsia" w:ascii="Cambria Math" w:hAnsi="Cambria Math"/>
              </w:rPr>
              <m:t>L</m:t>
            </m:r>
            <m:ctrlPr>
              <w:rPr>
                <w:rFonts w:hint="eastAsia" w:ascii="Cambria Math" w:hAnsi="Cambria Math"/>
                <w:i/>
              </w:rPr>
            </m:ctrlPr>
          </m:e>
          <m:sub>
            <m:r>
              <m:rPr/>
              <w:rPr>
                <w:rFonts w:hint="eastAsia" w:ascii="Cambria Math" w:hAnsi="Cambria Math"/>
              </w:rPr>
              <m:t>s,i</m:t>
            </m:r>
            <m:ctrlPr>
              <w:rPr>
                <w:rFonts w:hint="eastAsia" w:ascii="Cambria Math" w:hAnsi="Cambria Math"/>
                <w:i/>
              </w:rPr>
            </m:ctrlPr>
          </m:sub>
        </m:sSub>
      </m:oMath>
      <w:r>
        <w:rPr>
          <w:rFonts w:hint="eastAsia"/>
        </w:rPr>
        <w:t>、</w:t>
      </w:r>
      <m:oMath>
        <m:sSub>
          <m:sSubPr>
            <m:ctrlPr>
              <w:rPr>
                <w:rFonts w:hint="eastAsia" w:ascii="Cambria Math" w:hAnsi="Cambria Math"/>
                <w:i/>
              </w:rPr>
            </m:ctrlPr>
          </m:sSubPr>
          <m:e>
            <m:r>
              <m:rPr/>
              <w:rPr>
                <w:rFonts w:hint="eastAsia" w:ascii="Cambria Math" w:hAnsi="Cambria Math"/>
              </w:rPr>
              <m:t>L</m:t>
            </m:r>
            <m:ctrlPr>
              <w:rPr>
                <w:rFonts w:hint="eastAsia" w:ascii="Cambria Math" w:hAnsi="Cambria Math"/>
                <w:i/>
              </w:rPr>
            </m:ctrlPr>
          </m:e>
          <m:sub>
            <m:r>
              <m:rPr/>
              <w:rPr>
                <w:rFonts w:hint="eastAsia" w:ascii="Cambria Math" w:hAnsi="Cambria Math"/>
              </w:rPr>
              <m:t>c,i</m:t>
            </m:r>
            <m:ctrlPr>
              <w:rPr>
                <w:rFonts w:hint="eastAsia" w:ascii="Cambria Math" w:hAnsi="Cambria Math"/>
                <w:i/>
              </w:rPr>
            </m:ctrlPr>
          </m:sub>
        </m:sSub>
      </m:oMath>
      <w:r>
        <w:rPr>
          <w:rFonts w:hint="eastAsia"/>
        </w:rPr>
        <w:t>、</w:t>
      </w:r>
      <m:oMath>
        <m:sSub>
          <m:sSubPr>
            <m:ctrlPr>
              <w:rPr>
                <w:rFonts w:hint="eastAsia" w:ascii="Cambria Math" w:hAnsi="Cambria Math"/>
                <w:i/>
              </w:rPr>
            </m:ctrlPr>
          </m:sSubPr>
          <m:e>
            <m:r>
              <m:rPr/>
              <w:rPr>
                <w:rFonts w:hint="eastAsia" w:ascii="Cambria Math" w:hAnsi="Cambria Math"/>
              </w:rPr>
              <m:t>L</m:t>
            </m:r>
            <m:ctrlPr>
              <w:rPr>
                <w:rFonts w:hint="eastAsia" w:ascii="Cambria Math" w:hAnsi="Cambria Math"/>
                <w:i/>
              </w:rPr>
            </m:ctrlPr>
          </m:e>
          <m:sub>
            <m:r>
              <m:rPr/>
              <w:rPr>
                <w:rFonts w:hint="eastAsia" w:ascii="Cambria Math" w:hAnsi="Cambria Math"/>
              </w:rPr>
              <m:t>e,i</m:t>
            </m:r>
            <m:ctrlPr>
              <w:rPr>
                <w:rFonts w:hint="eastAsia" w:ascii="Cambria Math" w:hAnsi="Cambria Math"/>
                <w:i/>
              </w:rPr>
            </m:ctrlPr>
          </m:sub>
        </m:sSub>
      </m:oMath>
      <w:r>
        <w:rPr>
          <w:rFonts w:hint="eastAsia"/>
        </w:rPr>
        <w:t>等数据</w:t>
      </w:r>
      <w:r>
        <w:rPr>
          <w:rFonts w:hint="eastAsia" w:ascii="宋体" w:hAnsi="宋体"/>
        </w:rPr>
        <w:t>，并利用</w:t>
      </w:r>
      <w:r>
        <w:rPr>
          <w:rFonts w:hint="eastAsia" w:ascii="宋体" w:hAnsi="宋体"/>
          <w:lang w:eastAsia="zh-Hans"/>
        </w:rPr>
        <w:t>相关的方式</w:t>
      </w:r>
      <w:r>
        <w:rPr>
          <w:rFonts w:hint="eastAsia" w:ascii="宋体" w:hAnsi="宋体"/>
        </w:rPr>
        <w:t>识别出行轨迹</w:t>
      </w:r>
      <w:r>
        <w:rPr>
          <w:rFonts w:ascii="宋体" w:hAnsi="宋体"/>
        </w:rPr>
        <w:t>和里程计算</w:t>
      </w:r>
      <w:r>
        <w:rPr>
          <w:rFonts w:hint="eastAsia" w:ascii="宋体" w:hAnsi="宋体"/>
          <w:lang w:eastAsia="zh-Hans"/>
        </w:rPr>
        <w:t>算法</w:t>
      </w:r>
      <w:r>
        <w:rPr>
          <w:rFonts w:hint="eastAsia" w:ascii="宋体" w:hAnsi="宋体"/>
        </w:rPr>
        <w:t>识别获得。</w:t>
      </w:r>
      <w:bookmarkEnd w:id="143"/>
      <w:bookmarkEnd w:id="144"/>
      <w:bookmarkEnd w:id="145"/>
      <w:bookmarkEnd w:id="146"/>
      <w:bookmarkEnd w:id="147"/>
      <w:bookmarkEnd w:id="148"/>
      <w:bookmarkEnd w:id="149"/>
    </w:p>
    <w:p>
      <w:pPr>
        <w:pStyle w:val="103"/>
        <w:tabs>
          <w:tab w:val="clear" w:pos="360"/>
        </w:tabs>
        <w:spacing w:before="156" w:after="156"/>
        <w:ind w:left="0"/>
        <w:rPr>
          <w:rFonts w:hAnsi="黑体"/>
        </w:rPr>
      </w:pPr>
      <w:r>
        <w:rPr>
          <w:rFonts w:hint="eastAsia" w:hAnsi="黑体"/>
        </w:rPr>
        <w:t>自行车出行的里程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p>
    <w:p>
      <w:pPr>
        <w:ind w:firstLine="420" w:firstLineChars="200"/>
      </w:pPr>
      <w:r>
        <w:rPr>
          <w:rFonts w:hint="eastAsia"/>
        </w:rPr>
        <w:t>自行车出行的里程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r>
        <w:rPr>
          <w:rFonts w:hint="eastAsia"/>
        </w:rPr>
        <w:t>应通过能够记录自行车订单信息的平台所采集的信息识别获得。当无法获取订单信息时，自行车方式和出行的里程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r>
        <w:rPr>
          <w:rFonts w:hint="eastAsia"/>
        </w:rPr>
        <w:t>应基于在相关平台监测到的行轨迹</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ascii="Cambria Math" w:hAnsi="Cambria Math"/>
              </w:rPr>
              <m:t>s,i</m:t>
            </m:r>
            <m:ctrlPr>
              <w:rPr>
                <w:rFonts w:ascii="Cambria Math" w:hAnsi="Cambria Math"/>
                <w:i/>
              </w:rPr>
            </m:ctrlPr>
          </m:sub>
        </m:sSub>
      </m:oMath>
      <w:r>
        <w:rPr>
          <w:rFonts w:hint="eastAsia"/>
        </w:rPr>
        <w:t>、</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ascii="Cambria Math" w:hAnsi="Cambria Math"/>
              </w:rPr>
              <m:t>c,i</m:t>
            </m:r>
            <m:ctrlPr>
              <w:rPr>
                <w:rFonts w:ascii="Cambria Math" w:hAnsi="Cambria Math"/>
                <w:i/>
              </w:rPr>
            </m:ctrlPr>
          </m:sub>
        </m:sSub>
      </m:oMath>
      <w:r>
        <w:rPr>
          <w:rFonts w:hint="eastAsia"/>
        </w:rPr>
        <w:t>、</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e</m:t>
            </m:r>
            <m:r>
              <m:rPr/>
              <w:rPr>
                <w:rFonts w:ascii="Cambria Math" w:hAnsi="Cambria Math"/>
              </w:rPr>
              <m:t>,i</m:t>
            </m:r>
            <m:ctrlPr>
              <w:rPr>
                <w:rFonts w:ascii="Cambria Math" w:hAnsi="Cambria Math"/>
                <w:i/>
              </w:rPr>
            </m:ctrlPr>
          </m:sub>
        </m:sSub>
      </m:oMath>
      <w:r>
        <w:rPr>
          <w:rFonts w:hint="eastAsia"/>
        </w:rPr>
        <w:t>等数据，利用相关的方式识别算法和里程计算算法识别获得。</w:t>
      </w:r>
    </w:p>
    <w:p>
      <w:pPr>
        <w:pStyle w:val="103"/>
        <w:tabs>
          <w:tab w:val="clear" w:pos="360"/>
        </w:tabs>
        <w:spacing w:before="156" w:after="156"/>
        <w:ind w:left="0"/>
      </w:pPr>
      <w:r>
        <w:rPr>
          <w:rFonts w:hint="eastAsia"/>
        </w:rPr>
        <w:t>小微型客车合乘出行的里程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p>
    <w:p>
      <w:pPr>
        <w:ind w:firstLine="420" w:firstLineChars="200"/>
      </w:pPr>
      <w:r>
        <w:rPr>
          <w:rFonts w:hint="eastAsia"/>
        </w:rPr>
        <w:t>小微型客车合乘的出行方式和出行里程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r>
        <w:rPr>
          <w:rFonts w:hint="eastAsia"/>
        </w:rPr>
        <w:t>应通过能够记录小微型客车合乘相关订单信息的平台采集并识别获得。</w:t>
      </w:r>
    </w:p>
    <w:p>
      <w:pPr>
        <w:pStyle w:val="103"/>
        <w:tabs>
          <w:tab w:val="clear" w:pos="360"/>
        </w:tabs>
        <w:spacing w:before="156" w:after="156"/>
        <w:ind w:left="0"/>
        <w:rPr>
          <w:rFonts w:hAnsi="黑体"/>
        </w:rPr>
      </w:pPr>
      <w:r>
        <w:rPr>
          <w:rFonts w:hint="eastAsia"/>
        </w:rPr>
        <w:t>小微型客车停驶后的里程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p>
    <w:p>
      <w:pPr>
        <w:ind w:firstLine="420"/>
        <w:rPr>
          <w:rFonts w:ascii="宋体"/>
          <w:kern w:val="0"/>
          <w:szCs w:val="20"/>
          <w:lang w:val="en-AU"/>
        </w:rPr>
      </w:pPr>
      <w:r>
        <w:rPr>
          <w:rFonts w:hint="eastAsia"/>
        </w:rPr>
        <w:t>小微型客车停驶行为可采用监测停驶前后里程表数</w:t>
      </w:r>
      <w:r>
        <w:rPr>
          <w:i/>
        </w:rPr>
        <w:t>M</w:t>
      </w:r>
      <w:r>
        <w:rPr>
          <w:i/>
          <w:vertAlign w:val="subscript"/>
        </w:rPr>
        <w:t>s,i</w:t>
      </w:r>
      <w:r>
        <w:rPr>
          <w:rFonts w:hint="eastAsia"/>
          <w:lang w:eastAsia="zh-Hans"/>
        </w:rPr>
        <w:t>和</w:t>
      </w:r>
      <w:r>
        <w:rPr>
          <w:i/>
          <w:lang w:eastAsia="zh-Hans"/>
        </w:rPr>
        <w:t>M</w:t>
      </w:r>
      <w:r>
        <w:rPr>
          <w:i/>
          <w:vertAlign w:val="subscript"/>
          <w:lang w:eastAsia="zh-Hans"/>
        </w:rPr>
        <w:t>e,i</w:t>
      </w:r>
      <w:r>
        <w:rPr>
          <w:rFonts w:hint="eastAsia"/>
        </w:rPr>
        <w:t>识别获得。</w:t>
      </w:r>
      <w:r>
        <w:rPr>
          <w:rFonts w:hint="eastAsia"/>
          <w:lang w:val="en-AU"/>
        </w:rPr>
        <w:t>小微型客车停驶行为也可通过</w:t>
      </w:r>
      <w:r>
        <w:rPr>
          <w:rFonts w:hint="eastAsia"/>
        </w:rPr>
        <w:t>填写车牌号和发动机号，并提交某天停驶的申请，从而识别交通系统后台车牌号、发动机号的真实性和准确性以及车辆的状态。</w:t>
      </w:r>
    </w:p>
    <w:p>
      <w:pPr>
        <w:pStyle w:val="26"/>
        <w:spacing w:line="360" w:lineRule="auto"/>
        <w:rPr>
          <w:lang w:val="en-AU"/>
        </w:rPr>
      </w:pPr>
      <w:r>
        <w:rPr>
          <w:rFonts w:hint="eastAsia"/>
        </w:rPr>
        <w:t>判定停驶行为后，出行里程</w:t>
      </w: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i,k,y</m:t>
            </m:r>
            <m:ctrlPr>
              <w:rPr>
                <w:rFonts w:ascii="Cambria Math" w:hAnsi="Cambria Math"/>
                <w:i/>
              </w:rPr>
            </m:ctrlPr>
          </m:sub>
        </m:sSub>
      </m:oMath>
      <w:r>
        <w:rPr>
          <w:rFonts w:hint="eastAsia"/>
        </w:rPr>
        <w:t>应采用</w:t>
      </w:r>
      <w:r>
        <w:t>基准年</w:t>
      </w:r>
      <w:r>
        <w:rPr>
          <w:rFonts w:hint="eastAsia"/>
        </w:rPr>
        <w:t>小微型客车的次均出行里程获得，按式（</w:t>
      </w:r>
      <w:r>
        <w:rPr>
          <w:lang w:val="en-AU"/>
        </w:rPr>
        <w:t>B.2</w:t>
      </w:r>
      <w:r>
        <w:rPr>
          <w:rFonts w:hint="eastAsia"/>
          <w:lang w:val="en-AU"/>
        </w:rPr>
        <w:t>）计算：</w:t>
      </w:r>
    </w:p>
    <w:p>
      <w:pPr>
        <w:pStyle w:val="155"/>
        <w:ind w:left="780"/>
        <w:jc w:val="right"/>
        <w:rPr>
          <w:rFonts w:ascii="宋体"/>
          <w:kern w:val="0"/>
          <w:szCs w:val="20"/>
          <w:lang w:val="en-AU"/>
        </w:rPr>
      </w:pPr>
      <m:oMath>
        <m:sSub>
          <m:sSubPr>
            <m:ctrlPr>
              <w:rPr>
                <w:rFonts w:ascii="Cambria Math" w:hAnsi="Cambria Math" w:cs="宋体"/>
              </w:rPr>
            </m:ctrlPr>
          </m:sSubPr>
          <m:e>
            <m:r>
              <m:rPr/>
              <w:rPr>
                <w:rFonts w:ascii="Cambria Math" w:hAnsi="Cambria Math"/>
                <w:lang w:val="en-AU"/>
              </w:rPr>
              <m:t>PD</m:t>
            </m:r>
            <m:ctrlPr>
              <w:rPr>
                <w:rFonts w:ascii="Cambria Math" w:hAnsi="Cambria Math" w:cs="宋体"/>
              </w:rPr>
            </m:ctrlPr>
          </m:e>
          <m:sub>
            <m:r>
              <m:rPr/>
              <w:rPr>
                <w:rFonts w:ascii="Cambria Math" w:hAnsi="Cambria Math"/>
              </w:rPr>
              <m:t>i,</m:t>
            </m:r>
            <m:r>
              <m:rPr/>
              <w:rPr>
                <w:rFonts w:hint="eastAsia" w:ascii="Cambria Math" w:hAnsi="Cambria Math"/>
              </w:rPr>
              <m:t>k</m:t>
            </m:r>
            <m:r>
              <m:rPr/>
              <w:rPr>
                <w:rFonts w:ascii="Cambria Math" w:hAnsi="Cambria Math"/>
                <w:lang w:val="en-AU"/>
              </w:rPr>
              <m:t>,y</m:t>
            </m:r>
            <m:ctrlPr>
              <w:rPr>
                <w:rFonts w:ascii="Cambria Math" w:hAnsi="Cambria Math" w:cs="宋体"/>
              </w:rPr>
            </m:ctrlPr>
          </m:sub>
        </m:sSub>
        <m:r>
          <m:rPr/>
          <w:rPr>
            <w:rFonts w:ascii="Cambria Math" w:hAnsi="Cambria Math" w:cs="宋体"/>
          </w:rPr>
          <m:t>=</m:t>
        </m:r>
        <m:sSub>
          <m:sSubPr>
            <m:ctrlPr>
              <w:rPr>
                <w:rFonts w:ascii="Cambria Math" w:hAnsi="Cambria Math" w:cs="宋体"/>
                <w:i/>
              </w:rPr>
            </m:ctrlPr>
          </m:sSubPr>
          <m:e>
            <m:r>
              <m:rPr/>
              <w:rPr>
                <w:rFonts w:ascii="Cambria Math" w:hAnsi="Cambria Math" w:cs="宋体"/>
              </w:rPr>
              <m:t>PD</m:t>
            </m:r>
            <m:ctrlPr>
              <w:rPr>
                <w:rFonts w:ascii="Cambria Math" w:hAnsi="Cambria Math" w:cs="宋体"/>
                <w:i/>
              </w:rPr>
            </m:ctrlPr>
          </m:e>
          <m:sub>
            <m:r>
              <m:rPr/>
              <w:rPr>
                <w:rFonts w:ascii="Cambria Math" w:hAnsi="Cambria Math" w:cs="宋体"/>
              </w:rPr>
              <m:t>M</m:t>
            </m:r>
            <m:ctrlPr>
              <w:rPr>
                <w:rFonts w:ascii="Cambria Math" w:hAnsi="Cambria Math" w:cs="宋体"/>
                <w:i/>
              </w:rPr>
            </m:ctrlPr>
          </m:sub>
        </m:sSub>
      </m:oMath>
      <w:r>
        <w:rPr>
          <w:rFonts w:ascii="Cambria Math" w:hAnsi="Cambria Math"/>
        </w:rPr>
        <w:t>…………………………………………</w:t>
      </w:r>
      <w:r>
        <w:rPr>
          <w:rFonts w:hint="eastAsia" w:ascii="Cambria Math" w:hAnsi="Cambria Math"/>
        </w:rPr>
        <w:t>（</w:t>
      </w:r>
      <w:r>
        <w:rPr>
          <w:rFonts w:ascii="宋体" w:hAnsi="宋体"/>
        </w:rPr>
        <w:t>B.2</w:t>
      </w:r>
      <w:r>
        <w:rPr>
          <w:rFonts w:hint="eastAsia" w:ascii="Cambria Math" w:hAnsi="Cambria Math"/>
        </w:rPr>
        <w:t>）</w:t>
      </w:r>
    </w:p>
    <w:p>
      <w:pPr>
        <w:widowControl/>
        <w:jc w:val="left"/>
        <w:rPr>
          <w:rFonts w:ascii="宋体"/>
          <w:kern w:val="0"/>
          <w:szCs w:val="20"/>
        </w:rPr>
      </w:pPr>
      <w:r>
        <w:br w:type="page"/>
      </w:r>
    </w:p>
    <w:p>
      <w:pPr>
        <w:pStyle w:val="85"/>
        <w:spacing w:before="156" w:after="156"/>
        <w:ind w:left="0"/>
      </w:pPr>
      <w:r>
        <w:br w:type="textWrapping"/>
      </w:r>
      <w:bookmarkStart w:id="150" w:name="_Toc17878130"/>
      <w:bookmarkStart w:id="151" w:name="_Toc118127253"/>
      <w:r>
        <w:rPr>
          <w:rFonts w:hint="eastAsia"/>
        </w:rPr>
        <w:t>（规范性）</w:t>
      </w:r>
      <w:r>
        <w:br w:type="textWrapping"/>
      </w:r>
      <w:bookmarkEnd w:id="150"/>
      <w:r>
        <w:rPr>
          <w:rFonts w:hint="eastAsia"/>
          <w:lang w:val="en-AU"/>
        </w:rPr>
        <w:t>需要监测的数据和参数的数据</w:t>
      </w:r>
      <w:r>
        <w:rPr>
          <w:rFonts w:hint="eastAsia"/>
        </w:rPr>
        <w:t>来源</w:t>
      </w:r>
      <w:bookmarkEnd w:id="151"/>
    </w:p>
    <w:p>
      <w:pPr>
        <w:pStyle w:val="44"/>
        <w:numPr>
          <w:ilvl w:val="0"/>
          <w:numId w:val="0"/>
        </w:numPr>
        <w:spacing w:before="156" w:after="156"/>
        <w:rPr>
          <w:lang w:val="en-AU"/>
        </w:rPr>
      </w:pPr>
      <w:r>
        <w:rPr>
          <w:rFonts w:hint="eastAsia"/>
        </w:rPr>
        <w:t xml:space="preserve">C.1 </w:t>
      </w:r>
      <w:r>
        <w:rPr>
          <w:rFonts w:hint="eastAsia" w:ascii="宋体" w:hAnsi="宋体" w:eastAsia="宋体"/>
        </w:rPr>
        <w:t>表</w:t>
      </w:r>
      <w:r>
        <w:rPr>
          <w:rFonts w:ascii="宋体" w:hAnsi="宋体" w:eastAsia="宋体"/>
          <w:lang w:val="en-AU"/>
        </w:rPr>
        <w:t>C.1</w:t>
      </w:r>
      <w:r>
        <w:rPr>
          <w:rFonts w:hint="eastAsia" w:ascii="宋体" w:hAnsi="宋体" w:eastAsia="宋体"/>
        </w:rPr>
        <w:t>至C.23</w:t>
      </w:r>
      <w:r>
        <w:rPr>
          <w:rFonts w:hint="eastAsia" w:ascii="宋体" w:hAnsi="宋体" w:eastAsia="宋体"/>
          <w:lang w:val="en-AU"/>
        </w:rPr>
        <w:t>规定了需要监测的数据和参数及数据的数据来源。</w:t>
      </w:r>
    </w:p>
    <w:p>
      <w:pPr>
        <w:pStyle w:val="88"/>
        <w:numPr>
          <w:ilvl w:val="1"/>
          <w:numId w:val="0"/>
        </w:numPr>
        <w:spacing w:before="156" w:beforeLines="0" w:after="156" w:afterLines="0" w:line="360" w:lineRule="auto"/>
        <w:rPr>
          <w:rFonts w:hAnsi="黑体"/>
          <w:lang w:val="en-AU"/>
        </w:rPr>
      </w:pPr>
      <w:bookmarkStart w:id="152" w:name="OLE_LINK73"/>
      <w:bookmarkStart w:id="153" w:name="OLE_LINK3"/>
      <w:r>
        <w:rPr>
          <w:rFonts w:hAnsi="黑体"/>
          <w:lang w:val="en-AU"/>
        </w:rPr>
        <w:t>表</w:t>
      </w:r>
      <w:r>
        <w:rPr>
          <w:rFonts w:hAnsi="黑体"/>
        </w:rPr>
        <w:t>C.</w:t>
      </w:r>
      <w:r>
        <w:rPr>
          <w:rFonts w:hAnsi="黑体"/>
          <w:lang w:val="en-AU"/>
        </w:rPr>
        <w:t>1　</w:t>
      </w:r>
      <w:r>
        <w:rPr>
          <w:rFonts w:hAnsi="黑体"/>
        </w:rPr>
        <w:t>小微型客车</w:t>
      </w:r>
      <w:r>
        <w:rPr>
          <w:rFonts w:hint="eastAsia" w:hAnsi="黑体"/>
          <w:lang w:val="en-AU"/>
        </w:rPr>
        <w:t>的人公里</w:t>
      </w:r>
      <w:bookmarkEnd w:id="152"/>
      <w:r>
        <w:rPr>
          <w:rFonts w:hAnsi="黑体"/>
        </w:rPr>
        <w:t>速度碳排放因子</w:t>
      </w:r>
    </w:p>
    <w:bookmarkEnd w:id="153"/>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r>
                      <m:rPr/>
                      <w:rPr>
                        <w:rFonts w:ascii="Cambria Math" w:hAnsi="Cambria Math"/>
                        <w:sz w:val="18"/>
                        <w:szCs w:val="18"/>
                      </w:rPr>
                      <m:t>x</m:t>
                    </m:r>
                    <m:r>
                      <m:rPr>
                        <m:sty m:val="p"/>
                      </m:rPr>
                      <w:rPr>
                        <w:rFonts w:ascii="Cambria Math" w:hAnsi="Cambria Math"/>
                        <w:sz w:val="18"/>
                        <w:szCs w:val="18"/>
                      </w:rPr>
                      <m:t>,</m:t>
                    </m:r>
                    <m:r>
                      <m:rPr/>
                      <w:rPr>
                        <w:rFonts w:ascii="Cambria Math" w:hAnsi="Cambria Math"/>
                        <w:sz w:val="18"/>
                        <w:szCs w:val="18"/>
                      </w:rPr>
                      <m:t>j</m:t>
                    </m:r>
                    <m:r>
                      <m:rPr>
                        <m:sty m:val="p"/>
                      </m:rPr>
                      <w:rPr>
                        <w:rFonts w:ascii="Cambria Math" w:hAnsi="Cambria Math"/>
                        <w:sz w:val="18"/>
                        <w:szCs w:val="18"/>
                      </w:rPr>
                      <m:t>,</m:t>
                    </m:r>
                    <m:r>
                      <m:rPr/>
                      <w:rPr>
                        <w:rFonts w:ascii="Cambria Math" w:hAnsi="Cambria Math"/>
                        <w:sz w:val="18"/>
                        <w:szCs w:val="18"/>
                      </w:rPr>
                      <m:t>v</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pStyle w:val="161"/>
              <w:adjustRightInd w:val="0"/>
              <w:snapToGrid w:val="0"/>
              <w:spacing w:line="360" w:lineRule="auto"/>
              <w:jc w:val="left"/>
              <w:rPr>
                <w:rFonts w:ascii="宋体" w:hAnsi="宋体"/>
                <w:sz w:val="18"/>
                <w:szCs w:val="18"/>
              </w:rPr>
            </w:pPr>
            <w:r>
              <w:rPr>
                <w:rFonts w:ascii="宋体" w:hAnsi="宋体"/>
                <w:sz w:val="18"/>
                <w:szCs w:val="18"/>
              </w:rPr>
              <w:t>基准年x能源类型排量为j的小微型客车</w:t>
            </w:r>
            <w:r>
              <w:rPr>
                <w:rFonts w:hint="eastAsia" w:ascii="宋体" w:hAnsi="宋体"/>
                <w:sz w:val="18"/>
                <w:szCs w:val="18"/>
              </w:rPr>
              <w:t>的人公里</w:t>
            </w:r>
            <w:r>
              <w:rPr>
                <w:rFonts w:ascii="宋体" w:hAnsi="宋体"/>
                <w:sz w:val="18"/>
                <w:szCs w:val="18"/>
              </w:rPr>
              <w:t>速度碳排放因子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kern w:val="0"/>
                <w:sz w:val="18"/>
                <w:szCs w:val="18"/>
              </w:rPr>
              <w:t>由具备相应检测资质的单位按照测量方法和程序测量获得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bl>
    <w:p>
      <w:pPr>
        <w:pStyle w:val="88"/>
        <w:numPr>
          <w:ilvl w:val="1"/>
          <w:numId w:val="0"/>
        </w:numPr>
        <w:spacing w:before="156" w:beforeLines="0" w:after="156" w:afterLines="0" w:line="360" w:lineRule="auto"/>
        <w:rPr>
          <w:rFonts w:hAnsi="黑体"/>
        </w:rPr>
      </w:pPr>
      <w:r>
        <w:rPr>
          <w:rFonts w:hAnsi="黑体"/>
        </w:rPr>
        <w:t>表C.2　</w:t>
      </w:r>
      <w:r>
        <w:rPr>
          <w:rFonts w:hint="eastAsia" w:hAnsi="黑体"/>
        </w:rPr>
        <w:t>不同排量下</w:t>
      </w:r>
      <w:r>
        <w:rPr>
          <w:rFonts w:hAnsi="黑体"/>
        </w:rPr>
        <w:t>小微型客车</w:t>
      </w:r>
      <w:r>
        <w:rPr>
          <w:rFonts w:hint="eastAsia" w:hAnsi="黑体"/>
        </w:rPr>
        <w:t>数量</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eastAsia="楷体_GB2312"/>
                        <w:iCs/>
                        <w:sz w:val="18"/>
                        <w:szCs w:val="18"/>
                      </w:rPr>
                    </m:ctrlPr>
                  </m:sSubPr>
                  <m:e>
                    <m:r>
                      <m:rPr>
                        <m:sty m:val="p"/>
                      </m:rPr>
                      <w:rPr>
                        <w:rFonts w:ascii="Cambria Math" w:hAnsi="Cambria Math" w:eastAsia="楷体_GB2312"/>
                        <w:sz w:val="18"/>
                        <w:szCs w:val="18"/>
                      </w:rPr>
                      <m:t>I</m:t>
                    </m:r>
                    <m:ctrlPr>
                      <w:rPr>
                        <w:rFonts w:ascii="Cambria Math" w:hAnsi="Cambria Math" w:eastAsia="楷体_GB2312"/>
                        <w:iCs/>
                        <w:sz w:val="18"/>
                        <w:szCs w:val="18"/>
                      </w:rPr>
                    </m:ctrlPr>
                  </m:e>
                  <m:sub>
                    <m:r>
                      <m:rPr>
                        <m:sty m:val="p"/>
                      </m:rPr>
                      <w:rPr>
                        <w:rFonts w:ascii="Cambria Math" w:hAnsi="Cambria Math" w:eastAsia="楷体_GB2312"/>
                        <w:sz w:val="18"/>
                        <w:szCs w:val="18"/>
                      </w:rPr>
                      <m:t>x,j</m:t>
                    </m:r>
                    <m:ctrlPr>
                      <w:rPr>
                        <w:rFonts w:ascii="Cambria Math" w:hAnsi="Cambria Math" w:eastAsia="楷体_GB2312"/>
                        <w:iCs/>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基准年x能源类型排量为j的小微型客车的总数量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交通管理部门</w:t>
            </w:r>
            <w:r>
              <w:rPr>
                <w:rFonts w:ascii="宋体" w:hAnsi="宋体"/>
                <w:color w:val="000000"/>
                <w:kern w:val="0"/>
                <w:sz w:val="18"/>
                <w:szCs w:val="18"/>
              </w:rPr>
              <w:t>基准年</w:t>
            </w:r>
            <w:r>
              <w:rPr>
                <w:rFonts w:hint="eastAsia" w:ascii="宋体" w:hAnsi="宋体"/>
                <w:color w:val="000000"/>
                <w:kern w:val="0"/>
                <w:sz w:val="18"/>
                <w:szCs w:val="18"/>
              </w:rPr>
              <w:t>车辆库统计结果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bl>
    <w:p>
      <w:pPr>
        <w:pStyle w:val="26"/>
        <w:ind w:firstLine="0" w:firstLineChars="0"/>
        <w:rPr>
          <w:lang w:val="en-AU"/>
        </w:rPr>
      </w:pPr>
    </w:p>
    <w:p>
      <w:pPr>
        <w:pStyle w:val="88"/>
        <w:numPr>
          <w:ilvl w:val="1"/>
          <w:numId w:val="0"/>
        </w:numPr>
        <w:spacing w:before="156" w:beforeLines="0" w:after="156" w:afterLines="0" w:line="360" w:lineRule="auto"/>
        <w:rPr>
          <w:rFonts w:hAnsi="黑体"/>
        </w:rPr>
      </w:pPr>
      <w:r>
        <w:rPr>
          <w:rFonts w:hAnsi="黑体"/>
        </w:rPr>
        <w:t>表C.3　</w:t>
      </w:r>
      <w:r>
        <w:rPr>
          <w:rFonts w:hint="eastAsia" w:hAnsi="黑体"/>
        </w:rPr>
        <w:t>不同排量下</w:t>
      </w:r>
      <w:r>
        <w:rPr>
          <w:rFonts w:hAnsi="黑体"/>
        </w:rPr>
        <w:t>小微型客车</w:t>
      </w:r>
      <w:r>
        <w:rPr>
          <w:rFonts w:hint="eastAsia" w:hAnsi="黑体"/>
        </w:rPr>
        <w:t>年均行驶里程</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54" w:name="OLE_LINK207"/>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eastAsia="楷体_GB2312"/>
                        <w:iCs/>
                        <w:sz w:val="18"/>
                        <w:szCs w:val="18"/>
                      </w:rPr>
                    </m:ctrlPr>
                  </m:sSubPr>
                  <m:e>
                    <m:r>
                      <m:rPr>
                        <m:sty m:val="p"/>
                      </m:rPr>
                      <w:rPr>
                        <w:rFonts w:ascii="Cambria Math" w:hAnsi="Cambria Math" w:eastAsia="楷体_GB2312"/>
                        <w:sz w:val="18"/>
                        <w:szCs w:val="18"/>
                      </w:rPr>
                      <m:t>D</m:t>
                    </m:r>
                    <m:ctrlPr>
                      <w:rPr>
                        <w:rFonts w:ascii="Cambria Math" w:hAnsi="Cambria Math" w:eastAsia="楷体_GB2312"/>
                        <w:iCs/>
                        <w:sz w:val="18"/>
                        <w:szCs w:val="18"/>
                      </w:rPr>
                    </m:ctrlPr>
                  </m:e>
                  <m:sub>
                    <m:r>
                      <m:rPr>
                        <m:sty m:val="p"/>
                      </m:rPr>
                      <w:rPr>
                        <w:rFonts w:ascii="Cambria Math" w:hAnsi="Cambria Math" w:eastAsia="楷体_GB2312"/>
                        <w:sz w:val="18"/>
                        <w:szCs w:val="18"/>
                      </w:rPr>
                      <m:t>x,j</m:t>
                    </m:r>
                    <m:ctrlPr>
                      <w:rPr>
                        <w:rFonts w:ascii="Cambria Math" w:hAnsi="Cambria Math" w:eastAsia="楷体_GB2312"/>
                        <w:iCs/>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基准年x能源类型排量为j的小微型客车的年均行驶里程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通过权威机构发布的交通发展年度报告查阅获得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jc w:val="left"/>
              <w:rPr>
                <w:rFonts w:ascii="宋体" w:hAnsi="宋体"/>
                <w:color w:val="000000"/>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54"/>
    </w:tbl>
    <w:p>
      <w:pPr>
        <w:pStyle w:val="88"/>
        <w:numPr>
          <w:ilvl w:val="1"/>
          <w:numId w:val="0"/>
        </w:numPr>
        <w:spacing w:before="156" w:beforeLines="0" w:after="156" w:afterLines="0" w:line="360" w:lineRule="auto"/>
        <w:rPr>
          <w:rFonts w:hAnsi="黑体"/>
        </w:rPr>
      </w:pPr>
      <w:r>
        <w:rPr>
          <w:rFonts w:hAnsi="黑体"/>
        </w:rPr>
        <w:t>表C.4　</w:t>
      </w:r>
      <w:r>
        <w:rPr>
          <w:rFonts w:hint="eastAsia" w:hAnsi="黑体"/>
        </w:rPr>
        <w:t>路网运行平均速度</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55" w:name="OLE_LINK228"/>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acc>
                  <m:accPr>
                    <m:chr m:val="̅"/>
                    <m:ctrlPr>
                      <w:rPr>
                        <w:rFonts w:ascii="Cambria Math" w:hAnsi="Cambria Math"/>
                        <w:i/>
                      </w:rPr>
                    </m:ctrlPr>
                  </m:accPr>
                  <m:e>
                    <m:sSub>
                      <m:sSubPr>
                        <m:ctrlPr>
                          <w:rPr>
                            <w:rFonts w:ascii="Cambria Math" w:hAnsi="Cambria Math"/>
                            <w:i/>
                          </w:rPr>
                        </m:ctrlPr>
                      </m:sSubPr>
                      <m:e>
                        <m:r>
                          <m:rPr/>
                          <w:rPr>
                            <w:rFonts w:ascii="Cambria Math" w:hAnsi="Cambria Math"/>
                          </w:rPr>
                          <m:t>V</m:t>
                        </m:r>
                        <m:ctrlPr>
                          <w:rPr>
                            <w:rFonts w:ascii="Cambria Math" w:hAnsi="Cambria Math"/>
                            <w:i/>
                          </w:rPr>
                        </m:ctrlPr>
                      </m:e>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ctrlPr>
                      <w:rPr>
                        <w:rFonts w:ascii="Cambria Math" w:hAnsi="Cambria Math"/>
                        <w:i/>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w:t>
            </w:r>
            <w:r>
              <w:rPr>
                <w:rFonts w:hint="eastAsia" w:ascii="宋体" w:hAnsi="宋体"/>
                <w:color w:val="000000"/>
                <w:kern w:val="0"/>
                <w:sz w:val="18"/>
                <w:szCs w:val="18"/>
              </w:rPr>
              <w:t>特定时间段</w:t>
            </w:r>
            <w:r>
              <w:rPr>
                <w:rFonts w:ascii="宋体" w:hAnsi="宋体"/>
                <w:color w:val="000000"/>
                <w:kern w:val="0"/>
                <w:sz w:val="18"/>
                <w:szCs w:val="18"/>
              </w:rPr>
              <w:t>T的路网平均运行速度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通过权威机构发布的交通发展年度报告查阅获得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jc w:val="left"/>
              <w:rPr>
                <w:rFonts w:ascii="宋体" w:hAnsi="宋体"/>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55"/>
    </w:tbl>
    <w:p>
      <w:pPr>
        <w:pStyle w:val="88"/>
        <w:numPr>
          <w:ilvl w:val="1"/>
          <w:numId w:val="0"/>
        </w:numPr>
        <w:spacing w:before="156" w:beforeLines="0" w:after="156" w:afterLines="0" w:line="360" w:lineRule="auto"/>
        <w:rPr>
          <w:rFonts w:hAnsi="黑体"/>
        </w:rPr>
      </w:pPr>
      <w:bookmarkStart w:id="156" w:name="OLE_LINK99"/>
      <w:r>
        <w:rPr>
          <w:rFonts w:hAnsi="黑体"/>
        </w:rPr>
        <w:t>表C.5　</w:t>
      </w:r>
      <w:r>
        <w:rPr>
          <w:rFonts w:hint="eastAsia" w:hAnsi="黑体"/>
        </w:rPr>
        <w:t>路网转换系数</w:t>
      </w:r>
      <w:bookmarkEnd w:id="156"/>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57" w:name="OLE_LINK233"/>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i/>
                        <w:szCs w:val="18"/>
                      </w:rPr>
                    </m:ctrlPr>
                  </m:sSubPr>
                  <m:e>
                    <m:r>
                      <m:rPr/>
                      <w:rPr>
                        <w:rFonts w:ascii="Cambria Math" w:hAnsi="Cambria Math"/>
                        <w:szCs w:val="18"/>
                      </w:rPr>
                      <m:t>m</m:t>
                    </m:r>
                    <m:ctrlPr>
                      <w:rPr>
                        <w:rFonts w:ascii="Cambria Math" w:hAnsi="Cambria Math"/>
                        <w:i/>
                        <w:szCs w:val="18"/>
                      </w:rPr>
                    </m:ctrlPr>
                  </m:e>
                  <m:sub>
                    <m:r>
                      <m:rPr/>
                      <w:rPr>
                        <w:rFonts w:ascii="Cambria Math" w:hAnsi="Cambria Math"/>
                        <w:szCs w:val="18"/>
                      </w:rPr>
                      <m:t>k</m:t>
                    </m:r>
                    <m:ctrlPr>
                      <w:rPr>
                        <w:rFonts w:ascii="Cambria Math" w:hAnsi="Cambria Math"/>
                        <w:i/>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048" w:type="dxa"/>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4296" w:type="dxa"/>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w:t>
            </w:r>
            <w:r>
              <w:rPr>
                <w:rFonts w:hint="eastAsia" w:ascii="宋体" w:hAnsi="宋体"/>
                <w:color w:val="000000"/>
                <w:kern w:val="0"/>
                <w:sz w:val="18"/>
                <w:szCs w:val="18"/>
              </w:rPr>
              <w:t>，城市路网条件下，相同起讫点情况小微型客车最短出行距离与方式</w:t>
            </w:r>
            <w:r>
              <w:rPr>
                <w:rFonts w:ascii="宋体" w:hAnsi="宋体"/>
                <w:color w:val="000000"/>
                <w:kern w:val="0"/>
                <w:sz w:val="18"/>
                <w:szCs w:val="18"/>
              </w:rPr>
              <w:t>k出行距离比值的平均值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按照测量方法测量获得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jc w:val="left"/>
              <w:rPr>
                <w:rFonts w:ascii="宋体" w:hAnsi="宋体"/>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57"/>
    </w:tbl>
    <w:p>
      <w:pPr>
        <w:pStyle w:val="88"/>
        <w:numPr>
          <w:ilvl w:val="1"/>
          <w:numId w:val="0"/>
        </w:numPr>
        <w:spacing w:before="156" w:beforeLines="0" w:after="156" w:afterLines="0" w:line="360" w:lineRule="auto"/>
        <w:rPr>
          <w:rFonts w:hAnsi="黑体"/>
        </w:rPr>
      </w:pPr>
      <w:r>
        <w:rPr>
          <w:rFonts w:hAnsi="黑体"/>
        </w:rPr>
        <w:t>表C.6　</w:t>
      </w:r>
      <w:r>
        <w:rPr>
          <w:rFonts w:hint="eastAsia" w:hAnsi="黑体"/>
        </w:rPr>
        <w:t>能源消耗总量</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58" w:name="OLE_LINK241"/>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iCs/>
                        <w:sz w:val="18"/>
                        <w:szCs w:val="18"/>
                      </w:rPr>
                    </m:ctrlPr>
                  </m:sSubPr>
                  <m:e>
                    <m:r>
                      <m:rPr>
                        <m:sty m:val="p"/>
                      </m:rPr>
                      <w:rPr>
                        <w:rFonts w:ascii="Cambria Math" w:hAnsi="Cambria Math"/>
                        <w:sz w:val="18"/>
                        <w:szCs w:val="18"/>
                      </w:rPr>
                      <m:t>FC</m:t>
                    </m:r>
                    <m:ctrlPr>
                      <w:rPr>
                        <w:rFonts w:ascii="Cambria Math" w:hAnsi="Cambria Math"/>
                        <w:iCs/>
                        <w:sz w:val="18"/>
                        <w:szCs w:val="18"/>
                      </w:rPr>
                    </m:ctrlPr>
                  </m:e>
                  <m:sub>
                    <m:r>
                      <m:rPr>
                        <m:sty m:val="p"/>
                      </m:rPr>
                      <w:rPr>
                        <w:rFonts w:ascii="Cambria Math" w:hAnsi="Cambria Math"/>
                        <w:sz w:val="18"/>
                        <w:szCs w:val="18"/>
                      </w:rPr>
                      <m:t>k,x</m:t>
                    </m:r>
                    <m:ctrlPr>
                      <w:rPr>
                        <w:rFonts w:ascii="Cambria Math" w:hAnsi="Cambria Math"/>
                        <w:iCs/>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w:t>
            </w:r>
            <w:r>
              <w:rPr>
                <w:rFonts w:hint="eastAsia" w:ascii="宋体" w:hAnsi="宋体"/>
                <w:color w:val="000000"/>
                <w:kern w:val="0"/>
                <w:sz w:val="18"/>
                <w:szCs w:val="18"/>
              </w:rPr>
              <w:t>出行方式</w:t>
            </w:r>
            <w:r>
              <w:rPr>
                <w:rFonts w:ascii="宋体" w:hAnsi="宋体"/>
                <w:color w:val="000000"/>
                <w:kern w:val="0"/>
                <w:sz w:val="18"/>
                <w:szCs w:val="18"/>
              </w:rPr>
              <w:t>k使用能源x的消耗总量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质量或体积单位，</w:t>
            </w:r>
            <w:r>
              <w:rPr>
                <w:rFonts w:ascii="宋体" w:hAnsi="宋体"/>
                <w:color w:val="000000"/>
                <w:kern w:val="0"/>
                <w:sz w:val="18"/>
                <w:szCs w:val="18"/>
              </w:rPr>
              <w:t>ton</w:t>
            </w:r>
            <w:r>
              <w:rPr>
                <w:rFonts w:hint="eastAsia" w:ascii="宋体" w:hAnsi="宋体"/>
                <w:color w:val="000000"/>
                <w:kern w:val="0"/>
                <w:sz w:val="18"/>
                <w:szCs w:val="18"/>
              </w:rPr>
              <w:t>、</w:t>
            </w:r>
            <w:r>
              <w:rPr>
                <w:rFonts w:ascii="宋体" w:hAnsi="宋体"/>
                <w:color w:val="000000"/>
                <w:kern w:val="0"/>
                <w:sz w:val="18"/>
                <w:szCs w:val="18"/>
              </w:rPr>
              <w:t>m</w:t>
            </w:r>
            <w:r>
              <w:rPr>
                <w:rFonts w:ascii="宋体" w:hAnsi="宋体"/>
                <w:color w:val="000000"/>
                <w:kern w:val="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运营公司提供数据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58"/>
    </w:tbl>
    <w:p>
      <w:pPr>
        <w:pStyle w:val="88"/>
        <w:numPr>
          <w:ilvl w:val="1"/>
          <w:numId w:val="0"/>
        </w:numPr>
        <w:spacing w:before="156" w:beforeLines="0" w:after="156" w:afterLines="0" w:line="360" w:lineRule="auto"/>
        <w:rPr>
          <w:rFonts w:hAnsi="黑体"/>
        </w:rPr>
      </w:pPr>
      <w:r>
        <w:rPr>
          <w:rFonts w:hAnsi="黑体"/>
        </w:rPr>
        <w:t>表C.7　</w:t>
      </w:r>
      <w:r>
        <w:rPr>
          <w:rFonts w:hint="eastAsia" w:hAnsi="黑体"/>
        </w:rPr>
        <w:t>能源净热值</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iCs/>
                        <w:sz w:val="18"/>
                        <w:szCs w:val="18"/>
                      </w:rPr>
                    </m:ctrlPr>
                  </m:sSubPr>
                  <m:e>
                    <m:r>
                      <m:rPr>
                        <m:sty m:val="p"/>
                      </m:rPr>
                      <w:rPr>
                        <w:rFonts w:ascii="Cambria Math" w:hAnsi="Cambria Math"/>
                        <w:sz w:val="18"/>
                        <w:szCs w:val="18"/>
                      </w:rPr>
                      <m:t>NCV</m:t>
                    </m:r>
                    <m:ctrlPr>
                      <w:rPr>
                        <w:rFonts w:ascii="Cambria Math" w:hAnsi="Cambria Math"/>
                        <w:iCs/>
                        <w:sz w:val="18"/>
                        <w:szCs w:val="18"/>
                      </w:rPr>
                    </m:ctrlPr>
                  </m:e>
                  <m:sub>
                    <m:r>
                      <m:rPr>
                        <m:sty m:val="p"/>
                      </m:rPr>
                      <w:rPr>
                        <w:rFonts w:ascii="Cambria Math" w:hAnsi="Cambria Math"/>
                        <w:sz w:val="18"/>
                        <w:szCs w:val="18"/>
                      </w:rPr>
                      <m:t>k,x</m:t>
                    </m:r>
                    <m:ctrlPr>
                      <w:rPr>
                        <w:rFonts w:ascii="Cambria Math" w:hAnsi="Cambria Math"/>
                        <w:iCs/>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b/>
                <w:bCs/>
                <w:color w:val="000000"/>
                <w:kern w:val="0"/>
                <w:sz w:val="18"/>
                <w:szCs w:val="18"/>
              </w:rPr>
            </w:pPr>
            <w:r>
              <w:rPr>
                <w:rFonts w:ascii="宋体" w:hAnsi="宋体"/>
                <w:color w:val="000000"/>
                <w:kern w:val="0"/>
                <w:sz w:val="18"/>
                <w:szCs w:val="18"/>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lang w:eastAsia="zh-Hans"/>
              </w:rPr>
            </w:pPr>
            <w:r>
              <w:rPr>
                <w:rFonts w:ascii="宋体" w:hAnsi="宋体"/>
                <w:color w:val="000000"/>
                <w:kern w:val="0"/>
                <w:sz w:val="18"/>
                <w:szCs w:val="18"/>
              </w:rPr>
              <w:t>基准年</w:t>
            </w:r>
            <w:r>
              <w:rPr>
                <w:rFonts w:hint="eastAsia" w:ascii="宋体" w:hAnsi="宋体"/>
                <w:color w:val="000000"/>
                <w:kern w:val="0"/>
                <w:sz w:val="18"/>
                <w:szCs w:val="18"/>
              </w:rPr>
              <w:t>出行方式</w:t>
            </w:r>
            <w:r>
              <w:rPr>
                <w:rFonts w:ascii="宋体" w:hAnsi="宋体"/>
                <w:color w:val="000000"/>
                <w:kern w:val="0"/>
                <w:sz w:val="18"/>
                <w:szCs w:val="18"/>
              </w:rPr>
              <w:t>k使用能源x的</w:t>
            </w:r>
            <w:r>
              <w:rPr>
                <w:rFonts w:hint="eastAsia" w:ascii="宋体" w:hAnsi="宋体"/>
                <w:color w:val="000000"/>
                <w:kern w:val="0"/>
                <w:sz w:val="18"/>
                <w:szCs w:val="18"/>
                <w:lang w:eastAsia="zh-Hans"/>
              </w:rPr>
              <w:t>净热值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GJ/质量或体积单位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pStyle w:val="161"/>
              <w:widowControl w:val="0"/>
              <w:adjustRightInd w:val="0"/>
              <w:snapToGrid w:val="0"/>
              <w:spacing w:line="360" w:lineRule="auto"/>
              <w:jc w:val="left"/>
              <w:rPr>
                <w:rFonts w:ascii="宋体" w:hAnsi="宋体"/>
                <w:color w:val="000000"/>
                <w:sz w:val="18"/>
                <w:szCs w:val="18"/>
              </w:rPr>
            </w:pPr>
            <w:r>
              <w:rPr>
                <w:rFonts w:hint="eastAsia" w:ascii="宋体" w:hAnsi="宋体"/>
                <w:color w:val="000000"/>
                <w:sz w:val="18"/>
                <w:szCs w:val="18"/>
              </w:rPr>
              <w:t>按照以下优先次序选取来源：</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1、地方测量（权威研究机构或项目参与方测量）；</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2、国内外文献</w:t>
            </w:r>
          </w:p>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3、最新IPCC缺省值；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bl>
    <w:p>
      <w:pPr>
        <w:pStyle w:val="88"/>
        <w:numPr>
          <w:ilvl w:val="1"/>
          <w:numId w:val="0"/>
        </w:numPr>
        <w:spacing w:before="156" w:beforeLines="0" w:after="156" w:afterLines="0" w:line="360" w:lineRule="auto"/>
        <w:rPr>
          <w:rFonts w:hAnsi="黑体"/>
        </w:rPr>
      </w:pPr>
      <w:r>
        <w:rPr>
          <w:rFonts w:hAnsi="黑体"/>
        </w:rPr>
        <w:t>表C.8　</w:t>
      </w:r>
      <w:r>
        <w:rPr>
          <w:rFonts w:hint="eastAsia" w:hAnsi="黑体"/>
        </w:rPr>
        <w:t>电力消耗总量</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59" w:name="OLE_LINK249"/>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color w:val="000000"/>
                        <w:kern w:val="0"/>
                        <w:sz w:val="18"/>
                        <w:szCs w:val="18"/>
                      </w:rPr>
                    </m:ctrlPr>
                  </m:sSubPr>
                  <m:e>
                    <m:r>
                      <m:rPr>
                        <m:sty m:val="p"/>
                      </m:rPr>
                      <w:rPr>
                        <w:rFonts w:ascii="Cambria Math" w:hAnsi="Cambria Math"/>
                        <w:color w:val="000000"/>
                        <w:kern w:val="0"/>
                        <w:sz w:val="18"/>
                        <w:szCs w:val="18"/>
                      </w:rPr>
                      <m:t>EC</m:t>
                    </m:r>
                    <m:ctrlPr>
                      <w:rPr>
                        <w:rFonts w:ascii="Cambria Math" w:hAnsi="Cambria Math"/>
                        <w:color w:val="000000"/>
                        <w:kern w:val="0"/>
                        <w:sz w:val="18"/>
                        <w:szCs w:val="18"/>
                      </w:rPr>
                    </m:ctrlPr>
                  </m:e>
                  <m:sub>
                    <m:r>
                      <m:rPr>
                        <m:sty m:val="p"/>
                      </m:rPr>
                      <w:rPr>
                        <w:rFonts w:ascii="Cambria Math" w:hAnsi="Cambria Math"/>
                        <w:color w:val="000000"/>
                        <w:kern w:val="0"/>
                        <w:sz w:val="18"/>
                        <w:szCs w:val="18"/>
                      </w:rPr>
                      <m:t>k</m:t>
                    </m:r>
                    <m:ctrlPr>
                      <w:rPr>
                        <w:rFonts w:ascii="Cambria Math" w:hAnsi="Cambria Math"/>
                        <w:color w:val="000000"/>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w:t>
            </w:r>
            <w:r>
              <w:rPr>
                <w:rFonts w:hint="eastAsia" w:ascii="宋体" w:hAnsi="宋体"/>
                <w:color w:val="000000"/>
                <w:kern w:val="0"/>
                <w:sz w:val="18"/>
                <w:szCs w:val="18"/>
              </w:rPr>
              <w:t>出行方式</w:t>
            </w:r>
            <w:r>
              <w:rPr>
                <w:rFonts w:ascii="宋体" w:hAnsi="宋体"/>
                <w:color w:val="000000"/>
                <w:kern w:val="0"/>
                <w:sz w:val="18"/>
                <w:szCs w:val="18"/>
              </w:rPr>
              <w:t>k使用电力的耗电总量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按照以下优先次序选取来源：</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1、地方测量（权威研究机构或项目参与方测量）；</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2、国内外文献</w:t>
            </w:r>
          </w:p>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3、最新IPCC缺省值；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59"/>
    </w:tbl>
    <w:p>
      <w:pPr>
        <w:pStyle w:val="88"/>
        <w:numPr>
          <w:ilvl w:val="1"/>
          <w:numId w:val="0"/>
        </w:numPr>
        <w:spacing w:before="156" w:beforeLines="0" w:after="156" w:afterLines="0" w:line="360" w:lineRule="auto"/>
        <w:rPr>
          <w:rFonts w:hAnsi="黑体"/>
        </w:rPr>
      </w:pPr>
      <w:bookmarkStart w:id="160" w:name="OLE_LINK101"/>
      <w:r>
        <w:rPr>
          <w:rFonts w:hAnsi="黑体"/>
        </w:rPr>
        <w:t>表C.9　</w:t>
      </w:r>
      <w:r>
        <w:rPr>
          <w:rFonts w:hint="eastAsia" w:hAnsi="黑体"/>
        </w:rPr>
        <w:t>电力损失系数</w:t>
      </w:r>
      <w:bookmarkEnd w:id="160"/>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61" w:name="OLE_LINK253"/>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r>
                  <m:rPr>
                    <m:sty m:val="p"/>
                  </m:rPr>
                  <w:rPr>
                    <w:rFonts w:ascii="Cambria Math" w:hAnsi="Cambria Math"/>
                    <w:color w:val="000000"/>
                    <w:kern w:val="0"/>
                    <w:sz w:val="18"/>
                    <w:szCs w:val="18"/>
                  </w:rPr>
                  <m:t>TDL</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A.4、A.5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ascii="宋体" w:hAnsi="宋体"/>
                <w:color w:val="000000"/>
                <w:kern w:val="0"/>
                <w:sz w:val="18"/>
                <w:szCs w:val="18"/>
              </w:rPr>
              <w:t>基准年</w:t>
            </w:r>
            <w:r>
              <w:rPr>
                <w:rFonts w:hint="eastAsia" w:ascii="宋体" w:hAnsi="宋体"/>
                <w:color w:val="000000"/>
                <w:kern w:val="0"/>
                <w:sz w:val="18"/>
                <w:szCs w:val="18"/>
              </w:rPr>
              <w:t>的电力系统平均技术传输与分配损失系数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按照以下优先次序选取来源：</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1、地方测量（权威研究机构或项目参与方测量）；</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2、国内外文献</w:t>
            </w:r>
          </w:p>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3、最新IPCC缺省值；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61"/>
    </w:tbl>
    <w:p>
      <w:pPr>
        <w:pStyle w:val="163"/>
        <w:numPr>
          <w:ilvl w:val="255"/>
          <w:numId w:val="0"/>
        </w:numPr>
        <w:spacing w:before="0" w:beforeLines="0" w:after="0" w:afterLines="0" w:line="360" w:lineRule="auto"/>
        <w:jc w:val="both"/>
        <w:rPr>
          <w:rFonts w:ascii="宋体" w:hAnsi="宋体" w:eastAsia="宋体"/>
          <w:sz w:val="18"/>
          <w:szCs w:val="18"/>
          <w:lang w:val="en-AU"/>
        </w:rPr>
      </w:pPr>
    </w:p>
    <w:p>
      <w:pPr>
        <w:pStyle w:val="88"/>
        <w:numPr>
          <w:ilvl w:val="1"/>
          <w:numId w:val="0"/>
        </w:numPr>
        <w:spacing w:before="156" w:beforeLines="0" w:after="156" w:afterLines="0" w:line="360" w:lineRule="auto"/>
        <w:rPr>
          <w:rFonts w:hAnsi="黑体"/>
        </w:rPr>
      </w:pPr>
      <w:r>
        <w:rPr>
          <w:rFonts w:hAnsi="黑体"/>
        </w:rPr>
        <w:t>表C.10　碳排放因子</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62" w:name="OLE_LINK257"/>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m:oMathPara>
              <m:oMathParaPr>
                <m:jc m:val="left"/>
              </m:oMathParaPr>
              <m:oMath>
                <m:sSub>
                  <m:sSubPr>
                    <m:ctrlPr>
                      <w:rPr>
                        <w:rFonts w:ascii="Cambria Math" w:hAnsi="Cambria Math"/>
                        <w:color w:val="000000"/>
                        <w:sz w:val="18"/>
                        <w:szCs w:val="18"/>
                      </w:rPr>
                    </m:ctrlPr>
                  </m:sSubPr>
                  <m:e>
                    <m:r>
                      <m:rPr/>
                      <w:rPr>
                        <w:rFonts w:ascii="Cambria Math" w:hAnsi="Cambria Math"/>
                        <w:color w:val="000000"/>
                        <w:sz w:val="18"/>
                        <w:szCs w:val="18"/>
                      </w:rPr>
                      <m:t>EF</m:t>
                    </m:r>
                    <m:ctrlPr>
                      <w:rPr>
                        <w:rFonts w:ascii="Cambria Math" w:hAnsi="Cambria Math"/>
                        <w:color w:val="000000"/>
                        <w:sz w:val="18"/>
                        <w:szCs w:val="18"/>
                      </w:rPr>
                    </m:ctrlPr>
                  </m:e>
                  <m:sub>
                    <m:r>
                      <m:rPr/>
                      <w:rPr>
                        <w:rFonts w:ascii="Cambria Math" w:hAnsi="Cambria Math"/>
                        <w:color w:val="000000"/>
                        <w:sz w:val="18"/>
                        <w:szCs w:val="18"/>
                      </w:rPr>
                      <m:t>CO</m:t>
                    </m:r>
                    <m:r>
                      <m:rPr>
                        <m:sty m:val="p"/>
                      </m:rPr>
                      <w:rPr>
                        <w:rFonts w:ascii="Cambria Math" w:hAnsi="Cambria Math"/>
                        <w:color w:val="000000"/>
                        <w:sz w:val="18"/>
                        <w:szCs w:val="18"/>
                      </w:rPr>
                      <m:t>2,</m:t>
                    </m:r>
                    <m:r>
                      <m:rPr/>
                      <w:rPr>
                        <w:rFonts w:ascii="Cambria Math" w:hAnsi="Cambria Math"/>
                        <w:color w:val="000000"/>
                        <w:sz w:val="18"/>
                        <w:szCs w:val="18"/>
                      </w:rPr>
                      <m:t>x</m:t>
                    </m:r>
                    <m:ctrlPr>
                      <w:rPr>
                        <w:rFonts w:ascii="Cambria Math" w:hAnsi="Cambria Math"/>
                        <w:color w:val="00000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A.4、A.5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基准年</w:t>
            </w:r>
            <w:r>
              <w:rPr>
                <w:rFonts w:hint="eastAsia" w:ascii="宋体" w:hAnsi="宋体"/>
                <w:color w:val="000000"/>
                <w:kern w:val="0"/>
                <w:sz w:val="18"/>
                <w:szCs w:val="18"/>
              </w:rPr>
              <w:t>能源类型</w:t>
            </w:r>
            <w:r>
              <w:rPr>
                <w:rFonts w:ascii="宋体" w:hAnsi="宋体"/>
                <w:color w:val="000000"/>
                <w:kern w:val="0"/>
                <w:sz w:val="18"/>
                <w:szCs w:val="18"/>
              </w:rPr>
              <w:t>x的碳排放因子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bottom"/>
          </w:tcPr>
          <w:p>
            <w:pPr>
              <w:spacing w:line="360" w:lineRule="auto"/>
              <w:jc w:val="left"/>
              <w:rPr>
                <w:rFonts w:ascii="宋体" w:hAnsi="宋体"/>
                <w:kern w:val="0"/>
                <w:sz w:val="18"/>
                <w:szCs w:val="18"/>
              </w:rPr>
            </w:pPr>
            <w:r>
              <w:rPr>
                <w:rFonts w:hint="eastAsia" w:ascii="宋体" w:hAnsi="宋体"/>
                <w:kern w:val="0"/>
                <w:sz w:val="18"/>
                <w:szCs w:val="18"/>
              </w:rPr>
              <w:t>化</w:t>
            </w:r>
            <w:r>
              <w:rPr>
                <w:rFonts w:hint="eastAsia" w:ascii="宋体" w:hAnsi="宋体"/>
                <w:color w:val="000000"/>
                <w:kern w:val="0"/>
                <w:sz w:val="18"/>
                <w:szCs w:val="18"/>
              </w:rPr>
              <w:t>石燃料为</w:t>
            </w:r>
            <w:r>
              <w:rPr>
                <w:rFonts w:ascii="宋体" w:hAnsi="宋体"/>
                <w:color w:val="000000"/>
                <w:kern w:val="0"/>
                <w:sz w:val="18"/>
                <w:szCs w:val="18"/>
              </w:rPr>
              <w:t>tCO2/GJ，电力为tCO2/MWh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pStyle w:val="161"/>
              <w:widowControl w:val="0"/>
              <w:adjustRightInd w:val="0"/>
              <w:snapToGrid w:val="0"/>
              <w:spacing w:line="360" w:lineRule="auto"/>
              <w:jc w:val="left"/>
              <w:rPr>
                <w:rFonts w:ascii="宋体" w:hAnsi="宋体"/>
                <w:sz w:val="18"/>
                <w:szCs w:val="18"/>
              </w:rPr>
            </w:pPr>
            <w:r>
              <w:rPr>
                <w:rFonts w:ascii="宋体" w:hAnsi="宋体"/>
                <w:sz w:val="18"/>
                <w:szCs w:val="18"/>
              </w:rPr>
              <w:t>按照以下优先次序选取来源：</w:t>
            </w:r>
          </w:p>
          <w:p>
            <w:pPr>
              <w:pStyle w:val="161"/>
              <w:widowControl w:val="0"/>
              <w:adjustRightInd w:val="0"/>
              <w:snapToGrid w:val="0"/>
              <w:spacing w:line="360" w:lineRule="auto"/>
              <w:jc w:val="left"/>
              <w:rPr>
                <w:rFonts w:ascii="宋体" w:hAnsi="宋体"/>
                <w:sz w:val="18"/>
                <w:szCs w:val="18"/>
              </w:rPr>
            </w:pPr>
            <w:r>
              <w:rPr>
                <w:rFonts w:ascii="宋体" w:hAnsi="宋体"/>
                <w:sz w:val="18"/>
                <w:szCs w:val="18"/>
              </w:rPr>
              <w:t>1、地方测量（权威研究机构或项目参与方测量）；</w:t>
            </w:r>
          </w:p>
          <w:p>
            <w:pPr>
              <w:pStyle w:val="161"/>
              <w:widowControl w:val="0"/>
              <w:adjustRightInd w:val="0"/>
              <w:snapToGrid w:val="0"/>
              <w:spacing w:line="360" w:lineRule="auto"/>
              <w:jc w:val="left"/>
              <w:rPr>
                <w:rFonts w:ascii="宋体" w:hAnsi="宋体"/>
                <w:color w:val="000000"/>
                <w:sz w:val="18"/>
                <w:szCs w:val="18"/>
              </w:rPr>
            </w:pPr>
            <w:r>
              <w:rPr>
                <w:rFonts w:ascii="宋体" w:hAnsi="宋体"/>
                <w:color w:val="000000"/>
                <w:sz w:val="18"/>
                <w:szCs w:val="18"/>
              </w:rPr>
              <w:t>2、国内外文献</w:t>
            </w:r>
          </w:p>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3、最新IPCC缺省值；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62"/>
    </w:tbl>
    <w:p>
      <w:pPr>
        <w:pStyle w:val="88"/>
        <w:numPr>
          <w:ilvl w:val="1"/>
          <w:numId w:val="0"/>
        </w:numPr>
        <w:spacing w:before="156" w:beforeLines="0" w:after="156" w:afterLines="0" w:line="360" w:lineRule="auto"/>
        <w:rPr>
          <w:rFonts w:hAnsi="黑体"/>
          <w:color w:val="000000"/>
        </w:rPr>
      </w:pPr>
      <w:r>
        <w:rPr>
          <w:rFonts w:hAnsi="黑体"/>
          <w:color w:val="000000"/>
        </w:rPr>
        <w:t>表C.11　</w:t>
      </w:r>
      <w:r>
        <w:rPr>
          <w:rFonts w:hint="eastAsia" w:hAnsi="黑体"/>
        </w:rPr>
        <w:t>年出行总量</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63" w:name="OLE_LINK263"/>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pStyle w:val="161"/>
              <w:widowControl w:val="0"/>
              <w:adjustRightInd w:val="0"/>
              <w:snapToGrid w:val="0"/>
              <w:spacing w:line="360" w:lineRule="auto"/>
              <w:jc w:val="left"/>
              <w:rPr>
                <w:rFonts w:ascii="宋体" w:hAnsi="宋体"/>
                <w:color w:val="000000"/>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P</m:t>
                    </m:r>
                    <m:ctrlPr>
                      <w:rPr>
                        <w:rFonts w:ascii="Cambria Math" w:hAnsi="Cambria Math"/>
                        <w:sz w:val="18"/>
                        <w:szCs w:val="18"/>
                      </w:rPr>
                    </m:ctrlPr>
                  </m:e>
                  <m:sub>
                    <m:r>
                      <m:rPr/>
                      <w:rPr>
                        <w:rFonts w:ascii="Cambria Math" w:hAnsi="Cambria Math"/>
                        <w:sz w:val="18"/>
                        <w:szCs w:val="18"/>
                      </w:rPr>
                      <m:t>k</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kern w:val="0"/>
                <w:sz w:val="18"/>
                <w:szCs w:val="18"/>
              </w:rPr>
              <w:t>基准年</w:t>
            </w:r>
            <w:r>
              <w:rPr>
                <w:rFonts w:hint="eastAsia" w:ascii="宋体" w:hAnsi="宋体"/>
                <w:kern w:val="0"/>
                <w:sz w:val="18"/>
                <w:szCs w:val="18"/>
              </w:rPr>
              <w:t>出行方式</w:t>
            </w:r>
            <w:r>
              <w:rPr>
                <w:rFonts w:ascii="宋体" w:hAnsi="宋体"/>
                <w:kern w:val="0"/>
                <w:sz w:val="18"/>
                <w:szCs w:val="18"/>
              </w:rPr>
              <w:t>k的年出行总量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bottom"/>
          </w:tcPr>
          <w:p>
            <w:pPr>
              <w:spacing w:line="360" w:lineRule="auto"/>
              <w:jc w:val="left"/>
              <w:rPr>
                <w:rFonts w:ascii="宋体" w:hAnsi="宋体"/>
                <w:color w:val="000000"/>
                <w:kern w:val="0"/>
                <w:sz w:val="18"/>
                <w:szCs w:val="18"/>
              </w:rPr>
            </w:pPr>
            <w:r>
              <w:rPr>
                <w:rFonts w:hint="eastAsia" w:ascii="宋体" w:hAnsi="宋体"/>
                <w:color w:val="000000"/>
                <w:kern w:val="0"/>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pStyle w:val="161"/>
              <w:widowControl w:val="0"/>
              <w:adjustRightInd w:val="0"/>
              <w:snapToGrid w:val="0"/>
              <w:spacing w:line="360" w:lineRule="auto"/>
              <w:jc w:val="left"/>
              <w:rPr>
                <w:rFonts w:ascii="宋体" w:hAnsi="宋体"/>
                <w:color w:val="000000"/>
                <w:sz w:val="18"/>
                <w:szCs w:val="18"/>
              </w:rPr>
            </w:pPr>
            <w:r>
              <w:rPr>
                <w:rFonts w:hint="eastAsia" w:ascii="宋体" w:hAnsi="宋体"/>
                <w:color w:val="000000"/>
                <w:sz w:val="18"/>
                <w:szCs w:val="18"/>
              </w:rPr>
              <w:t>通过权威机构发布的交通发展年度报告查阅获得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63"/>
    </w:tbl>
    <w:p>
      <w:pPr>
        <w:pStyle w:val="163"/>
        <w:numPr>
          <w:ilvl w:val="0"/>
          <w:numId w:val="0"/>
        </w:numPr>
        <w:spacing w:before="0" w:beforeLines="0" w:after="0" w:afterLines="0" w:line="360" w:lineRule="auto"/>
        <w:rPr>
          <w:rFonts w:ascii="宋体" w:hAnsi="宋体" w:eastAsia="宋体"/>
          <w:color w:val="000000"/>
          <w:sz w:val="18"/>
          <w:szCs w:val="18"/>
        </w:rPr>
      </w:pPr>
      <w:bookmarkStart w:id="164" w:name="OLE_LINK69"/>
      <w:r>
        <w:rPr>
          <w:rFonts w:hAnsi="黑体"/>
          <w:kern w:val="2"/>
          <w:szCs w:val="21"/>
        </w:rPr>
        <w:t>表C.12　</w:t>
      </w:r>
      <w:r>
        <w:rPr>
          <w:rFonts w:hint="eastAsia" w:hAnsi="黑体"/>
          <w:kern w:val="2"/>
          <w:szCs w:val="21"/>
        </w:rPr>
        <w:t>低碳出行次数</w:t>
      </w:r>
    </w:p>
    <w:bookmarkEnd w:id="164"/>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65" w:name="OLE_LINK186"/>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1、2、A.1、A.2 、A,3、A.5、A.7、B.1、B.2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color w:val="000000"/>
                <w:kern w:val="0"/>
                <w:sz w:val="18"/>
                <w:szCs w:val="18"/>
              </w:rPr>
            </w:pPr>
            <w:r>
              <w:rPr>
                <w:rFonts w:hint="eastAsia" w:ascii="宋体" w:hAnsi="宋体"/>
                <w:color w:val="000000"/>
                <w:kern w:val="0"/>
                <w:sz w:val="18"/>
                <w:szCs w:val="18"/>
              </w:rPr>
              <w:t>第</w:t>
            </w:r>
            <w:r>
              <w:rPr>
                <w:rFonts w:ascii="宋体" w:hAnsi="宋体"/>
                <w:color w:val="000000"/>
                <w:kern w:val="0"/>
                <w:sz w:val="18"/>
                <w:szCs w:val="18"/>
              </w:rPr>
              <w:t>y年</w:t>
            </w:r>
            <w:bookmarkStart w:id="166" w:name="OLE_LINK54"/>
            <w:r>
              <w:rPr>
                <w:rFonts w:hint="eastAsia" w:ascii="宋体" w:hAnsi="宋体"/>
                <w:color w:val="000000"/>
                <w:kern w:val="0"/>
                <w:sz w:val="18"/>
                <w:szCs w:val="18"/>
              </w:rPr>
              <w:t>替代高碳出行的低碳出行次数</w:t>
            </w:r>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bottom"/>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大数据平台同核验平台对接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计算基准线情景和</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bookmarkEnd w:id="165"/>
    </w:tbl>
    <w:p>
      <w:pPr>
        <w:pStyle w:val="163"/>
        <w:numPr>
          <w:ilvl w:val="0"/>
          <w:numId w:val="0"/>
        </w:numPr>
        <w:spacing w:before="0" w:beforeLines="0" w:after="0" w:afterLines="0" w:line="360" w:lineRule="auto"/>
        <w:rPr>
          <w:rFonts w:hAnsi="黑体"/>
          <w:kern w:val="2"/>
          <w:szCs w:val="21"/>
        </w:rPr>
      </w:pPr>
      <w:bookmarkStart w:id="167" w:name="OLE_LINK74"/>
      <w:r>
        <w:rPr>
          <w:rFonts w:hAnsi="黑体"/>
          <w:kern w:val="2"/>
          <w:szCs w:val="21"/>
        </w:rPr>
        <w:t>表C.13　</w:t>
      </w:r>
      <w:r>
        <w:rPr>
          <w:rFonts w:hint="eastAsia" w:hAnsi="黑体"/>
          <w:kern w:val="2"/>
          <w:szCs w:val="21"/>
        </w:rPr>
        <w:t>第</w:t>
      </w:r>
      <w:r>
        <w:rPr>
          <w:rFonts w:hAnsi="黑体"/>
          <w:kern w:val="2"/>
          <w:szCs w:val="21"/>
        </w:rPr>
        <w:t>i</w:t>
      </w:r>
      <w:r>
        <w:rPr>
          <w:rFonts w:hint="eastAsia" w:hAnsi="黑体"/>
          <w:kern w:val="2"/>
          <w:szCs w:val="21"/>
        </w:rPr>
        <w:t>次出行的起始时间段对应的</w:t>
      </w:r>
      <w:r>
        <w:rPr>
          <w:rFonts w:hAnsi="黑体"/>
          <w:kern w:val="2"/>
          <w:szCs w:val="21"/>
        </w:rPr>
        <w:t>基准年</w:t>
      </w:r>
      <w:r>
        <w:rPr>
          <w:rFonts w:hint="eastAsia" w:hAnsi="黑体"/>
          <w:kern w:val="2"/>
          <w:szCs w:val="21"/>
        </w:rPr>
        <w:t>特定时间段</w:t>
      </w:r>
    </w:p>
    <w:bookmarkEnd w:id="167"/>
    <w:tbl>
      <w:tblPr>
        <w:tblStyle w:val="35"/>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bookmarkStart w:id="168" w:name="OLE_LINK42"/>
            <w:r>
              <w:rPr>
                <w:rFonts w:hint="eastAsia" w:ascii="宋体" w:hAnsi="宋体"/>
                <w:color w:val="000000"/>
                <w:kern w:val="0"/>
                <w:sz w:val="18"/>
                <w:szCs w:val="18"/>
              </w:rPr>
              <w:t>数据</w:t>
            </w:r>
            <w:r>
              <w:rPr>
                <w:rFonts w:ascii="宋体" w:hAnsi="宋体"/>
                <w:color w:val="000000"/>
                <w:kern w:val="0"/>
                <w:sz w:val="18"/>
                <w:szCs w:val="18"/>
              </w:rPr>
              <w:t>/参数名称</w:t>
            </w:r>
          </w:p>
        </w:tc>
        <w:tc>
          <w:tcPr>
            <w:tcW w:w="2298" w:type="pct"/>
            <w:vAlign w:val="center"/>
          </w:tcPr>
          <w:p>
            <w:pPr>
              <w:adjustRightInd w:val="0"/>
              <w:snapToGrid w:val="0"/>
              <w:spacing w:line="276" w:lineRule="auto"/>
              <w:jc w:val="left"/>
              <w:rPr>
                <w:rFonts w:ascii="宋体" w:hAnsi="宋体"/>
                <w:color w:val="000000"/>
                <w:kern w:val="0"/>
                <w:sz w:val="18"/>
                <w:szCs w:val="18"/>
              </w:rPr>
            </w:pPr>
            <m:oMathPara>
              <m:oMathParaPr>
                <m:jc m:val="left"/>
              </m:oMathParaPr>
              <m:oMath>
                <m:sSub>
                  <m:sSubPr>
                    <m:ctrlPr>
                      <w:rPr>
                        <w:rFonts w:ascii="Cambria Math" w:hAnsi="Cambria Math"/>
                        <w:color w:val="000000"/>
                        <w:kern w:val="0"/>
                        <w:sz w:val="18"/>
                        <w:szCs w:val="18"/>
                      </w:rPr>
                    </m:ctrlPr>
                  </m:sSubPr>
                  <m:e>
                    <m:r>
                      <m:rPr/>
                      <w:rPr>
                        <w:rFonts w:ascii="Cambria Math" w:hAnsi="Cambria Math"/>
                        <w:color w:val="000000"/>
                        <w:kern w:val="0"/>
                        <w:sz w:val="18"/>
                        <w:szCs w:val="18"/>
                      </w:rPr>
                      <m:t>T</m:t>
                    </m:r>
                    <m:ctrlPr>
                      <w:rPr>
                        <w:rFonts w:ascii="Cambria Math" w:hAnsi="Cambria Math"/>
                        <w:color w:val="000000"/>
                        <w:kern w:val="0"/>
                        <w:sz w:val="18"/>
                        <w:szCs w:val="18"/>
                      </w:rPr>
                    </m:ctrlPr>
                  </m:e>
                  <m:sub>
                    <m:r>
                      <m:rPr/>
                      <w:rPr>
                        <w:rFonts w:ascii="Cambria Math" w:hAnsi="Cambria Math"/>
                        <w:color w:val="000000"/>
                        <w:kern w:val="0"/>
                        <w:sz w:val="18"/>
                        <w:szCs w:val="18"/>
                      </w:rPr>
                      <m:t>i</m:t>
                    </m:r>
                    <m:ctrlPr>
                      <w:rPr>
                        <w:rFonts w:ascii="Cambria Math" w:hAnsi="Cambria Math"/>
                        <w:color w:val="000000"/>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8" w:type="pct"/>
            <w:vAlign w:val="center"/>
          </w:tcPr>
          <w:p>
            <w:pPr>
              <w:spacing w:line="276" w:lineRule="auto"/>
              <w:jc w:val="left"/>
              <w:rPr>
                <w:rFonts w:ascii="宋体" w:hAnsi="宋体"/>
                <w:color w:val="000000"/>
                <w:kern w:val="0"/>
                <w:sz w:val="18"/>
                <w:szCs w:val="18"/>
              </w:rPr>
            </w:pPr>
            <w:r>
              <w:rPr>
                <w:rFonts w:hint="eastAsia" w:ascii="宋体" w:hAnsi="宋体"/>
                <w:color w:val="000000"/>
                <w:kern w:val="0"/>
                <w:sz w:val="18"/>
                <w:szCs w:val="18"/>
              </w:rPr>
              <w:t>第</w:t>
            </w:r>
            <w:r>
              <w:rPr>
                <w:rFonts w:ascii="宋体" w:hAnsi="宋体"/>
                <w:color w:val="000000"/>
                <w:kern w:val="0"/>
                <w:sz w:val="18"/>
                <w:szCs w:val="18"/>
              </w:rPr>
              <w:t>i</w:t>
            </w:r>
            <w:r>
              <w:rPr>
                <w:rFonts w:hint="eastAsia" w:ascii="宋体" w:hAnsi="宋体"/>
                <w:color w:val="000000"/>
                <w:kern w:val="0"/>
                <w:sz w:val="18"/>
                <w:szCs w:val="18"/>
              </w:rPr>
              <w:t>次出行的起始时间段对应的</w:t>
            </w:r>
            <w:r>
              <w:rPr>
                <w:rFonts w:ascii="宋体" w:hAnsi="宋体"/>
                <w:color w:val="000000"/>
                <w:kern w:val="0"/>
                <w:sz w:val="18"/>
                <w:szCs w:val="18"/>
              </w:rPr>
              <w:t>基准年</w:t>
            </w:r>
            <w:r>
              <w:rPr>
                <w:rFonts w:hint="eastAsia" w:ascii="宋体" w:hAnsi="宋体"/>
                <w:color w:val="000000"/>
                <w:kern w:val="0"/>
                <w:sz w:val="18"/>
                <w:szCs w:val="18"/>
              </w:rPr>
              <w:t>特定时间段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8" w:type="pct"/>
            <w:vAlign w:val="bottom"/>
          </w:tcPr>
          <w:p>
            <w:pPr>
              <w:spacing w:line="276" w:lineRule="auto"/>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大数据平台</w:t>
            </w:r>
            <w:r>
              <w:rPr>
                <w:rFonts w:hint="eastAsia" w:ascii="宋体" w:hAnsi="宋体"/>
                <w:color w:val="000000"/>
                <w:kern w:val="0"/>
                <w:sz w:val="18"/>
                <w:szCs w:val="18"/>
              </w:rPr>
              <w:t>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r>
              <w:rPr>
                <w:rFonts w:hint="eastAsia" w:ascii="宋体" w:hAnsi="宋体"/>
                <w:color w:val="000000"/>
                <w:kern w:val="0"/>
                <w:sz w:val="18"/>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8"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bookmarkEnd w:id="168"/>
    </w:tbl>
    <w:p>
      <w:pPr>
        <w:pStyle w:val="163"/>
        <w:numPr>
          <w:ilvl w:val="0"/>
          <w:numId w:val="0"/>
        </w:numPr>
        <w:spacing w:before="0" w:beforeLines="0" w:after="0" w:afterLines="0" w:line="360" w:lineRule="auto"/>
        <w:rPr>
          <w:rFonts w:hAnsi="黑体"/>
          <w:kern w:val="2"/>
          <w:szCs w:val="21"/>
        </w:rPr>
      </w:pPr>
      <w:bookmarkStart w:id="169" w:name="OLE_LINK76"/>
      <w:r>
        <w:rPr>
          <w:rFonts w:hAnsi="黑体"/>
          <w:kern w:val="2"/>
          <w:szCs w:val="21"/>
        </w:rPr>
        <w:t>表C.14　</w:t>
      </w:r>
      <w:r>
        <w:rPr>
          <w:rFonts w:hint="eastAsia" w:hAnsi="黑体"/>
          <w:kern w:val="2"/>
          <w:szCs w:val="21"/>
        </w:rPr>
        <w:t>低碳出行的方式</w:t>
      </w:r>
    </w:p>
    <w:bookmarkEnd w:id="169"/>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w:t>
            </w:r>
            <w:r>
              <w:rPr>
                <w:rFonts w:ascii="宋体" w:hAnsi="宋体"/>
                <w:color w:val="000000"/>
                <w:kern w:val="0"/>
                <w:sz w:val="18"/>
                <w:szCs w:val="18"/>
              </w:rPr>
              <w:t>/参数名称</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应用的公式编号</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1、2、A.2、A.4、A.5、A.6、A.7、A.8、B.1、B.2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276" w:lineRule="auto"/>
              <w:jc w:val="left"/>
              <w:rPr>
                <w:rFonts w:ascii="宋体" w:hAnsi="宋体"/>
                <w:color w:val="000000"/>
                <w:kern w:val="0"/>
                <w:sz w:val="18"/>
                <w:szCs w:val="18"/>
              </w:rPr>
            </w:pPr>
            <w:r>
              <w:rPr>
                <w:rFonts w:hint="eastAsia" w:ascii="宋体" w:hAnsi="宋体"/>
                <w:color w:val="000000"/>
                <w:kern w:val="0"/>
                <w:sz w:val="18"/>
                <w:szCs w:val="18"/>
              </w:rPr>
              <w:t>第</w:t>
            </w:r>
            <w:r>
              <w:rPr>
                <w:rFonts w:ascii="宋体" w:hAnsi="宋体"/>
                <w:color w:val="000000"/>
                <w:kern w:val="0"/>
                <w:sz w:val="18"/>
                <w:szCs w:val="18"/>
              </w:rPr>
              <w:t>i次</w:t>
            </w:r>
            <w:bookmarkStart w:id="170" w:name="OLE_LINK75"/>
            <w:r>
              <w:rPr>
                <w:rFonts w:hint="eastAsia" w:ascii="宋体" w:hAnsi="宋体"/>
                <w:color w:val="000000"/>
                <w:kern w:val="0"/>
                <w:sz w:val="18"/>
                <w:szCs w:val="18"/>
              </w:rPr>
              <w:t>低碳出行的方式</w:t>
            </w:r>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bottom"/>
          </w:tcPr>
          <w:p>
            <w:pPr>
              <w:spacing w:line="276" w:lineRule="auto"/>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276" w:lineRule="auto"/>
              <w:jc w:val="left"/>
              <w:rPr>
                <w:rFonts w:ascii="宋体" w:hAnsi="宋体"/>
                <w:color w:val="000000"/>
                <w:kern w:val="0"/>
                <w:sz w:val="18"/>
                <w:szCs w:val="18"/>
                <w:lang w:eastAsia="zh-Hans"/>
              </w:rPr>
            </w:pPr>
            <w:r>
              <w:rPr>
                <w:rFonts w:hint="eastAsia" w:ascii="宋体" w:hAnsi="宋体"/>
                <w:color w:val="000000"/>
                <w:kern w:val="0"/>
                <w:sz w:val="18"/>
                <w:szCs w:val="18"/>
                <w:lang w:eastAsia="zh-Hans"/>
              </w:rPr>
              <w:t>1、对于公交、轨道2种出行方式，可利用各省市对应出行的票务系统数据与出行轨迹数据进行交叉验证</w:t>
            </w:r>
          </w:p>
          <w:p>
            <w:pPr>
              <w:adjustRightInd w:val="0"/>
              <w:snapToGrid w:val="0"/>
              <w:spacing w:line="276" w:lineRule="auto"/>
              <w:jc w:val="left"/>
              <w:rPr>
                <w:rFonts w:ascii="宋体" w:hAnsi="宋体"/>
                <w:color w:val="000000"/>
                <w:kern w:val="0"/>
                <w:sz w:val="18"/>
                <w:szCs w:val="18"/>
                <w:lang w:eastAsia="zh-Hans"/>
              </w:rPr>
            </w:pPr>
            <w:r>
              <w:rPr>
                <w:rFonts w:hint="eastAsia" w:ascii="宋体" w:hAnsi="宋体"/>
                <w:color w:val="000000"/>
                <w:kern w:val="0"/>
                <w:sz w:val="18"/>
                <w:szCs w:val="18"/>
                <w:lang w:eastAsia="zh-Hans"/>
              </w:rPr>
              <w:t>2、对于自行车和步行，可以基于GPS轨迹信息的平均速度、瞬时最大速度、出行里程、出行时间等特征与符合京津冀区域内步行和自行车的出行特征进行交叉验证；</w:t>
            </w:r>
          </w:p>
          <w:p>
            <w:pPr>
              <w:adjustRightInd w:val="0"/>
              <w:snapToGrid w:val="0"/>
              <w:spacing w:line="276" w:lineRule="auto"/>
              <w:jc w:val="left"/>
              <w:rPr>
                <w:rFonts w:ascii="宋体" w:hAnsi="宋体"/>
                <w:color w:val="000000"/>
                <w:kern w:val="0"/>
                <w:sz w:val="18"/>
                <w:szCs w:val="18"/>
                <w:lang w:eastAsia="zh-Hans"/>
              </w:rPr>
            </w:pPr>
            <w:r>
              <w:rPr>
                <w:rFonts w:hint="eastAsia" w:ascii="宋体" w:hAnsi="宋体"/>
                <w:color w:val="000000"/>
                <w:kern w:val="0"/>
                <w:sz w:val="18"/>
                <w:szCs w:val="18"/>
                <w:lang w:eastAsia="zh-Hans"/>
              </w:rPr>
              <w:t>3、对于合乘，可利用监测的合乘出行平台的用户订单信息与轨迹信息进行交叉验证</w:t>
            </w:r>
          </w:p>
          <w:p>
            <w:pPr>
              <w:adjustRightInd w:val="0"/>
              <w:snapToGrid w:val="0"/>
              <w:spacing w:line="276" w:lineRule="auto"/>
              <w:jc w:val="left"/>
              <w:rPr>
                <w:lang w:eastAsia="zh-Hans"/>
              </w:rPr>
            </w:pPr>
            <w:r>
              <w:rPr>
                <w:rFonts w:hint="eastAsia" w:ascii="宋体" w:hAnsi="宋体"/>
                <w:color w:val="000000"/>
                <w:kern w:val="0"/>
                <w:sz w:val="18"/>
                <w:szCs w:val="18"/>
                <w:lang w:eastAsia="zh-Hans"/>
              </w:rPr>
              <w:t>4</w:t>
            </w:r>
            <w:r>
              <w:rPr>
                <w:rFonts w:ascii="宋体" w:hAnsi="宋体"/>
                <w:color w:val="000000"/>
                <w:kern w:val="0"/>
                <w:sz w:val="18"/>
                <w:szCs w:val="18"/>
                <w:lang w:eastAsia="zh-Hans"/>
              </w:rPr>
              <w:t>、</w:t>
            </w:r>
            <w:r>
              <w:rPr>
                <w:rFonts w:hint="eastAsia" w:ascii="宋体" w:hAnsi="宋体"/>
                <w:color w:val="000000"/>
                <w:kern w:val="0"/>
                <w:sz w:val="18"/>
                <w:szCs w:val="18"/>
                <w:lang w:eastAsia="zh-Hans"/>
              </w:rPr>
              <w:t>对于停驶，可利用小微型客车停驶记录的简单随机抽样结果进行交叉核对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hint="eastAsia" w:ascii="宋体" w:hAnsi="宋体"/>
                <w:color w:val="000000"/>
                <w:kern w:val="0"/>
                <w:sz w:val="18"/>
                <w:szCs w:val="18"/>
              </w:rPr>
              <w:t>计算基准线情景</w:t>
            </w:r>
            <w:r>
              <w:rPr>
                <w:rFonts w:ascii="宋体" w:hAnsi="宋体"/>
                <w:color w:val="000000"/>
                <w:kern w:val="0"/>
                <w:sz w:val="18"/>
                <w:szCs w:val="18"/>
              </w:rPr>
              <w:t>碳排放</w:t>
            </w:r>
            <w:r>
              <w:rPr>
                <w:rFonts w:hint="eastAsia" w:ascii="宋体" w:hAnsi="宋体"/>
                <w:color w:val="000000"/>
                <w:kern w:val="0"/>
                <w:sz w:val="18"/>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color w:val="000000"/>
                <w:kern w:val="0"/>
                <w:sz w:val="18"/>
                <w:szCs w:val="18"/>
              </w:rPr>
            </w:pPr>
            <w:r>
              <w:rPr>
                <w:rFonts w:hint="eastAsia" w:ascii="宋体" w:hAnsi="宋体"/>
                <w:color w:val="000000"/>
                <w:kern w:val="0"/>
                <w:sz w:val="18"/>
                <w:szCs w:val="18"/>
              </w:rPr>
              <w:t>备注</w:t>
            </w:r>
          </w:p>
        </w:tc>
        <w:tc>
          <w:tcPr>
            <w:tcW w:w="2299" w:type="pct"/>
            <w:vAlign w:val="center"/>
          </w:tcPr>
          <w:p>
            <w:pPr>
              <w:adjustRightInd w:val="0"/>
              <w:snapToGrid w:val="0"/>
              <w:spacing w:line="276" w:lineRule="auto"/>
              <w:jc w:val="left"/>
              <w:rPr>
                <w:rFonts w:ascii="宋体" w:hAnsi="宋体"/>
                <w:color w:val="000000"/>
                <w:kern w:val="0"/>
                <w:sz w:val="18"/>
                <w:szCs w:val="18"/>
              </w:rPr>
            </w:pPr>
            <w:r>
              <w:rPr>
                <w:rFonts w:ascii="宋体" w:hAnsi="宋体"/>
                <w:color w:val="000000"/>
                <w:kern w:val="0"/>
                <w:sz w:val="18"/>
                <w:szCs w:val="18"/>
              </w:rPr>
              <w:t>/</w:t>
            </w:r>
          </w:p>
        </w:tc>
      </w:tr>
    </w:tbl>
    <w:p>
      <w:pPr>
        <w:pStyle w:val="163"/>
        <w:numPr>
          <w:ilvl w:val="0"/>
          <w:numId w:val="0"/>
        </w:numPr>
        <w:spacing w:before="0" w:beforeLines="0" w:after="0" w:afterLines="0" w:line="360" w:lineRule="auto"/>
        <w:rPr>
          <w:rFonts w:hAnsi="黑体"/>
          <w:kern w:val="2"/>
          <w:szCs w:val="21"/>
        </w:rPr>
      </w:pPr>
      <w:bookmarkStart w:id="171" w:name="OLE_LINK78"/>
      <w:r>
        <w:rPr>
          <w:rFonts w:hAnsi="黑体"/>
          <w:kern w:val="2"/>
          <w:szCs w:val="21"/>
        </w:rPr>
        <w:t>表C.15　</w:t>
      </w:r>
      <w:r>
        <w:rPr>
          <w:rFonts w:hint="eastAsia" w:hAnsi="黑体"/>
          <w:kern w:val="2"/>
          <w:szCs w:val="21"/>
        </w:rPr>
        <w:t>第</w:t>
      </w:r>
      <w:r>
        <w:rPr>
          <w:rFonts w:hAnsi="黑体"/>
          <w:kern w:val="2"/>
          <w:szCs w:val="21"/>
        </w:rPr>
        <w:t>y年i</w:t>
      </w:r>
      <w:r>
        <w:rPr>
          <w:rFonts w:hint="eastAsia" w:hAnsi="黑体"/>
          <w:kern w:val="2"/>
          <w:szCs w:val="21"/>
        </w:rPr>
        <w:t>次出行的起始位置</w:t>
      </w:r>
    </w:p>
    <w:bookmarkEnd w:id="171"/>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w:t>
            </w:r>
            <w:r>
              <w:rPr>
                <w:rFonts w:ascii="宋体" w:hAnsi="宋体"/>
                <w:kern w:val="0"/>
                <w:sz w:val="18"/>
                <w:szCs w:val="18"/>
              </w:rPr>
              <w:t>/参数名称</w:t>
            </w:r>
          </w:p>
        </w:tc>
        <w:tc>
          <w:tcPr>
            <w:tcW w:w="2299" w:type="pct"/>
            <w:vAlign w:val="center"/>
          </w:tcPr>
          <w:p>
            <w:pPr>
              <w:adjustRightInd w:val="0"/>
              <w:snapToGrid w:val="0"/>
              <w:spacing w:line="360" w:lineRule="auto"/>
              <w:jc w:val="left"/>
              <w:rPr>
                <w:rFonts w:ascii="宋体" w:hAnsi="宋体"/>
                <w:kern w:val="0"/>
                <w:sz w:val="18"/>
                <w:szCs w:val="18"/>
              </w:rPr>
            </w:pPr>
            <m:oMathPara>
              <m:oMathParaPr>
                <m:jc m:val="left"/>
              </m:oMathParaPr>
              <m:oMath>
                <m:sSub>
                  <m:sSubPr>
                    <m:ctrlPr>
                      <w:rPr>
                        <w:rFonts w:ascii="Cambria Math" w:hAnsi="Cambria Math"/>
                        <w:i/>
                        <w:sz w:val="18"/>
                        <w:szCs w:val="18"/>
                      </w:rPr>
                    </m:ctrlPr>
                  </m:sSubPr>
                  <m:e>
                    <m:r>
                      <m:rPr/>
                      <w:rPr>
                        <w:rFonts w:ascii="Cambria Math" w:hAnsi="Cambria Math"/>
                        <w:sz w:val="18"/>
                        <w:szCs w:val="18"/>
                      </w:rPr>
                      <m:t>L</m:t>
                    </m:r>
                    <m:ctrlPr>
                      <w:rPr>
                        <w:rFonts w:ascii="Cambria Math" w:hAnsi="Cambria Math"/>
                        <w:i/>
                        <w:sz w:val="18"/>
                        <w:szCs w:val="18"/>
                      </w:rPr>
                    </m:ctrlPr>
                  </m:e>
                  <m:sub>
                    <m:r>
                      <m:rPr/>
                      <w:rPr>
                        <w:rFonts w:ascii="Cambria Math" w:hAnsi="Cambria Math"/>
                        <w:sz w:val="18"/>
                        <w:szCs w:val="18"/>
                      </w:rPr>
                      <m:t>s,i</m:t>
                    </m:r>
                    <m:ctrlPr>
                      <w:rPr>
                        <w:rFonts w:ascii="Cambria Math" w:hAnsi="Cambria Math"/>
                        <w:i/>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应用的公式编号</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sz w:val="18"/>
                <w:szCs w:val="18"/>
              </w:rPr>
            </w:pPr>
            <w:bookmarkStart w:id="172" w:name="OLE_LINK77"/>
            <w:r>
              <w:rPr>
                <w:rFonts w:hint="eastAsia" w:ascii="宋体" w:hAnsi="宋体"/>
                <w:sz w:val="18"/>
                <w:szCs w:val="18"/>
              </w:rPr>
              <w:t>第</w:t>
            </w:r>
            <w:r>
              <w:rPr>
                <w:rFonts w:ascii="宋体" w:hAnsi="宋体"/>
                <w:sz w:val="18"/>
                <w:szCs w:val="18"/>
              </w:rPr>
              <w:t>y年i</w:t>
            </w:r>
            <w:r>
              <w:rPr>
                <w:rFonts w:hint="eastAsia" w:ascii="宋体" w:hAnsi="宋体"/>
                <w:sz w:val="18"/>
                <w:szCs w:val="18"/>
              </w:rPr>
              <w:t>次出行的起始位置</w:t>
            </w:r>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73" w:name="_Hlk133355661"/>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bookmarkEnd w:id="1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9"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计算基准线情景和</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hAnsi="黑体"/>
          <w:kern w:val="2"/>
          <w:szCs w:val="21"/>
        </w:rPr>
      </w:pPr>
      <w:bookmarkStart w:id="174" w:name="OLE_LINK80"/>
      <w:r>
        <w:rPr>
          <w:rFonts w:hAnsi="黑体"/>
          <w:kern w:val="2"/>
          <w:szCs w:val="21"/>
        </w:rPr>
        <w:t>表C.16　</w:t>
      </w:r>
      <w:r>
        <w:rPr>
          <w:rFonts w:hint="eastAsia" w:hAnsi="黑体"/>
          <w:kern w:val="2"/>
          <w:szCs w:val="21"/>
        </w:rPr>
        <w:t>第</w:t>
      </w:r>
      <w:r>
        <w:rPr>
          <w:rFonts w:hAnsi="黑体"/>
          <w:kern w:val="2"/>
          <w:szCs w:val="21"/>
        </w:rPr>
        <w:t>y年i</w:t>
      </w:r>
      <w:r>
        <w:rPr>
          <w:rFonts w:hint="eastAsia" w:hAnsi="黑体"/>
          <w:kern w:val="2"/>
          <w:szCs w:val="21"/>
        </w:rPr>
        <w:t>次出行的轨迹坐标</w:t>
      </w:r>
    </w:p>
    <w:bookmarkEnd w:id="174"/>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w:t>
            </w:r>
            <w:r>
              <w:rPr>
                <w:rFonts w:ascii="宋体" w:hAnsi="宋体"/>
                <w:kern w:val="0"/>
                <w:sz w:val="18"/>
                <w:szCs w:val="18"/>
              </w:rPr>
              <w:t>/参数名称</w:t>
            </w:r>
          </w:p>
        </w:tc>
        <w:tc>
          <w:tcPr>
            <w:tcW w:w="2299" w:type="pct"/>
            <w:vAlign w:val="center"/>
          </w:tcPr>
          <w:p>
            <w:pPr>
              <w:adjustRightInd w:val="0"/>
              <w:snapToGrid w:val="0"/>
              <w:spacing w:line="360" w:lineRule="auto"/>
              <w:jc w:val="left"/>
              <w:rPr>
                <w:rFonts w:ascii="宋体" w:hAnsi="宋体"/>
                <w:kern w:val="0"/>
                <w:sz w:val="18"/>
                <w:szCs w:val="18"/>
              </w:rPr>
            </w:pPr>
            <m:oMathPara>
              <m:oMathParaPr>
                <m:jc m:val="left"/>
              </m:oMathParaPr>
              <m:oMath>
                <m:sSub>
                  <m:sSubPr>
                    <m:ctrlPr>
                      <w:rPr>
                        <w:rFonts w:ascii="Cambria Math" w:hAnsi="Cambria Math"/>
                        <w:i/>
                        <w:sz w:val="18"/>
                        <w:szCs w:val="18"/>
                      </w:rPr>
                    </m:ctrlPr>
                  </m:sSubPr>
                  <m:e>
                    <m:r>
                      <m:rPr/>
                      <w:rPr>
                        <w:rFonts w:ascii="Cambria Math" w:hAnsi="Cambria Math"/>
                        <w:sz w:val="18"/>
                        <w:szCs w:val="18"/>
                      </w:rPr>
                      <m:t>L</m:t>
                    </m:r>
                    <m:ctrlPr>
                      <w:rPr>
                        <w:rFonts w:ascii="Cambria Math" w:hAnsi="Cambria Math"/>
                        <w:i/>
                        <w:sz w:val="18"/>
                        <w:szCs w:val="18"/>
                      </w:rPr>
                    </m:ctrlPr>
                  </m:e>
                  <m:sub>
                    <m:r>
                      <m:rPr/>
                      <w:rPr>
                        <w:rFonts w:ascii="Cambria Math" w:hAnsi="Cambria Math"/>
                        <w:sz w:val="18"/>
                        <w:szCs w:val="18"/>
                      </w:rPr>
                      <m:t>c,i</m:t>
                    </m:r>
                    <m:ctrlPr>
                      <w:rPr>
                        <w:rFonts w:ascii="Cambria Math" w:hAnsi="Cambria Math"/>
                        <w:i/>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应用的公式编号</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sz w:val="18"/>
                <w:szCs w:val="18"/>
              </w:rPr>
            </w:pPr>
            <w:r>
              <w:rPr>
                <w:rFonts w:hint="eastAsia" w:ascii="宋体" w:hAnsi="宋体"/>
                <w:sz w:val="18"/>
                <w:szCs w:val="18"/>
              </w:rPr>
              <w:t>第</w:t>
            </w:r>
            <w:r>
              <w:rPr>
                <w:rFonts w:ascii="宋体" w:hAnsi="宋体"/>
                <w:sz w:val="18"/>
                <w:szCs w:val="18"/>
              </w:rPr>
              <w:t>y年i</w:t>
            </w:r>
            <w:r>
              <w:rPr>
                <w:rFonts w:hint="eastAsia" w:ascii="宋体" w:hAnsi="宋体"/>
                <w:sz w:val="18"/>
                <w:szCs w:val="18"/>
              </w:rPr>
              <w:t>次出行过程中的轨迹坐标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9"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计算基准线情景和</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hAnsi="黑体"/>
          <w:kern w:val="2"/>
          <w:szCs w:val="21"/>
        </w:rPr>
      </w:pPr>
      <w:bookmarkStart w:id="175" w:name="OLE_LINK83"/>
      <w:r>
        <w:rPr>
          <w:rFonts w:hAnsi="黑体"/>
          <w:kern w:val="2"/>
          <w:szCs w:val="21"/>
        </w:rPr>
        <w:t>表C.17　</w:t>
      </w:r>
      <w:r>
        <w:rPr>
          <w:rFonts w:hint="eastAsia" w:hAnsi="黑体"/>
          <w:kern w:val="2"/>
          <w:szCs w:val="21"/>
        </w:rPr>
        <w:t>第</w:t>
      </w:r>
      <w:r>
        <w:rPr>
          <w:rFonts w:hAnsi="黑体"/>
          <w:kern w:val="2"/>
          <w:szCs w:val="21"/>
        </w:rPr>
        <w:t>y年i</w:t>
      </w:r>
      <w:r>
        <w:rPr>
          <w:rFonts w:hint="eastAsia" w:hAnsi="黑体"/>
          <w:kern w:val="2"/>
          <w:szCs w:val="21"/>
        </w:rPr>
        <w:t>次出行的结束位置</w:t>
      </w:r>
    </w:p>
    <w:bookmarkEnd w:id="175"/>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w:t>
            </w:r>
            <w:r>
              <w:rPr>
                <w:rFonts w:ascii="宋体" w:hAnsi="宋体"/>
                <w:kern w:val="0"/>
                <w:sz w:val="18"/>
                <w:szCs w:val="18"/>
              </w:rPr>
              <w:t>/参数名称</w:t>
            </w:r>
          </w:p>
        </w:tc>
        <w:tc>
          <w:tcPr>
            <w:tcW w:w="2299" w:type="pct"/>
            <w:vAlign w:val="center"/>
          </w:tcPr>
          <w:p>
            <w:pPr>
              <w:adjustRightInd w:val="0"/>
              <w:snapToGrid w:val="0"/>
              <w:spacing w:line="360" w:lineRule="auto"/>
              <w:jc w:val="left"/>
              <w:rPr>
                <w:rFonts w:ascii="宋体" w:hAnsi="宋体"/>
                <w:kern w:val="0"/>
                <w:sz w:val="18"/>
                <w:szCs w:val="18"/>
              </w:rPr>
            </w:pPr>
            <m:oMathPara>
              <m:oMathParaPr>
                <m:jc m:val="left"/>
              </m:oMathParaPr>
              <m:oMath>
                <m:sSub>
                  <m:sSubPr>
                    <m:ctrlPr>
                      <w:rPr>
                        <w:rFonts w:ascii="Cambria Math" w:hAnsi="Cambria Math"/>
                        <w:i/>
                        <w:sz w:val="18"/>
                        <w:szCs w:val="18"/>
                      </w:rPr>
                    </m:ctrlPr>
                  </m:sSubPr>
                  <m:e>
                    <m:r>
                      <m:rPr/>
                      <w:rPr>
                        <w:rFonts w:ascii="Cambria Math" w:hAnsi="Cambria Math"/>
                        <w:sz w:val="18"/>
                        <w:szCs w:val="18"/>
                      </w:rPr>
                      <m:t>L</m:t>
                    </m:r>
                    <m:ctrlPr>
                      <w:rPr>
                        <w:rFonts w:ascii="Cambria Math" w:hAnsi="Cambria Math"/>
                        <w:i/>
                        <w:sz w:val="18"/>
                        <w:szCs w:val="18"/>
                      </w:rPr>
                    </m:ctrlPr>
                  </m:e>
                  <m:sub>
                    <m:r>
                      <m:rPr/>
                      <w:rPr>
                        <w:rFonts w:ascii="Cambria Math" w:hAnsi="Cambria Math"/>
                        <w:sz w:val="18"/>
                        <w:szCs w:val="18"/>
                      </w:rPr>
                      <m:t>e,i</m:t>
                    </m:r>
                    <m:ctrlPr>
                      <w:rPr>
                        <w:rFonts w:ascii="Cambria Math" w:hAnsi="Cambria Math"/>
                        <w:i/>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应用的公式编号</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数据描述</w:t>
            </w:r>
          </w:p>
        </w:tc>
        <w:tc>
          <w:tcPr>
            <w:tcW w:w="2299" w:type="pct"/>
            <w:vAlign w:val="center"/>
          </w:tcPr>
          <w:p>
            <w:pPr>
              <w:spacing w:line="360" w:lineRule="auto"/>
              <w:jc w:val="left"/>
              <w:rPr>
                <w:rFonts w:ascii="宋体" w:hAnsi="宋体"/>
                <w:sz w:val="18"/>
                <w:szCs w:val="18"/>
              </w:rPr>
            </w:pPr>
            <w:r>
              <w:rPr>
                <w:rFonts w:hint="eastAsia" w:ascii="宋体" w:hAnsi="宋体"/>
                <w:sz w:val="18"/>
                <w:szCs w:val="18"/>
              </w:rPr>
              <w:t>第</w:t>
            </w:r>
            <w:r>
              <w:rPr>
                <w:rFonts w:ascii="宋体" w:hAnsi="宋体"/>
                <w:sz w:val="18"/>
                <w:szCs w:val="18"/>
              </w:rPr>
              <w:t>y年i</w:t>
            </w:r>
            <w:r>
              <w:rPr>
                <w:rFonts w:hint="eastAsia" w:ascii="宋体" w:hAnsi="宋体"/>
                <w:sz w:val="18"/>
                <w:szCs w:val="18"/>
              </w:rPr>
              <w:t>次出行的结束位置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数据单位</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bookmarkStart w:id="176" w:name="_Hlk133355832"/>
            <w:r>
              <w:rPr>
                <w:rFonts w:hint="eastAsia" w:ascii="宋体" w:hAnsi="宋体"/>
                <w:color w:val="000000"/>
                <w:kern w:val="0"/>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监测程序与方法要求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bookmark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监测频次与记录要求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质量保证</w:t>
            </w:r>
            <w:r>
              <w:rPr>
                <w:rFonts w:ascii="宋体" w:hAnsi="宋体"/>
                <w:color w:val="000000"/>
                <w:kern w:val="0"/>
                <w:sz w:val="18"/>
                <w:szCs w:val="18"/>
              </w:rPr>
              <w:t>/质量控制程序要求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color w:val="000000"/>
                <w:kern w:val="0"/>
                <w:sz w:val="18"/>
                <w:szCs w:val="18"/>
              </w:rPr>
            </w:pPr>
            <w:r>
              <w:rPr>
                <w:rFonts w:hint="eastAsia" w:ascii="宋体" w:hAnsi="宋体"/>
                <w:color w:val="000000"/>
                <w:kern w:val="0"/>
                <w:sz w:val="18"/>
                <w:szCs w:val="18"/>
              </w:rPr>
              <w:t>数据用途</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计算基准线情景和</w:t>
            </w:r>
            <w:r>
              <w:rPr>
                <w:rFonts w:ascii="宋体" w:hAnsi="宋体"/>
                <w:color w:val="000000"/>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ascii="宋体" w:hAnsi="宋体" w:eastAsia="宋体"/>
          <w:color w:val="000000"/>
          <w:sz w:val="18"/>
          <w:szCs w:val="18"/>
        </w:rPr>
      </w:pPr>
      <w:r>
        <w:rPr>
          <w:rFonts w:hAnsi="黑体"/>
          <w:kern w:val="2"/>
          <w:szCs w:val="21"/>
        </w:rPr>
        <w:t>表C.18　</w:t>
      </w:r>
      <w:r>
        <w:rPr>
          <w:rFonts w:hint="eastAsia" w:hAnsi="黑体"/>
          <w:kern w:val="2"/>
          <w:szCs w:val="21"/>
        </w:rPr>
        <w:t>出行距离</w:t>
      </w:r>
    </w:p>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数据</w:t>
            </w:r>
            <w:r>
              <w:rPr>
                <w:rFonts w:ascii="宋体" w:hAnsi="宋体"/>
                <w:kern w:val="0"/>
                <w:sz w:val="18"/>
                <w:szCs w:val="18"/>
              </w:rPr>
              <w:t>/参数名称</w:t>
            </w:r>
          </w:p>
        </w:tc>
        <w:tc>
          <w:tcPr>
            <w:tcW w:w="2299" w:type="pct"/>
            <w:vAlign w:val="center"/>
          </w:tcPr>
          <w:p>
            <w:pPr>
              <w:adjustRightInd w:val="0"/>
              <w:snapToGrid w:val="0"/>
              <w:spacing w:line="276" w:lineRule="auto"/>
              <w:jc w:val="left"/>
              <w:rPr>
                <w:rFonts w:ascii="宋体" w:hAnsi="宋体"/>
                <w:kern w:val="0"/>
                <w:sz w:val="18"/>
                <w:szCs w:val="18"/>
              </w:rPr>
            </w:pPr>
            <m:oMathPara>
              <m:oMathParaPr>
                <m:jc m:val="left"/>
              </m:oMathParaPr>
              <m:oMath>
                <m:sSub>
                  <m:sSubPr>
                    <m:ctrlPr>
                      <w:rPr>
                        <w:rFonts w:ascii="Cambria Math" w:hAnsi="Cambria Math"/>
                        <w:kern w:val="0"/>
                        <w:sz w:val="18"/>
                        <w:szCs w:val="18"/>
                      </w:rPr>
                    </m:ctrlPr>
                  </m:sSubPr>
                  <m:e>
                    <m:r>
                      <m:rPr/>
                      <w:rPr>
                        <w:rFonts w:ascii="Cambria Math" w:hAnsi="Cambria Math"/>
                        <w:kern w:val="0"/>
                        <w:sz w:val="18"/>
                        <w:szCs w:val="18"/>
                      </w:rPr>
                      <m:t>PD</m:t>
                    </m:r>
                    <m:ctrlPr>
                      <w:rPr>
                        <w:rFonts w:ascii="Cambria Math" w:hAnsi="Cambria Math"/>
                        <w:kern w:val="0"/>
                        <w:sz w:val="18"/>
                        <w:szCs w:val="18"/>
                      </w:rPr>
                    </m:ctrlPr>
                  </m:e>
                  <m:sub>
                    <m:r>
                      <m:rPr/>
                      <w:rPr>
                        <w:rFonts w:ascii="Cambria Math" w:hAnsi="Cambria Math"/>
                        <w:kern w:val="0"/>
                        <w:sz w:val="18"/>
                        <w:szCs w:val="18"/>
                      </w:rPr>
                      <m:t>i</m:t>
                    </m:r>
                    <m:r>
                      <m:rPr>
                        <m:sty m:val="p"/>
                      </m:rPr>
                      <w:rPr>
                        <w:rFonts w:ascii="Cambria Math" w:hAnsi="Cambria Math"/>
                        <w:kern w:val="0"/>
                        <w:sz w:val="18"/>
                        <w:szCs w:val="18"/>
                      </w:rPr>
                      <m:t>,</m:t>
                    </m:r>
                    <m:r>
                      <m:rPr/>
                      <w:rPr>
                        <w:rFonts w:ascii="Cambria Math" w:hAnsi="Cambria Math"/>
                        <w:kern w:val="0"/>
                        <w:sz w:val="18"/>
                        <w:szCs w:val="18"/>
                      </w:rPr>
                      <m:t>k</m:t>
                    </m:r>
                    <m:r>
                      <m:rPr>
                        <m:sty m:val="p"/>
                      </m:rPr>
                      <w:rPr>
                        <w:rFonts w:ascii="Cambria Math" w:hAnsi="Cambria Math"/>
                        <w:kern w:val="0"/>
                        <w:sz w:val="18"/>
                        <w:szCs w:val="18"/>
                      </w:rPr>
                      <m:t>,</m:t>
                    </m:r>
                    <m:r>
                      <m:rPr/>
                      <w:rPr>
                        <w:rFonts w:ascii="Cambria Math" w:hAnsi="Cambria Math"/>
                        <w:kern w:val="0"/>
                        <w:sz w:val="18"/>
                        <w:szCs w:val="18"/>
                      </w:rPr>
                      <m:t>y</m:t>
                    </m:r>
                    <m:ctrlPr>
                      <w:rPr>
                        <w:rFonts w:ascii="Cambria Math" w:hAnsi="Cambria Math"/>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应用的公式编号</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数据描述</w:t>
            </w:r>
          </w:p>
        </w:tc>
        <w:tc>
          <w:tcPr>
            <w:tcW w:w="2299" w:type="pct"/>
            <w:vAlign w:val="center"/>
          </w:tcPr>
          <w:p>
            <w:pPr>
              <w:spacing w:line="276" w:lineRule="auto"/>
              <w:jc w:val="left"/>
              <w:rPr>
                <w:rFonts w:ascii="宋体" w:hAnsi="宋体"/>
                <w:kern w:val="0"/>
                <w:sz w:val="18"/>
                <w:szCs w:val="18"/>
              </w:rPr>
            </w:pPr>
            <w:r>
              <w:rPr>
                <w:rFonts w:hint="eastAsia" w:ascii="宋体" w:hAnsi="宋体"/>
                <w:kern w:val="0"/>
                <w:sz w:val="18"/>
                <w:szCs w:val="18"/>
              </w:rPr>
              <w:t>第y年第i次使用低碳出行k方式替代高碳出行的里程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数据单位</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bookmarkStart w:id="177" w:name="_Hlk133355885"/>
            <w:r>
              <w:rPr>
                <w:rFonts w:hint="eastAsia" w:ascii="宋体" w:hAnsi="宋体"/>
                <w:kern w:val="0"/>
                <w:sz w:val="18"/>
                <w:szCs w:val="18"/>
              </w:rPr>
              <w:t>数据来源</w:t>
            </w:r>
          </w:p>
        </w:tc>
        <w:tc>
          <w:tcPr>
            <w:tcW w:w="4296" w:type="dxa"/>
            <w:vAlign w:val="center"/>
          </w:tcPr>
          <w:p>
            <w:pPr>
              <w:adjustRightInd w:val="0"/>
              <w:snapToGrid w:val="0"/>
              <w:spacing w:line="360" w:lineRule="auto"/>
              <w:jc w:val="left"/>
              <w:rPr>
                <w:rFonts w:ascii="宋体" w:hAnsi="宋体"/>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监测点要求</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监测仪表要求</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监测程序与方法要求</w:t>
            </w:r>
          </w:p>
        </w:tc>
        <w:tc>
          <w:tcPr>
            <w:tcW w:w="2299" w:type="pct"/>
            <w:vAlign w:val="center"/>
          </w:tcPr>
          <w:p>
            <w:pPr>
              <w:adjustRightInd w:val="0"/>
              <w:snapToGrid w:val="0"/>
              <w:spacing w:line="276" w:lineRule="auto"/>
              <w:jc w:val="left"/>
              <w:rPr>
                <w:rFonts w:ascii="宋体" w:hAnsi="宋体"/>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bookmarkEnd w:id="1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监测频次与记录要求</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质量保证</w:t>
            </w:r>
            <w:r>
              <w:rPr>
                <w:rFonts w:ascii="宋体" w:hAnsi="宋体"/>
                <w:kern w:val="0"/>
                <w:sz w:val="18"/>
                <w:szCs w:val="18"/>
              </w:rPr>
              <w:t>/质量控制程序要求</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1</w:t>
            </w:r>
            <w:r>
              <w:rPr>
                <w:rFonts w:hint="eastAsia" w:ascii="宋体" w:hAnsi="宋体"/>
                <w:kern w:val="0"/>
                <w:sz w:val="18"/>
                <w:szCs w:val="18"/>
              </w:rPr>
              <w:t>、对于公交、轨道</w:t>
            </w:r>
            <w:r>
              <w:rPr>
                <w:rFonts w:ascii="宋体" w:hAnsi="宋体"/>
                <w:kern w:val="0"/>
                <w:sz w:val="18"/>
                <w:szCs w:val="18"/>
              </w:rPr>
              <w:t>2</w:t>
            </w:r>
            <w:r>
              <w:rPr>
                <w:rFonts w:hint="eastAsia" w:ascii="宋体" w:hAnsi="宋体"/>
                <w:kern w:val="0"/>
                <w:sz w:val="18"/>
                <w:szCs w:val="18"/>
              </w:rPr>
              <w:t>种出行方式，可利用各省市对应出行的票务系统的里程数据和出行的轨迹数据进行交叉验证</w:t>
            </w:r>
          </w:p>
          <w:p>
            <w:pPr>
              <w:adjustRightInd w:val="0"/>
              <w:snapToGrid w:val="0"/>
              <w:spacing w:line="276" w:lineRule="auto"/>
              <w:jc w:val="left"/>
              <w:rPr>
                <w:rFonts w:ascii="宋体" w:hAnsi="宋体"/>
                <w:kern w:val="0"/>
                <w:sz w:val="18"/>
                <w:szCs w:val="18"/>
              </w:rPr>
            </w:pPr>
            <w:r>
              <w:rPr>
                <w:rFonts w:ascii="宋体" w:hAnsi="宋体"/>
                <w:kern w:val="0"/>
                <w:sz w:val="18"/>
                <w:szCs w:val="18"/>
              </w:rPr>
              <w:t>2</w:t>
            </w:r>
            <w:r>
              <w:rPr>
                <w:rFonts w:hint="eastAsia" w:ascii="宋体" w:hAnsi="宋体"/>
                <w:kern w:val="0"/>
                <w:sz w:val="18"/>
                <w:szCs w:val="18"/>
              </w:rPr>
              <w:t>、对于</w:t>
            </w:r>
            <w:r>
              <w:rPr>
                <w:rFonts w:ascii="宋体" w:hAnsi="宋体"/>
                <w:kern w:val="0"/>
                <w:sz w:val="18"/>
                <w:szCs w:val="18"/>
              </w:rPr>
              <w:t>自行车</w:t>
            </w:r>
            <w:r>
              <w:rPr>
                <w:rFonts w:hint="eastAsia" w:ascii="宋体" w:hAnsi="宋体"/>
                <w:kern w:val="0"/>
                <w:sz w:val="18"/>
                <w:szCs w:val="18"/>
              </w:rPr>
              <w:t>，可以利用提供公共自行车服务的平台的用户订单数据与轨迹数据进行交叉验证；或者利用不同的算法对原始轨迹数据的里程计算结果进行交叉验证</w:t>
            </w:r>
          </w:p>
          <w:p>
            <w:pPr>
              <w:adjustRightInd w:val="0"/>
              <w:snapToGrid w:val="0"/>
              <w:spacing w:line="276" w:lineRule="auto"/>
              <w:jc w:val="left"/>
              <w:rPr>
                <w:rFonts w:ascii="宋体" w:hAnsi="宋体"/>
                <w:kern w:val="0"/>
                <w:sz w:val="18"/>
                <w:szCs w:val="18"/>
              </w:rPr>
            </w:pPr>
            <w:r>
              <w:rPr>
                <w:rFonts w:ascii="宋体" w:hAnsi="宋体"/>
                <w:kern w:val="0"/>
                <w:sz w:val="18"/>
                <w:szCs w:val="18"/>
              </w:rPr>
              <w:t>3</w:t>
            </w:r>
            <w:r>
              <w:rPr>
                <w:rFonts w:hint="eastAsia" w:ascii="宋体" w:hAnsi="宋体"/>
                <w:kern w:val="0"/>
                <w:sz w:val="18"/>
                <w:szCs w:val="18"/>
              </w:rPr>
              <w:t>、对于步行利用提供路径规划和导航的平台的轨迹数据进行里程的确认；或者利用不同的算法对原始轨迹数据的里程计算结果进行交叉验证</w:t>
            </w:r>
          </w:p>
          <w:p>
            <w:pPr>
              <w:adjustRightInd w:val="0"/>
              <w:snapToGrid w:val="0"/>
              <w:spacing w:line="276" w:lineRule="auto"/>
              <w:jc w:val="left"/>
              <w:rPr>
                <w:rFonts w:ascii="宋体" w:hAnsi="宋体"/>
                <w:kern w:val="0"/>
                <w:sz w:val="18"/>
                <w:szCs w:val="18"/>
              </w:rPr>
            </w:pPr>
            <w:r>
              <w:rPr>
                <w:rFonts w:ascii="宋体" w:hAnsi="宋体"/>
                <w:kern w:val="0"/>
                <w:sz w:val="18"/>
                <w:szCs w:val="18"/>
              </w:rPr>
              <w:t>4</w:t>
            </w:r>
            <w:r>
              <w:rPr>
                <w:rFonts w:hint="eastAsia" w:ascii="宋体" w:hAnsi="宋体"/>
                <w:kern w:val="0"/>
                <w:sz w:val="18"/>
                <w:szCs w:val="18"/>
              </w:rPr>
              <w:t>、对于合乘，可利用提供合乘服务的平台的用户订单信息与轨迹信息进行交叉验证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数据用途</w:t>
            </w:r>
          </w:p>
        </w:tc>
        <w:tc>
          <w:tcPr>
            <w:tcW w:w="2299" w:type="pct"/>
            <w:vAlign w:val="center"/>
          </w:tcPr>
          <w:p>
            <w:pPr>
              <w:adjustRightInd w:val="0"/>
              <w:snapToGrid w:val="0"/>
              <w:spacing w:line="276" w:lineRule="auto"/>
              <w:jc w:val="left"/>
              <w:rPr>
                <w:rFonts w:ascii="宋体" w:hAnsi="宋体"/>
                <w:kern w:val="0"/>
                <w:sz w:val="18"/>
                <w:szCs w:val="18"/>
              </w:rPr>
            </w:pPr>
            <w:r>
              <w:rPr>
                <w:rFonts w:hint="eastAsia" w:ascii="宋体" w:hAnsi="宋体"/>
                <w:kern w:val="0"/>
                <w:sz w:val="18"/>
                <w:szCs w:val="18"/>
              </w:rPr>
              <w:t>计算基准线情景和</w:t>
            </w:r>
            <w:r>
              <w:rPr>
                <w:rFonts w:ascii="宋体" w:hAnsi="宋体"/>
                <w:kern w:val="0"/>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276" w:lineRule="auto"/>
              <w:jc w:val="center"/>
              <w:rPr>
                <w:rFonts w:ascii="宋体" w:hAnsi="宋体"/>
                <w:kern w:val="0"/>
                <w:sz w:val="18"/>
                <w:szCs w:val="18"/>
              </w:rPr>
            </w:pPr>
            <w:r>
              <w:rPr>
                <w:rFonts w:hint="eastAsia" w:ascii="宋体" w:hAnsi="宋体"/>
                <w:kern w:val="0"/>
                <w:sz w:val="18"/>
                <w:szCs w:val="18"/>
              </w:rPr>
              <w:t>备注</w:t>
            </w:r>
          </w:p>
        </w:tc>
        <w:tc>
          <w:tcPr>
            <w:tcW w:w="2299" w:type="pct"/>
            <w:vAlign w:val="center"/>
          </w:tcPr>
          <w:p>
            <w:pPr>
              <w:adjustRightInd w:val="0"/>
              <w:snapToGrid w:val="0"/>
              <w:spacing w:line="276"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ascii="宋体" w:hAnsi="宋体" w:eastAsia="宋体"/>
          <w:color w:val="000000"/>
          <w:sz w:val="18"/>
          <w:szCs w:val="18"/>
        </w:rPr>
      </w:pPr>
      <w:bookmarkStart w:id="178" w:name="OLE_LINK107"/>
      <w:r>
        <w:rPr>
          <w:rFonts w:hAnsi="黑体"/>
          <w:kern w:val="2"/>
          <w:szCs w:val="21"/>
        </w:rPr>
        <w:t>表C.19　小微型客车</w:t>
      </w:r>
      <w:r>
        <w:rPr>
          <w:rFonts w:hint="eastAsia" w:hAnsi="黑体"/>
          <w:kern w:val="2"/>
          <w:szCs w:val="21"/>
        </w:rPr>
        <w:t>合乘出行的人数</w:t>
      </w:r>
    </w:p>
    <w:bookmarkEnd w:id="178"/>
    <w:tbl>
      <w:tblPr>
        <w:tblStyle w:val="35"/>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8"/>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w:t>
            </w:r>
            <w:r>
              <w:rPr>
                <w:rFonts w:ascii="宋体" w:hAnsi="宋体"/>
                <w:sz w:val="18"/>
                <w:szCs w:val="18"/>
              </w:rPr>
              <w:t>/参数名称</w:t>
            </w:r>
          </w:p>
        </w:tc>
        <w:tc>
          <w:tcPr>
            <w:tcW w:w="2299" w:type="pct"/>
            <w:vAlign w:val="center"/>
          </w:tcPr>
          <w:p>
            <w:pPr>
              <w:adjustRightInd w:val="0"/>
              <w:snapToGrid w:val="0"/>
              <w:spacing w:line="360" w:lineRule="auto"/>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n</m:t>
                    </m:r>
                    <m:ctrlPr>
                      <w:rPr>
                        <w:rFonts w:ascii="Cambria Math" w:hAnsi="Cambria Math"/>
                        <w:sz w:val="18"/>
                        <w:szCs w:val="18"/>
                      </w:rPr>
                    </m:ctrlPr>
                  </m:e>
                  <m:sub>
                    <m:r>
                      <m:rPr/>
                      <w:rPr>
                        <w:rFonts w:ascii="Cambria Math" w:hAnsi="Cambria Math"/>
                        <w:sz w:val="18"/>
                        <w:szCs w:val="18"/>
                      </w:rPr>
                      <m:t>i</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应用的公式编号</w:t>
            </w:r>
          </w:p>
        </w:tc>
        <w:tc>
          <w:tcPr>
            <w:tcW w:w="2299" w:type="pct"/>
            <w:vAlign w:val="center"/>
          </w:tcPr>
          <w:p>
            <w:pPr>
              <w:adjustRightInd w:val="0"/>
              <w:snapToGrid w:val="0"/>
              <w:spacing w:line="360" w:lineRule="auto"/>
              <w:jc w:val="left"/>
              <w:rPr>
                <w:rFonts w:ascii="宋体" w:hAnsi="宋体"/>
                <w:sz w:val="18"/>
                <w:szCs w:val="18"/>
              </w:rPr>
            </w:pPr>
            <w:r>
              <w:rPr>
                <w:rFonts w:ascii="宋体" w:hAnsi="宋体"/>
                <w:sz w:val="18"/>
                <w:szCs w:val="18"/>
              </w:rPr>
              <w: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数据描述</w:t>
            </w:r>
          </w:p>
        </w:tc>
        <w:tc>
          <w:tcPr>
            <w:tcW w:w="2299" w:type="pct"/>
            <w:vAlign w:val="center"/>
          </w:tcPr>
          <w:p>
            <w:pPr>
              <w:spacing w:line="360" w:lineRule="auto"/>
              <w:jc w:val="left"/>
              <w:rPr>
                <w:rFonts w:ascii="宋体" w:hAnsi="宋体"/>
                <w:sz w:val="18"/>
                <w:szCs w:val="18"/>
              </w:rPr>
            </w:pPr>
            <w:bookmarkStart w:id="179" w:name="OLE_LINK91"/>
            <w:r>
              <w:rPr>
                <w:rFonts w:hint="eastAsia" w:ascii="宋体" w:hAnsi="宋体"/>
                <w:sz w:val="18"/>
                <w:szCs w:val="18"/>
              </w:rPr>
              <w:t>第</w:t>
            </w:r>
            <w:r>
              <w:rPr>
                <w:rFonts w:ascii="宋体" w:hAnsi="宋体"/>
                <w:sz w:val="18"/>
                <w:szCs w:val="18"/>
              </w:rPr>
              <w:t>i</w:t>
            </w:r>
            <w:r>
              <w:rPr>
                <w:rFonts w:hint="eastAsia" w:ascii="宋体" w:hAnsi="宋体"/>
                <w:sz w:val="18"/>
                <w:szCs w:val="18"/>
              </w:rPr>
              <w:t>次小微型客车合乘出行的人数</w:t>
            </w:r>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数据单位</w:t>
            </w:r>
          </w:p>
        </w:tc>
        <w:tc>
          <w:tcPr>
            <w:tcW w:w="2299" w:type="pct"/>
            <w:vAlign w:val="center"/>
          </w:tcPr>
          <w:p>
            <w:pPr>
              <w:adjustRightInd w:val="0"/>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数据来源</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rPr>
              <w:t>提供出行信息记录的</w:t>
            </w:r>
            <w:r>
              <w:rPr>
                <w:rFonts w:hint="eastAsia" w:ascii="宋体" w:hAnsi="宋体"/>
                <w:color w:val="000000"/>
                <w:kern w:val="0"/>
                <w:sz w:val="18"/>
                <w:szCs w:val="18"/>
                <w:lang w:eastAsia="zh-Hans"/>
              </w:rPr>
              <w:t>大数据平台</w:t>
            </w:r>
            <w:r>
              <w:rPr>
                <w:rFonts w:hint="eastAsia" w:ascii="宋体" w:hAnsi="宋体"/>
                <w:color w:val="000000"/>
                <w:kern w:val="0"/>
                <w:sz w:val="18"/>
                <w:szCs w:val="18"/>
              </w:rPr>
              <w:t>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监测点要求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监测仪表要求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监测程序与方法要求</w:t>
            </w:r>
          </w:p>
        </w:tc>
        <w:tc>
          <w:tcPr>
            <w:tcW w:w="2299"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监测频次与记录要求</w:t>
            </w:r>
          </w:p>
        </w:tc>
        <w:tc>
          <w:tcPr>
            <w:tcW w:w="2299" w:type="pct"/>
            <w:vAlign w:val="center"/>
          </w:tcPr>
          <w:p>
            <w:pPr>
              <w:adjustRightInd w:val="0"/>
              <w:snapToGrid w:val="0"/>
              <w:spacing w:line="360" w:lineRule="auto"/>
              <w:jc w:val="left"/>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质量保证</w:t>
            </w:r>
            <w:r>
              <w:rPr>
                <w:rFonts w:ascii="宋体" w:hAnsi="宋体"/>
                <w:kern w:val="0"/>
                <w:sz w:val="18"/>
                <w:szCs w:val="18"/>
              </w:rPr>
              <w:t>/质量控制程序要求</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9"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9"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ascii="宋体" w:hAnsi="宋体" w:eastAsia="宋体"/>
          <w:color w:val="000000"/>
          <w:sz w:val="18"/>
          <w:szCs w:val="18"/>
        </w:rPr>
      </w:pPr>
      <w:r>
        <w:rPr>
          <w:rFonts w:hAnsi="黑体"/>
          <w:kern w:val="2"/>
          <w:szCs w:val="21"/>
        </w:rPr>
        <w:t>表C.20　电动自行车的单位公里电耗</w:t>
      </w:r>
    </w:p>
    <w:tbl>
      <w:tblPr>
        <w:tblStyle w:val="35"/>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w:t>
            </w:r>
            <w:r>
              <w:rPr>
                <w:rFonts w:ascii="宋体" w:hAnsi="宋体"/>
                <w:sz w:val="18"/>
                <w:szCs w:val="18"/>
              </w:rPr>
              <w:t>/参数名称</w:t>
            </w:r>
          </w:p>
        </w:tc>
        <w:tc>
          <w:tcPr>
            <w:tcW w:w="2298" w:type="pct"/>
            <w:vAlign w:val="center"/>
          </w:tcPr>
          <w:p>
            <w:pPr>
              <w:adjustRightInd w:val="0"/>
              <w:snapToGrid w:val="0"/>
              <w:spacing w:line="360" w:lineRule="auto"/>
              <w:jc w:val="left"/>
              <w:rPr>
                <w:rFonts w:ascii="宋体" w:hAnsi="宋体"/>
                <w:sz w:val="18"/>
                <w:szCs w:val="18"/>
              </w:rPr>
            </w:pPr>
            <m:oMathPara>
              <m:oMathParaPr>
                <m:jc m:val="left"/>
              </m:oMathParaPr>
              <m:oMath>
                <m:r>
                  <m:rPr/>
                  <w:rPr>
                    <w:rFonts w:ascii="DejaVu Math TeX Gyre" w:hAnsi="DejaVu Math TeX Gyre"/>
                    <w:sz w:val="18"/>
                    <w:szCs w:val="21"/>
                  </w:rPr>
                  <m:t>EC</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应用的公式编号</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数据描述</w:t>
            </w:r>
          </w:p>
        </w:tc>
        <w:tc>
          <w:tcPr>
            <w:tcW w:w="2298" w:type="pct"/>
            <w:vAlign w:val="center"/>
          </w:tcPr>
          <w:p>
            <w:pPr>
              <w:spacing w:line="360" w:lineRule="auto"/>
              <w:jc w:val="left"/>
              <w:rPr>
                <w:rFonts w:ascii="宋体" w:hAnsi="宋体"/>
                <w:sz w:val="18"/>
                <w:szCs w:val="18"/>
              </w:rPr>
            </w:pPr>
            <w:r>
              <w:rPr>
                <w:rFonts w:ascii="宋体" w:hAnsi="宋体"/>
                <w:sz w:val="18"/>
                <w:szCs w:val="18"/>
              </w:rPr>
              <w:t>电动自行车的单位公里电耗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数据单位</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MWh/km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数据来源</w:t>
            </w:r>
          </w:p>
        </w:tc>
        <w:tc>
          <w:tcPr>
            <w:tcW w:w="2298" w:type="pct"/>
            <w:vAlign w:val="center"/>
          </w:tcPr>
          <w:p>
            <w:pPr>
              <w:pStyle w:val="2"/>
            </w:pPr>
            <w:r>
              <w:rPr>
                <w:rFonts w:hint="eastAsia" w:ascii="宋体" w:hAnsi="宋体"/>
                <w:color w:val="000000"/>
                <w:kern w:val="0"/>
                <w:sz w:val="18"/>
                <w:szCs w:val="18"/>
              </w:rPr>
              <w:t>通过权威机构</w:t>
            </w:r>
            <w:r>
              <w:rPr>
                <w:rFonts w:hint="eastAsia" w:ascii="宋体" w:hAnsi="宋体"/>
                <w:color w:val="000000"/>
                <w:kern w:val="0"/>
                <w:sz w:val="18"/>
                <w:szCs w:val="18"/>
                <w:lang w:eastAsia="zh-Hans"/>
              </w:rPr>
              <w:t>对外正式</w:t>
            </w:r>
            <w:r>
              <w:rPr>
                <w:rFonts w:hint="eastAsia" w:ascii="宋体" w:hAnsi="宋体"/>
                <w:color w:val="000000"/>
                <w:kern w:val="0"/>
                <w:sz w:val="18"/>
                <w:szCs w:val="18"/>
              </w:rPr>
              <w:t>发布的</w:t>
            </w:r>
            <w:r>
              <w:rPr>
                <w:rFonts w:hint="eastAsia" w:ascii="宋体" w:hAnsi="宋体"/>
                <w:color w:val="000000"/>
                <w:kern w:val="0"/>
                <w:sz w:val="18"/>
                <w:szCs w:val="18"/>
                <w:lang w:eastAsia="zh-Hans"/>
              </w:rPr>
              <w:t>数值查阅获得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监测点要求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监测仪表要求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监测程序与方法要求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hint="eastAsia" w:ascii="宋体" w:hAnsi="宋体"/>
                <w:color w:val="000000"/>
                <w:kern w:val="0"/>
                <w:sz w:val="18"/>
                <w:szCs w:val="18"/>
                <w:lang w:eastAsia="zh-Hans"/>
              </w:rPr>
              <w:t>大数据平台</w:t>
            </w:r>
            <w:r>
              <w:rPr>
                <w:rFonts w:hint="eastAsia" w:ascii="宋体" w:hAnsi="宋体"/>
                <w:color w:val="000000"/>
                <w:kern w:val="0"/>
                <w:sz w:val="18"/>
                <w:szCs w:val="18"/>
              </w:rPr>
              <w:t>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监测频次与记录要求</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质量保证</w:t>
            </w:r>
            <w:r>
              <w:rPr>
                <w:rFonts w:ascii="宋体" w:hAnsi="宋体"/>
                <w:kern w:val="0"/>
                <w:sz w:val="18"/>
                <w:szCs w:val="18"/>
              </w:rPr>
              <w:t>/质量控制程序要求</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8"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hAnsi="黑体"/>
          <w:kern w:val="2"/>
          <w:szCs w:val="21"/>
        </w:rPr>
      </w:pPr>
      <w:r>
        <w:rPr>
          <w:rFonts w:hAnsi="黑体"/>
          <w:kern w:val="2"/>
          <w:szCs w:val="21"/>
        </w:rPr>
        <w:t>表C.21　</w:t>
      </w:r>
      <w:r>
        <w:rPr>
          <w:rFonts w:hint="eastAsia" w:hAnsi="黑体"/>
          <w:kern w:val="2"/>
          <w:szCs w:val="21"/>
        </w:rPr>
        <w:t>基准年电力自行车出行量占出行总量的比重</w:t>
      </w:r>
    </w:p>
    <w:tbl>
      <w:tblPr>
        <w:tblStyle w:val="35"/>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w:t>
            </w:r>
            <w:r>
              <w:rPr>
                <w:rFonts w:ascii="宋体" w:hAnsi="宋体"/>
                <w:sz w:val="18"/>
                <w:szCs w:val="18"/>
              </w:rPr>
              <w:t>/参数名称</w:t>
            </w:r>
          </w:p>
        </w:tc>
        <w:tc>
          <w:tcPr>
            <w:tcW w:w="2298" w:type="pct"/>
            <w:vAlign w:val="center"/>
          </w:tcPr>
          <w:p>
            <w:pPr>
              <w:adjustRightInd w:val="0"/>
              <w:snapToGrid w:val="0"/>
              <w:spacing w:line="360" w:lineRule="auto"/>
              <w:jc w:val="left"/>
              <w:rPr>
                <w:rFonts w:ascii="宋体" w:hAnsi="宋体"/>
                <w:sz w:val="18"/>
                <w:szCs w:val="18"/>
              </w:rPr>
            </w:pPr>
            <m:oMathPara>
              <m:oMathParaPr>
                <m:jc m:val="left"/>
              </m:oMathParaPr>
              <m:oMath>
                <m:sSub>
                  <m:sSubPr>
                    <m:ctrlPr>
                      <w:rPr>
                        <w:rFonts w:ascii="DejaVu Math TeX Gyre" w:hAnsi="DejaVu Math TeX Gyre"/>
                        <w:sz w:val="18"/>
                        <w:szCs w:val="21"/>
                      </w:rPr>
                    </m:ctrlPr>
                  </m:sSubPr>
                  <m:e>
                    <m:r>
                      <m:rPr/>
                      <w:rPr>
                        <w:rFonts w:ascii="DejaVu Math TeX Gyre" w:hAnsi="DejaVu Math TeX Gyre"/>
                        <w:sz w:val="18"/>
                        <w:szCs w:val="21"/>
                        <w:lang w:val="en-AU"/>
                      </w:rPr>
                      <m:t>WE</m:t>
                    </m:r>
                    <m:ctrlPr>
                      <w:rPr>
                        <w:rFonts w:ascii="DejaVu Math TeX Gyre" w:hAnsi="DejaVu Math TeX Gyre"/>
                        <w:sz w:val="18"/>
                        <w:szCs w:val="21"/>
                      </w:rPr>
                    </m:ctrlPr>
                  </m:e>
                  <m:sub>
                    <m:r>
                      <m:rPr/>
                      <w:rPr>
                        <w:rFonts w:ascii="DejaVu Math TeX Gyre" w:hAnsi="DejaVu Math TeX Gyre"/>
                        <w:sz w:val="18"/>
                        <w:szCs w:val="21"/>
                      </w:rPr>
                      <m:t>k</m:t>
                    </m:r>
                    <m:ctrlPr>
                      <w:rPr>
                        <w:rFonts w:ascii="DejaVu Math TeX Gyre" w:hAnsi="DejaVu Math TeX Gyre"/>
                        <w:sz w:val="18"/>
                        <w:szCs w:val="21"/>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应用的公式编号</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数据描述</w:t>
            </w:r>
          </w:p>
        </w:tc>
        <w:tc>
          <w:tcPr>
            <w:tcW w:w="2298" w:type="pct"/>
            <w:vAlign w:val="center"/>
          </w:tcPr>
          <w:p>
            <w:pPr>
              <w:spacing w:line="360" w:lineRule="auto"/>
              <w:jc w:val="left"/>
              <w:rPr>
                <w:rFonts w:ascii="宋体" w:hAnsi="宋体"/>
                <w:sz w:val="18"/>
                <w:szCs w:val="18"/>
              </w:rPr>
            </w:pPr>
            <w:r>
              <w:rPr>
                <w:rFonts w:hint="eastAsia" w:ascii="宋体" w:hAnsi="宋体"/>
                <w:sz w:val="18"/>
                <w:szCs w:val="18"/>
              </w:rPr>
              <w:t>基准年电力自行车出行量占出行总量的比重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数据单位</w:t>
            </w:r>
          </w:p>
        </w:tc>
        <w:tc>
          <w:tcPr>
            <w:tcW w:w="2298" w:type="pct"/>
            <w:vAlign w:val="center"/>
          </w:tcPr>
          <w:p>
            <w:pPr>
              <w:adjustRightInd w:val="0"/>
              <w:snapToGrid w:val="0"/>
              <w:spacing w:line="360" w:lineRule="auto"/>
              <w:jc w:val="left"/>
              <w:rPr>
                <w:rFonts w:ascii="宋体" w:hAnsi="宋体"/>
                <w:sz w:val="18"/>
                <w:szCs w:val="18"/>
                <w:lang w:eastAsia="zh-Hans"/>
              </w:rPr>
            </w:pPr>
            <w:r>
              <w:rPr>
                <w:rFonts w:hint="eastAsia" w:ascii="宋体" w:hAnsi="宋体"/>
                <w:sz w:val="18"/>
                <w:szCs w:val="18"/>
                <w:lang w:eastAsia="zh-Hans"/>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数据来源</w:t>
            </w:r>
          </w:p>
        </w:tc>
        <w:tc>
          <w:tcPr>
            <w:tcW w:w="2298" w:type="pct"/>
            <w:vAlign w:val="center"/>
          </w:tcPr>
          <w:p>
            <w:pPr>
              <w:pStyle w:val="2"/>
            </w:pPr>
            <w:r>
              <w:rPr>
                <w:rFonts w:hint="eastAsia" w:ascii="宋体" w:hAnsi="宋体"/>
                <w:color w:val="000000"/>
                <w:kern w:val="0"/>
                <w:sz w:val="18"/>
                <w:szCs w:val="18"/>
              </w:rPr>
              <w:t>通过权威机构发布的交通发展年度报告查阅获得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监测点要求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监测仪表要求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监测程序与方法要求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监测频次与记录要求</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质量保证</w:t>
            </w:r>
            <w:r>
              <w:rPr>
                <w:rFonts w:ascii="宋体" w:hAnsi="宋体"/>
                <w:kern w:val="0"/>
                <w:sz w:val="18"/>
                <w:szCs w:val="18"/>
              </w:rPr>
              <w:t>/质量控制程序要求</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8"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hAnsi="黑体"/>
          <w:kern w:val="2"/>
          <w:szCs w:val="21"/>
        </w:rPr>
      </w:pPr>
      <w:r>
        <w:rPr>
          <w:rFonts w:hAnsi="黑体"/>
          <w:kern w:val="2"/>
          <w:szCs w:val="21"/>
        </w:rPr>
        <w:t>表C.22　</w:t>
      </w:r>
      <w:r>
        <w:rPr>
          <w:rFonts w:hint="eastAsia" w:hAnsi="黑体"/>
          <w:kern w:val="2"/>
          <w:szCs w:val="21"/>
        </w:rPr>
        <w:t>基准年普通自行车出行量占出行总量的比重</w:t>
      </w:r>
    </w:p>
    <w:tbl>
      <w:tblPr>
        <w:tblStyle w:val="35"/>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w:t>
            </w:r>
            <w:r>
              <w:rPr>
                <w:rFonts w:ascii="宋体" w:hAnsi="宋体"/>
                <w:sz w:val="18"/>
                <w:szCs w:val="18"/>
              </w:rPr>
              <w:t>/参数名称</w:t>
            </w:r>
          </w:p>
        </w:tc>
        <w:tc>
          <w:tcPr>
            <w:tcW w:w="2298" w:type="pct"/>
            <w:vAlign w:val="center"/>
          </w:tcPr>
          <w:p>
            <w:pPr>
              <w:adjustRightInd w:val="0"/>
              <w:snapToGrid w:val="0"/>
              <w:spacing w:line="360" w:lineRule="auto"/>
              <w:jc w:val="left"/>
              <w:rPr>
                <w:rFonts w:ascii="宋体" w:hAnsi="宋体"/>
                <w:sz w:val="18"/>
                <w:szCs w:val="18"/>
              </w:rPr>
            </w:pPr>
            <m:oMathPara>
              <m:oMathParaPr>
                <m:jc m:val="left"/>
              </m:oMathParaPr>
              <m:oMath>
                <m:sSub>
                  <m:sSubPr>
                    <m:ctrlPr>
                      <w:rPr>
                        <w:rFonts w:ascii="Cambria Math" w:hAnsi="Cambria Math"/>
                        <w:sz w:val="18"/>
                        <w:szCs w:val="21"/>
                      </w:rPr>
                    </m:ctrlPr>
                  </m:sSubPr>
                  <m:e>
                    <m:r>
                      <m:rPr/>
                      <w:rPr>
                        <w:rFonts w:ascii="Cambria Math" w:hAnsi="Cambria Math"/>
                        <w:sz w:val="18"/>
                        <w:szCs w:val="21"/>
                        <w:lang w:val="en-AU"/>
                      </w:rPr>
                      <m:t>W</m:t>
                    </m:r>
                    <m:r>
                      <m:rPr/>
                      <w:rPr>
                        <w:rFonts w:ascii="DejaVu Math TeX Gyre" w:hAnsi="DejaVu Math TeX Gyre"/>
                        <w:sz w:val="18"/>
                        <w:szCs w:val="21"/>
                      </w:rPr>
                      <m:t>P</m:t>
                    </m:r>
                    <m:ctrlPr>
                      <w:rPr>
                        <w:rFonts w:ascii="Cambria Math" w:hAnsi="Cambria Math"/>
                        <w:sz w:val="18"/>
                        <w:szCs w:val="21"/>
                      </w:rPr>
                    </m:ctrlPr>
                  </m:e>
                  <m:sub>
                    <m:r>
                      <m:rPr/>
                      <w:rPr>
                        <w:rFonts w:ascii="Cambria Math" w:hAnsi="Cambria Math"/>
                        <w:sz w:val="18"/>
                        <w:szCs w:val="21"/>
                      </w:rPr>
                      <m:t>k</m:t>
                    </m:r>
                    <m:ctrlPr>
                      <w:rPr>
                        <w:rFonts w:ascii="Cambria Math" w:hAnsi="Cambria Math"/>
                        <w:sz w:val="18"/>
                        <w:szCs w:val="21"/>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应用的公式编号</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数据描述</w:t>
            </w:r>
          </w:p>
        </w:tc>
        <w:tc>
          <w:tcPr>
            <w:tcW w:w="2298" w:type="pct"/>
            <w:vAlign w:val="center"/>
          </w:tcPr>
          <w:p>
            <w:pPr>
              <w:spacing w:line="360" w:lineRule="auto"/>
              <w:jc w:val="left"/>
              <w:rPr>
                <w:rFonts w:ascii="宋体" w:hAnsi="宋体"/>
                <w:sz w:val="18"/>
                <w:szCs w:val="18"/>
              </w:rPr>
            </w:pPr>
            <w:r>
              <w:rPr>
                <w:rFonts w:hint="eastAsia" w:ascii="宋体" w:hAnsi="宋体"/>
                <w:sz w:val="18"/>
                <w:szCs w:val="18"/>
              </w:rPr>
              <w:t>基准年</w:t>
            </w:r>
            <w:r>
              <w:rPr>
                <w:rFonts w:hint="eastAsia" w:ascii="宋体" w:hAnsi="宋体"/>
                <w:sz w:val="18"/>
                <w:szCs w:val="18"/>
                <w:lang w:eastAsia="zh-Hans"/>
              </w:rPr>
              <w:t>普通</w:t>
            </w:r>
            <w:r>
              <w:rPr>
                <w:rFonts w:hint="eastAsia" w:ascii="宋体" w:hAnsi="宋体"/>
                <w:sz w:val="18"/>
                <w:szCs w:val="18"/>
              </w:rPr>
              <w:t>自行车出行量占出行总量的比重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数据单位</w:t>
            </w:r>
          </w:p>
        </w:tc>
        <w:tc>
          <w:tcPr>
            <w:tcW w:w="2298" w:type="pct"/>
            <w:vAlign w:val="center"/>
          </w:tcPr>
          <w:p>
            <w:pPr>
              <w:adjustRightInd w:val="0"/>
              <w:snapToGrid w:val="0"/>
              <w:spacing w:line="360" w:lineRule="auto"/>
              <w:jc w:val="left"/>
              <w:rPr>
                <w:rFonts w:ascii="宋体" w:hAnsi="宋体"/>
                <w:sz w:val="18"/>
                <w:szCs w:val="18"/>
              </w:rPr>
            </w:pPr>
            <w:r>
              <w:rPr>
                <w:rFonts w:hint="eastAsia" w:ascii="宋体" w:hAnsi="宋体"/>
                <w:sz w:val="18"/>
                <w:szCs w:val="18"/>
                <w:lang w:eastAsia="zh-Hans"/>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数据来源</w:t>
            </w:r>
          </w:p>
        </w:tc>
        <w:tc>
          <w:tcPr>
            <w:tcW w:w="2298" w:type="pct"/>
            <w:vAlign w:val="center"/>
          </w:tcPr>
          <w:p>
            <w:pPr>
              <w:pStyle w:val="2"/>
            </w:pPr>
            <w:r>
              <w:rPr>
                <w:rFonts w:hint="eastAsia" w:ascii="宋体" w:hAnsi="宋体"/>
                <w:color w:val="000000"/>
                <w:kern w:val="0"/>
                <w:sz w:val="18"/>
                <w:szCs w:val="18"/>
              </w:rPr>
              <w:t>通过权威机构发布的交通发展年度报告查阅获得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监测点要求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监测仪表要求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监测程序与方法要求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监测频次与记录要求</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质量保证</w:t>
            </w:r>
            <w:r>
              <w:rPr>
                <w:rFonts w:ascii="宋体" w:hAnsi="宋体"/>
                <w:kern w:val="0"/>
                <w:sz w:val="18"/>
                <w:szCs w:val="18"/>
              </w:rPr>
              <w:t>/质量控制程序要求</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8"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63"/>
        <w:numPr>
          <w:ilvl w:val="0"/>
          <w:numId w:val="0"/>
        </w:numPr>
        <w:spacing w:before="0" w:beforeLines="0" w:after="0" w:afterLines="0" w:line="360" w:lineRule="auto"/>
        <w:rPr>
          <w:rFonts w:hAnsi="黑体"/>
          <w:kern w:val="2"/>
          <w:szCs w:val="21"/>
        </w:rPr>
      </w:pPr>
      <w:r>
        <w:rPr>
          <w:rFonts w:hAnsi="黑体"/>
          <w:kern w:val="2"/>
          <w:szCs w:val="21"/>
        </w:rPr>
        <w:t>表C.23　</w:t>
      </w:r>
      <w:r>
        <w:rPr>
          <w:rFonts w:hint="eastAsia" w:hAnsi="黑体"/>
          <w:kern w:val="2"/>
          <w:szCs w:val="21"/>
        </w:rPr>
        <w:t>基准年出行方式</w:t>
      </w:r>
      <w:r>
        <w:rPr>
          <w:rFonts w:hAnsi="黑体"/>
          <w:kern w:val="2"/>
          <w:szCs w:val="21"/>
        </w:rPr>
        <w:t>k的人均单次出行距离</w:t>
      </w:r>
    </w:p>
    <w:tbl>
      <w:tblPr>
        <w:tblStyle w:val="35"/>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w:t>
            </w:r>
            <w:r>
              <w:rPr>
                <w:rFonts w:ascii="宋体" w:hAnsi="宋体"/>
                <w:sz w:val="18"/>
                <w:szCs w:val="18"/>
              </w:rPr>
              <w:t>/参数名称</w:t>
            </w:r>
          </w:p>
        </w:tc>
        <w:tc>
          <w:tcPr>
            <w:tcW w:w="2298" w:type="pct"/>
            <w:vAlign w:val="center"/>
          </w:tcPr>
          <w:p>
            <w:pPr>
              <w:adjustRightInd w:val="0"/>
              <w:snapToGrid w:val="0"/>
              <w:spacing w:line="360" w:lineRule="auto"/>
              <w:jc w:val="left"/>
              <w:rPr>
                <w:rFonts w:ascii="宋体" w:hAnsi="宋体"/>
                <w:sz w:val="18"/>
                <w:szCs w:val="18"/>
              </w:rPr>
            </w:pPr>
            <m:oMathPara>
              <m:oMathParaPr>
                <m:jc m:val="left"/>
              </m:oMathParaPr>
              <m:oMath>
                <m:sSub>
                  <m:sSubPr>
                    <m:ctrlPr>
                      <w:rPr>
                        <w:rFonts w:ascii="DejaVu Math TeX Gyre" w:hAnsi="DejaVu Math TeX Gyre" w:eastAsia="楷体_GB2312" w:cs="Times New Roman Regular"/>
                        <w:i/>
                        <w:iCs/>
                        <w:sz w:val="20"/>
                        <w:szCs w:val="18"/>
                      </w:rPr>
                    </m:ctrlPr>
                  </m:sSubPr>
                  <m:e>
                    <m:r>
                      <m:rPr/>
                      <w:rPr>
                        <w:rFonts w:ascii="DejaVu Math TeX Gyre" w:hAnsi="DejaVu Math TeX Gyre" w:eastAsia="楷体_GB2312" w:cs="Times New Roman Regular"/>
                        <w:sz w:val="20"/>
                        <w:szCs w:val="18"/>
                      </w:rPr>
                      <m:t>D</m:t>
                    </m:r>
                    <m:ctrlPr>
                      <w:rPr>
                        <w:rFonts w:ascii="DejaVu Math TeX Gyre" w:hAnsi="DejaVu Math TeX Gyre" w:eastAsia="楷体_GB2312" w:cs="Times New Roman Regular"/>
                        <w:i/>
                        <w:iCs/>
                        <w:sz w:val="20"/>
                        <w:szCs w:val="18"/>
                      </w:rPr>
                    </m:ctrlPr>
                  </m:e>
                  <m:sub>
                    <m:r>
                      <m:rPr/>
                      <w:rPr>
                        <w:rFonts w:ascii="DejaVu Math TeX Gyre" w:hAnsi="DejaVu Math TeX Gyre" w:eastAsia="楷体_GB2312" w:cs="Times New Roman Regular"/>
                        <w:sz w:val="20"/>
                        <w:szCs w:val="18"/>
                      </w:rPr>
                      <m:t>k</m:t>
                    </m:r>
                    <m:ctrlPr>
                      <w:rPr>
                        <w:rFonts w:ascii="DejaVu Math TeX Gyre" w:hAnsi="DejaVu Math TeX Gyre" w:eastAsia="楷体_GB2312" w:cs="Times New Roman Regular"/>
                        <w:i/>
                        <w:iCs/>
                        <w:sz w:val="20"/>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应用的公式编号</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数据描述</w:t>
            </w:r>
          </w:p>
        </w:tc>
        <w:tc>
          <w:tcPr>
            <w:tcW w:w="2298" w:type="pct"/>
            <w:vAlign w:val="center"/>
          </w:tcPr>
          <w:p>
            <w:pPr>
              <w:spacing w:line="360" w:lineRule="auto"/>
              <w:jc w:val="left"/>
              <w:rPr>
                <w:rFonts w:ascii="宋体" w:hAnsi="宋体"/>
                <w:sz w:val="18"/>
                <w:szCs w:val="18"/>
              </w:rPr>
            </w:pPr>
            <w:r>
              <w:rPr>
                <w:rFonts w:hint="eastAsia" w:ascii="宋体" w:hAnsi="宋体"/>
                <w:sz w:val="18"/>
                <w:szCs w:val="18"/>
              </w:rPr>
              <w:t>基准年出行方式k的人均单次出行距离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数据单位</w:t>
            </w:r>
          </w:p>
        </w:tc>
        <w:tc>
          <w:tcPr>
            <w:tcW w:w="2298" w:type="pct"/>
            <w:vAlign w:val="center"/>
          </w:tcPr>
          <w:p>
            <w:pPr>
              <w:adjustRightInd w:val="0"/>
              <w:snapToGrid w:val="0"/>
              <w:spacing w:line="360" w:lineRule="auto"/>
              <w:jc w:val="left"/>
              <w:rPr>
                <w:rFonts w:ascii="宋体" w:hAnsi="宋体"/>
                <w:sz w:val="18"/>
                <w:szCs w:val="18"/>
                <w:lang w:eastAsia="zh-Hans"/>
              </w:rPr>
            </w:pPr>
            <w:r>
              <w:rPr>
                <w:rFonts w:ascii="宋体" w:hAnsi="宋体"/>
                <w:sz w:val="18"/>
                <w:szCs w:val="18"/>
              </w:rPr>
              <w:t>PKM/</w:t>
            </w:r>
            <w:r>
              <w:rPr>
                <w:rFonts w:hint="eastAsia" w:ascii="宋体" w:hAnsi="宋体"/>
                <w:sz w:val="18"/>
                <w:szCs w:val="18"/>
                <w:lang w:eastAsia="zh-Hans"/>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数据来源</w:t>
            </w:r>
          </w:p>
        </w:tc>
        <w:tc>
          <w:tcPr>
            <w:tcW w:w="2298" w:type="pct"/>
            <w:vAlign w:val="center"/>
          </w:tcPr>
          <w:p>
            <w:pPr>
              <w:pStyle w:val="2"/>
            </w:pPr>
            <w:r>
              <w:rPr>
                <w:rFonts w:hint="eastAsia" w:ascii="宋体" w:hAnsi="宋体"/>
                <w:color w:val="000000"/>
                <w:kern w:val="0"/>
                <w:sz w:val="18"/>
                <w:szCs w:val="18"/>
              </w:rPr>
              <w:t>通过权威机构发布的交通发展年度报告查阅获得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监测点要求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监测仪表要求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监测程序与方法要求</w:t>
            </w:r>
          </w:p>
        </w:tc>
        <w:tc>
          <w:tcPr>
            <w:tcW w:w="2298" w:type="pct"/>
            <w:vAlign w:val="center"/>
          </w:tcPr>
          <w:p>
            <w:pPr>
              <w:adjustRightInd w:val="0"/>
              <w:snapToGrid w:val="0"/>
              <w:spacing w:line="360" w:lineRule="auto"/>
              <w:jc w:val="left"/>
              <w:rPr>
                <w:rFonts w:ascii="宋体" w:hAnsi="宋体"/>
                <w:color w:val="000000"/>
                <w:kern w:val="0"/>
                <w:sz w:val="18"/>
                <w:szCs w:val="18"/>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监测频次与记录要求</w:t>
            </w:r>
          </w:p>
        </w:tc>
        <w:tc>
          <w:tcPr>
            <w:tcW w:w="2298" w:type="pct"/>
            <w:vAlign w:val="center"/>
          </w:tcPr>
          <w:p>
            <w:pPr>
              <w:adjustRightInd w:val="0"/>
              <w:snapToGrid w:val="0"/>
              <w:spacing w:line="360" w:lineRule="auto"/>
              <w:jc w:val="left"/>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质量保证</w:t>
            </w:r>
            <w:r>
              <w:rPr>
                <w:rFonts w:ascii="宋体" w:hAnsi="宋体"/>
                <w:kern w:val="0"/>
                <w:sz w:val="18"/>
                <w:szCs w:val="18"/>
              </w:rPr>
              <w:t>/质量控制程序要求</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数据用途</w:t>
            </w:r>
          </w:p>
        </w:tc>
        <w:tc>
          <w:tcPr>
            <w:tcW w:w="2298" w:type="pct"/>
            <w:vAlign w:val="center"/>
          </w:tcPr>
          <w:p>
            <w:pPr>
              <w:adjustRightInd w:val="0"/>
              <w:snapToGrid w:val="0"/>
              <w:spacing w:line="360" w:lineRule="auto"/>
              <w:jc w:val="left"/>
              <w:rPr>
                <w:rFonts w:ascii="宋体" w:hAnsi="宋体"/>
                <w:kern w:val="0"/>
                <w:sz w:val="18"/>
                <w:szCs w:val="18"/>
              </w:rPr>
            </w:pPr>
            <w:r>
              <w:rPr>
                <w:rFonts w:hint="eastAsia" w:ascii="宋体" w:hAnsi="宋体"/>
                <w:sz w:val="18"/>
                <w:szCs w:val="18"/>
              </w:rPr>
              <w:t>计算</w:t>
            </w:r>
            <w:r>
              <w:rPr>
                <w:rFonts w:ascii="宋体" w:hAnsi="宋体"/>
                <w:sz w:val="18"/>
                <w:szCs w:val="18"/>
              </w:rPr>
              <w:t>项目碳排放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701" w:type="pct"/>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备注</w:t>
            </w:r>
          </w:p>
        </w:tc>
        <w:tc>
          <w:tcPr>
            <w:tcW w:w="2298" w:type="pct"/>
            <w:vAlign w:val="center"/>
          </w:tcPr>
          <w:p>
            <w:pPr>
              <w:adjustRightInd w:val="0"/>
              <w:snapToGrid w:val="0"/>
              <w:spacing w:line="360" w:lineRule="auto"/>
              <w:jc w:val="left"/>
              <w:rPr>
                <w:rFonts w:ascii="宋体" w:hAnsi="宋体"/>
                <w:kern w:val="0"/>
                <w:sz w:val="18"/>
                <w:szCs w:val="18"/>
              </w:rPr>
            </w:pPr>
            <w:r>
              <w:rPr>
                <w:rFonts w:ascii="宋体" w:hAnsi="宋体"/>
                <w:kern w:val="0"/>
                <w:sz w:val="18"/>
                <w:szCs w:val="18"/>
              </w:rPr>
              <w:t>/</w:t>
            </w:r>
          </w:p>
        </w:tc>
      </w:tr>
    </w:tbl>
    <w:p>
      <w:pPr>
        <w:pStyle w:val="159"/>
        <w:spacing w:line="360" w:lineRule="auto"/>
        <w:ind w:firstLine="420"/>
        <w:rPr>
          <w:lang w:val="en-AU"/>
        </w:rPr>
      </w:pPr>
    </w:p>
    <w:p>
      <w:pPr>
        <w:widowControl/>
        <w:jc w:val="left"/>
        <w:rPr>
          <w:rFonts w:ascii="宋体"/>
          <w:kern w:val="0"/>
          <w:szCs w:val="20"/>
        </w:rPr>
      </w:pPr>
      <w:r>
        <w:br w:type="page"/>
      </w:r>
    </w:p>
    <w:p>
      <w:pPr>
        <w:pStyle w:val="26"/>
        <w:sectPr>
          <w:pgSz w:w="11906" w:h="16838"/>
          <w:pgMar w:top="567" w:right="1134" w:bottom="1134" w:left="1418" w:header="1418" w:footer="1134" w:gutter="0"/>
          <w:cols w:space="425" w:num="1"/>
          <w:formProt w:val="0"/>
          <w:docGrid w:type="lines" w:linePitch="312" w:charSpace="0"/>
        </w:sectPr>
      </w:pPr>
    </w:p>
    <w:p>
      <w:pPr>
        <w:pStyle w:val="85"/>
        <w:spacing w:before="156" w:after="156"/>
        <w:ind w:left="0"/>
      </w:pPr>
      <w:r>
        <w:br w:type="textWrapping"/>
      </w:r>
      <w:bookmarkStart w:id="180" w:name="_Toc118127257"/>
      <w:r>
        <w:rPr>
          <w:rFonts w:hint="eastAsia"/>
        </w:rPr>
        <w:t>（资料性）</w:t>
      </w:r>
      <w:r>
        <w:br w:type="textWrapping"/>
      </w:r>
      <w:r>
        <w:rPr>
          <w:rFonts w:hint="eastAsia"/>
        </w:rPr>
        <w:t>相关参数推荐值</w:t>
      </w:r>
      <w:bookmarkEnd w:id="180"/>
    </w:p>
    <w:p>
      <w:pPr>
        <w:pStyle w:val="44"/>
        <w:numPr>
          <w:ilvl w:val="0"/>
          <w:numId w:val="0"/>
        </w:numPr>
        <w:spacing w:before="156" w:after="156"/>
        <w:rPr>
          <w:lang w:val="en-AU"/>
        </w:rPr>
      </w:pPr>
      <w:r>
        <w:rPr>
          <w:rFonts w:hint="eastAsia"/>
          <w:lang w:val="en-AU"/>
        </w:rPr>
        <w:t xml:space="preserve">D.1  </w:t>
      </w:r>
      <w:r>
        <w:rPr>
          <w:rFonts w:hint="eastAsia" w:asciiTheme="minorEastAsia" w:hAnsiTheme="minorEastAsia" w:eastAsiaTheme="minorEastAsia"/>
          <w:lang w:val="en-AU"/>
        </w:rPr>
        <w:t>京津冀区域电力</w:t>
      </w:r>
      <w:r>
        <w:rPr>
          <w:rFonts w:asciiTheme="minorEastAsia" w:hAnsiTheme="minorEastAsia" w:eastAsiaTheme="minorEastAsia"/>
        </w:rPr>
        <w:t>碳排放因子</w:t>
      </w:r>
      <w:r>
        <w:rPr>
          <w:rFonts w:hint="eastAsia" w:asciiTheme="minorEastAsia" w:hAnsiTheme="minorEastAsia" w:eastAsiaTheme="minorEastAsia"/>
          <w:lang w:val="en-AU"/>
        </w:rPr>
        <w:t>推荐值见</w:t>
      </w:r>
      <w:r>
        <w:rPr>
          <w:rFonts w:hint="eastAsia" w:asciiTheme="minorEastAsia" w:hAnsiTheme="minorEastAsia" w:eastAsiaTheme="minorEastAsia"/>
        </w:rPr>
        <w:t>表</w:t>
      </w:r>
      <w:r>
        <w:rPr>
          <w:rFonts w:asciiTheme="minorEastAsia" w:hAnsiTheme="minorEastAsia" w:eastAsiaTheme="minorEastAsia"/>
        </w:rPr>
        <w:t>D</w:t>
      </w:r>
      <w:r>
        <w:rPr>
          <w:rFonts w:asciiTheme="minorEastAsia" w:hAnsiTheme="minorEastAsia" w:eastAsiaTheme="minorEastAsia"/>
          <w:lang w:val="en-AU"/>
        </w:rPr>
        <w:t>.1</w:t>
      </w:r>
      <w:r>
        <w:rPr>
          <w:rFonts w:hint="eastAsia" w:asciiTheme="minorEastAsia" w:hAnsiTheme="minorEastAsia" w:eastAsiaTheme="minorEastAsia"/>
          <w:lang w:val="en-AU"/>
        </w:rPr>
        <w:t>。</w:t>
      </w:r>
    </w:p>
    <w:p>
      <w:pPr>
        <w:pStyle w:val="88"/>
        <w:numPr>
          <w:ilvl w:val="0"/>
          <w:numId w:val="0"/>
        </w:numPr>
        <w:spacing w:before="156" w:after="156"/>
        <w:rPr>
          <w:lang w:val="en-AU"/>
        </w:rPr>
      </w:pPr>
      <w:r>
        <w:rPr>
          <w:rFonts w:hint="eastAsia" w:hAnsi="黑体"/>
          <w:lang w:val="en-AU"/>
        </w:rPr>
        <w:t>表</w:t>
      </w:r>
      <w:r>
        <w:rPr>
          <w:rFonts w:hAnsi="黑体"/>
        </w:rPr>
        <w:t>D</w:t>
      </w:r>
      <w:r>
        <w:rPr>
          <w:rFonts w:hAnsi="黑体"/>
          <w:lang w:val="en-AU"/>
        </w:rPr>
        <w:t>.1</w:t>
      </w:r>
      <w:r>
        <w:rPr>
          <w:rFonts w:hint="eastAsia" w:hAnsi="黑体"/>
        </w:rPr>
        <w:t>　京津冀区域电力</w:t>
      </w:r>
      <w:r>
        <w:rPr>
          <w:rFonts w:hAnsi="黑体"/>
        </w:rPr>
        <w:t>碳排放因子</w:t>
      </w:r>
      <w:r>
        <w:rPr>
          <w:rFonts w:hint="eastAsia" w:hAnsi="黑体"/>
        </w:rPr>
        <w:t>推荐值</w:t>
      </w:r>
    </w:p>
    <w:tbl>
      <w:tblPr>
        <w:tblStyle w:val="3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6"/>
        <w:gridCol w:w="3193"/>
        <w:gridCol w:w="3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pct"/>
            <w:tcBorders>
              <w:top w:val="single" w:color="000000" w:sz="8" w:space="0"/>
              <w:left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参数名称</w:t>
            </w:r>
          </w:p>
        </w:tc>
        <w:tc>
          <w:tcPr>
            <w:tcW w:w="1668" w:type="pct"/>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m:oMathPara>
              <m:oMath>
                <m:sSub>
                  <m:sSubPr>
                    <m:ctrlPr>
                      <w:rPr>
                        <w:rFonts w:ascii="Cambria Math" w:hAnsi="Cambria Math"/>
                        <w:i/>
                        <w:kern w:val="0"/>
                        <w:sz w:val="20"/>
                        <w:szCs w:val="18"/>
                      </w:rPr>
                    </m:ctrlPr>
                  </m:sSubPr>
                  <m:e>
                    <m:r>
                      <m:rPr/>
                      <w:rPr>
                        <w:rFonts w:ascii="Cambria Math" w:hAnsi="Cambria Math"/>
                        <w:kern w:val="0"/>
                        <w:sz w:val="20"/>
                        <w:szCs w:val="18"/>
                      </w:rPr>
                      <m:t>EF</m:t>
                    </m:r>
                    <m:ctrlPr>
                      <w:rPr>
                        <w:rFonts w:ascii="Cambria Math" w:hAnsi="Cambria Math"/>
                        <w:i/>
                        <w:kern w:val="0"/>
                        <w:sz w:val="20"/>
                        <w:szCs w:val="18"/>
                      </w:rPr>
                    </m:ctrlPr>
                  </m:e>
                  <m:sub>
                    <m:r>
                      <m:rPr/>
                      <w:rPr>
                        <w:rFonts w:ascii="Cambria Math" w:hAnsi="Cambria Math"/>
                        <w:kern w:val="0"/>
                        <w:sz w:val="20"/>
                        <w:szCs w:val="18"/>
                      </w:rPr>
                      <m:t>CO2</m:t>
                    </m:r>
                    <m:ctrlPr>
                      <w:rPr>
                        <w:rFonts w:ascii="Cambria Math" w:hAnsi="Cambria Math"/>
                        <w:i/>
                        <w:kern w:val="0"/>
                        <w:sz w:val="20"/>
                        <w:szCs w:val="18"/>
                      </w:rPr>
                    </m:ctrlPr>
                  </m:sub>
                </m:sSub>
              </m:oMath>
            </m:oMathPara>
          </w:p>
        </w:tc>
        <w:tc>
          <w:tcPr>
            <w:tcW w:w="1667"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黑体" w:hAnsi="黑体" w:eastAsia="黑体"/>
                <w:kern w:val="0"/>
                <w:sz w:val="20"/>
                <w:szCs w:val="18"/>
              </w:rPr>
            </w:pPr>
            <w:r>
              <w:rPr>
                <w:rFonts w:hint="eastAsia" w:ascii="宋体" w:hAnsi="宋体"/>
                <w:kern w:val="0"/>
                <w:sz w:val="20"/>
                <w:szCs w:val="18"/>
              </w:rPr>
              <w:t>计量单位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pct"/>
            <w:tcBorders>
              <w:top w:val="single" w:color="000000" w:sz="8" w:space="0"/>
              <w:left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北京市电力</w:t>
            </w:r>
            <w:r>
              <w:rPr>
                <w:rFonts w:ascii="宋体"/>
                <w:kern w:val="0"/>
                <w:szCs w:val="18"/>
              </w:rPr>
              <w:t>碳排放因子</w:t>
            </w:r>
          </w:p>
        </w:tc>
        <w:tc>
          <w:tcPr>
            <w:tcW w:w="1668" w:type="pct"/>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0</w:t>
            </w:r>
            <w:r>
              <w:rPr>
                <w:rFonts w:ascii="宋体"/>
                <w:kern w:val="0"/>
                <w:szCs w:val="18"/>
              </w:rPr>
              <w:t>.604</w:t>
            </w:r>
          </w:p>
        </w:tc>
        <w:tc>
          <w:tcPr>
            <w:tcW w:w="1667"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宋体"/>
                <w:kern w:val="0"/>
                <w:szCs w:val="18"/>
              </w:rPr>
            </w:pPr>
            <w:r>
              <w:rPr>
                <w:kern w:val="0"/>
                <w:sz w:val="20"/>
                <w:szCs w:val="18"/>
              </w:rPr>
              <w:t>tCO</w:t>
            </w:r>
            <w:r>
              <w:rPr>
                <w:kern w:val="0"/>
                <w:sz w:val="20"/>
                <w:szCs w:val="18"/>
                <w:vertAlign w:val="subscript"/>
              </w:rPr>
              <w:t>2</w:t>
            </w:r>
            <w:r>
              <w:rPr>
                <w:kern w:val="0"/>
                <w:sz w:val="20"/>
                <w:szCs w:val="18"/>
              </w:rPr>
              <w:t>/M</w:t>
            </w:r>
            <w:r>
              <w:rPr>
                <w:sz w:val="20"/>
                <w:szCs w:val="18"/>
                <w:lang w:val="en-AU"/>
              </w:rPr>
              <w:t>W</w:t>
            </w:r>
            <w:r>
              <w:rPr>
                <w:rFonts w:hint="eastAsia"/>
                <w:sz w:val="20"/>
                <w:szCs w:val="18"/>
                <w:lang w:val="en-AU"/>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pct"/>
            <w:tcBorders>
              <w:top w:val="single" w:color="000000" w:sz="8" w:space="0"/>
              <w:left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河北省电力</w:t>
            </w:r>
            <w:r>
              <w:rPr>
                <w:rFonts w:ascii="宋体"/>
                <w:kern w:val="0"/>
                <w:szCs w:val="18"/>
              </w:rPr>
              <w:t>碳排放因子</w:t>
            </w:r>
          </w:p>
        </w:tc>
        <w:tc>
          <w:tcPr>
            <w:tcW w:w="1668" w:type="pct"/>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ascii="宋体"/>
                <w:kern w:val="0"/>
                <w:szCs w:val="18"/>
              </w:rPr>
              <w:t>0.9029</w:t>
            </w:r>
          </w:p>
        </w:tc>
        <w:tc>
          <w:tcPr>
            <w:tcW w:w="1667" w:type="pct"/>
            <w:tcBorders>
              <w:top w:val="single" w:color="000000" w:sz="8" w:space="0"/>
              <w:bottom w:val="single" w:color="000000" w:sz="8" w:space="0"/>
            </w:tcBorders>
          </w:tcPr>
          <w:p>
            <w:pPr>
              <w:widowControl/>
              <w:tabs>
                <w:tab w:val="center" w:pos="4201"/>
                <w:tab w:val="right" w:leader="dot" w:pos="9298"/>
              </w:tabs>
              <w:autoSpaceDE w:val="0"/>
              <w:autoSpaceDN w:val="0"/>
              <w:jc w:val="center"/>
              <w:rPr>
                <w:kern w:val="0"/>
                <w:sz w:val="20"/>
                <w:szCs w:val="18"/>
              </w:rPr>
            </w:pPr>
            <w:r>
              <w:rPr>
                <w:kern w:val="0"/>
                <w:sz w:val="20"/>
                <w:szCs w:val="18"/>
              </w:rPr>
              <w:t>tCO</w:t>
            </w:r>
            <w:r>
              <w:rPr>
                <w:kern w:val="0"/>
                <w:sz w:val="20"/>
                <w:szCs w:val="18"/>
                <w:vertAlign w:val="subscript"/>
              </w:rPr>
              <w:t>2</w:t>
            </w:r>
            <w:r>
              <w:rPr>
                <w:kern w:val="0"/>
                <w:sz w:val="20"/>
                <w:szCs w:val="18"/>
              </w:rPr>
              <w:t>/M</w:t>
            </w:r>
            <w:r>
              <w:rPr>
                <w:sz w:val="20"/>
                <w:szCs w:val="18"/>
                <w:lang w:val="en-AU"/>
              </w:rPr>
              <w:t>W</w:t>
            </w:r>
            <w:r>
              <w:rPr>
                <w:rFonts w:hint="eastAsia"/>
                <w:sz w:val="20"/>
                <w:szCs w:val="18"/>
                <w:lang w:val="en-AU"/>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5" w:type="pct"/>
            <w:tcBorders>
              <w:top w:val="single" w:color="000000" w:sz="8" w:space="0"/>
              <w:left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天津市电力</w:t>
            </w:r>
            <w:r>
              <w:rPr>
                <w:rFonts w:ascii="宋体"/>
                <w:kern w:val="0"/>
                <w:szCs w:val="18"/>
              </w:rPr>
              <w:t>碳排放因子</w:t>
            </w:r>
          </w:p>
        </w:tc>
        <w:tc>
          <w:tcPr>
            <w:tcW w:w="1668" w:type="pct"/>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lang w:val="en-AU"/>
              </w:rPr>
            </w:pPr>
            <w:r>
              <w:rPr>
                <w:rFonts w:ascii="宋体"/>
                <w:kern w:val="0"/>
                <w:szCs w:val="18"/>
                <w:lang w:val="en-AU"/>
              </w:rPr>
              <w:t>0.8733</w:t>
            </w:r>
          </w:p>
        </w:tc>
        <w:tc>
          <w:tcPr>
            <w:tcW w:w="1667" w:type="pct"/>
            <w:tcBorders>
              <w:top w:val="single" w:color="000000" w:sz="8" w:space="0"/>
              <w:bottom w:val="single" w:color="000000" w:sz="8" w:space="0"/>
            </w:tcBorders>
          </w:tcPr>
          <w:p>
            <w:pPr>
              <w:widowControl/>
              <w:tabs>
                <w:tab w:val="center" w:pos="4201"/>
                <w:tab w:val="right" w:leader="dot" w:pos="9298"/>
              </w:tabs>
              <w:autoSpaceDE w:val="0"/>
              <w:autoSpaceDN w:val="0"/>
              <w:jc w:val="center"/>
              <w:rPr>
                <w:kern w:val="0"/>
                <w:sz w:val="20"/>
                <w:szCs w:val="18"/>
              </w:rPr>
            </w:pPr>
            <w:r>
              <w:rPr>
                <w:kern w:val="0"/>
                <w:sz w:val="20"/>
                <w:szCs w:val="18"/>
              </w:rPr>
              <w:t>tCO</w:t>
            </w:r>
            <w:r>
              <w:rPr>
                <w:kern w:val="0"/>
                <w:sz w:val="20"/>
                <w:szCs w:val="18"/>
                <w:vertAlign w:val="subscript"/>
              </w:rPr>
              <w:t>2</w:t>
            </w:r>
            <w:r>
              <w:rPr>
                <w:kern w:val="0"/>
                <w:sz w:val="20"/>
                <w:szCs w:val="18"/>
              </w:rPr>
              <w:t>/M</w:t>
            </w:r>
            <w:r>
              <w:rPr>
                <w:sz w:val="20"/>
                <w:szCs w:val="18"/>
                <w:lang w:val="en-AU"/>
              </w:rPr>
              <w:t>W</w:t>
            </w:r>
            <w:r>
              <w:rPr>
                <w:rFonts w:hint="eastAsia"/>
                <w:sz w:val="20"/>
                <w:szCs w:val="18"/>
                <w:lang w:val="en-AU"/>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tcBorders>
              <w:top w:val="single" w:color="000000" w:sz="8" w:space="0"/>
              <w:left w:val="single" w:color="000000" w:sz="8" w:space="0"/>
            </w:tcBorders>
            <w:vAlign w:val="center"/>
          </w:tcPr>
          <w:p>
            <w:pPr>
              <w:pStyle w:val="60"/>
            </w:pPr>
            <w:r>
              <w:rPr>
                <w:rFonts w:hint="eastAsia"/>
              </w:rPr>
              <w:t>北京电力</w:t>
            </w:r>
            <w:r>
              <w:t>碳排放因子</w:t>
            </w:r>
            <w:r>
              <w:rPr>
                <w:rFonts w:hint="eastAsia"/>
              </w:rPr>
              <w:t>推荐值采用北京市生态环境局公布的《二氧化</w:t>
            </w:r>
            <w:r>
              <w:t>碳排放</w:t>
            </w:r>
            <w:r>
              <w:rPr>
                <w:rFonts w:hint="eastAsia"/>
              </w:rPr>
              <w:t>核算和报告要求道路运输业》中电网供电</w:t>
            </w:r>
            <w:r>
              <w:t>碳排放因子</w:t>
            </w:r>
            <w:r>
              <w:rPr>
                <w:rFonts w:hint="eastAsia"/>
              </w:rPr>
              <w:t>。</w:t>
            </w:r>
          </w:p>
          <w:p>
            <w:pPr>
              <w:pStyle w:val="60"/>
            </w:pPr>
            <w:r>
              <w:rPr>
                <w:rFonts w:hint="eastAsia"/>
              </w:rPr>
              <w:t>河北省电力</w:t>
            </w:r>
            <w:r>
              <w:t>碳排放因子</w:t>
            </w:r>
            <w:r>
              <w:rPr>
                <w:rFonts w:hint="eastAsia"/>
              </w:rPr>
              <w:t>推荐值采用河北省生态环境厅公布的《市级人民政府控制温室气体</w:t>
            </w:r>
            <w:r>
              <w:t>碳排放</w:t>
            </w:r>
            <w:r>
              <w:rPr>
                <w:rFonts w:hint="eastAsia"/>
              </w:rPr>
              <w:t>目标责任子评估报告编制指南》中河北省省级电网平均二氧化</w:t>
            </w:r>
            <w:r>
              <w:t>碳排放因子</w:t>
            </w:r>
            <w:r>
              <w:rPr>
                <w:rFonts w:hint="eastAsia"/>
              </w:rPr>
              <w:t>。</w:t>
            </w:r>
          </w:p>
          <w:p>
            <w:pPr>
              <w:pStyle w:val="60"/>
              <w:rPr>
                <w:lang w:val="en-AU"/>
              </w:rPr>
            </w:pPr>
            <w:r>
              <w:rPr>
                <w:rFonts w:hint="eastAsia"/>
              </w:rPr>
              <w:t>天津市电力</w:t>
            </w:r>
            <w:r>
              <w:t>碳排放因子</w:t>
            </w:r>
            <w:r>
              <w:rPr>
                <w:rFonts w:hint="eastAsia"/>
              </w:rPr>
              <w:t>推荐值采用国家发改委公布的《2</w:t>
            </w:r>
            <w:r>
              <w:t>010</w:t>
            </w:r>
            <w:r>
              <w:rPr>
                <w:rFonts w:hint="eastAsia"/>
              </w:rPr>
              <w:t>年中国区域及省级电网平均二氧化</w:t>
            </w:r>
            <w:r>
              <w:t>碳排放因子</w:t>
            </w:r>
            <w:r>
              <w:rPr>
                <w:rFonts w:hint="eastAsia"/>
              </w:rPr>
              <w:t>》中2</w:t>
            </w:r>
            <w:r>
              <w:t>010</w:t>
            </w:r>
            <w:r>
              <w:rPr>
                <w:rFonts w:hint="eastAsia"/>
              </w:rPr>
              <w:t>年天津电网平均</w:t>
            </w:r>
            <w:r>
              <w:rPr>
                <w:rFonts w:hint="eastAsia"/>
                <w:lang w:val="en-AU"/>
              </w:rPr>
              <w:t>二氧化</w:t>
            </w:r>
            <w:r>
              <w:t>碳排放因子</w:t>
            </w:r>
            <w:r>
              <w:rPr>
                <w:rFonts w:hint="eastAsia"/>
                <w:lang w:val="en-AU"/>
              </w:rPr>
              <w:t>。</w:t>
            </w:r>
          </w:p>
        </w:tc>
      </w:tr>
    </w:tbl>
    <w:p>
      <w:pPr>
        <w:pStyle w:val="44"/>
        <w:numPr>
          <w:ilvl w:val="0"/>
          <w:numId w:val="0"/>
        </w:numPr>
        <w:spacing w:before="156" w:after="156"/>
        <w:rPr>
          <w:lang w:val="en-AU"/>
        </w:rPr>
      </w:pPr>
      <w:r>
        <w:rPr>
          <w:rFonts w:hint="eastAsia"/>
          <w:lang w:val="en-AU"/>
        </w:rPr>
        <w:t xml:space="preserve">D.2  </w:t>
      </w:r>
      <w:r>
        <w:rPr>
          <w:rFonts w:hint="eastAsia" w:asciiTheme="minorEastAsia" w:hAnsiTheme="minorEastAsia" w:eastAsiaTheme="minorEastAsia"/>
          <w:lang w:val="en-AU"/>
        </w:rPr>
        <w:t>常见化石</w:t>
      </w:r>
      <w:r>
        <w:rPr>
          <w:rFonts w:hint="eastAsia" w:asciiTheme="minorEastAsia" w:hAnsiTheme="minorEastAsia" w:eastAsiaTheme="minorEastAsia"/>
          <w:lang w:eastAsia="zh-Hans"/>
        </w:rPr>
        <w:t>燃料</w:t>
      </w:r>
      <w:r>
        <w:rPr>
          <w:rFonts w:hint="eastAsia" w:asciiTheme="minorEastAsia" w:hAnsiTheme="minorEastAsia" w:eastAsiaTheme="minorEastAsia"/>
          <w:lang w:val="en-AU"/>
        </w:rPr>
        <w:t>净热值推荐值见</w:t>
      </w:r>
      <w:r>
        <w:rPr>
          <w:rFonts w:hint="eastAsia" w:asciiTheme="minorEastAsia" w:hAnsiTheme="minorEastAsia" w:eastAsiaTheme="minorEastAsia"/>
        </w:rPr>
        <w:t>表</w:t>
      </w:r>
      <w:r>
        <w:rPr>
          <w:rFonts w:asciiTheme="minorEastAsia" w:hAnsiTheme="minorEastAsia" w:eastAsiaTheme="minorEastAsia"/>
        </w:rPr>
        <w:t>D</w:t>
      </w:r>
      <w:r>
        <w:rPr>
          <w:rFonts w:hint="eastAsia" w:asciiTheme="minorEastAsia" w:hAnsiTheme="minorEastAsia" w:eastAsiaTheme="minorEastAsia"/>
          <w:lang w:val="en-AU"/>
        </w:rPr>
        <w:t>.</w:t>
      </w:r>
      <w:r>
        <w:rPr>
          <w:rFonts w:asciiTheme="minorEastAsia" w:hAnsiTheme="minorEastAsia" w:eastAsiaTheme="minorEastAsia"/>
          <w:lang w:val="en-AU"/>
        </w:rPr>
        <w:t>2</w:t>
      </w:r>
      <w:r>
        <w:rPr>
          <w:rFonts w:hint="eastAsia" w:asciiTheme="minorEastAsia" w:hAnsiTheme="minorEastAsia" w:eastAsiaTheme="minorEastAsia"/>
          <w:lang w:val="en-AU"/>
        </w:rPr>
        <w:t>。</w:t>
      </w:r>
    </w:p>
    <w:p>
      <w:pPr>
        <w:pStyle w:val="88"/>
        <w:numPr>
          <w:ilvl w:val="0"/>
          <w:numId w:val="0"/>
        </w:numPr>
        <w:spacing w:before="156" w:after="156"/>
        <w:rPr>
          <w:lang w:val="en-AU"/>
        </w:rPr>
      </w:pPr>
      <w:r>
        <w:rPr>
          <w:rFonts w:hint="eastAsia" w:hAnsi="黑体"/>
          <w:lang w:val="en-AU"/>
        </w:rPr>
        <w:t>表</w:t>
      </w:r>
      <w:r>
        <w:rPr>
          <w:rFonts w:hAnsi="黑体"/>
        </w:rPr>
        <w:t>D</w:t>
      </w:r>
      <w:r>
        <w:rPr>
          <w:rFonts w:hAnsi="黑体"/>
          <w:lang w:val="en-AU"/>
        </w:rPr>
        <w:t>.2</w:t>
      </w:r>
      <w:r>
        <w:rPr>
          <w:rFonts w:hint="eastAsia" w:hAnsi="黑体"/>
        </w:rPr>
        <w:t>　常见化石燃料净热值推荐值</w:t>
      </w:r>
    </w:p>
    <w:tbl>
      <w:tblPr>
        <w:tblStyle w:val="35"/>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1"/>
        <w:gridCol w:w="2328"/>
        <w:gridCol w:w="2450"/>
        <w:gridCol w:w="3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2049" w:type="pct"/>
            <w:gridSpan w:val="2"/>
            <w:tcBorders>
              <w:top w:val="single" w:color="000000" w:sz="8" w:space="0"/>
              <w:left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化石燃料类型</w:t>
            </w:r>
          </w:p>
        </w:tc>
        <w:tc>
          <w:tcPr>
            <w:tcW w:w="1281"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宋体" w:hAnsi="宋体"/>
                <w:kern w:val="0"/>
                <w:sz w:val="20"/>
                <w:szCs w:val="18"/>
              </w:rPr>
            </w:pPr>
            <w:r>
              <w:rPr>
                <w:rFonts w:hint="eastAsia" w:ascii="宋体" w:hAnsi="宋体"/>
                <w:kern w:val="0"/>
                <w:sz w:val="20"/>
                <w:szCs w:val="18"/>
              </w:rPr>
              <w:t>计量单位</w:t>
            </w:r>
          </w:p>
        </w:tc>
        <w:tc>
          <w:tcPr>
            <w:tcW w:w="1668"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宋体" w:hAnsi="宋体"/>
                <w:kern w:val="0"/>
                <w:sz w:val="20"/>
                <w:szCs w:val="18"/>
                <w:lang w:eastAsia="zh-Hans"/>
              </w:rPr>
            </w:pPr>
            <w:r>
              <w:rPr>
                <w:rFonts w:hint="eastAsia" w:ascii="宋体" w:hAnsi="宋体"/>
                <w:kern w:val="0"/>
                <w:sz w:val="20"/>
                <w:szCs w:val="18"/>
                <w:lang w:eastAsia="zh-Hans"/>
              </w:rPr>
              <w:t>净热值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2" w:type="pct"/>
            <w:vMerge w:val="restart"/>
            <w:tcBorders>
              <w:top w:val="single" w:color="000000" w:sz="8" w:space="0"/>
              <w:left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化石燃料</w:t>
            </w:r>
          </w:p>
        </w:tc>
        <w:tc>
          <w:tcPr>
            <w:tcW w:w="1217" w:type="pct"/>
            <w:tcBorders>
              <w:top w:val="single" w:color="000000" w:sz="8" w:space="0"/>
              <w:left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柴油</w:t>
            </w:r>
          </w:p>
        </w:tc>
        <w:tc>
          <w:tcPr>
            <w:tcW w:w="1281"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hint="eastAsia" w:ascii="Times New Roman Regular" w:hAnsi="Times New Roman Regular" w:cs="Times New Roman Regular"/>
                <w:kern w:val="0"/>
                <w:sz w:val="20"/>
                <w:szCs w:val="18"/>
                <w:lang w:val="en-AU"/>
              </w:rPr>
            </w:pPr>
            <w:r>
              <w:rPr>
                <w:rFonts w:ascii="Times New Roman Regular" w:hAnsi="Times New Roman Regular" w:cs="Times New Roman Regular"/>
                <w:kern w:val="0"/>
                <w:sz w:val="20"/>
                <w:szCs w:val="18"/>
              </w:rPr>
              <w:t>GJ/t</w:t>
            </w:r>
          </w:p>
        </w:tc>
        <w:tc>
          <w:tcPr>
            <w:tcW w:w="1668"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宋体" w:hAnsi="宋体"/>
                <w:sz w:val="20"/>
                <w:szCs w:val="18"/>
                <w:lang w:val="en-AU"/>
              </w:rPr>
            </w:pPr>
            <w:r>
              <w:rPr>
                <w:rFonts w:ascii="宋体" w:hAnsi="宋体"/>
                <w:kern w:val="0"/>
                <w:sz w:val="20"/>
                <w:szCs w:val="18"/>
              </w:rPr>
              <w:t>43.330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2" w:type="pct"/>
            <w:vMerge w:val="continue"/>
            <w:tcBorders>
              <w:left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p>
        </w:tc>
        <w:tc>
          <w:tcPr>
            <w:tcW w:w="1217" w:type="pct"/>
            <w:tcBorders>
              <w:left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汽油</w:t>
            </w:r>
          </w:p>
        </w:tc>
        <w:tc>
          <w:tcPr>
            <w:tcW w:w="1281"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hint="eastAsia" w:ascii="Times New Roman Regular" w:hAnsi="Times New Roman Regular" w:cs="Times New Roman Regular"/>
                <w:kern w:val="0"/>
                <w:sz w:val="20"/>
                <w:szCs w:val="18"/>
              </w:rPr>
            </w:pPr>
            <w:r>
              <w:rPr>
                <w:rFonts w:ascii="Times New Roman Regular" w:hAnsi="Times New Roman Regular" w:cs="Times New Roman Regular"/>
                <w:kern w:val="0"/>
                <w:sz w:val="20"/>
                <w:szCs w:val="18"/>
              </w:rPr>
              <w:t>GJ/t</w:t>
            </w:r>
          </w:p>
        </w:tc>
        <w:tc>
          <w:tcPr>
            <w:tcW w:w="1668"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宋体" w:hAnsi="宋体"/>
                <w:kern w:val="0"/>
                <w:sz w:val="20"/>
                <w:szCs w:val="18"/>
              </w:rPr>
            </w:pPr>
            <w:r>
              <w:rPr>
                <w:rFonts w:ascii="宋体" w:hAnsi="宋体"/>
                <w:kern w:val="0"/>
                <w:sz w:val="20"/>
                <w:szCs w:val="18"/>
              </w:rPr>
              <w:t>44.800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2" w:type="pct"/>
            <w:vMerge w:val="continue"/>
            <w:tcBorders>
              <w:left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p>
        </w:tc>
        <w:tc>
          <w:tcPr>
            <w:tcW w:w="1217" w:type="pct"/>
            <w:tcBorders>
              <w:left w:val="single" w:color="000000" w:sz="8" w:space="0"/>
            </w:tcBorders>
            <w:vAlign w:val="center"/>
          </w:tcPr>
          <w:p>
            <w:pPr>
              <w:widowControl/>
              <w:tabs>
                <w:tab w:val="center" w:pos="4201"/>
                <w:tab w:val="right" w:leader="dot" w:pos="9298"/>
              </w:tabs>
              <w:autoSpaceDE w:val="0"/>
              <w:autoSpaceDN w:val="0"/>
              <w:jc w:val="center"/>
              <w:rPr>
                <w:rFonts w:ascii="宋体"/>
                <w:kern w:val="0"/>
                <w:szCs w:val="18"/>
              </w:rPr>
            </w:pPr>
            <w:r>
              <w:rPr>
                <w:rFonts w:hint="eastAsia" w:ascii="宋体"/>
                <w:kern w:val="0"/>
                <w:szCs w:val="18"/>
              </w:rPr>
              <w:t>天然气</w:t>
            </w:r>
          </w:p>
        </w:tc>
        <w:tc>
          <w:tcPr>
            <w:tcW w:w="1281"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hint="eastAsia" w:ascii="Times New Roman Regular" w:hAnsi="Times New Roman Regular" w:cs="Times New Roman Regular"/>
                <w:kern w:val="0"/>
                <w:sz w:val="20"/>
                <w:szCs w:val="18"/>
              </w:rPr>
            </w:pPr>
            <m:oMathPara>
              <m:oMath>
                <m:r>
                  <m:rPr>
                    <m:sty m:val="p"/>
                  </m:rPr>
                  <w:rPr>
                    <w:rFonts w:ascii="DejaVu Math TeX Gyre" w:hAnsi="DejaVu Math TeX Gyre" w:cs="Times New Roman Regular"/>
                    <w:kern w:val="0"/>
                    <w:sz w:val="20"/>
                    <w:szCs w:val="18"/>
                  </w:rPr>
                  <m:t>GJ/</m:t>
                </m:r>
                <m:sSup>
                  <m:sSupPr>
                    <m:ctrlPr>
                      <w:rPr>
                        <w:rFonts w:ascii="DejaVu Math TeX Gyre" w:hAnsi="DejaVu Math TeX Gyre" w:cs="Times New Roman Regular"/>
                        <w:i/>
                        <w:kern w:val="0"/>
                        <w:sz w:val="20"/>
                        <w:szCs w:val="18"/>
                      </w:rPr>
                    </m:ctrlPr>
                  </m:sSupPr>
                  <m:e>
                    <m:r>
                      <m:rPr/>
                      <w:rPr>
                        <w:rFonts w:ascii="DejaVu Math TeX Gyre" w:hAnsi="DejaVu Math TeX Gyre" w:cs="Times New Roman Regular"/>
                        <w:kern w:val="0"/>
                        <w:sz w:val="20"/>
                        <w:szCs w:val="18"/>
                      </w:rPr>
                      <m:t>10</m:t>
                    </m:r>
                    <m:ctrlPr>
                      <w:rPr>
                        <w:rFonts w:ascii="DejaVu Math TeX Gyre" w:hAnsi="DejaVu Math TeX Gyre" w:cs="Times New Roman Regular"/>
                        <w:i/>
                        <w:kern w:val="0"/>
                        <w:sz w:val="20"/>
                        <w:szCs w:val="18"/>
                      </w:rPr>
                    </m:ctrlPr>
                  </m:e>
                  <m:sup>
                    <m:r>
                      <m:rPr/>
                      <w:rPr>
                        <w:rFonts w:ascii="DejaVu Math TeX Gyre" w:hAnsi="DejaVu Math TeX Gyre" w:cs="Times New Roman Regular"/>
                        <w:kern w:val="0"/>
                        <w:sz w:val="20"/>
                        <w:szCs w:val="18"/>
                      </w:rPr>
                      <m:t>4</m:t>
                    </m:r>
                    <m:ctrlPr>
                      <w:rPr>
                        <w:rFonts w:ascii="DejaVu Math TeX Gyre" w:hAnsi="DejaVu Math TeX Gyre" w:cs="Times New Roman Regular"/>
                        <w:i/>
                        <w:kern w:val="0"/>
                        <w:sz w:val="20"/>
                        <w:szCs w:val="18"/>
                      </w:rPr>
                    </m:ctrlPr>
                  </m:sup>
                </m:sSup>
                <m:sSup>
                  <m:sSupPr>
                    <m:ctrlPr>
                      <w:rPr>
                        <w:rFonts w:ascii="DejaVu Math TeX Gyre" w:hAnsi="DejaVu Math TeX Gyre" w:cs="Times New Roman Regular"/>
                        <w:i/>
                        <w:kern w:val="0"/>
                        <w:sz w:val="20"/>
                        <w:szCs w:val="18"/>
                      </w:rPr>
                    </m:ctrlPr>
                  </m:sSupPr>
                  <m:e>
                    <m:r>
                      <m:rPr/>
                      <w:rPr>
                        <w:rFonts w:ascii="DejaVu Math TeX Gyre" w:hAnsi="DejaVu Math TeX Gyre" w:cs="Times New Roman Regular"/>
                        <w:kern w:val="0"/>
                        <w:sz w:val="20"/>
                        <w:szCs w:val="18"/>
                        <w:lang w:val="en-AU"/>
                      </w:rPr>
                      <m:t>Nm</m:t>
                    </m:r>
                    <m:ctrlPr>
                      <w:rPr>
                        <w:rFonts w:ascii="DejaVu Math TeX Gyre" w:hAnsi="DejaVu Math TeX Gyre" w:cs="Times New Roman Regular"/>
                        <w:i/>
                        <w:kern w:val="0"/>
                        <w:sz w:val="20"/>
                        <w:szCs w:val="18"/>
                      </w:rPr>
                    </m:ctrlPr>
                  </m:e>
                  <m:sup>
                    <m:r>
                      <m:rPr/>
                      <w:rPr>
                        <w:rFonts w:ascii="DejaVu Math TeX Gyre" w:hAnsi="DejaVu Math TeX Gyre" w:cs="Times New Roman Regular"/>
                        <w:kern w:val="0"/>
                        <w:sz w:val="20"/>
                        <w:szCs w:val="18"/>
                      </w:rPr>
                      <m:t>3</m:t>
                    </m:r>
                    <m:ctrlPr>
                      <w:rPr>
                        <w:rFonts w:ascii="DejaVu Math TeX Gyre" w:hAnsi="DejaVu Math TeX Gyre" w:cs="Times New Roman Regular"/>
                        <w:i/>
                        <w:kern w:val="0"/>
                        <w:sz w:val="20"/>
                        <w:szCs w:val="18"/>
                      </w:rPr>
                    </m:ctrlPr>
                  </m:sup>
                </m:sSup>
              </m:oMath>
            </m:oMathPara>
          </w:p>
        </w:tc>
        <w:tc>
          <w:tcPr>
            <w:tcW w:w="1668" w:type="pct"/>
            <w:tcBorders>
              <w:top w:val="single" w:color="000000" w:sz="8" w:space="0"/>
              <w:bottom w:val="single" w:color="000000" w:sz="8" w:space="0"/>
            </w:tcBorders>
          </w:tcPr>
          <w:p>
            <w:pPr>
              <w:widowControl/>
              <w:tabs>
                <w:tab w:val="center" w:pos="4201"/>
                <w:tab w:val="right" w:leader="dot" w:pos="9298"/>
              </w:tabs>
              <w:autoSpaceDE w:val="0"/>
              <w:autoSpaceDN w:val="0"/>
              <w:jc w:val="center"/>
              <w:rPr>
                <w:rFonts w:ascii="宋体" w:hAnsi="宋体"/>
                <w:kern w:val="0"/>
                <w:sz w:val="20"/>
                <w:szCs w:val="18"/>
              </w:rPr>
            </w:pPr>
            <w:r>
              <w:rPr>
                <w:rFonts w:ascii="宋体" w:hAnsi="宋体"/>
                <w:kern w:val="0"/>
                <w:sz w:val="20"/>
                <w:szCs w:val="18"/>
              </w:rPr>
              <w:t>389.310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4"/>
            <w:tcBorders>
              <w:left w:val="single" w:color="000000" w:sz="8" w:space="0"/>
              <w:bottom w:val="single" w:color="000000" w:sz="8" w:space="0"/>
            </w:tcBorders>
            <w:vAlign w:val="center"/>
          </w:tcPr>
          <w:p>
            <w:pPr>
              <w:pStyle w:val="59"/>
              <w:widowControl/>
              <w:jc w:val="left"/>
            </w:pPr>
            <w:r>
              <w:rPr>
                <w:rFonts w:hint="eastAsia"/>
                <w:lang w:eastAsia="zh-Hans"/>
              </w:rPr>
              <w:t>净热值</w:t>
            </w:r>
            <w:r>
              <w:rPr>
                <w:rFonts w:hint="eastAsia"/>
              </w:rPr>
              <w:t>来源于《中国温室气体清单研究》</w:t>
            </w:r>
          </w:p>
        </w:tc>
      </w:tr>
    </w:tbl>
    <w:p>
      <w:pPr>
        <w:pStyle w:val="73"/>
        <w:shd w:val="clear" w:color="auto" w:fill="auto"/>
      </w:pPr>
      <w:bookmarkStart w:id="181" w:name="_Toc17878131"/>
      <w:bookmarkStart w:id="182" w:name="_Toc118127262"/>
      <w:bookmarkStart w:id="183"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81"/>
      <w:bookmarkEnd w:id="182"/>
      <w:bookmarkEnd w:id="183"/>
    </w:p>
    <w:p>
      <w:pPr>
        <w:pStyle w:val="26"/>
        <w:ind w:left="210" w:firstLine="0" w:firstLineChars="0"/>
      </w:pPr>
      <w:r>
        <w:t xml:space="preserve">[1] </w:t>
      </w:r>
      <w:r>
        <w:rPr>
          <w:rFonts w:hint="eastAsia"/>
        </w:rPr>
        <w:t>GA  802  道路交通管理机动车类型</w:t>
      </w:r>
      <w:r>
        <w:t xml:space="preserve"> </w:t>
      </w:r>
    </w:p>
    <w:p>
      <w:pPr>
        <w:pStyle w:val="26"/>
        <w:ind w:left="210" w:firstLine="0" w:firstLineChars="0"/>
      </w:pPr>
      <w:r>
        <w:t xml:space="preserve">[2] </w:t>
      </w:r>
      <w:r>
        <w:rPr>
          <w:rFonts w:hint="eastAsia"/>
        </w:rPr>
        <w:t xml:space="preserve">GB/T  4353  载客汽车运行燃料消耗量 </w:t>
      </w:r>
    </w:p>
    <w:p>
      <w:pPr>
        <w:pStyle w:val="26"/>
        <w:ind w:left="210" w:firstLine="0" w:firstLineChars="0"/>
      </w:pPr>
      <w:r>
        <w:t xml:space="preserve">[3] </w:t>
      </w:r>
      <w:r>
        <w:rPr>
          <w:rFonts w:hint="eastAsia"/>
        </w:rPr>
        <w:t>GB/T  32151  温室气体</w:t>
      </w:r>
      <w:r>
        <w:t>碳排放</w:t>
      </w:r>
      <w:r>
        <w:rPr>
          <w:rFonts w:hint="eastAsia"/>
        </w:rPr>
        <w:t xml:space="preserve">核算与报告要求 </w:t>
      </w:r>
    </w:p>
    <w:p>
      <w:pPr>
        <w:pStyle w:val="26"/>
        <w:ind w:left="210" w:firstLine="0" w:firstLineChars="0"/>
      </w:pPr>
      <w:r>
        <w:t xml:space="preserve">[4] </w:t>
      </w:r>
      <w:r>
        <w:rPr>
          <w:rFonts w:hint="eastAsia"/>
        </w:rPr>
        <w:t xml:space="preserve">GB  50490  城市轨道交通技术规范 </w:t>
      </w:r>
    </w:p>
    <w:p>
      <w:pPr>
        <w:pStyle w:val="26"/>
        <w:ind w:left="210" w:firstLine="0" w:firstLineChars="0"/>
      </w:pPr>
      <w:r>
        <w:t xml:space="preserve">[5] </w:t>
      </w:r>
      <w:r>
        <w:rPr>
          <w:rFonts w:hint="eastAsia"/>
        </w:rPr>
        <w:t>快速公交项目（CM-028-V01）</w:t>
      </w:r>
    </w:p>
    <w:p>
      <w:pPr>
        <w:pStyle w:val="26"/>
        <w:ind w:left="210" w:firstLine="0" w:firstLineChars="0"/>
      </w:pPr>
      <w:r>
        <w:t xml:space="preserve">[6] </w:t>
      </w:r>
      <w:r>
        <w:rPr>
          <w:rFonts w:hint="eastAsia"/>
        </w:rPr>
        <w:t>快速公交系统（CM-032-V01）</w:t>
      </w:r>
    </w:p>
    <w:p>
      <w:pPr>
        <w:pStyle w:val="26"/>
        <w:ind w:left="210" w:firstLine="0" w:firstLineChars="0"/>
      </w:pPr>
      <w:r>
        <w:t xml:space="preserve">[7] </w:t>
      </w:r>
      <w:r>
        <w:rPr>
          <w:rFonts w:hint="eastAsia"/>
        </w:rPr>
        <w:t>高速客运铁路系统（CM-069-V01）</w:t>
      </w:r>
    </w:p>
    <w:p>
      <w:pPr>
        <w:pStyle w:val="26"/>
        <w:ind w:left="210" w:firstLine="0" w:firstLineChars="0"/>
      </w:pPr>
      <w:r>
        <w:t xml:space="preserve">[8] </w:t>
      </w:r>
      <w:r>
        <w:rPr>
          <w:rFonts w:hint="eastAsia"/>
        </w:rPr>
        <w:t>电力消耗导致的基准线、项目和/或泄漏</w:t>
      </w:r>
      <w:r>
        <w:t>碳排放</w:t>
      </w:r>
      <w:r>
        <w:rPr>
          <w:rFonts w:hint="eastAsia"/>
        </w:rPr>
        <w:t>计算工具</w:t>
      </w:r>
    </w:p>
    <w:p>
      <w:pPr>
        <w:pStyle w:val="26"/>
        <w:ind w:left="210" w:firstLine="0" w:firstLineChars="0"/>
      </w:pPr>
      <w:r>
        <w:t xml:space="preserve">[9] </w:t>
      </w:r>
      <w:r>
        <w:rPr>
          <w:rFonts w:hint="eastAsia"/>
        </w:rPr>
        <w:t>化石燃料燃烧导致的项目或泄漏二氧化</w:t>
      </w:r>
      <w:r>
        <w:t>碳排放</w:t>
      </w:r>
      <w:r>
        <w:rPr>
          <w:rFonts w:hint="eastAsia"/>
        </w:rPr>
        <w:t>工具</w:t>
      </w:r>
    </w:p>
    <w:p>
      <w:pPr>
        <w:pStyle w:val="26"/>
        <w:ind w:left="210" w:firstLine="0" w:firstLineChars="0"/>
      </w:pPr>
      <w:r>
        <w:t xml:space="preserve">[10] </w:t>
      </w:r>
      <w:r>
        <w:rPr>
          <w:rFonts w:hint="eastAsia"/>
        </w:rPr>
        <w:t>电力系统</w:t>
      </w:r>
      <w:r>
        <w:t>碳排放因子</w:t>
      </w:r>
      <w:r>
        <w:rPr>
          <w:rFonts w:hint="eastAsia"/>
        </w:rPr>
        <w:t>计算工具</w:t>
      </w:r>
    </w:p>
    <w:p>
      <w:pPr>
        <w:pStyle w:val="26"/>
        <w:ind w:left="210" w:firstLine="0" w:firstLineChars="0"/>
      </w:pPr>
      <w:r>
        <w:t xml:space="preserve">[11] </w:t>
      </w:r>
      <w:r>
        <w:rPr>
          <w:rFonts w:hint="eastAsia"/>
        </w:rPr>
        <w:t>城市客运交通模式转换基准线</w:t>
      </w:r>
      <w:r>
        <w:t>碳排放</w:t>
      </w:r>
      <w:r>
        <w:rPr>
          <w:rFonts w:hint="eastAsia"/>
        </w:rPr>
        <w:t>计算工具</w:t>
      </w:r>
    </w:p>
    <w:p>
      <w:pPr>
        <w:pStyle w:val="26"/>
        <w:ind w:left="210" w:firstLine="0" w:firstLineChars="0"/>
      </w:pPr>
      <w:r>
        <w:t xml:space="preserve">[12]  </w:t>
      </w:r>
      <w:r>
        <w:rPr>
          <w:rFonts w:hint="eastAsia"/>
        </w:rPr>
        <w:t>DB11/T 1786—2020  二氧化碳排放核算和报告要求道路运输业</w:t>
      </w:r>
    </w:p>
    <w:p>
      <w:pPr>
        <w:pStyle w:val="26"/>
        <w:ind w:left="210" w:firstLine="0" w:firstLineChars="0"/>
      </w:pPr>
      <w:r>
        <w:t xml:space="preserve">[13] </w:t>
      </w:r>
      <w:r>
        <w:rPr>
          <w:rFonts w:hint="eastAsia"/>
        </w:rPr>
        <w:t>市级人民政府控制温室气体碳排放目标责任子评估报告编制指南</w:t>
      </w:r>
    </w:p>
    <w:p>
      <w:pPr>
        <w:pStyle w:val="26"/>
        <w:ind w:left="210" w:firstLine="0" w:firstLineChars="0"/>
      </w:pPr>
      <w:r>
        <w:t xml:space="preserve">[14] </w:t>
      </w:r>
      <w:r>
        <w:rPr>
          <w:rFonts w:hint="eastAsia"/>
        </w:rPr>
        <w:t>2010年中国区域及省级电网平均二氧化碳排放因子</w:t>
      </w:r>
    </w:p>
    <w:p>
      <w:pPr>
        <w:pStyle w:val="26"/>
        <w:ind w:left="210" w:firstLine="0" w:firstLineChars="0"/>
      </w:pPr>
      <w:r>
        <w:t xml:space="preserve">[15] </w:t>
      </w:r>
      <w:r>
        <w:rPr>
          <w:rFonts w:hint="eastAsia"/>
        </w:rPr>
        <w:t>中国温室气体清单研究</w:t>
      </w:r>
    </w:p>
    <w:p>
      <w:pPr>
        <w:pStyle w:val="26"/>
        <w:ind w:left="210" w:firstLine="0" w:firstLineChars="0"/>
      </w:pPr>
    </w:p>
    <w:p>
      <w:pPr>
        <w:pStyle w:val="128"/>
        <w:framePr w:wrap="around"/>
      </w:pPr>
      <w:r>
        <w:t>_________________________________</w:t>
      </w:r>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Times New Roman Regular">
    <w:altName w:val="Times New Roman"/>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jc w:val="right"/>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right"/>
    </w:pPr>
    <w:r>
      <w:t>DB11/T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DB11/T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DB11/T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suff w:val="space"/>
      <w:lvlText w:val="SECTION %1."/>
      <w:lvlJc w:val="left"/>
      <w:pPr>
        <w:ind w:left="0" w:firstLine="0"/>
      </w:pPr>
      <w:rPr>
        <w:rFonts w:hint="default"/>
      </w:rPr>
    </w:lvl>
    <w:lvl w:ilvl="1" w:tentative="0">
      <w:start w:val="1"/>
      <w:numFmt w:val="decimal"/>
      <w:pStyle w:val="157"/>
      <w:suff w:val="space"/>
      <w:lvlText w:val="%1.%2."/>
      <w:lvlJc w:val="left"/>
      <w:pPr>
        <w:ind w:left="0" w:firstLine="0"/>
      </w:pPr>
      <w:rPr>
        <w:rFonts w:hint="default"/>
      </w:rPr>
    </w:lvl>
    <w:lvl w:ilvl="2" w:tentative="0">
      <w:start w:val="1"/>
      <w:numFmt w:val="decimal"/>
      <w:pStyle w:val="158"/>
      <w:suff w:val="space"/>
      <w:lvlText w:val="%1.%2.%3."/>
      <w:lvlJc w:val="left"/>
      <w:pPr>
        <w:ind w:left="0" w:firstLine="0"/>
      </w:pPr>
      <w:rPr>
        <w:rFonts w:hint="default"/>
        <w:i w:val="0"/>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1296" w:hanging="1296"/>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A952887"/>
    <w:multiLevelType w:val="multilevel"/>
    <w:tmpl w:val="0A952887"/>
    <w:lvl w:ilvl="0" w:tentative="0">
      <w:start w:val="1"/>
      <w:numFmt w:val="decimal"/>
      <w:pStyle w:val="6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tentative="0">
      <w:start w:val="1"/>
      <w:numFmt w:val="none"/>
      <w:pStyle w:val="5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4B435DB"/>
    <w:multiLevelType w:val="multilevel"/>
    <w:tmpl w:val="24B435DB"/>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27CC7DED"/>
    <w:multiLevelType w:val="multilevel"/>
    <w:tmpl w:val="27CC7DED"/>
    <w:lvl w:ilvl="0" w:tentative="0">
      <w:start w:val="1"/>
      <w:numFmt w:val="lowerLetter"/>
      <w:lvlText w:val="%1)"/>
      <w:lvlJc w:val="left"/>
      <w:pPr>
        <w:ind w:left="780" w:hanging="360"/>
      </w:pPr>
      <w:rPr>
        <w:rFonts w:ascii="黑体" w:hAnsi="黑体" w:eastAsia="黑体"/>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6">
    <w:nsid w:val="29707437"/>
    <w:multiLevelType w:val="multilevel"/>
    <w:tmpl w:val="29707437"/>
    <w:lvl w:ilvl="0" w:tentative="0">
      <w:start w:val="1"/>
      <w:numFmt w:val="none"/>
      <w:pStyle w:val="66"/>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520F62E9"/>
    <w:multiLevelType w:val="multilevel"/>
    <w:tmpl w:val="520F62E9"/>
    <w:lvl w:ilvl="0" w:tentative="0">
      <w:start w:val="1"/>
      <w:numFmt w:val="decimal"/>
      <w:pStyle w:val="127"/>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E63562F"/>
    <w:multiLevelType w:val="multilevel"/>
    <w:tmpl w:val="5E63562F"/>
    <w:lvl w:ilvl="0" w:tentative="0">
      <w:start w:val="1"/>
      <w:numFmt w:val="decimal"/>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4253" w:hanging="567"/>
      </w:pPr>
      <w:rPr>
        <w:rFonts w:hint="eastAsia"/>
        <w:color w:val="000000" w:themeColor="text1"/>
        <w14:textFill>
          <w14:solidFill>
            <w14:schemeClr w14:val="tx1"/>
          </w14:solidFill>
        </w14:textFill>
      </w:rPr>
    </w:lvl>
    <w:lvl w:ilvl="2" w:tentative="0">
      <w:start w:val="1"/>
      <w:numFmt w:val="decimal"/>
      <w:lvlText w:val="［%3］"/>
      <w:lvlJc w:val="left"/>
      <w:pPr>
        <w:ind w:left="1356" w:hanging="720"/>
      </w:pPr>
      <w:rPr>
        <w:rFonts w:hint="default"/>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25"/>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46260FA"/>
    <w:multiLevelType w:val="multilevel"/>
    <w:tmpl w:val="646260FA"/>
    <w:lvl w:ilvl="0" w:tentative="0">
      <w:start w:val="1"/>
      <w:numFmt w:val="decimal"/>
      <w:pStyle w:val="16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7">
    <w:nsid w:val="657D3FBC"/>
    <w:multiLevelType w:val="multilevel"/>
    <w:tmpl w:val="657D3FBC"/>
    <w:lvl w:ilvl="0" w:tentative="0">
      <w:start w:val="1"/>
      <w:numFmt w:val="upperLetter"/>
      <w:pStyle w:val="85"/>
      <w:suff w:val="nothing"/>
      <w:lvlText w:val="附　录　%1"/>
      <w:lvlJc w:val="left"/>
      <w:pPr>
        <w:ind w:left="4819" w:firstLine="0"/>
      </w:pPr>
      <w:rPr>
        <w:rFonts w:hint="eastAsia" w:ascii="黑体" w:hAnsi="Times New Roman" w:eastAsia="黑体"/>
        <w:b w:val="0"/>
        <w:i w:val="0"/>
        <w:spacing w:val="0"/>
        <w:w w:val="100"/>
        <w:sz w:val="21"/>
        <w:lang w:val="en-US"/>
      </w:rPr>
    </w:lvl>
    <w:lvl w:ilvl="1" w:tentative="0">
      <w:start w:val="1"/>
      <w:numFmt w:val="decimal"/>
      <w:pStyle w:val="102"/>
      <w:suff w:val="nothing"/>
      <w:lvlText w:val="%1.%2　"/>
      <w:lvlJc w:val="left"/>
      <w:pPr>
        <w:ind w:left="426" w:firstLine="0"/>
      </w:pPr>
      <w:rPr>
        <w:rFonts w:hint="eastAsia" w:ascii="黑体" w:hAnsi="Times New Roman" w:eastAsia="黑体"/>
        <w:b w:val="0"/>
        <w:i w:val="0"/>
        <w:spacing w:val="0"/>
        <w:w w:val="100"/>
        <w:kern w:val="21"/>
        <w:sz w:val="21"/>
      </w:rPr>
    </w:lvl>
    <w:lvl w:ilvl="2" w:tentative="0">
      <w:start w:val="1"/>
      <w:numFmt w:val="decimal"/>
      <w:pStyle w:val="103"/>
      <w:suff w:val="nothing"/>
      <w:lvlText w:val="%1.%2.%3　"/>
      <w:lvlJc w:val="left"/>
      <w:pPr>
        <w:ind w:left="425" w:firstLine="0"/>
      </w:pPr>
      <w:rPr>
        <w:rFonts w:hint="eastAsia" w:ascii="黑体" w:hAnsi="Times New Roman" w:eastAsia="黑体"/>
        <w:b w:val="0"/>
        <w:i w:val="0"/>
        <w:sz w:val="21"/>
      </w:rPr>
    </w:lvl>
    <w:lvl w:ilvl="3" w:tentative="0">
      <w:start w:val="1"/>
      <w:numFmt w:val="decimal"/>
      <w:pStyle w:val="89"/>
      <w:suff w:val="nothing"/>
      <w:lvlText w:val="%1.%2.%3.%4　"/>
      <w:lvlJc w:val="left"/>
      <w:pPr>
        <w:ind w:left="284" w:firstLine="0"/>
      </w:pPr>
      <w:rPr>
        <w:rFonts w:hint="eastAsia" w:ascii="黑体" w:hAnsi="Times New Roman" w:eastAsia="黑体"/>
        <w:b w:val="0"/>
        <w:i w:val="0"/>
        <w:sz w:val="21"/>
      </w:rPr>
    </w:lvl>
    <w:lvl w:ilvl="4" w:tentative="0">
      <w:start w:val="1"/>
      <w:numFmt w:val="decimal"/>
      <w:pStyle w:val="93"/>
      <w:suff w:val="nothing"/>
      <w:lvlText w:val="%1.%2.%3.%4.%5　"/>
      <w:lvlJc w:val="left"/>
      <w:pPr>
        <w:ind w:left="-425" w:firstLine="0"/>
      </w:pPr>
      <w:rPr>
        <w:rFonts w:hint="eastAsia" w:ascii="黑体" w:hAnsi="Times New Roman" w:eastAsia="黑体"/>
        <w:b w:val="0"/>
        <w:i w:val="0"/>
        <w:sz w:val="21"/>
      </w:rPr>
    </w:lvl>
    <w:lvl w:ilvl="5" w:tentative="0">
      <w:start w:val="1"/>
      <w:numFmt w:val="decimal"/>
      <w:pStyle w:val="96"/>
      <w:suff w:val="nothing"/>
      <w:lvlText w:val="%1.%2.%3.%4.%5.%6　"/>
      <w:lvlJc w:val="left"/>
      <w:pPr>
        <w:ind w:left="-425" w:firstLine="0"/>
      </w:pPr>
      <w:rPr>
        <w:rFonts w:hint="eastAsia" w:ascii="黑体" w:hAnsi="Times New Roman" w:eastAsia="黑体"/>
        <w:b w:val="0"/>
        <w:i w:val="0"/>
        <w:sz w:val="21"/>
      </w:rPr>
    </w:lvl>
    <w:lvl w:ilvl="6" w:tentative="0">
      <w:start w:val="1"/>
      <w:numFmt w:val="decimal"/>
      <w:pStyle w:val="100"/>
      <w:suff w:val="nothing"/>
      <w:lvlText w:val="%1.%2.%3.%4.%5.%6.%7　"/>
      <w:lvlJc w:val="left"/>
      <w:pPr>
        <w:ind w:left="-425" w:firstLine="0"/>
      </w:pPr>
      <w:rPr>
        <w:rFonts w:hint="eastAsia" w:ascii="黑体"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8">
    <w:nsid w:val="6AB870ED"/>
    <w:multiLevelType w:val="multilevel"/>
    <w:tmpl w:val="6AB870ED"/>
    <w:lvl w:ilvl="0" w:tentative="0">
      <w:start w:val="1"/>
      <w:numFmt w:val="decimal"/>
      <w:pStyle w:val="64"/>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79F284B5"/>
    <w:multiLevelType w:val="singleLevel"/>
    <w:tmpl w:val="79F284B5"/>
    <w:lvl w:ilvl="0" w:tentative="0">
      <w:start w:val="1"/>
      <w:numFmt w:val="lowerLetter"/>
      <w:suff w:val="nothing"/>
      <w:lvlText w:val="%1）"/>
      <w:lvlJc w:val="left"/>
    </w:lvl>
  </w:abstractNum>
  <w:num w:numId="1">
    <w:abstractNumId w:val="9"/>
  </w:num>
  <w:num w:numId="2">
    <w:abstractNumId w:val="3"/>
  </w:num>
  <w:num w:numId="3">
    <w:abstractNumId w:val="8"/>
  </w:num>
  <w:num w:numId="4">
    <w:abstractNumId w:val="14"/>
  </w:num>
  <w:num w:numId="5">
    <w:abstractNumId w:val="10"/>
  </w:num>
  <w:num w:numId="6">
    <w:abstractNumId w:val="2"/>
  </w:num>
  <w:num w:numId="7">
    <w:abstractNumId w:val="12"/>
  </w:num>
  <w:num w:numId="8">
    <w:abstractNumId w:val="18"/>
  </w:num>
  <w:num w:numId="9">
    <w:abstractNumId w:val="6"/>
  </w:num>
  <w:num w:numId="10">
    <w:abstractNumId w:val="1"/>
  </w:num>
  <w:num w:numId="11">
    <w:abstractNumId w:val="17"/>
  </w:num>
  <w:num w:numId="12">
    <w:abstractNumId w:val="13"/>
  </w:num>
  <w:num w:numId="13">
    <w:abstractNumId w:val="19"/>
  </w:num>
  <w:num w:numId="14">
    <w:abstractNumId w:val="7"/>
  </w:num>
  <w:num w:numId="15">
    <w:abstractNumId w:val="4"/>
  </w:num>
  <w:num w:numId="16">
    <w:abstractNumId w:val="15"/>
  </w:num>
  <w:num w:numId="17">
    <w:abstractNumId w:val="11"/>
  </w:num>
  <w:num w:numId="18">
    <w:abstractNumId w:val="0"/>
  </w:num>
  <w:num w:numId="19">
    <w:abstractNumId w:val="1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ZDYyNTIyNGJiNjI4MDBlNjIxZTQ4YTM0NzEzMmEifQ=="/>
  </w:docVars>
  <w:rsids>
    <w:rsidRoot w:val="00035925"/>
    <w:rsid w:val="00000244"/>
    <w:rsid w:val="00000883"/>
    <w:rsid w:val="00000B44"/>
    <w:rsid w:val="00000BB3"/>
    <w:rsid w:val="0000100B"/>
    <w:rsid w:val="0000185F"/>
    <w:rsid w:val="00002595"/>
    <w:rsid w:val="00004B91"/>
    <w:rsid w:val="00004E32"/>
    <w:rsid w:val="0000586F"/>
    <w:rsid w:val="00006282"/>
    <w:rsid w:val="00013D86"/>
    <w:rsid w:val="00013E02"/>
    <w:rsid w:val="0002143C"/>
    <w:rsid w:val="000219A3"/>
    <w:rsid w:val="0002240A"/>
    <w:rsid w:val="00023E25"/>
    <w:rsid w:val="00025A65"/>
    <w:rsid w:val="00025CDF"/>
    <w:rsid w:val="00026C31"/>
    <w:rsid w:val="00027280"/>
    <w:rsid w:val="00027446"/>
    <w:rsid w:val="00027C8C"/>
    <w:rsid w:val="000320A7"/>
    <w:rsid w:val="000325EA"/>
    <w:rsid w:val="0003299D"/>
    <w:rsid w:val="00033522"/>
    <w:rsid w:val="00035925"/>
    <w:rsid w:val="00036C2C"/>
    <w:rsid w:val="00042835"/>
    <w:rsid w:val="00043E3E"/>
    <w:rsid w:val="000447A9"/>
    <w:rsid w:val="00044D1D"/>
    <w:rsid w:val="00045A7C"/>
    <w:rsid w:val="000468E8"/>
    <w:rsid w:val="00051D91"/>
    <w:rsid w:val="000531F1"/>
    <w:rsid w:val="00053679"/>
    <w:rsid w:val="00055371"/>
    <w:rsid w:val="00056A24"/>
    <w:rsid w:val="00057CE5"/>
    <w:rsid w:val="000607A3"/>
    <w:rsid w:val="0006151C"/>
    <w:rsid w:val="00061FF5"/>
    <w:rsid w:val="00063452"/>
    <w:rsid w:val="00063BE8"/>
    <w:rsid w:val="0006523E"/>
    <w:rsid w:val="000657F7"/>
    <w:rsid w:val="00066D11"/>
    <w:rsid w:val="00067CDF"/>
    <w:rsid w:val="00072AA7"/>
    <w:rsid w:val="0007346C"/>
    <w:rsid w:val="00073715"/>
    <w:rsid w:val="00074918"/>
    <w:rsid w:val="00074FBE"/>
    <w:rsid w:val="00076995"/>
    <w:rsid w:val="0007762A"/>
    <w:rsid w:val="00081F6E"/>
    <w:rsid w:val="00083A09"/>
    <w:rsid w:val="00086E45"/>
    <w:rsid w:val="0009005E"/>
    <w:rsid w:val="000918A9"/>
    <w:rsid w:val="00092001"/>
    <w:rsid w:val="00092618"/>
    <w:rsid w:val="00092857"/>
    <w:rsid w:val="00092BD8"/>
    <w:rsid w:val="000964C7"/>
    <w:rsid w:val="000979D9"/>
    <w:rsid w:val="00097B13"/>
    <w:rsid w:val="000A20A9"/>
    <w:rsid w:val="000A37F4"/>
    <w:rsid w:val="000A400B"/>
    <w:rsid w:val="000A48B1"/>
    <w:rsid w:val="000B275E"/>
    <w:rsid w:val="000B2F0E"/>
    <w:rsid w:val="000B3143"/>
    <w:rsid w:val="000B3F4E"/>
    <w:rsid w:val="000B405D"/>
    <w:rsid w:val="000B67BC"/>
    <w:rsid w:val="000B6ADA"/>
    <w:rsid w:val="000B6E4A"/>
    <w:rsid w:val="000C20FD"/>
    <w:rsid w:val="000C2BE6"/>
    <w:rsid w:val="000C447F"/>
    <w:rsid w:val="000C5B08"/>
    <w:rsid w:val="000C6B05"/>
    <w:rsid w:val="000C6DD6"/>
    <w:rsid w:val="000C700C"/>
    <w:rsid w:val="000C73D4"/>
    <w:rsid w:val="000C7CAD"/>
    <w:rsid w:val="000D0B0F"/>
    <w:rsid w:val="000D3A19"/>
    <w:rsid w:val="000D3D4C"/>
    <w:rsid w:val="000D4F51"/>
    <w:rsid w:val="000D718B"/>
    <w:rsid w:val="000D73EA"/>
    <w:rsid w:val="000E0C46"/>
    <w:rsid w:val="000E15EE"/>
    <w:rsid w:val="000E3FC3"/>
    <w:rsid w:val="000E61BF"/>
    <w:rsid w:val="000E7F0C"/>
    <w:rsid w:val="000F030C"/>
    <w:rsid w:val="000F03A1"/>
    <w:rsid w:val="000F129C"/>
    <w:rsid w:val="000F174F"/>
    <w:rsid w:val="000F1AE6"/>
    <w:rsid w:val="000F41A2"/>
    <w:rsid w:val="00102E95"/>
    <w:rsid w:val="00104C3A"/>
    <w:rsid w:val="00104E29"/>
    <w:rsid w:val="00105480"/>
    <w:rsid w:val="001056DE"/>
    <w:rsid w:val="0011090E"/>
    <w:rsid w:val="001122AF"/>
    <w:rsid w:val="001124C0"/>
    <w:rsid w:val="00116535"/>
    <w:rsid w:val="00117A25"/>
    <w:rsid w:val="00117DC8"/>
    <w:rsid w:val="0012053B"/>
    <w:rsid w:val="00121293"/>
    <w:rsid w:val="001240FF"/>
    <w:rsid w:val="0013175F"/>
    <w:rsid w:val="00132283"/>
    <w:rsid w:val="0013364D"/>
    <w:rsid w:val="001343BB"/>
    <w:rsid w:val="001361C5"/>
    <w:rsid w:val="001365DE"/>
    <w:rsid w:val="00140772"/>
    <w:rsid w:val="00143DC3"/>
    <w:rsid w:val="00143E03"/>
    <w:rsid w:val="001512B4"/>
    <w:rsid w:val="001513C8"/>
    <w:rsid w:val="00153A26"/>
    <w:rsid w:val="00153DB0"/>
    <w:rsid w:val="00155065"/>
    <w:rsid w:val="00155C90"/>
    <w:rsid w:val="0015631E"/>
    <w:rsid w:val="00156D47"/>
    <w:rsid w:val="001620A5"/>
    <w:rsid w:val="0016423C"/>
    <w:rsid w:val="00164D10"/>
    <w:rsid w:val="00164E53"/>
    <w:rsid w:val="00165D35"/>
    <w:rsid w:val="0016699D"/>
    <w:rsid w:val="001670D9"/>
    <w:rsid w:val="00171234"/>
    <w:rsid w:val="0017502F"/>
    <w:rsid w:val="00175159"/>
    <w:rsid w:val="00175423"/>
    <w:rsid w:val="00175AD7"/>
    <w:rsid w:val="00176208"/>
    <w:rsid w:val="00176F9F"/>
    <w:rsid w:val="001773EE"/>
    <w:rsid w:val="0017780C"/>
    <w:rsid w:val="00177E65"/>
    <w:rsid w:val="001813B2"/>
    <w:rsid w:val="00181744"/>
    <w:rsid w:val="0018211B"/>
    <w:rsid w:val="00182935"/>
    <w:rsid w:val="00183FE1"/>
    <w:rsid w:val="001840D3"/>
    <w:rsid w:val="00184782"/>
    <w:rsid w:val="00186715"/>
    <w:rsid w:val="00187A8A"/>
    <w:rsid w:val="001900F8"/>
    <w:rsid w:val="00190C3F"/>
    <w:rsid w:val="00190F0C"/>
    <w:rsid w:val="00191258"/>
    <w:rsid w:val="0019149D"/>
    <w:rsid w:val="00192680"/>
    <w:rsid w:val="00193037"/>
    <w:rsid w:val="00193375"/>
    <w:rsid w:val="00193A2C"/>
    <w:rsid w:val="00197C26"/>
    <w:rsid w:val="00197EB6"/>
    <w:rsid w:val="001A288E"/>
    <w:rsid w:val="001A3E48"/>
    <w:rsid w:val="001B21BF"/>
    <w:rsid w:val="001B36ED"/>
    <w:rsid w:val="001B446A"/>
    <w:rsid w:val="001B4613"/>
    <w:rsid w:val="001B6537"/>
    <w:rsid w:val="001B6DC2"/>
    <w:rsid w:val="001B754B"/>
    <w:rsid w:val="001C149C"/>
    <w:rsid w:val="001C21AC"/>
    <w:rsid w:val="001C2FA4"/>
    <w:rsid w:val="001C3689"/>
    <w:rsid w:val="001C47BA"/>
    <w:rsid w:val="001C59EA"/>
    <w:rsid w:val="001C7D9E"/>
    <w:rsid w:val="001D0C04"/>
    <w:rsid w:val="001D3556"/>
    <w:rsid w:val="001D404C"/>
    <w:rsid w:val="001D406C"/>
    <w:rsid w:val="001D41EE"/>
    <w:rsid w:val="001D430C"/>
    <w:rsid w:val="001D4BEB"/>
    <w:rsid w:val="001D71E6"/>
    <w:rsid w:val="001E02B5"/>
    <w:rsid w:val="001E0380"/>
    <w:rsid w:val="001E0B1B"/>
    <w:rsid w:val="001E1312"/>
    <w:rsid w:val="001E13B1"/>
    <w:rsid w:val="001E1E6E"/>
    <w:rsid w:val="001E2153"/>
    <w:rsid w:val="001E241F"/>
    <w:rsid w:val="001E2D6D"/>
    <w:rsid w:val="001E3202"/>
    <w:rsid w:val="001E7090"/>
    <w:rsid w:val="001F0BAD"/>
    <w:rsid w:val="001F0BEC"/>
    <w:rsid w:val="001F2F87"/>
    <w:rsid w:val="001F389D"/>
    <w:rsid w:val="001F3A19"/>
    <w:rsid w:val="001F3D2C"/>
    <w:rsid w:val="001F3E80"/>
    <w:rsid w:val="001F4F08"/>
    <w:rsid w:val="001F5FC6"/>
    <w:rsid w:val="002009E4"/>
    <w:rsid w:val="00200C21"/>
    <w:rsid w:val="00201053"/>
    <w:rsid w:val="0020251B"/>
    <w:rsid w:val="00203852"/>
    <w:rsid w:val="002073D3"/>
    <w:rsid w:val="00210435"/>
    <w:rsid w:val="002105A8"/>
    <w:rsid w:val="00215680"/>
    <w:rsid w:val="00215D48"/>
    <w:rsid w:val="0021624B"/>
    <w:rsid w:val="002162D4"/>
    <w:rsid w:val="00216F86"/>
    <w:rsid w:val="0022011E"/>
    <w:rsid w:val="0022185E"/>
    <w:rsid w:val="002261E4"/>
    <w:rsid w:val="00226A42"/>
    <w:rsid w:val="00227FED"/>
    <w:rsid w:val="0023030A"/>
    <w:rsid w:val="00230F08"/>
    <w:rsid w:val="00233193"/>
    <w:rsid w:val="00234467"/>
    <w:rsid w:val="00234F26"/>
    <w:rsid w:val="00235BE6"/>
    <w:rsid w:val="00237D8D"/>
    <w:rsid w:val="00241DA2"/>
    <w:rsid w:val="0024287F"/>
    <w:rsid w:val="00247FEE"/>
    <w:rsid w:val="00250E7D"/>
    <w:rsid w:val="002523DB"/>
    <w:rsid w:val="002527DD"/>
    <w:rsid w:val="00252DAA"/>
    <w:rsid w:val="00252FCE"/>
    <w:rsid w:val="002531F0"/>
    <w:rsid w:val="00253DF7"/>
    <w:rsid w:val="002563B5"/>
    <w:rsid w:val="002565D5"/>
    <w:rsid w:val="00260054"/>
    <w:rsid w:val="00261B41"/>
    <w:rsid w:val="002622C0"/>
    <w:rsid w:val="00262419"/>
    <w:rsid w:val="002650D4"/>
    <w:rsid w:val="00265526"/>
    <w:rsid w:val="00266F2C"/>
    <w:rsid w:val="002721A6"/>
    <w:rsid w:val="0027336E"/>
    <w:rsid w:val="00274D12"/>
    <w:rsid w:val="00276E2F"/>
    <w:rsid w:val="002778AE"/>
    <w:rsid w:val="00280618"/>
    <w:rsid w:val="00280720"/>
    <w:rsid w:val="0028269A"/>
    <w:rsid w:val="00283590"/>
    <w:rsid w:val="0028488E"/>
    <w:rsid w:val="00286973"/>
    <w:rsid w:val="002873E0"/>
    <w:rsid w:val="00287674"/>
    <w:rsid w:val="002928FF"/>
    <w:rsid w:val="002938A4"/>
    <w:rsid w:val="00294E70"/>
    <w:rsid w:val="002954B8"/>
    <w:rsid w:val="00295694"/>
    <w:rsid w:val="0029592B"/>
    <w:rsid w:val="00295E30"/>
    <w:rsid w:val="002967B2"/>
    <w:rsid w:val="0029776B"/>
    <w:rsid w:val="002A15B8"/>
    <w:rsid w:val="002A1924"/>
    <w:rsid w:val="002A7409"/>
    <w:rsid w:val="002A7420"/>
    <w:rsid w:val="002A7A7E"/>
    <w:rsid w:val="002B0F12"/>
    <w:rsid w:val="002B102A"/>
    <w:rsid w:val="002B1308"/>
    <w:rsid w:val="002B17EE"/>
    <w:rsid w:val="002B4554"/>
    <w:rsid w:val="002B6D6A"/>
    <w:rsid w:val="002B707C"/>
    <w:rsid w:val="002C0386"/>
    <w:rsid w:val="002C058B"/>
    <w:rsid w:val="002C124B"/>
    <w:rsid w:val="002C177C"/>
    <w:rsid w:val="002C3B96"/>
    <w:rsid w:val="002C4173"/>
    <w:rsid w:val="002C6F73"/>
    <w:rsid w:val="002C72D8"/>
    <w:rsid w:val="002C7491"/>
    <w:rsid w:val="002D0A3C"/>
    <w:rsid w:val="002D0C4C"/>
    <w:rsid w:val="002D11FA"/>
    <w:rsid w:val="002D17BC"/>
    <w:rsid w:val="002D19A4"/>
    <w:rsid w:val="002D3BC1"/>
    <w:rsid w:val="002D6352"/>
    <w:rsid w:val="002E0DDF"/>
    <w:rsid w:val="002E1C09"/>
    <w:rsid w:val="002E2906"/>
    <w:rsid w:val="002E3D70"/>
    <w:rsid w:val="002E3DFF"/>
    <w:rsid w:val="002E521D"/>
    <w:rsid w:val="002E5635"/>
    <w:rsid w:val="002E64C3"/>
    <w:rsid w:val="002E6616"/>
    <w:rsid w:val="002E6A2C"/>
    <w:rsid w:val="002F035E"/>
    <w:rsid w:val="002F06A9"/>
    <w:rsid w:val="002F0FE8"/>
    <w:rsid w:val="002F1C30"/>
    <w:rsid w:val="002F1D8C"/>
    <w:rsid w:val="002F1FAA"/>
    <w:rsid w:val="002F21DA"/>
    <w:rsid w:val="002F25E7"/>
    <w:rsid w:val="002F34B8"/>
    <w:rsid w:val="002F3F66"/>
    <w:rsid w:val="002F511C"/>
    <w:rsid w:val="002F67B9"/>
    <w:rsid w:val="002F6DD2"/>
    <w:rsid w:val="00300623"/>
    <w:rsid w:val="00301F39"/>
    <w:rsid w:val="0030284F"/>
    <w:rsid w:val="00302A3F"/>
    <w:rsid w:val="00302A54"/>
    <w:rsid w:val="00302DF1"/>
    <w:rsid w:val="00303D27"/>
    <w:rsid w:val="00305BEE"/>
    <w:rsid w:val="00306267"/>
    <w:rsid w:val="00313611"/>
    <w:rsid w:val="00313962"/>
    <w:rsid w:val="00315B16"/>
    <w:rsid w:val="00316A84"/>
    <w:rsid w:val="003234E0"/>
    <w:rsid w:val="00323621"/>
    <w:rsid w:val="00324D88"/>
    <w:rsid w:val="00325926"/>
    <w:rsid w:val="003266A4"/>
    <w:rsid w:val="003270C4"/>
    <w:rsid w:val="00327A8A"/>
    <w:rsid w:val="00327ED4"/>
    <w:rsid w:val="003339A3"/>
    <w:rsid w:val="00336091"/>
    <w:rsid w:val="00336610"/>
    <w:rsid w:val="00340084"/>
    <w:rsid w:val="003407F5"/>
    <w:rsid w:val="00340E65"/>
    <w:rsid w:val="00341F5C"/>
    <w:rsid w:val="0034350A"/>
    <w:rsid w:val="00343D23"/>
    <w:rsid w:val="00343F73"/>
    <w:rsid w:val="00344591"/>
    <w:rsid w:val="00345060"/>
    <w:rsid w:val="003451FB"/>
    <w:rsid w:val="00346709"/>
    <w:rsid w:val="00352629"/>
    <w:rsid w:val="00352BF4"/>
    <w:rsid w:val="0035323B"/>
    <w:rsid w:val="00353D19"/>
    <w:rsid w:val="0035710F"/>
    <w:rsid w:val="0035785A"/>
    <w:rsid w:val="003609D2"/>
    <w:rsid w:val="003636C8"/>
    <w:rsid w:val="00363F22"/>
    <w:rsid w:val="00364813"/>
    <w:rsid w:val="00364940"/>
    <w:rsid w:val="0036523C"/>
    <w:rsid w:val="003668BE"/>
    <w:rsid w:val="003715D7"/>
    <w:rsid w:val="003743C2"/>
    <w:rsid w:val="00375564"/>
    <w:rsid w:val="00375C45"/>
    <w:rsid w:val="00376489"/>
    <w:rsid w:val="0037713A"/>
    <w:rsid w:val="00381E39"/>
    <w:rsid w:val="00383191"/>
    <w:rsid w:val="00386DED"/>
    <w:rsid w:val="00390A35"/>
    <w:rsid w:val="003912E7"/>
    <w:rsid w:val="0039186B"/>
    <w:rsid w:val="00393947"/>
    <w:rsid w:val="00393F74"/>
    <w:rsid w:val="00395141"/>
    <w:rsid w:val="00395748"/>
    <w:rsid w:val="003A0E27"/>
    <w:rsid w:val="003A16E4"/>
    <w:rsid w:val="003A1E99"/>
    <w:rsid w:val="003A2275"/>
    <w:rsid w:val="003A4469"/>
    <w:rsid w:val="003A63F4"/>
    <w:rsid w:val="003A6A4F"/>
    <w:rsid w:val="003A7088"/>
    <w:rsid w:val="003A78D4"/>
    <w:rsid w:val="003B00DF"/>
    <w:rsid w:val="003B01A3"/>
    <w:rsid w:val="003B1275"/>
    <w:rsid w:val="003B1778"/>
    <w:rsid w:val="003B1E8E"/>
    <w:rsid w:val="003B29AA"/>
    <w:rsid w:val="003B2B08"/>
    <w:rsid w:val="003B47F3"/>
    <w:rsid w:val="003B5A12"/>
    <w:rsid w:val="003B6E42"/>
    <w:rsid w:val="003C0F04"/>
    <w:rsid w:val="003C11CB"/>
    <w:rsid w:val="003C1282"/>
    <w:rsid w:val="003C1E76"/>
    <w:rsid w:val="003C3017"/>
    <w:rsid w:val="003C31E0"/>
    <w:rsid w:val="003C42EC"/>
    <w:rsid w:val="003C52F5"/>
    <w:rsid w:val="003C6A77"/>
    <w:rsid w:val="003C75F3"/>
    <w:rsid w:val="003C78A3"/>
    <w:rsid w:val="003D1ED1"/>
    <w:rsid w:val="003D36AB"/>
    <w:rsid w:val="003D4C82"/>
    <w:rsid w:val="003E1867"/>
    <w:rsid w:val="003E1C7A"/>
    <w:rsid w:val="003E20B2"/>
    <w:rsid w:val="003E4EBD"/>
    <w:rsid w:val="003E52B5"/>
    <w:rsid w:val="003E5729"/>
    <w:rsid w:val="003E724E"/>
    <w:rsid w:val="003F1D40"/>
    <w:rsid w:val="003F22BB"/>
    <w:rsid w:val="003F2A5B"/>
    <w:rsid w:val="003F4EE0"/>
    <w:rsid w:val="003F5559"/>
    <w:rsid w:val="003F6DA4"/>
    <w:rsid w:val="00400473"/>
    <w:rsid w:val="00402153"/>
    <w:rsid w:val="00402E26"/>
    <w:rsid w:val="00402FC1"/>
    <w:rsid w:val="00404BCC"/>
    <w:rsid w:val="00404D0B"/>
    <w:rsid w:val="00410EFD"/>
    <w:rsid w:val="004140C7"/>
    <w:rsid w:val="004170E0"/>
    <w:rsid w:val="00417FC0"/>
    <w:rsid w:val="004200D9"/>
    <w:rsid w:val="00421D69"/>
    <w:rsid w:val="00422B17"/>
    <w:rsid w:val="0042339D"/>
    <w:rsid w:val="004241AD"/>
    <w:rsid w:val="00424432"/>
    <w:rsid w:val="00424700"/>
    <w:rsid w:val="00425082"/>
    <w:rsid w:val="00425BD1"/>
    <w:rsid w:val="00427E3F"/>
    <w:rsid w:val="004300F2"/>
    <w:rsid w:val="00430B71"/>
    <w:rsid w:val="00431DEB"/>
    <w:rsid w:val="00433942"/>
    <w:rsid w:val="004341DF"/>
    <w:rsid w:val="00434AFB"/>
    <w:rsid w:val="004371D0"/>
    <w:rsid w:val="00437222"/>
    <w:rsid w:val="00441B71"/>
    <w:rsid w:val="0044259D"/>
    <w:rsid w:val="00443445"/>
    <w:rsid w:val="004439D9"/>
    <w:rsid w:val="004444E6"/>
    <w:rsid w:val="00446790"/>
    <w:rsid w:val="00446B29"/>
    <w:rsid w:val="00451DD8"/>
    <w:rsid w:val="004524BE"/>
    <w:rsid w:val="0045262B"/>
    <w:rsid w:val="00453F9A"/>
    <w:rsid w:val="00454CC3"/>
    <w:rsid w:val="0045611F"/>
    <w:rsid w:val="004571A7"/>
    <w:rsid w:val="0045764E"/>
    <w:rsid w:val="0046233E"/>
    <w:rsid w:val="00463A9D"/>
    <w:rsid w:val="00464903"/>
    <w:rsid w:val="00467178"/>
    <w:rsid w:val="00471E91"/>
    <w:rsid w:val="00473329"/>
    <w:rsid w:val="00474079"/>
    <w:rsid w:val="00474675"/>
    <w:rsid w:val="0047470C"/>
    <w:rsid w:val="004763AE"/>
    <w:rsid w:val="0048221C"/>
    <w:rsid w:val="004826C0"/>
    <w:rsid w:val="00484BF6"/>
    <w:rsid w:val="00484C88"/>
    <w:rsid w:val="00484F69"/>
    <w:rsid w:val="0048790D"/>
    <w:rsid w:val="00490840"/>
    <w:rsid w:val="00491A72"/>
    <w:rsid w:val="00496DDE"/>
    <w:rsid w:val="004A0EC6"/>
    <w:rsid w:val="004A1975"/>
    <w:rsid w:val="004A1A5B"/>
    <w:rsid w:val="004A203E"/>
    <w:rsid w:val="004A35F9"/>
    <w:rsid w:val="004A36EC"/>
    <w:rsid w:val="004A4662"/>
    <w:rsid w:val="004A6537"/>
    <w:rsid w:val="004A6A3C"/>
    <w:rsid w:val="004A7E02"/>
    <w:rsid w:val="004B157A"/>
    <w:rsid w:val="004B24C1"/>
    <w:rsid w:val="004B3092"/>
    <w:rsid w:val="004B3E34"/>
    <w:rsid w:val="004B49B1"/>
    <w:rsid w:val="004B557C"/>
    <w:rsid w:val="004B657D"/>
    <w:rsid w:val="004B6EF3"/>
    <w:rsid w:val="004B70E8"/>
    <w:rsid w:val="004C0109"/>
    <w:rsid w:val="004C25D2"/>
    <w:rsid w:val="004C292F"/>
    <w:rsid w:val="004C657F"/>
    <w:rsid w:val="004C7523"/>
    <w:rsid w:val="004D0B6C"/>
    <w:rsid w:val="004D2ADE"/>
    <w:rsid w:val="004D306F"/>
    <w:rsid w:val="004D4B02"/>
    <w:rsid w:val="004D4F4B"/>
    <w:rsid w:val="004D4F76"/>
    <w:rsid w:val="004E21AA"/>
    <w:rsid w:val="004E24C9"/>
    <w:rsid w:val="004E2BA5"/>
    <w:rsid w:val="004E33C3"/>
    <w:rsid w:val="004E4B13"/>
    <w:rsid w:val="004E4B8C"/>
    <w:rsid w:val="004E5A47"/>
    <w:rsid w:val="004E7276"/>
    <w:rsid w:val="004F1AC6"/>
    <w:rsid w:val="004F2EF3"/>
    <w:rsid w:val="004F5E1B"/>
    <w:rsid w:val="004F6A54"/>
    <w:rsid w:val="00500C87"/>
    <w:rsid w:val="0050344C"/>
    <w:rsid w:val="005036E2"/>
    <w:rsid w:val="00503892"/>
    <w:rsid w:val="005048DA"/>
    <w:rsid w:val="00507217"/>
    <w:rsid w:val="00510280"/>
    <w:rsid w:val="0051387F"/>
    <w:rsid w:val="00513D73"/>
    <w:rsid w:val="005148B3"/>
    <w:rsid w:val="00514A43"/>
    <w:rsid w:val="00515E92"/>
    <w:rsid w:val="00515E9C"/>
    <w:rsid w:val="005160E4"/>
    <w:rsid w:val="005174E5"/>
    <w:rsid w:val="00520898"/>
    <w:rsid w:val="00520D90"/>
    <w:rsid w:val="005211E6"/>
    <w:rsid w:val="00522393"/>
    <w:rsid w:val="00522620"/>
    <w:rsid w:val="00525656"/>
    <w:rsid w:val="0052596D"/>
    <w:rsid w:val="00525BF3"/>
    <w:rsid w:val="0052626F"/>
    <w:rsid w:val="00531091"/>
    <w:rsid w:val="00531DFD"/>
    <w:rsid w:val="00533185"/>
    <w:rsid w:val="00533731"/>
    <w:rsid w:val="00534408"/>
    <w:rsid w:val="00534C02"/>
    <w:rsid w:val="00535FBC"/>
    <w:rsid w:val="0054018F"/>
    <w:rsid w:val="0054044C"/>
    <w:rsid w:val="0054242C"/>
    <w:rsid w:val="0054264B"/>
    <w:rsid w:val="00543786"/>
    <w:rsid w:val="00545184"/>
    <w:rsid w:val="00545A49"/>
    <w:rsid w:val="005463CC"/>
    <w:rsid w:val="00546B1F"/>
    <w:rsid w:val="00546D0D"/>
    <w:rsid w:val="00546FC9"/>
    <w:rsid w:val="00547058"/>
    <w:rsid w:val="005474CE"/>
    <w:rsid w:val="0055099B"/>
    <w:rsid w:val="0055153A"/>
    <w:rsid w:val="005533D7"/>
    <w:rsid w:val="00554B63"/>
    <w:rsid w:val="00554B65"/>
    <w:rsid w:val="00554D06"/>
    <w:rsid w:val="005556BF"/>
    <w:rsid w:val="005572A1"/>
    <w:rsid w:val="00557A43"/>
    <w:rsid w:val="00557FF6"/>
    <w:rsid w:val="00562CF6"/>
    <w:rsid w:val="00563873"/>
    <w:rsid w:val="0056544B"/>
    <w:rsid w:val="005660F4"/>
    <w:rsid w:val="00567177"/>
    <w:rsid w:val="005703DE"/>
    <w:rsid w:val="005710BC"/>
    <w:rsid w:val="005755F1"/>
    <w:rsid w:val="005770E9"/>
    <w:rsid w:val="005771C8"/>
    <w:rsid w:val="005774A1"/>
    <w:rsid w:val="00577AE9"/>
    <w:rsid w:val="0058001A"/>
    <w:rsid w:val="0058188E"/>
    <w:rsid w:val="00582202"/>
    <w:rsid w:val="00582BBE"/>
    <w:rsid w:val="00583331"/>
    <w:rsid w:val="0058464E"/>
    <w:rsid w:val="0058650E"/>
    <w:rsid w:val="0059149A"/>
    <w:rsid w:val="00591FAC"/>
    <w:rsid w:val="005922A2"/>
    <w:rsid w:val="0059736B"/>
    <w:rsid w:val="005A01CB"/>
    <w:rsid w:val="005A19A9"/>
    <w:rsid w:val="005A394A"/>
    <w:rsid w:val="005A479A"/>
    <w:rsid w:val="005A58FF"/>
    <w:rsid w:val="005A5EAF"/>
    <w:rsid w:val="005A6491"/>
    <w:rsid w:val="005A64C0"/>
    <w:rsid w:val="005B0491"/>
    <w:rsid w:val="005B1503"/>
    <w:rsid w:val="005B1985"/>
    <w:rsid w:val="005B21C3"/>
    <w:rsid w:val="005B3C11"/>
    <w:rsid w:val="005B6075"/>
    <w:rsid w:val="005C1C28"/>
    <w:rsid w:val="005C38D3"/>
    <w:rsid w:val="005C43D0"/>
    <w:rsid w:val="005C499B"/>
    <w:rsid w:val="005C547B"/>
    <w:rsid w:val="005C6DB5"/>
    <w:rsid w:val="005D1569"/>
    <w:rsid w:val="005D21C5"/>
    <w:rsid w:val="005D2945"/>
    <w:rsid w:val="005D2E2D"/>
    <w:rsid w:val="005D3077"/>
    <w:rsid w:val="005D3842"/>
    <w:rsid w:val="005D55A5"/>
    <w:rsid w:val="005E140F"/>
    <w:rsid w:val="005E19E7"/>
    <w:rsid w:val="005E2392"/>
    <w:rsid w:val="005F1FE6"/>
    <w:rsid w:val="005F3CD8"/>
    <w:rsid w:val="005F5B84"/>
    <w:rsid w:val="005F7A38"/>
    <w:rsid w:val="0060073E"/>
    <w:rsid w:val="0060145C"/>
    <w:rsid w:val="00601622"/>
    <w:rsid w:val="0060580B"/>
    <w:rsid w:val="0060789B"/>
    <w:rsid w:val="0061037E"/>
    <w:rsid w:val="00612C4E"/>
    <w:rsid w:val="00613FAA"/>
    <w:rsid w:val="00616C36"/>
    <w:rsid w:val="0061716C"/>
    <w:rsid w:val="006171AF"/>
    <w:rsid w:val="00617868"/>
    <w:rsid w:val="00623372"/>
    <w:rsid w:val="006243A1"/>
    <w:rsid w:val="00626005"/>
    <w:rsid w:val="00627018"/>
    <w:rsid w:val="00631111"/>
    <w:rsid w:val="00632E56"/>
    <w:rsid w:val="00634EEE"/>
    <w:rsid w:val="00635CBA"/>
    <w:rsid w:val="00636EFC"/>
    <w:rsid w:val="00640EFE"/>
    <w:rsid w:val="006411C7"/>
    <w:rsid w:val="0064338B"/>
    <w:rsid w:val="00644F18"/>
    <w:rsid w:val="00646542"/>
    <w:rsid w:val="006504F4"/>
    <w:rsid w:val="00650807"/>
    <w:rsid w:val="00650D07"/>
    <w:rsid w:val="0065293C"/>
    <w:rsid w:val="006530B5"/>
    <w:rsid w:val="0065366F"/>
    <w:rsid w:val="00654BC9"/>
    <w:rsid w:val="006552FD"/>
    <w:rsid w:val="00656F0B"/>
    <w:rsid w:val="00657182"/>
    <w:rsid w:val="006616DC"/>
    <w:rsid w:val="006620FD"/>
    <w:rsid w:val="00662233"/>
    <w:rsid w:val="00663733"/>
    <w:rsid w:val="00663AF3"/>
    <w:rsid w:val="00664891"/>
    <w:rsid w:val="00666B6C"/>
    <w:rsid w:val="006710A5"/>
    <w:rsid w:val="00673B0C"/>
    <w:rsid w:val="00675669"/>
    <w:rsid w:val="00675D8D"/>
    <w:rsid w:val="00677B54"/>
    <w:rsid w:val="00677CA3"/>
    <w:rsid w:val="0068016A"/>
    <w:rsid w:val="0068210C"/>
    <w:rsid w:val="00682682"/>
    <w:rsid w:val="00682702"/>
    <w:rsid w:val="00684C83"/>
    <w:rsid w:val="006902D2"/>
    <w:rsid w:val="00690B8F"/>
    <w:rsid w:val="00692368"/>
    <w:rsid w:val="00692AF1"/>
    <w:rsid w:val="00695192"/>
    <w:rsid w:val="00697A56"/>
    <w:rsid w:val="006A2E95"/>
    <w:rsid w:val="006A2EBC"/>
    <w:rsid w:val="006A3ADB"/>
    <w:rsid w:val="006A4CA9"/>
    <w:rsid w:val="006A5EA0"/>
    <w:rsid w:val="006A63CF"/>
    <w:rsid w:val="006A770B"/>
    <w:rsid w:val="006A783B"/>
    <w:rsid w:val="006A7B33"/>
    <w:rsid w:val="006B27DB"/>
    <w:rsid w:val="006B497F"/>
    <w:rsid w:val="006B4E13"/>
    <w:rsid w:val="006B75DD"/>
    <w:rsid w:val="006B7B92"/>
    <w:rsid w:val="006C047C"/>
    <w:rsid w:val="006C1F90"/>
    <w:rsid w:val="006C3D8B"/>
    <w:rsid w:val="006C5FE3"/>
    <w:rsid w:val="006C67E0"/>
    <w:rsid w:val="006C7ABA"/>
    <w:rsid w:val="006D051A"/>
    <w:rsid w:val="006D0A13"/>
    <w:rsid w:val="006D0D60"/>
    <w:rsid w:val="006D1122"/>
    <w:rsid w:val="006D12DF"/>
    <w:rsid w:val="006D317E"/>
    <w:rsid w:val="006D31DE"/>
    <w:rsid w:val="006D3B1E"/>
    <w:rsid w:val="006D3C00"/>
    <w:rsid w:val="006D48D1"/>
    <w:rsid w:val="006D6999"/>
    <w:rsid w:val="006E06AD"/>
    <w:rsid w:val="006E3675"/>
    <w:rsid w:val="006E48AB"/>
    <w:rsid w:val="006E4908"/>
    <w:rsid w:val="006E4A7F"/>
    <w:rsid w:val="006E5337"/>
    <w:rsid w:val="006E6D31"/>
    <w:rsid w:val="006F0967"/>
    <w:rsid w:val="006F2274"/>
    <w:rsid w:val="006F2A96"/>
    <w:rsid w:val="006F64A0"/>
    <w:rsid w:val="006F7D93"/>
    <w:rsid w:val="006F7DAB"/>
    <w:rsid w:val="007001E1"/>
    <w:rsid w:val="0070038F"/>
    <w:rsid w:val="007027B1"/>
    <w:rsid w:val="0070286C"/>
    <w:rsid w:val="007045BD"/>
    <w:rsid w:val="00704DF6"/>
    <w:rsid w:val="0070641D"/>
    <w:rsid w:val="0070651C"/>
    <w:rsid w:val="007077B7"/>
    <w:rsid w:val="00707B56"/>
    <w:rsid w:val="00707E45"/>
    <w:rsid w:val="00710A6D"/>
    <w:rsid w:val="00711409"/>
    <w:rsid w:val="007132A3"/>
    <w:rsid w:val="007157FD"/>
    <w:rsid w:val="00716421"/>
    <w:rsid w:val="00721419"/>
    <w:rsid w:val="00721CBF"/>
    <w:rsid w:val="00724EFB"/>
    <w:rsid w:val="00725E7B"/>
    <w:rsid w:val="00726575"/>
    <w:rsid w:val="00730310"/>
    <w:rsid w:val="00730863"/>
    <w:rsid w:val="0073251D"/>
    <w:rsid w:val="00735510"/>
    <w:rsid w:val="00740A49"/>
    <w:rsid w:val="007413E3"/>
    <w:rsid w:val="007419C3"/>
    <w:rsid w:val="007425B8"/>
    <w:rsid w:val="00743E61"/>
    <w:rsid w:val="00743FD2"/>
    <w:rsid w:val="00745235"/>
    <w:rsid w:val="00746559"/>
    <w:rsid w:val="007467A7"/>
    <w:rsid w:val="007469DD"/>
    <w:rsid w:val="0074741B"/>
    <w:rsid w:val="0074759E"/>
    <w:rsid w:val="007478EA"/>
    <w:rsid w:val="00751F05"/>
    <w:rsid w:val="0075207D"/>
    <w:rsid w:val="0075415C"/>
    <w:rsid w:val="0075468F"/>
    <w:rsid w:val="00757097"/>
    <w:rsid w:val="00757EF7"/>
    <w:rsid w:val="007606CB"/>
    <w:rsid w:val="00760870"/>
    <w:rsid w:val="00761853"/>
    <w:rsid w:val="00761E8B"/>
    <w:rsid w:val="00763502"/>
    <w:rsid w:val="007670FE"/>
    <w:rsid w:val="007716C1"/>
    <w:rsid w:val="00772315"/>
    <w:rsid w:val="00775ABD"/>
    <w:rsid w:val="00777D31"/>
    <w:rsid w:val="00780DE2"/>
    <w:rsid w:val="00781949"/>
    <w:rsid w:val="00783E56"/>
    <w:rsid w:val="00785D11"/>
    <w:rsid w:val="007913AB"/>
    <w:rsid w:val="007914F7"/>
    <w:rsid w:val="00791693"/>
    <w:rsid w:val="00791B96"/>
    <w:rsid w:val="00794A64"/>
    <w:rsid w:val="00794C2C"/>
    <w:rsid w:val="00795569"/>
    <w:rsid w:val="00795C73"/>
    <w:rsid w:val="007971AD"/>
    <w:rsid w:val="007973B9"/>
    <w:rsid w:val="007976E2"/>
    <w:rsid w:val="007A1A47"/>
    <w:rsid w:val="007A1E3A"/>
    <w:rsid w:val="007A29F6"/>
    <w:rsid w:val="007A4809"/>
    <w:rsid w:val="007A51A2"/>
    <w:rsid w:val="007A5763"/>
    <w:rsid w:val="007A5887"/>
    <w:rsid w:val="007A783B"/>
    <w:rsid w:val="007B1625"/>
    <w:rsid w:val="007B5223"/>
    <w:rsid w:val="007B706E"/>
    <w:rsid w:val="007B71EB"/>
    <w:rsid w:val="007B758B"/>
    <w:rsid w:val="007B765B"/>
    <w:rsid w:val="007C017A"/>
    <w:rsid w:val="007C0748"/>
    <w:rsid w:val="007C17E9"/>
    <w:rsid w:val="007C231B"/>
    <w:rsid w:val="007C3E08"/>
    <w:rsid w:val="007C3FA6"/>
    <w:rsid w:val="007C6205"/>
    <w:rsid w:val="007C686A"/>
    <w:rsid w:val="007C728E"/>
    <w:rsid w:val="007D0BE0"/>
    <w:rsid w:val="007D13A1"/>
    <w:rsid w:val="007D204F"/>
    <w:rsid w:val="007D2C53"/>
    <w:rsid w:val="007D2D72"/>
    <w:rsid w:val="007D3D60"/>
    <w:rsid w:val="007E1980"/>
    <w:rsid w:val="007E3AC8"/>
    <w:rsid w:val="007E4B76"/>
    <w:rsid w:val="007E5043"/>
    <w:rsid w:val="007E5EA8"/>
    <w:rsid w:val="007F028F"/>
    <w:rsid w:val="007F0CF1"/>
    <w:rsid w:val="007F12A5"/>
    <w:rsid w:val="007F2D74"/>
    <w:rsid w:val="007F3FB7"/>
    <w:rsid w:val="007F4CF1"/>
    <w:rsid w:val="007F5833"/>
    <w:rsid w:val="007F6744"/>
    <w:rsid w:val="007F6E22"/>
    <w:rsid w:val="007F758D"/>
    <w:rsid w:val="007F7D52"/>
    <w:rsid w:val="00803340"/>
    <w:rsid w:val="0080444A"/>
    <w:rsid w:val="0080484A"/>
    <w:rsid w:val="00805589"/>
    <w:rsid w:val="008057A5"/>
    <w:rsid w:val="00805E2F"/>
    <w:rsid w:val="0080654C"/>
    <w:rsid w:val="008071C6"/>
    <w:rsid w:val="008077D5"/>
    <w:rsid w:val="00815007"/>
    <w:rsid w:val="00815038"/>
    <w:rsid w:val="008174C6"/>
    <w:rsid w:val="00817A00"/>
    <w:rsid w:val="00817CD2"/>
    <w:rsid w:val="00820B95"/>
    <w:rsid w:val="00822DCB"/>
    <w:rsid w:val="00825891"/>
    <w:rsid w:val="00831631"/>
    <w:rsid w:val="0083228D"/>
    <w:rsid w:val="00832CCE"/>
    <w:rsid w:val="0083399B"/>
    <w:rsid w:val="00833D07"/>
    <w:rsid w:val="00835818"/>
    <w:rsid w:val="00835DB3"/>
    <w:rsid w:val="0083617B"/>
    <w:rsid w:val="00836342"/>
    <w:rsid w:val="00836A2D"/>
    <w:rsid w:val="008371BD"/>
    <w:rsid w:val="0084085E"/>
    <w:rsid w:val="00840EBF"/>
    <w:rsid w:val="008422EF"/>
    <w:rsid w:val="008504A8"/>
    <w:rsid w:val="00850A53"/>
    <w:rsid w:val="008518FA"/>
    <w:rsid w:val="00851B58"/>
    <w:rsid w:val="008523AA"/>
    <w:rsid w:val="0085282E"/>
    <w:rsid w:val="00854A21"/>
    <w:rsid w:val="00856FFE"/>
    <w:rsid w:val="00861350"/>
    <w:rsid w:val="00867088"/>
    <w:rsid w:val="0087198C"/>
    <w:rsid w:val="00872C1F"/>
    <w:rsid w:val="0087392F"/>
    <w:rsid w:val="00873B42"/>
    <w:rsid w:val="00876A13"/>
    <w:rsid w:val="00877CB0"/>
    <w:rsid w:val="008805AC"/>
    <w:rsid w:val="00880D1A"/>
    <w:rsid w:val="008833B6"/>
    <w:rsid w:val="008836E6"/>
    <w:rsid w:val="00883923"/>
    <w:rsid w:val="00884258"/>
    <w:rsid w:val="00884468"/>
    <w:rsid w:val="008856D8"/>
    <w:rsid w:val="00890F42"/>
    <w:rsid w:val="00891AC6"/>
    <w:rsid w:val="008927BF"/>
    <w:rsid w:val="00892E82"/>
    <w:rsid w:val="00893277"/>
    <w:rsid w:val="00894525"/>
    <w:rsid w:val="0089517E"/>
    <w:rsid w:val="00895D4C"/>
    <w:rsid w:val="00895FA9"/>
    <w:rsid w:val="008A1035"/>
    <w:rsid w:val="008A2808"/>
    <w:rsid w:val="008A2A0E"/>
    <w:rsid w:val="008A4EAC"/>
    <w:rsid w:val="008A6E08"/>
    <w:rsid w:val="008B04FF"/>
    <w:rsid w:val="008B4A86"/>
    <w:rsid w:val="008B70BD"/>
    <w:rsid w:val="008C07BB"/>
    <w:rsid w:val="008C0BE9"/>
    <w:rsid w:val="008C1B58"/>
    <w:rsid w:val="008C39AE"/>
    <w:rsid w:val="008C3C9E"/>
    <w:rsid w:val="008C40DF"/>
    <w:rsid w:val="008C590D"/>
    <w:rsid w:val="008C6AFC"/>
    <w:rsid w:val="008D27FB"/>
    <w:rsid w:val="008D2A2B"/>
    <w:rsid w:val="008D447E"/>
    <w:rsid w:val="008D4993"/>
    <w:rsid w:val="008D7566"/>
    <w:rsid w:val="008E031B"/>
    <w:rsid w:val="008E0560"/>
    <w:rsid w:val="008E2D8C"/>
    <w:rsid w:val="008E5342"/>
    <w:rsid w:val="008E6E24"/>
    <w:rsid w:val="008E7029"/>
    <w:rsid w:val="008E7EF6"/>
    <w:rsid w:val="008F1F98"/>
    <w:rsid w:val="008F2340"/>
    <w:rsid w:val="008F2790"/>
    <w:rsid w:val="008F6758"/>
    <w:rsid w:val="009008DC"/>
    <w:rsid w:val="00900DA6"/>
    <w:rsid w:val="009024B6"/>
    <w:rsid w:val="00904075"/>
    <w:rsid w:val="009040DD"/>
    <w:rsid w:val="00905B47"/>
    <w:rsid w:val="0090690F"/>
    <w:rsid w:val="00906A60"/>
    <w:rsid w:val="00910CE9"/>
    <w:rsid w:val="00911391"/>
    <w:rsid w:val="0091331C"/>
    <w:rsid w:val="009137BD"/>
    <w:rsid w:val="0091503D"/>
    <w:rsid w:val="00915DA9"/>
    <w:rsid w:val="00916AA2"/>
    <w:rsid w:val="009171DB"/>
    <w:rsid w:val="00917CDB"/>
    <w:rsid w:val="00920839"/>
    <w:rsid w:val="009210E2"/>
    <w:rsid w:val="00922200"/>
    <w:rsid w:val="00923BEB"/>
    <w:rsid w:val="00925D64"/>
    <w:rsid w:val="0092615D"/>
    <w:rsid w:val="009279DE"/>
    <w:rsid w:val="00927AB9"/>
    <w:rsid w:val="00927B37"/>
    <w:rsid w:val="00930116"/>
    <w:rsid w:val="00930625"/>
    <w:rsid w:val="0093101E"/>
    <w:rsid w:val="00933C71"/>
    <w:rsid w:val="009372AC"/>
    <w:rsid w:val="0094064D"/>
    <w:rsid w:val="00941082"/>
    <w:rsid w:val="00941748"/>
    <w:rsid w:val="0094212C"/>
    <w:rsid w:val="00942DDF"/>
    <w:rsid w:val="0094428F"/>
    <w:rsid w:val="00944853"/>
    <w:rsid w:val="0094609D"/>
    <w:rsid w:val="0095002F"/>
    <w:rsid w:val="0095378C"/>
    <w:rsid w:val="00954689"/>
    <w:rsid w:val="0095472A"/>
    <w:rsid w:val="009562D1"/>
    <w:rsid w:val="00957504"/>
    <w:rsid w:val="0096085A"/>
    <w:rsid w:val="00960E8A"/>
    <w:rsid w:val="009617C9"/>
    <w:rsid w:val="00961C93"/>
    <w:rsid w:val="00961CE5"/>
    <w:rsid w:val="0096240F"/>
    <w:rsid w:val="009629F7"/>
    <w:rsid w:val="00962B4E"/>
    <w:rsid w:val="009633E4"/>
    <w:rsid w:val="00965324"/>
    <w:rsid w:val="00966706"/>
    <w:rsid w:val="0097091E"/>
    <w:rsid w:val="009717C2"/>
    <w:rsid w:val="00972F57"/>
    <w:rsid w:val="0097406C"/>
    <w:rsid w:val="00975C77"/>
    <w:rsid w:val="009760D3"/>
    <w:rsid w:val="00977132"/>
    <w:rsid w:val="00981A4B"/>
    <w:rsid w:val="00982250"/>
    <w:rsid w:val="00982501"/>
    <w:rsid w:val="0098349C"/>
    <w:rsid w:val="00983D33"/>
    <w:rsid w:val="00984358"/>
    <w:rsid w:val="00984F83"/>
    <w:rsid w:val="009877D3"/>
    <w:rsid w:val="00987E80"/>
    <w:rsid w:val="009931BA"/>
    <w:rsid w:val="00994E8F"/>
    <w:rsid w:val="009951DC"/>
    <w:rsid w:val="009958D8"/>
    <w:rsid w:val="009959BB"/>
    <w:rsid w:val="00997158"/>
    <w:rsid w:val="00997622"/>
    <w:rsid w:val="009A05E0"/>
    <w:rsid w:val="009A0827"/>
    <w:rsid w:val="009A1C0F"/>
    <w:rsid w:val="009A274A"/>
    <w:rsid w:val="009A2A96"/>
    <w:rsid w:val="009A3506"/>
    <w:rsid w:val="009A3A7C"/>
    <w:rsid w:val="009A528E"/>
    <w:rsid w:val="009A5D33"/>
    <w:rsid w:val="009A7D84"/>
    <w:rsid w:val="009B0100"/>
    <w:rsid w:val="009B208C"/>
    <w:rsid w:val="009B2323"/>
    <w:rsid w:val="009B2ADB"/>
    <w:rsid w:val="009B603A"/>
    <w:rsid w:val="009C2D0E"/>
    <w:rsid w:val="009C3018"/>
    <w:rsid w:val="009C3DAC"/>
    <w:rsid w:val="009C42E0"/>
    <w:rsid w:val="009C6A57"/>
    <w:rsid w:val="009C717A"/>
    <w:rsid w:val="009D0043"/>
    <w:rsid w:val="009D3230"/>
    <w:rsid w:val="009D44C3"/>
    <w:rsid w:val="009D5362"/>
    <w:rsid w:val="009D5B78"/>
    <w:rsid w:val="009E01B3"/>
    <w:rsid w:val="009E1415"/>
    <w:rsid w:val="009E343D"/>
    <w:rsid w:val="009E37CF"/>
    <w:rsid w:val="009E3EDD"/>
    <w:rsid w:val="009E6116"/>
    <w:rsid w:val="009E69B4"/>
    <w:rsid w:val="009E7E25"/>
    <w:rsid w:val="009F0BC6"/>
    <w:rsid w:val="009F1161"/>
    <w:rsid w:val="009F586F"/>
    <w:rsid w:val="009F6940"/>
    <w:rsid w:val="00A01D80"/>
    <w:rsid w:val="00A027E5"/>
    <w:rsid w:val="00A02E43"/>
    <w:rsid w:val="00A037E5"/>
    <w:rsid w:val="00A03809"/>
    <w:rsid w:val="00A05368"/>
    <w:rsid w:val="00A065F9"/>
    <w:rsid w:val="00A07011"/>
    <w:rsid w:val="00A07BB6"/>
    <w:rsid w:val="00A07F34"/>
    <w:rsid w:val="00A11889"/>
    <w:rsid w:val="00A11D9C"/>
    <w:rsid w:val="00A1369D"/>
    <w:rsid w:val="00A16846"/>
    <w:rsid w:val="00A16862"/>
    <w:rsid w:val="00A214C8"/>
    <w:rsid w:val="00A22154"/>
    <w:rsid w:val="00A23922"/>
    <w:rsid w:val="00A24058"/>
    <w:rsid w:val="00A25C38"/>
    <w:rsid w:val="00A26108"/>
    <w:rsid w:val="00A26ACA"/>
    <w:rsid w:val="00A3195E"/>
    <w:rsid w:val="00A35136"/>
    <w:rsid w:val="00A35824"/>
    <w:rsid w:val="00A367B2"/>
    <w:rsid w:val="00A36BBE"/>
    <w:rsid w:val="00A37C20"/>
    <w:rsid w:val="00A4050B"/>
    <w:rsid w:val="00A40D9E"/>
    <w:rsid w:val="00A40F34"/>
    <w:rsid w:val="00A41DF7"/>
    <w:rsid w:val="00A420B1"/>
    <w:rsid w:val="00A42ECA"/>
    <w:rsid w:val="00A4307A"/>
    <w:rsid w:val="00A45D05"/>
    <w:rsid w:val="00A46B78"/>
    <w:rsid w:val="00A46DEF"/>
    <w:rsid w:val="00A47EBB"/>
    <w:rsid w:val="00A51CDD"/>
    <w:rsid w:val="00A55E93"/>
    <w:rsid w:val="00A563F8"/>
    <w:rsid w:val="00A56BBA"/>
    <w:rsid w:val="00A57240"/>
    <w:rsid w:val="00A57635"/>
    <w:rsid w:val="00A61129"/>
    <w:rsid w:val="00A6185C"/>
    <w:rsid w:val="00A631C9"/>
    <w:rsid w:val="00A64FC7"/>
    <w:rsid w:val="00A6730D"/>
    <w:rsid w:val="00A674D5"/>
    <w:rsid w:val="00A70F6C"/>
    <w:rsid w:val="00A71625"/>
    <w:rsid w:val="00A71B9B"/>
    <w:rsid w:val="00A73196"/>
    <w:rsid w:val="00A73B2B"/>
    <w:rsid w:val="00A751C7"/>
    <w:rsid w:val="00A7620A"/>
    <w:rsid w:val="00A77F89"/>
    <w:rsid w:val="00A80008"/>
    <w:rsid w:val="00A806DC"/>
    <w:rsid w:val="00A81166"/>
    <w:rsid w:val="00A83343"/>
    <w:rsid w:val="00A846BB"/>
    <w:rsid w:val="00A84CE5"/>
    <w:rsid w:val="00A855E0"/>
    <w:rsid w:val="00A86D71"/>
    <w:rsid w:val="00A87844"/>
    <w:rsid w:val="00A87ED4"/>
    <w:rsid w:val="00A91432"/>
    <w:rsid w:val="00A9227B"/>
    <w:rsid w:val="00A95940"/>
    <w:rsid w:val="00A97A55"/>
    <w:rsid w:val="00AA038C"/>
    <w:rsid w:val="00AA14C3"/>
    <w:rsid w:val="00AA175D"/>
    <w:rsid w:val="00AA33A6"/>
    <w:rsid w:val="00AA4493"/>
    <w:rsid w:val="00AA6645"/>
    <w:rsid w:val="00AA69AF"/>
    <w:rsid w:val="00AA7A09"/>
    <w:rsid w:val="00AB11AB"/>
    <w:rsid w:val="00AB3B50"/>
    <w:rsid w:val="00AB3E07"/>
    <w:rsid w:val="00AB6D4F"/>
    <w:rsid w:val="00AC05B1"/>
    <w:rsid w:val="00AC39A8"/>
    <w:rsid w:val="00AC3CFD"/>
    <w:rsid w:val="00AC4496"/>
    <w:rsid w:val="00AC450C"/>
    <w:rsid w:val="00AD1CAB"/>
    <w:rsid w:val="00AD340B"/>
    <w:rsid w:val="00AD356C"/>
    <w:rsid w:val="00AE2914"/>
    <w:rsid w:val="00AE2C40"/>
    <w:rsid w:val="00AE42A9"/>
    <w:rsid w:val="00AE6D15"/>
    <w:rsid w:val="00AE7023"/>
    <w:rsid w:val="00AE78AA"/>
    <w:rsid w:val="00AF0EF3"/>
    <w:rsid w:val="00AF1F49"/>
    <w:rsid w:val="00AF293C"/>
    <w:rsid w:val="00AF2D81"/>
    <w:rsid w:val="00AF2E2B"/>
    <w:rsid w:val="00AF3A6E"/>
    <w:rsid w:val="00AF3D10"/>
    <w:rsid w:val="00AF52BE"/>
    <w:rsid w:val="00AF65AC"/>
    <w:rsid w:val="00B0161B"/>
    <w:rsid w:val="00B04182"/>
    <w:rsid w:val="00B05ECF"/>
    <w:rsid w:val="00B0765E"/>
    <w:rsid w:val="00B07AE3"/>
    <w:rsid w:val="00B102D4"/>
    <w:rsid w:val="00B11430"/>
    <w:rsid w:val="00B1163B"/>
    <w:rsid w:val="00B11D05"/>
    <w:rsid w:val="00B124B9"/>
    <w:rsid w:val="00B12A5D"/>
    <w:rsid w:val="00B13378"/>
    <w:rsid w:val="00B14BF6"/>
    <w:rsid w:val="00B156FA"/>
    <w:rsid w:val="00B24214"/>
    <w:rsid w:val="00B242F4"/>
    <w:rsid w:val="00B2477A"/>
    <w:rsid w:val="00B24D1C"/>
    <w:rsid w:val="00B251F2"/>
    <w:rsid w:val="00B27E15"/>
    <w:rsid w:val="00B30072"/>
    <w:rsid w:val="00B30481"/>
    <w:rsid w:val="00B31CE5"/>
    <w:rsid w:val="00B32F29"/>
    <w:rsid w:val="00B3312F"/>
    <w:rsid w:val="00B34DF5"/>
    <w:rsid w:val="00B353EB"/>
    <w:rsid w:val="00B4016F"/>
    <w:rsid w:val="00B407AC"/>
    <w:rsid w:val="00B439C4"/>
    <w:rsid w:val="00B43D91"/>
    <w:rsid w:val="00B44039"/>
    <w:rsid w:val="00B44C68"/>
    <w:rsid w:val="00B4535E"/>
    <w:rsid w:val="00B45C26"/>
    <w:rsid w:val="00B47085"/>
    <w:rsid w:val="00B50B2C"/>
    <w:rsid w:val="00B52093"/>
    <w:rsid w:val="00B52A8C"/>
    <w:rsid w:val="00B52EE1"/>
    <w:rsid w:val="00B5329E"/>
    <w:rsid w:val="00B53A2C"/>
    <w:rsid w:val="00B54707"/>
    <w:rsid w:val="00B56155"/>
    <w:rsid w:val="00B62F11"/>
    <w:rsid w:val="00B63042"/>
    <w:rsid w:val="00B63486"/>
    <w:rsid w:val="00B636A8"/>
    <w:rsid w:val="00B638E8"/>
    <w:rsid w:val="00B64F4F"/>
    <w:rsid w:val="00B665C6"/>
    <w:rsid w:val="00B70B88"/>
    <w:rsid w:val="00B72AD8"/>
    <w:rsid w:val="00B73891"/>
    <w:rsid w:val="00B73B07"/>
    <w:rsid w:val="00B74441"/>
    <w:rsid w:val="00B752E8"/>
    <w:rsid w:val="00B758A5"/>
    <w:rsid w:val="00B77523"/>
    <w:rsid w:val="00B805AF"/>
    <w:rsid w:val="00B81C9C"/>
    <w:rsid w:val="00B82BD5"/>
    <w:rsid w:val="00B85C64"/>
    <w:rsid w:val="00B869EC"/>
    <w:rsid w:val="00B8745B"/>
    <w:rsid w:val="00B90BB4"/>
    <w:rsid w:val="00B92383"/>
    <w:rsid w:val="00B923C0"/>
    <w:rsid w:val="00B9261C"/>
    <w:rsid w:val="00B9397A"/>
    <w:rsid w:val="00B9633D"/>
    <w:rsid w:val="00B967D5"/>
    <w:rsid w:val="00B97E11"/>
    <w:rsid w:val="00BA2EBE"/>
    <w:rsid w:val="00BA6D45"/>
    <w:rsid w:val="00BB00E3"/>
    <w:rsid w:val="00BB0F22"/>
    <w:rsid w:val="00BB0F28"/>
    <w:rsid w:val="00BB247F"/>
    <w:rsid w:val="00BB458A"/>
    <w:rsid w:val="00BB4ACF"/>
    <w:rsid w:val="00BB4B28"/>
    <w:rsid w:val="00BB50A0"/>
    <w:rsid w:val="00BB693F"/>
    <w:rsid w:val="00BB6C11"/>
    <w:rsid w:val="00BB6C33"/>
    <w:rsid w:val="00BC09D2"/>
    <w:rsid w:val="00BC4732"/>
    <w:rsid w:val="00BC5953"/>
    <w:rsid w:val="00BC772F"/>
    <w:rsid w:val="00BC7E85"/>
    <w:rsid w:val="00BD00D3"/>
    <w:rsid w:val="00BD0C9D"/>
    <w:rsid w:val="00BD1659"/>
    <w:rsid w:val="00BD23D7"/>
    <w:rsid w:val="00BD2DCE"/>
    <w:rsid w:val="00BD2E1D"/>
    <w:rsid w:val="00BD3AA9"/>
    <w:rsid w:val="00BD3B25"/>
    <w:rsid w:val="00BD4A18"/>
    <w:rsid w:val="00BD5E05"/>
    <w:rsid w:val="00BD6DB2"/>
    <w:rsid w:val="00BD73A1"/>
    <w:rsid w:val="00BE11CF"/>
    <w:rsid w:val="00BE2055"/>
    <w:rsid w:val="00BE21AB"/>
    <w:rsid w:val="00BE55CB"/>
    <w:rsid w:val="00BE7067"/>
    <w:rsid w:val="00BE7A50"/>
    <w:rsid w:val="00BF3BB2"/>
    <w:rsid w:val="00BF5CDC"/>
    <w:rsid w:val="00BF617A"/>
    <w:rsid w:val="00C01BF4"/>
    <w:rsid w:val="00C0379D"/>
    <w:rsid w:val="00C03931"/>
    <w:rsid w:val="00C04776"/>
    <w:rsid w:val="00C05FE3"/>
    <w:rsid w:val="00C11DA9"/>
    <w:rsid w:val="00C15C72"/>
    <w:rsid w:val="00C2047B"/>
    <w:rsid w:val="00C2136D"/>
    <w:rsid w:val="00C214EE"/>
    <w:rsid w:val="00C21B87"/>
    <w:rsid w:val="00C21E7B"/>
    <w:rsid w:val="00C2226F"/>
    <w:rsid w:val="00C226CB"/>
    <w:rsid w:val="00C22B03"/>
    <w:rsid w:val="00C2314B"/>
    <w:rsid w:val="00C244A0"/>
    <w:rsid w:val="00C24971"/>
    <w:rsid w:val="00C25355"/>
    <w:rsid w:val="00C26462"/>
    <w:rsid w:val="00C26BE5"/>
    <w:rsid w:val="00C26E4D"/>
    <w:rsid w:val="00C27909"/>
    <w:rsid w:val="00C27B03"/>
    <w:rsid w:val="00C30BF0"/>
    <w:rsid w:val="00C314E1"/>
    <w:rsid w:val="00C34397"/>
    <w:rsid w:val="00C35BB4"/>
    <w:rsid w:val="00C35D32"/>
    <w:rsid w:val="00C40503"/>
    <w:rsid w:val="00C4095D"/>
    <w:rsid w:val="00C42914"/>
    <w:rsid w:val="00C439BB"/>
    <w:rsid w:val="00C47074"/>
    <w:rsid w:val="00C506F1"/>
    <w:rsid w:val="00C542A2"/>
    <w:rsid w:val="00C546E6"/>
    <w:rsid w:val="00C57A9C"/>
    <w:rsid w:val="00C601D2"/>
    <w:rsid w:val="00C6166B"/>
    <w:rsid w:val="00C635EF"/>
    <w:rsid w:val="00C64D9F"/>
    <w:rsid w:val="00C65BCC"/>
    <w:rsid w:val="00C66970"/>
    <w:rsid w:val="00C70804"/>
    <w:rsid w:val="00C7198A"/>
    <w:rsid w:val="00C71F4D"/>
    <w:rsid w:val="00C749DE"/>
    <w:rsid w:val="00C77588"/>
    <w:rsid w:val="00C77CEB"/>
    <w:rsid w:val="00C81B33"/>
    <w:rsid w:val="00C8260D"/>
    <w:rsid w:val="00C82706"/>
    <w:rsid w:val="00C849BA"/>
    <w:rsid w:val="00C8691C"/>
    <w:rsid w:val="00C86CB4"/>
    <w:rsid w:val="00C87D89"/>
    <w:rsid w:val="00C9244F"/>
    <w:rsid w:val="00C94BCD"/>
    <w:rsid w:val="00C96295"/>
    <w:rsid w:val="00C96364"/>
    <w:rsid w:val="00C969C9"/>
    <w:rsid w:val="00CA03DF"/>
    <w:rsid w:val="00CA168A"/>
    <w:rsid w:val="00CA2097"/>
    <w:rsid w:val="00CA25BC"/>
    <w:rsid w:val="00CA357E"/>
    <w:rsid w:val="00CA44F9"/>
    <w:rsid w:val="00CA4A69"/>
    <w:rsid w:val="00CB1120"/>
    <w:rsid w:val="00CB4D5C"/>
    <w:rsid w:val="00CB5365"/>
    <w:rsid w:val="00CB722E"/>
    <w:rsid w:val="00CC3E0C"/>
    <w:rsid w:val="00CC43C1"/>
    <w:rsid w:val="00CC49D1"/>
    <w:rsid w:val="00CC51DB"/>
    <w:rsid w:val="00CC58D3"/>
    <w:rsid w:val="00CC684B"/>
    <w:rsid w:val="00CC784D"/>
    <w:rsid w:val="00CD3A78"/>
    <w:rsid w:val="00CD6538"/>
    <w:rsid w:val="00CD76B1"/>
    <w:rsid w:val="00CE1B64"/>
    <w:rsid w:val="00CE3AFA"/>
    <w:rsid w:val="00CE4904"/>
    <w:rsid w:val="00CE4E56"/>
    <w:rsid w:val="00CE6F9B"/>
    <w:rsid w:val="00CF1E15"/>
    <w:rsid w:val="00CF3E27"/>
    <w:rsid w:val="00CF5679"/>
    <w:rsid w:val="00CF646A"/>
    <w:rsid w:val="00CF6D2E"/>
    <w:rsid w:val="00CF7725"/>
    <w:rsid w:val="00CF78D8"/>
    <w:rsid w:val="00CF7DC1"/>
    <w:rsid w:val="00D00A8D"/>
    <w:rsid w:val="00D0311D"/>
    <w:rsid w:val="00D03268"/>
    <w:rsid w:val="00D0337B"/>
    <w:rsid w:val="00D067B2"/>
    <w:rsid w:val="00D07777"/>
    <w:rsid w:val="00D079B2"/>
    <w:rsid w:val="00D10D69"/>
    <w:rsid w:val="00D114E9"/>
    <w:rsid w:val="00D11F3F"/>
    <w:rsid w:val="00D1312E"/>
    <w:rsid w:val="00D17CD8"/>
    <w:rsid w:val="00D17E4B"/>
    <w:rsid w:val="00D21F74"/>
    <w:rsid w:val="00D24D5B"/>
    <w:rsid w:val="00D2527C"/>
    <w:rsid w:val="00D25957"/>
    <w:rsid w:val="00D269C5"/>
    <w:rsid w:val="00D26E1A"/>
    <w:rsid w:val="00D3116C"/>
    <w:rsid w:val="00D313B3"/>
    <w:rsid w:val="00D35B8E"/>
    <w:rsid w:val="00D36FEB"/>
    <w:rsid w:val="00D40F07"/>
    <w:rsid w:val="00D41EC1"/>
    <w:rsid w:val="00D429C6"/>
    <w:rsid w:val="00D47006"/>
    <w:rsid w:val="00D47748"/>
    <w:rsid w:val="00D513F4"/>
    <w:rsid w:val="00D5178F"/>
    <w:rsid w:val="00D518DF"/>
    <w:rsid w:val="00D54CC3"/>
    <w:rsid w:val="00D56D14"/>
    <w:rsid w:val="00D57516"/>
    <w:rsid w:val="00D579A7"/>
    <w:rsid w:val="00D6041A"/>
    <w:rsid w:val="00D61258"/>
    <w:rsid w:val="00D633EB"/>
    <w:rsid w:val="00D65714"/>
    <w:rsid w:val="00D65B65"/>
    <w:rsid w:val="00D7228A"/>
    <w:rsid w:val="00D7296B"/>
    <w:rsid w:val="00D733E8"/>
    <w:rsid w:val="00D736AC"/>
    <w:rsid w:val="00D747AA"/>
    <w:rsid w:val="00D75A7E"/>
    <w:rsid w:val="00D75E8A"/>
    <w:rsid w:val="00D815D6"/>
    <w:rsid w:val="00D82FF7"/>
    <w:rsid w:val="00D835B4"/>
    <w:rsid w:val="00D83C6F"/>
    <w:rsid w:val="00D84271"/>
    <w:rsid w:val="00D8460C"/>
    <w:rsid w:val="00D847FE"/>
    <w:rsid w:val="00D85897"/>
    <w:rsid w:val="00D866D7"/>
    <w:rsid w:val="00D86B9C"/>
    <w:rsid w:val="00D86CDA"/>
    <w:rsid w:val="00D900CD"/>
    <w:rsid w:val="00D90A39"/>
    <w:rsid w:val="00D91872"/>
    <w:rsid w:val="00D964EA"/>
    <w:rsid w:val="00D966D0"/>
    <w:rsid w:val="00DA0C59"/>
    <w:rsid w:val="00DA334B"/>
    <w:rsid w:val="00DA3991"/>
    <w:rsid w:val="00DA47CB"/>
    <w:rsid w:val="00DA5F22"/>
    <w:rsid w:val="00DA72A1"/>
    <w:rsid w:val="00DA7F95"/>
    <w:rsid w:val="00DB01F1"/>
    <w:rsid w:val="00DB27D6"/>
    <w:rsid w:val="00DB3222"/>
    <w:rsid w:val="00DB4589"/>
    <w:rsid w:val="00DB46CA"/>
    <w:rsid w:val="00DB7E6C"/>
    <w:rsid w:val="00DC0E81"/>
    <w:rsid w:val="00DC387A"/>
    <w:rsid w:val="00DC441E"/>
    <w:rsid w:val="00DC4F68"/>
    <w:rsid w:val="00DC5E64"/>
    <w:rsid w:val="00DC6265"/>
    <w:rsid w:val="00DC64B0"/>
    <w:rsid w:val="00DC6B1E"/>
    <w:rsid w:val="00DD1465"/>
    <w:rsid w:val="00DD2054"/>
    <w:rsid w:val="00DD252A"/>
    <w:rsid w:val="00DD3D00"/>
    <w:rsid w:val="00DD5677"/>
    <w:rsid w:val="00DD5949"/>
    <w:rsid w:val="00DD5A29"/>
    <w:rsid w:val="00DD5D9D"/>
    <w:rsid w:val="00DD7333"/>
    <w:rsid w:val="00DD7B0A"/>
    <w:rsid w:val="00DE01C1"/>
    <w:rsid w:val="00DE35CB"/>
    <w:rsid w:val="00DE3B36"/>
    <w:rsid w:val="00DF0EF0"/>
    <w:rsid w:val="00DF1795"/>
    <w:rsid w:val="00DF17A0"/>
    <w:rsid w:val="00DF1C50"/>
    <w:rsid w:val="00DF20E5"/>
    <w:rsid w:val="00DF21E9"/>
    <w:rsid w:val="00DF22C7"/>
    <w:rsid w:val="00DF2BE2"/>
    <w:rsid w:val="00DF5588"/>
    <w:rsid w:val="00DF5CC9"/>
    <w:rsid w:val="00E005D3"/>
    <w:rsid w:val="00E00F14"/>
    <w:rsid w:val="00E01CB8"/>
    <w:rsid w:val="00E02AB5"/>
    <w:rsid w:val="00E04200"/>
    <w:rsid w:val="00E0623F"/>
    <w:rsid w:val="00E06386"/>
    <w:rsid w:val="00E075C5"/>
    <w:rsid w:val="00E0796A"/>
    <w:rsid w:val="00E1051A"/>
    <w:rsid w:val="00E111F3"/>
    <w:rsid w:val="00E114C6"/>
    <w:rsid w:val="00E11668"/>
    <w:rsid w:val="00E118E7"/>
    <w:rsid w:val="00E122B7"/>
    <w:rsid w:val="00E127E8"/>
    <w:rsid w:val="00E150DF"/>
    <w:rsid w:val="00E15730"/>
    <w:rsid w:val="00E16542"/>
    <w:rsid w:val="00E178BC"/>
    <w:rsid w:val="00E21A65"/>
    <w:rsid w:val="00E21B55"/>
    <w:rsid w:val="00E221D3"/>
    <w:rsid w:val="00E226B0"/>
    <w:rsid w:val="00E24EB4"/>
    <w:rsid w:val="00E252D5"/>
    <w:rsid w:val="00E25B94"/>
    <w:rsid w:val="00E30635"/>
    <w:rsid w:val="00E320ED"/>
    <w:rsid w:val="00E33511"/>
    <w:rsid w:val="00E33AFB"/>
    <w:rsid w:val="00E34218"/>
    <w:rsid w:val="00E4008C"/>
    <w:rsid w:val="00E42408"/>
    <w:rsid w:val="00E4555B"/>
    <w:rsid w:val="00E46282"/>
    <w:rsid w:val="00E46930"/>
    <w:rsid w:val="00E50CCB"/>
    <w:rsid w:val="00E51DF0"/>
    <w:rsid w:val="00E5216E"/>
    <w:rsid w:val="00E522E6"/>
    <w:rsid w:val="00E5529C"/>
    <w:rsid w:val="00E55878"/>
    <w:rsid w:val="00E57A17"/>
    <w:rsid w:val="00E64E3A"/>
    <w:rsid w:val="00E657C6"/>
    <w:rsid w:val="00E6692D"/>
    <w:rsid w:val="00E74309"/>
    <w:rsid w:val="00E74D72"/>
    <w:rsid w:val="00E75D40"/>
    <w:rsid w:val="00E81965"/>
    <w:rsid w:val="00E81A88"/>
    <w:rsid w:val="00E82344"/>
    <w:rsid w:val="00E82BDC"/>
    <w:rsid w:val="00E83269"/>
    <w:rsid w:val="00E8326D"/>
    <w:rsid w:val="00E84C82"/>
    <w:rsid w:val="00E84D64"/>
    <w:rsid w:val="00E852B7"/>
    <w:rsid w:val="00E856C8"/>
    <w:rsid w:val="00E85F5D"/>
    <w:rsid w:val="00E87408"/>
    <w:rsid w:val="00E914C4"/>
    <w:rsid w:val="00E91F2C"/>
    <w:rsid w:val="00E93470"/>
    <w:rsid w:val="00E934F5"/>
    <w:rsid w:val="00E94FAC"/>
    <w:rsid w:val="00E95763"/>
    <w:rsid w:val="00E96961"/>
    <w:rsid w:val="00EA4FA1"/>
    <w:rsid w:val="00EA5256"/>
    <w:rsid w:val="00EA5C4D"/>
    <w:rsid w:val="00EA648B"/>
    <w:rsid w:val="00EA7055"/>
    <w:rsid w:val="00EA710D"/>
    <w:rsid w:val="00EA721C"/>
    <w:rsid w:val="00EA72EC"/>
    <w:rsid w:val="00EB11CB"/>
    <w:rsid w:val="00EB1C71"/>
    <w:rsid w:val="00EB275A"/>
    <w:rsid w:val="00EB329C"/>
    <w:rsid w:val="00EB57CA"/>
    <w:rsid w:val="00EB7102"/>
    <w:rsid w:val="00EB786A"/>
    <w:rsid w:val="00EC1578"/>
    <w:rsid w:val="00EC1BFC"/>
    <w:rsid w:val="00EC1C72"/>
    <w:rsid w:val="00EC2F07"/>
    <w:rsid w:val="00EC308D"/>
    <w:rsid w:val="00EC3356"/>
    <w:rsid w:val="00EC3CC9"/>
    <w:rsid w:val="00EC46FC"/>
    <w:rsid w:val="00EC52FB"/>
    <w:rsid w:val="00EC5D85"/>
    <w:rsid w:val="00EC6154"/>
    <w:rsid w:val="00EC680A"/>
    <w:rsid w:val="00ED0B7F"/>
    <w:rsid w:val="00ED2483"/>
    <w:rsid w:val="00ED511C"/>
    <w:rsid w:val="00ED6E97"/>
    <w:rsid w:val="00ED7229"/>
    <w:rsid w:val="00EE18FD"/>
    <w:rsid w:val="00EE25CB"/>
    <w:rsid w:val="00EE2B74"/>
    <w:rsid w:val="00EE2BED"/>
    <w:rsid w:val="00EE374B"/>
    <w:rsid w:val="00EE4A87"/>
    <w:rsid w:val="00EE5181"/>
    <w:rsid w:val="00EE528B"/>
    <w:rsid w:val="00EF15F3"/>
    <w:rsid w:val="00EF1D41"/>
    <w:rsid w:val="00EF2869"/>
    <w:rsid w:val="00EF42A9"/>
    <w:rsid w:val="00EF605B"/>
    <w:rsid w:val="00EF6DC8"/>
    <w:rsid w:val="00EF7349"/>
    <w:rsid w:val="00EF7CA9"/>
    <w:rsid w:val="00F04203"/>
    <w:rsid w:val="00F05D60"/>
    <w:rsid w:val="00F07224"/>
    <w:rsid w:val="00F07FD3"/>
    <w:rsid w:val="00F112FE"/>
    <w:rsid w:val="00F11BB5"/>
    <w:rsid w:val="00F1296C"/>
    <w:rsid w:val="00F12D1F"/>
    <w:rsid w:val="00F1417B"/>
    <w:rsid w:val="00F14A99"/>
    <w:rsid w:val="00F159C6"/>
    <w:rsid w:val="00F1712D"/>
    <w:rsid w:val="00F17A17"/>
    <w:rsid w:val="00F17C30"/>
    <w:rsid w:val="00F208A0"/>
    <w:rsid w:val="00F2115E"/>
    <w:rsid w:val="00F22E80"/>
    <w:rsid w:val="00F23364"/>
    <w:rsid w:val="00F25DD8"/>
    <w:rsid w:val="00F261E0"/>
    <w:rsid w:val="00F267F4"/>
    <w:rsid w:val="00F26868"/>
    <w:rsid w:val="00F274AB"/>
    <w:rsid w:val="00F2761F"/>
    <w:rsid w:val="00F27B3D"/>
    <w:rsid w:val="00F30ABD"/>
    <w:rsid w:val="00F31957"/>
    <w:rsid w:val="00F34B2F"/>
    <w:rsid w:val="00F34B99"/>
    <w:rsid w:val="00F34C7E"/>
    <w:rsid w:val="00F352A5"/>
    <w:rsid w:val="00F375D6"/>
    <w:rsid w:val="00F40B02"/>
    <w:rsid w:val="00F41E81"/>
    <w:rsid w:val="00F42BEA"/>
    <w:rsid w:val="00F47311"/>
    <w:rsid w:val="00F473B9"/>
    <w:rsid w:val="00F47983"/>
    <w:rsid w:val="00F506CC"/>
    <w:rsid w:val="00F508D5"/>
    <w:rsid w:val="00F51720"/>
    <w:rsid w:val="00F51CF2"/>
    <w:rsid w:val="00F52DAB"/>
    <w:rsid w:val="00F543F0"/>
    <w:rsid w:val="00F55E3E"/>
    <w:rsid w:val="00F5746D"/>
    <w:rsid w:val="00F57601"/>
    <w:rsid w:val="00F61F44"/>
    <w:rsid w:val="00F628DB"/>
    <w:rsid w:val="00F63DFB"/>
    <w:rsid w:val="00F63F8D"/>
    <w:rsid w:val="00F653F2"/>
    <w:rsid w:val="00F66940"/>
    <w:rsid w:val="00F67008"/>
    <w:rsid w:val="00F7028B"/>
    <w:rsid w:val="00F70374"/>
    <w:rsid w:val="00F70402"/>
    <w:rsid w:val="00F73F99"/>
    <w:rsid w:val="00F74128"/>
    <w:rsid w:val="00F75F80"/>
    <w:rsid w:val="00F7791C"/>
    <w:rsid w:val="00F77AFB"/>
    <w:rsid w:val="00F77B09"/>
    <w:rsid w:val="00F800F2"/>
    <w:rsid w:val="00F804B5"/>
    <w:rsid w:val="00F8108E"/>
    <w:rsid w:val="00F81D29"/>
    <w:rsid w:val="00F863C8"/>
    <w:rsid w:val="00F90BE5"/>
    <w:rsid w:val="00F9112C"/>
    <w:rsid w:val="00F916A2"/>
    <w:rsid w:val="00F91B1D"/>
    <w:rsid w:val="00F91C4D"/>
    <w:rsid w:val="00F92D11"/>
    <w:rsid w:val="00F92EC5"/>
    <w:rsid w:val="00F92FD9"/>
    <w:rsid w:val="00F94543"/>
    <w:rsid w:val="00F96CEF"/>
    <w:rsid w:val="00F97FE6"/>
    <w:rsid w:val="00FA0803"/>
    <w:rsid w:val="00FA37B1"/>
    <w:rsid w:val="00FA3E0B"/>
    <w:rsid w:val="00FA5B73"/>
    <w:rsid w:val="00FA5C60"/>
    <w:rsid w:val="00FA5EF7"/>
    <w:rsid w:val="00FA6684"/>
    <w:rsid w:val="00FA731E"/>
    <w:rsid w:val="00FA7BD0"/>
    <w:rsid w:val="00FA7F4E"/>
    <w:rsid w:val="00FB0E6D"/>
    <w:rsid w:val="00FB1AF3"/>
    <w:rsid w:val="00FB1DCF"/>
    <w:rsid w:val="00FB2B38"/>
    <w:rsid w:val="00FB4413"/>
    <w:rsid w:val="00FB61CE"/>
    <w:rsid w:val="00FB7A07"/>
    <w:rsid w:val="00FB7E22"/>
    <w:rsid w:val="00FC04CC"/>
    <w:rsid w:val="00FC1C08"/>
    <w:rsid w:val="00FC2066"/>
    <w:rsid w:val="00FC5297"/>
    <w:rsid w:val="00FC6358"/>
    <w:rsid w:val="00FD0240"/>
    <w:rsid w:val="00FD0966"/>
    <w:rsid w:val="00FD1381"/>
    <w:rsid w:val="00FD140F"/>
    <w:rsid w:val="00FD1962"/>
    <w:rsid w:val="00FD320D"/>
    <w:rsid w:val="00FD588D"/>
    <w:rsid w:val="00FD65C5"/>
    <w:rsid w:val="00FE0CBE"/>
    <w:rsid w:val="00FE1B98"/>
    <w:rsid w:val="00FE23DE"/>
    <w:rsid w:val="00FE3966"/>
    <w:rsid w:val="00FE522F"/>
    <w:rsid w:val="00FE79E8"/>
    <w:rsid w:val="00FF1767"/>
    <w:rsid w:val="00FF1801"/>
    <w:rsid w:val="00FF2D9F"/>
    <w:rsid w:val="00FF398A"/>
    <w:rsid w:val="00FF490E"/>
    <w:rsid w:val="00FF6842"/>
    <w:rsid w:val="05EF21A1"/>
    <w:rsid w:val="079D01FB"/>
    <w:rsid w:val="09992B4F"/>
    <w:rsid w:val="0C562890"/>
    <w:rsid w:val="0D38E235"/>
    <w:rsid w:val="0F73136E"/>
    <w:rsid w:val="0FAFB04B"/>
    <w:rsid w:val="0FF57C85"/>
    <w:rsid w:val="139D6BB9"/>
    <w:rsid w:val="15DB40EF"/>
    <w:rsid w:val="1767D6B1"/>
    <w:rsid w:val="1DD45A19"/>
    <w:rsid w:val="1DFF7D25"/>
    <w:rsid w:val="1F75D3A5"/>
    <w:rsid w:val="1F9F3003"/>
    <w:rsid w:val="1FFFAE2D"/>
    <w:rsid w:val="27BF031C"/>
    <w:rsid w:val="27FE2F2C"/>
    <w:rsid w:val="2AE97C01"/>
    <w:rsid w:val="2C4B69D6"/>
    <w:rsid w:val="2CBD9F5F"/>
    <w:rsid w:val="2CF76F97"/>
    <w:rsid w:val="2CFE8D4A"/>
    <w:rsid w:val="2FB730B8"/>
    <w:rsid w:val="2FDB0D8F"/>
    <w:rsid w:val="32FB6AA7"/>
    <w:rsid w:val="33B62BEE"/>
    <w:rsid w:val="33BFF736"/>
    <w:rsid w:val="33FA3A28"/>
    <w:rsid w:val="3599C8DD"/>
    <w:rsid w:val="375FDDC2"/>
    <w:rsid w:val="37A6C57B"/>
    <w:rsid w:val="37B7FF58"/>
    <w:rsid w:val="3AF722F3"/>
    <w:rsid w:val="3AFF9406"/>
    <w:rsid w:val="3B3F6F06"/>
    <w:rsid w:val="3B7F68AC"/>
    <w:rsid w:val="3B9E93DF"/>
    <w:rsid w:val="3D57E32F"/>
    <w:rsid w:val="3DDE9BAF"/>
    <w:rsid w:val="3E7EF197"/>
    <w:rsid w:val="3EDE1BB1"/>
    <w:rsid w:val="3EFB1DB8"/>
    <w:rsid w:val="3EFB7FD4"/>
    <w:rsid w:val="3F3D0F20"/>
    <w:rsid w:val="3F67DBA5"/>
    <w:rsid w:val="3F7C9BC3"/>
    <w:rsid w:val="3FBD5000"/>
    <w:rsid w:val="3FBF5D73"/>
    <w:rsid w:val="3FE9A7AC"/>
    <w:rsid w:val="3FF70BCE"/>
    <w:rsid w:val="420513C7"/>
    <w:rsid w:val="43FDE53A"/>
    <w:rsid w:val="476ECBCE"/>
    <w:rsid w:val="47F6C479"/>
    <w:rsid w:val="49FFBCD1"/>
    <w:rsid w:val="4AAC6171"/>
    <w:rsid w:val="4B71676C"/>
    <w:rsid w:val="4DAD9334"/>
    <w:rsid w:val="4F091F69"/>
    <w:rsid w:val="4F3F45F6"/>
    <w:rsid w:val="4FBB545E"/>
    <w:rsid w:val="4FDF4E72"/>
    <w:rsid w:val="4FFF0DB5"/>
    <w:rsid w:val="5113A3E6"/>
    <w:rsid w:val="533BF6A3"/>
    <w:rsid w:val="53E79478"/>
    <w:rsid w:val="54DD9C18"/>
    <w:rsid w:val="54E2BC8B"/>
    <w:rsid w:val="558F0890"/>
    <w:rsid w:val="55F77175"/>
    <w:rsid w:val="563FDEF7"/>
    <w:rsid w:val="56DFFEEC"/>
    <w:rsid w:val="573D91A5"/>
    <w:rsid w:val="577F314B"/>
    <w:rsid w:val="57E65CEF"/>
    <w:rsid w:val="57EE4F15"/>
    <w:rsid w:val="5B779545"/>
    <w:rsid w:val="5BFF275D"/>
    <w:rsid w:val="5C7F916C"/>
    <w:rsid w:val="5CFF162A"/>
    <w:rsid w:val="5DD766D5"/>
    <w:rsid w:val="5E6D3E03"/>
    <w:rsid w:val="5E7FE5F5"/>
    <w:rsid w:val="5EDFA317"/>
    <w:rsid w:val="5EFF192E"/>
    <w:rsid w:val="5F96AD82"/>
    <w:rsid w:val="5FFF0195"/>
    <w:rsid w:val="62043757"/>
    <w:rsid w:val="6708693E"/>
    <w:rsid w:val="67778059"/>
    <w:rsid w:val="677FCC00"/>
    <w:rsid w:val="67B269E1"/>
    <w:rsid w:val="67FDFE93"/>
    <w:rsid w:val="696D6253"/>
    <w:rsid w:val="69D6DFBA"/>
    <w:rsid w:val="69F72B26"/>
    <w:rsid w:val="69FFCD53"/>
    <w:rsid w:val="6A3B2F63"/>
    <w:rsid w:val="6AD7FF6B"/>
    <w:rsid w:val="6ADF7671"/>
    <w:rsid w:val="6B6B7328"/>
    <w:rsid w:val="6BB39A26"/>
    <w:rsid w:val="6BD88A2B"/>
    <w:rsid w:val="6BFE1C62"/>
    <w:rsid w:val="6DB5B855"/>
    <w:rsid w:val="6DF52337"/>
    <w:rsid w:val="6DFE146D"/>
    <w:rsid w:val="6DFF4B42"/>
    <w:rsid w:val="6EEAD219"/>
    <w:rsid w:val="6EFD3B07"/>
    <w:rsid w:val="6EFF2E5E"/>
    <w:rsid w:val="6FAD9749"/>
    <w:rsid w:val="6FBA42B4"/>
    <w:rsid w:val="6FD7B0B5"/>
    <w:rsid w:val="6FDEAE97"/>
    <w:rsid w:val="6FE9AEA2"/>
    <w:rsid w:val="6FEA8ED1"/>
    <w:rsid w:val="6FEE44A7"/>
    <w:rsid w:val="6FFD6E8B"/>
    <w:rsid w:val="6FFDB687"/>
    <w:rsid w:val="6FFFE098"/>
    <w:rsid w:val="70730722"/>
    <w:rsid w:val="70EE5EE2"/>
    <w:rsid w:val="72FB70F1"/>
    <w:rsid w:val="737E96E8"/>
    <w:rsid w:val="739747B2"/>
    <w:rsid w:val="739F9445"/>
    <w:rsid w:val="73B0708C"/>
    <w:rsid w:val="74FDC74A"/>
    <w:rsid w:val="753EE6A4"/>
    <w:rsid w:val="77172C76"/>
    <w:rsid w:val="772FDA8F"/>
    <w:rsid w:val="775B867F"/>
    <w:rsid w:val="776224E9"/>
    <w:rsid w:val="7797B49A"/>
    <w:rsid w:val="779CC16D"/>
    <w:rsid w:val="77E6585D"/>
    <w:rsid w:val="77FADCBD"/>
    <w:rsid w:val="77FF8ED9"/>
    <w:rsid w:val="78F72EEE"/>
    <w:rsid w:val="79FABEFA"/>
    <w:rsid w:val="7A67EF8D"/>
    <w:rsid w:val="7AD7FE8E"/>
    <w:rsid w:val="7AE465A1"/>
    <w:rsid w:val="7AFE460A"/>
    <w:rsid w:val="7B2E7468"/>
    <w:rsid w:val="7B754E89"/>
    <w:rsid w:val="7BBF537A"/>
    <w:rsid w:val="7BF7B5C2"/>
    <w:rsid w:val="7BF94B27"/>
    <w:rsid w:val="7BFBB6AA"/>
    <w:rsid w:val="7C7D3FFE"/>
    <w:rsid w:val="7CBF5F98"/>
    <w:rsid w:val="7CBF9B3E"/>
    <w:rsid w:val="7D3C5567"/>
    <w:rsid w:val="7DAF05AF"/>
    <w:rsid w:val="7DBF0504"/>
    <w:rsid w:val="7DBF0F72"/>
    <w:rsid w:val="7DCF3DB2"/>
    <w:rsid w:val="7DDF7735"/>
    <w:rsid w:val="7DE2E095"/>
    <w:rsid w:val="7DEF4C1E"/>
    <w:rsid w:val="7DF2A819"/>
    <w:rsid w:val="7DF74146"/>
    <w:rsid w:val="7E6F1C94"/>
    <w:rsid w:val="7E7FAC07"/>
    <w:rsid w:val="7EB4A636"/>
    <w:rsid w:val="7ECFD765"/>
    <w:rsid w:val="7EF355FC"/>
    <w:rsid w:val="7EF779CC"/>
    <w:rsid w:val="7EF9499A"/>
    <w:rsid w:val="7EFC7AF1"/>
    <w:rsid w:val="7EFE3239"/>
    <w:rsid w:val="7EFF6756"/>
    <w:rsid w:val="7EFF797E"/>
    <w:rsid w:val="7EFFF026"/>
    <w:rsid w:val="7F37F7CF"/>
    <w:rsid w:val="7F6F81FA"/>
    <w:rsid w:val="7F7266CA"/>
    <w:rsid w:val="7F7D4F8E"/>
    <w:rsid w:val="7F7DCB60"/>
    <w:rsid w:val="7FAF1470"/>
    <w:rsid w:val="7FB2DF7C"/>
    <w:rsid w:val="7FBCCCEA"/>
    <w:rsid w:val="7FBFC0DD"/>
    <w:rsid w:val="7FCCA4B1"/>
    <w:rsid w:val="7FD4E9F5"/>
    <w:rsid w:val="7FDB11CA"/>
    <w:rsid w:val="7FDB836B"/>
    <w:rsid w:val="7FEEA032"/>
    <w:rsid w:val="7FEEA86E"/>
    <w:rsid w:val="7FF92048"/>
    <w:rsid w:val="7FFB4E7A"/>
    <w:rsid w:val="7FFB5DD5"/>
    <w:rsid w:val="7FFD17A9"/>
    <w:rsid w:val="7FFEC333"/>
    <w:rsid w:val="7FFFAFFA"/>
    <w:rsid w:val="81BD603A"/>
    <w:rsid w:val="833660D6"/>
    <w:rsid w:val="8DBE7178"/>
    <w:rsid w:val="8F7D9335"/>
    <w:rsid w:val="8FBD8D77"/>
    <w:rsid w:val="8FF4D365"/>
    <w:rsid w:val="937C206C"/>
    <w:rsid w:val="97CCD87F"/>
    <w:rsid w:val="97FE3827"/>
    <w:rsid w:val="9DF9290B"/>
    <w:rsid w:val="9EFF3FFB"/>
    <w:rsid w:val="9F1B76A6"/>
    <w:rsid w:val="9FBEE8DF"/>
    <w:rsid w:val="A77F80F6"/>
    <w:rsid w:val="AB6D9400"/>
    <w:rsid w:val="ABBEB137"/>
    <w:rsid w:val="ABEB428A"/>
    <w:rsid w:val="ADDE544D"/>
    <w:rsid w:val="AE7B9104"/>
    <w:rsid w:val="AFDB5A65"/>
    <w:rsid w:val="B57FE334"/>
    <w:rsid w:val="B77F7704"/>
    <w:rsid w:val="B7BB56F4"/>
    <w:rsid w:val="B7BF3AB2"/>
    <w:rsid w:val="B7BFAF8A"/>
    <w:rsid w:val="B7FF0DE6"/>
    <w:rsid w:val="B93FD85C"/>
    <w:rsid w:val="B9E9F78A"/>
    <w:rsid w:val="BB3F5CDC"/>
    <w:rsid w:val="BC37073E"/>
    <w:rsid w:val="BCBBA337"/>
    <w:rsid w:val="BDD174DE"/>
    <w:rsid w:val="BDEF0AEE"/>
    <w:rsid w:val="BE02BF0C"/>
    <w:rsid w:val="BF7D82FD"/>
    <w:rsid w:val="BF7FFF7E"/>
    <w:rsid w:val="BFA1EE48"/>
    <w:rsid w:val="BFB7DAE3"/>
    <w:rsid w:val="BFBD70F4"/>
    <w:rsid w:val="BFDF0083"/>
    <w:rsid w:val="BFE71372"/>
    <w:rsid w:val="BFFB15C7"/>
    <w:rsid w:val="BFFB75AD"/>
    <w:rsid w:val="BFFD2DA5"/>
    <w:rsid w:val="BFFFC2B0"/>
    <w:rsid w:val="C9BFC4D6"/>
    <w:rsid w:val="CDCFAF12"/>
    <w:rsid w:val="CEDFBA6F"/>
    <w:rsid w:val="CFB7EE96"/>
    <w:rsid w:val="D25F8569"/>
    <w:rsid w:val="D2B64FCB"/>
    <w:rsid w:val="D3D68468"/>
    <w:rsid w:val="D5DC7D5E"/>
    <w:rsid w:val="D6F7F4DB"/>
    <w:rsid w:val="D7B77660"/>
    <w:rsid w:val="D7EB0A69"/>
    <w:rsid w:val="DA8F4610"/>
    <w:rsid w:val="DBBF2FC3"/>
    <w:rsid w:val="DBE75EEF"/>
    <w:rsid w:val="DBFF9462"/>
    <w:rsid w:val="DCEF9F68"/>
    <w:rsid w:val="DDCD0931"/>
    <w:rsid w:val="DDFAF110"/>
    <w:rsid w:val="DDFD52E3"/>
    <w:rsid w:val="DEFE36AD"/>
    <w:rsid w:val="DF5BFCE6"/>
    <w:rsid w:val="DF6F963E"/>
    <w:rsid w:val="DFBF4DBD"/>
    <w:rsid w:val="DFD79D38"/>
    <w:rsid w:val="DFFB88E6"/>
    <w:rsid w:val="DFFEE07B"/>
    <w:rsid w:val="DFFF0762"/>
    <w:rsid w:val="E343B524"/>
    <w:rsid w:val="E5EE9231"/>
    <w:rsid w:val="E67B9927"/>
    <w:rsid w:val="E6FFCB01"/>
    <w:rsid w:val="E73BF4DB"/>
    <w:rsid w:val="E76F8F8A"/>
    <w:rsid w:val="E7EF7E4B"/>
    <w:rsid w:val="E7F722C1"/>
    <w:rsid w:val="EB6B48CC"/>
    <w:rsid w:val="EB6C5D8C"/>
    <w:rsid w:val="EB8F7345"/>
    <w:rsid w:val="EBF768CD"/>
    <w:rsid w:val="ED5F3299"/>
    <w:rsid w:val="EDBB8CB1"/>
    <w:rsid w:val="EE7DB44B"/>
    <w:rsid w:val="EEFFCF49"/>
    <w:rsid w:val="EFBA08A2"/>
    <w:rsid w:val="EFEB2558"/>
    <w:rsid w:val="EFFB5C0E"/>
    <w:rsid w:val="F17B7F64"/>
    <w:rsid w:val="F1BF8669"/>
    <w:rsid w:val="F29E486B"/>
    <w:rsid w:val="F3B3EFE9"/>
    <w:rsid w:val="F3EF62F9"/>
    <w:rsid w:val="F3F610E8"/>
    <w:rsid w:val="F4FE9A81"/>
    <w:rsid w:val="F54D0CE5"/>
    <w:rsid w:val="F573956A"/>
    <w:rsid w:val="F5F20176"/>
    <w:rsid w:val="F67B0ABF"/>
    <w:rsid w:val="F6B95964"/>
    <w:rsid w:val="F6BF7577"/>
    <w:rsid w:val="F6EB2CF1"/>
    <w:rsid w:val="F6EB752B"/>
    <w:rsid w:val="F77AA5A5"/>
    <w:rsid w:val="F7F84421"/>
    <w:rsid w:val="F97B622B"/>
    <w:rsid w:val="F9AFE6BE"/>
    <w:rsid w:val="F9BA05C4"/>
    <w:rsid w:val="F9CFE892"/>
    <w:rsid w:val="FAD72985"/>
    <w:rsid w:val="FB7EA7F8"/>
    <w:rsid w:val="FBBF4FC8"/>
    <w:rsid w:val="FBED8A57"/>
    <w:rsid w:val="FBFB4D0E"/>
    <w:rsid w:val="FBFF9506"/>
    <w:rsid w:val="FD3DB9DB"/>
    <w:rsid w:val="FD7D9541"/>
    <w:rsid w:val="FDBE1B81"/>
    <w:rsid w:val="FDBF4B64"/>
    <w:rsid w:val="FDD9968C"/>
    <w:rsid w:val="FE663A46"/>
    <w:rsid w:val="FE7F0C93"/>
    <w:rsid w:val="FEAF9BB6"/>
    <w:rsid w:val="FEDF50F3"/>
    <w:rsid w:val="FEFA60CE"/>
    <w:rsid w:val="FEFAE6B9"/>
    <w:rsid w:val="FEFF0509"/>
    <w:rsid w:val="FF138AB5"/>
    <w:rsid w:val="FF375CF0"/>
    <w:rsid w:val="FF536948"/>
    <w:rsid w:val="FF5F29BB"/>
    <w:rsid w:val="FF7F5FC5"/>
    <w:rsid w:val="FF7F8FDF"/>
    <w:rsid w:val="FF8F9B6E"/>
    <w:rsid w:val="FF9FD13C"/>
    <w:rsid w:val="FFADBEE6"/>
    <w:rsid w:val="FFAF5DE1"/>
    <w:rsid w:val="FFB94EBE"/>
    <w:rsid w:val="FFDE9411"/>
    <w:rsid w:val="FFED728A"/>
    <w:rsid w:val="FFEFF83A"/>
    <w:rsid w:val="FFF7E621"/>
    <w:rsid w:val="FFFAC1C2"/>
    <w:rsid w:val="FFFB32C0"/>
    <w:rsid w:val="FFFD1C5A"/>
    <w:rsid w:val="FFFDAC22"/>
    <w:rsid w:val="FFFDF998"/>
    <w:rsid w:val="FFFEA11A"/>
    <w:rsid w:val="FFFF666E"/>
    <w:rsid w:val="FFFF9D0D"/>
    <w:rsid w:val="FFFFAF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7"/>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4">
    <w:name w:val="heading 3"/>
    <w:basedOn w:val="1"/>
    <w:next w:val="1"/>
    <w:link w:val="153"/>
    <w:semiHidden/>
    <w:unhideWhenUsed/>
    <w:qFormat/>
    <w:uiPriority w:val="0"/>
    <w:pPr>
      <w:keepNext/>
      <w:keepLines/>
      <w:spacing w:before="40"/>
      <w:outlineLvl w:val="2"/>
    </w:pPr>
    <w:rPr>
      <w:rFonts w:asciiTheme="majorHAnsi" w:hAnsiTheme="majorHAnsi" w:eastAsiaTheme="majorEastAsia" w:cstheme="majorBidi"/>
      <w:color w:val="254061" w:themeColor="accent1" w:themeShade="80"/>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toc 7"/>
    <w:basedOn w:val="1"/>
    <w:next w:val="1"/>
    <w:semiHidden/>
    <w:qFormat/>
    <w:uiPriority w:val="0"/>
    <w:pPr>
      <w:ind w:left="1260"/>
      <w:jc w:val="left"/>
    </w:pPr>
    <w:rPr>
      <w:rFonts w:asciiTheme="minorHAnsi" w:hAnsiTheme="minorHAnsi" w:cstheme="minorHAnsi"/>
      <w:sz w:val="20"/>
      <w:szCs w:val="20"/>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49"/>
    <w:unhideWhenUsed/>
    <w:qFormat/>
    <w:uiPriority w:val="0"/>
    <w:rPr>
      <w:sz w:val="20"/>
      <w:szCs w:val="20"/>
    </w:r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ind w:left="840"/>
      <w:jc w:val="left"/>
    </w:pPr>
    <w:rPr>
      <w:rFonts w:asciiTheme="minorHAnsi" w:hAnsiTheme="minorHAnsi" w:cstheme="minorHAnsi"/>
      <w:sz w:val="20"/>
      <w:szCs w:val="20"/>
    </w:rPr>
  </w:style>
  <w:style w:type="paragraph" w:styleId="14">
    <w:name w:val="toc 3"/>
    <w:basedOn w:val="1"/>
    <w:next w:val="1"/>
    <w:qFormat/>
    <w:uiPriority w:val="39"/>
    <w:pPr>
      <w:ind w:left="420"/>
      <w:jc w:val="left"/>
    </w:pPr>
    <w:rPr>
      <w:rFonts w:asciiTheme="minorHAnsi" w:hAnsiTheme="minorHAnsi" w:cstheme="minorHAnsi"/>
      <w:sz w:val="20"/>
      <w:szCs w:val="20"/>
    </w:rPr>
  </w:style>
  <w:style w:type="paragraph" w:styleId="15">
    <w:name w:val="toc 8"/>
    <w:basedOn w:val="1"/>
    <w:next w:val="1"/>
    <w:semiHidden/>
    <w:qFormat/>
    <w:uiPriority w:val="0"/>
    <w:pPr>
      <w:ind w:left="1470"/>
      <w:jc w:val="left"/>
    </w:pPr>
    <w:rPr>
      <w:rFonts w:asciiTheme="minorHAnsi" w:hAnsiTheme="minorHAnsi" w:cstheme="minorHAnsi"/>
      <w:sz w:val="20"/>
      <w:szCs w:val="20"/>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Date"/>
    <w:basedOn w:val="1"/>
    <w:next w:val="1"/>
    <w:link w:val="145"/>
    <w:qFormat/>
    <w:uiPriority w:val="0"/>
  </w:style>
  <w:style w:type="paragraph" w:styleId="18">
    <w:name w:val="endnote text"/>
    <w:basedOn w:val="1"/>
    <w:semiHidden/>
    <w:qFormat/>
    <w:uiPriority w:val="0"/>
    <w:pPr>
      <w:snapToGrid w:val="0"/>
      <w:jc w:val="left"/>
    </w:pPr>
  </w:style>
  <w:style w:type="paragraph" w:styleId="19">
    <w:name w:val="Balloon Text"/>
    <w:basedOn w:val="1"/>
    <w:link w:val="144"/>
    <w:qFormat/>
    <w:uiPriority w:val="0"/>
    <w:rPr>
      <w:sz w:val="18"/>
      <w:szCs w:val="18"/>
    </w:r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qFormat/>
    <w:uiPriority w:val="39"/>
    <w:pPr>
      <w:spacing w:before="120"/>
      <w:jc w:val="left"/>
    </w:pPr>
    <w:rPr>
      <w:rFonts w:asciiTheme="minorHAnsi" w:hAnsiTheme="minorHAnsi" w:cstheme="minorHAnsi"/>
      <w:b/>
      <w:bCs/>
      <w:i/>
      <w:iCs/>
      <w:sz w:val="24"/>
    </w:rPr>
  </w:style>
  <w:style w:type="paragraph" w:styleId="23">
    <w:name w:val="toc 4"/>
    <w:basedOn w:val="1"/>
    <w:next w:val="1"/>
    <w:semiHidden/>
    <w:qFormat/>
    <w:uiPriority w:val="0"/>
    <w:pPr>
      <w:ind w:left="630"/>
      <w:jc w:val="left"/>
    </w:pPr>
    <w:rPr>
      <w:rFonts w:asciiTheme="minorHAnsi" w:hAnsiTheme="minorHAnsi" w:cstheme="minorHAnsi"/>
      <w:sz w:val="20"/>
      <w:szCs w:val="20"/>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1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ind w:left="1050"/>
      <w:jc w:val="left"/>
    </w:pPr>
    <w:rPr>
      <w:rFonts w:asciiTheme="minorHAnsi" w:hAnsiTheme="minorHAnsi" w:cstheme="minorHAnsi"/>
      <w:sz w:val="20"/>
      <w:szCs w:val="20"/>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spacing w:before="120"/>
      <w:ind w:left="210"/>
      <w:jc w:val="left"/>
    </w:pPr>
    <w:rPr>
      <w:rFonts w:asciiTheme="minorHAnsi" w:hAnsiTheme="minorHAnsi" w:cstheme="minorHAnsi"/>
      <w:b/>
      <w:bCs/>
      <w:sz w:val="22"/>
      <w:szCs w:val="22"/>
    </w:rPr>
  </w:style>
  <w:style w:type="paragraph" w:styleId="32">
    <w:name w:val="toc 9"/>
    <w:basedOn w:val="1"/>
    <w:next w:val="1"/>
    <w:semiHidden/>
    <w:qFormat/>
    <w:uiPriority w:val="0"/>
    <w:pPr>
      <w:ind w:left="1680"/>
      <w:jc w:val="left"/>
    </w:pPr>
    <w:rPr>
      <w:rFonts w:asciiTheme="minorHAnsi" w:hAnsiTheme="minorHAnsi" w:cstheme="minorHAnsi"/>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10"/>
    <w:next w:val="10"/>
    <w:link w:val="150"/>
    <w:semiHidden/>
    <w:unhideWhenUsed/>
    <w:qFormat/>
    <w:uiPriority w:val="0"/>
    <w:rPr>
      <w:b/>
      <w:bCs/>
    </w:rPr>
  </w:style>
  <w:style w:type="table" w:styleId="36">
    <w:name w:val="Table Grid"/>
    <w:basedOn w:val="35"/>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qFormat/>
    <w:uiPriority w:val="99"/>
    <w:rPr>
      <w:color w:val="0000FF"/>
      <w:spacing w:val="0"/>
      <w:w w:val="100"/>
      <w:szCs w:val="21"/>
      <w:u w:val="single"/>
    </w:rPr>
  </w:style>
  <w:style w:type="character" w:styleId="42">
    <w:name w:val="annotation reference"/>
    <w:basedOn w:val="37"/>
    <w:semiHidden/>
    <w:unhideWhenUsed/>
    <w:qFormat/>
    <w:uiPriority w:val="0"/>
    <w:rPr>
      <w:sz w:val="16"/>
      <w:szCs w:val="16"/>
    </w:rPr>
  </w:style>
  <w:style w:type="character" w:styleId="43">
    <w:name w:val="footnote reference"/>
    <w:semiHidden/>
    <w:qFormat/>
    <w:uiPriority w:val="0"/>
    <w:rPr>
      <w:vertAlign w:val="superscript"/>
    </w:rPr>
  </w:style>
  <w:style w:type="paragraph" w:customStyle="1" w:styleId="44">
    <w:name w:val="一级条标题"/>
    <w:next w:val="2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6"/>
    <w:qFormat/>
    <w:uiPriority w:val="0"/>
    <w:pPr>
      <w:numPr>
        <w:ilvl w:val="2"/>
      </w:numPr>
      <w:spacing w:before="50" w:after="50"/>
      <w:outlineLvl w:val="3"/>
    </w:pPr>
  </w:style>
  <w:style w:type="paragraph" w:customStyle="1" w:styleId="49">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6"/>
    <w:link w:val="1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6"/>
    <w:qFormat/>
    <w:uiPriority w:val="0"/>
    <w:pPr>
      <w:numPr>
        <w:ilvl w:val="3"/>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7">
    <w:name w:val="四级条标题"/>
    <w:basedOn w:val="53"/>
    <w:next w:val="26"/>
    <w:qFormat/>
    <w:uiPriority w:val="0"/>
    <w:pPr>
      <w:numPr>
        <w:ilvl w:val="4"/>
      </w:numPr>
      <w:outlineLvl w:val="5"/>
    </w:pPr>
  </w:style>
  <w:style w:type="paragraph" w:customStyle="1" w:styleId="58">
    <w:name w:val="五级条标题"/>
    <w:basedOn w:val="57"/>
    <w:next w:val="26"/>
    <w:qFormat/>
    <w:uiPriority w:val="0"/>
    <w:pPr>
      <w:numPr>
        <w:ilvl w:val="5"/>
      </w:numPr>
      <w:outlineLvl w:val="6"/>
    </w:pPr>
  </w:style>
  <w:style w:type="paragraph" w:customStyle="1" w:styleId="59">
    <w:name w:val="注："/>
    <w:next w:val="26"/>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6"/>
    <w:qFormat/>
    <w:uiPriority w:val="0"/>
    <w:pPr>
      <w:numPr>
        <w:numId w:val="9"/>
      </w:numPr>
      <w:ind w:left="726" w:hanging="363"/>
    </w:pPr>
  </w:style>
  <w:style w:type="paragraph" w:customStyle="1" w:styleId="67">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wrap="around" w:vAnchor="margin" w:hAnchor="text" w:y="1"/>
      <w:spacing w:before="370" w:line="400" w:lineRule="exact"/>
    </w:pPr>
    <w:rPr>
      <w:rFonts w:ascii="Times New Roman"/>
      <w:sz w:val="28"/>
      <w:szCs w:val="28"/>
    </w:rPr>
  </w:style>
  <w:style w:type="paragraph" w:customStyle="1" w:styleId="81">
    <w:name w:val="封面一致性程度标识"/>
    <w:basedOn w:val="80"/>
    <w:qFormat/>
    <w:uiPriority w:val="0"/>
    <w:pPr>
      <w:framePr w:wrap="around"/>
      <w:spacing w:before="440"/>
    </w:pPr>
    <w:rPr>
      <w:rFonts w:ascii="宋体" w:eastAsia="宋体"/>
    </w:rPr>
  </w:style>
  <w:style w:type="paragraph" w:customStyle="1" w:styleId="82">
    <w:name w:val="封面标准文稿类别"/>
    <w:basedOn w:val="81"/>
    <w:qFormat/>
    <w:uiPriority w:val="0"/>
    <w:pPr>
      <w:framePr w:wrap="around"/>
      <w:spacing w:after="160" w:line="240" w:lineRule="auto"/>
    </w:pPr>
    <w:rPr>
      <w:sz w:val="24"/>
    </w:rPr>
  </w:style>
  <w:style w:type="paragraph" w:customStyle="1" w:styleId="83">
    <w:name w:val="封面标准文稿编辑信息"/>
    <w:basedOn w:val="82"/>
    <w:qFormat/>
    <w:uiPriority w:val="0"/>
    <w:pPr>
      <w:framePr w:wrap="around"/>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6"/>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6"/>
    <w:next w:val="26"/>
    <w:qFormat/>
    <w:uiPriority w:val="0"/>
    <w:pPr>
      <w:ind w:firstLine="0" w:firstLineChars="0"/>
      <w:jc w:val="center"/>
    </w:pPr>
    <w:rPr>
      <w:rFonts w:ascii="黑体" w:eastAsia="黑体"/>
    </w:rPr>
  </w:style>
  <w:style w:type="paragraph" w:customStyle="1" w:styleId="87">
    <w:name w:val="附录表标号"/>
    <w:basedOn w:val="1"/>
    <w:next w:val="26"/>
    <w:qFormat/>
    <w:uiPriority w:val="0"/>
    <w:pPr>
      <w:numPr>
        <w:ilvl w:val="0"/>
        <w:numId w:val="12"/>
      </w:numPr>
      <w:spacing w:line="14" w:lineRule="exact"/>
      <w:jc w:val="center"/>
      <w:outlineLvl w:val="0"/>
    </w:pPr>
    <w:rPr>
      <w:color w:val="FFFFFF"/>
    </w:rPr>
  </w:style>
  <w:style w:type="paragraph" w:customStyle="1" w:styleId="88">
    <w:name w:val="附录表标题"/>
    <w:basedOn w:val="1"/>
    <w:next w:val="26"/>
    <w:qFormat/>
    <w:uiPriority w:val="0"/>
    <w:pPr>
      <w:numPr>
        <w:ilvl w:val="1"/>
        <w:numId w:val="12"/>
      </w:numPr>
      <w:tabs>
        <w:tab w:val="left" w:pos="0"/>
        <w:tab w:val="left" w:pos="180"/>
      </w:tabs>
      <w:spacing w:beforeLines="50" w:afterLines="50"/>
      <w:jc w:val="center"/>
    </w:pPr>
    <w:rPr>
      <w:rFonts w:ascii="黑体" w:eastAsia="黑体"/>
      <w:szCs w:val="21"/>
    </w:rPr>
  </w:style>
  <w:style w:type="paragraph" w:customStyle="1" w:styleId="89">
    <w:name w:val="附录二级条标题"/>
    <w:basedOn w:val="1"/>
    <w:next w:val="26"/>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6"/>
    <w:next w:val="26"/>
    <w:link w:val="139"/>
    <w:qFormat/>
    <w:uiPriority w:val="0"/>
  </w:style>
  <w:style w:type="paragraph" w:customStyle="1" w:styleId="92">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9"/>
    <w:next w:val="26"/>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3"/>
      </w:numPr>
      <w:tabs>
        <w:tab w:val="left" w:pos="839"/>
        <w:tab w:val="clear" w:pos="840"/>
      </w:tabs>
    </w:pPr>
    <w:rPr>
      <w:rFonts w:ascii="宋体" w:hAnsi="Times New Roman" w:eastAsia="宋体" w:cs="Times New Roman"/>
      <w:sz w:val="21"/>
      <w:lang w:val="en-US" w:eastAsia="zh-CN" w:bidi="ar-SA"/>
    </w:rPr>
  </w:style>
  <w:style w:type="paragraph" w:customStyle="1" w:styleId="96">
    <w:name w:val="附录四级条标题"/>
    <w:basedOn w:val="93"/>
    <w:next w:val="26"/>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9">
    <w:name w:val="附录图标题"/>
    <w:basedOn w:val="1"/>
    <w:next w:val="26"/>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6"/>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6"/>
    <w:qFormat/>
    <w:uiPriority w:val="0"/>
    <w:pPr>
      <w:numPr>
        <w:ilvl w:val="1"/>
        <w:numId w:val="11"/>
      </w:numPr>
      <w:tabs>
        <w:tab w:val="left" w:pos="360"/>
      </w:tabs>
      <w:wordWrap w:val="0"/>
      <w:overflowPunct w:val="0"/>
      <w:autoSpaceDE w:val="0"/>
      <w:spacing w:beforeLines="100" w:afterLines="100"/>
      <w:ind w:left="142"/>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6"/>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8"/>
    <w:qFormat/>
    <w:uiPriority w:val="0"/>
    <w:pPr>
      <w:framePr w:w="6101" w:wrap="around"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5"/>
    <w:qFormat/>
    <w:uiPriority w:val="0"/>
    <w:pPr>
      <w:framePr w:wrap="around" w:y="15310"/>
      <w:spacing w:line="0" w:lineRule="atLeast"/>
    </w:pPr>
    <w:rPr>
      <w:rFonts w:ascii="黑体" w:eastAsia="黑体"/>
      <w:b w:val="0"/>
    </w:rPr>
  </w:style>
  <w:style w:type="paragraph" w:customStyle="1" w:styleId="112">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3"/>
    <w:qFormat/>
    <w:uiPriority w:val="0"/>
    <w:pPr>
      <w:spacing w:beforeLines="0" w:afterLines="0"/>
    </w:pPr>
    <w:rPr>
      <w:rFonts w:ascii="宋体" w:eastAsia="宋体"/>
    </w:rPr>
  </w:style>
  <w:style w:type="paragraph" w:customStyle="1" w:styleId="114">
    <w:name w:val="实施日期"/>
    <w:qFormat/>
    <w:uiPriority w:val="0"/>
    <w:pPr>
      <w:jc w:val="right"/>
    </w:pPr>
    <w:rPr>
      <w:rFonts w:ascii="Times New Roman" w:hAnsi="Times New Roman" w:eastAsia="黑体" w:cs="Times New Roman"/>
      <w:sz w:val="28"/>
      <w:lang w:val="en-US" w:eastAsia="zh-CN" w:bidi="ar-SA"/>
    </w:rPr>
  </w:style>
  <w:style w:type="paragraph" w:customStyle="1" w:styleId="115">
    <w:name w:val="示例后文字"/>
    <w:basedOn w:val="26"/>
    <w:next w:val="26"/>
    <w:qFormat/>
    <w:uiPriority w:val="0"/>
    <w:pPr>
      <w:ind w:firstLine="360"/>
    </w:pPr>
    <w:rPr>
      <w:sz w:val="18"/>
    </w:rPr>
  </w:style>
  <w:style w:type="paragraph" w:customStyle="1" w:styleId="116">
    <w:name w:val="首示例"/>
    <w:next w:val="26"/>
    <w:link w:val="140"/>
    <w:qFormat/>
    <w:uiPriority w:val="0"/>
    <w:pPr>
      <w:tabs>
        <w:tab w:val="left" w:pos="360"/>
      </w:tabs>
    </w:pPr>
    <w:rPr>
      <w:rFonts w:ascii="宋体" w:hAnsi="宋体" w:eastAsia="宋体" w:cs="Times New Roman"/>
      <w:kern w:val="2"/>
      <w:sz w:val="18"/>
      <w:szCs w:val="18"/>
      <w:lang w:val="en-US" w:eastAsia="zh-CN" w:bidi="ar-SA"/>
    </w:rPr>
  </w:style>
  <w:style w:type="paragraph" w:customStyle="1" w:styleId="117">
    <w:name w:val="四级无"/>
    <w:basedOn w:val="57"/>
    <w:qFormat/>
    <w:uiPriority w:val="0"/>
    <w:pPr>
      <w:spacing w:beforeLines="0" w:afterLines="0"/>
    </w:pPr>
    <w:rPr>
      <w:rFonts w:ascii="宋体" w:eastAsia="宋体"/>
    </w:rPr>
  </w:style>
  <w:style w:type="paragraph" w:customStyle="1" w:styleId="118">
    <w:name w:val="条文脚注"/>
    <w:basedOn w:val="27"/>
    <w:qFormat/>
    <w:uiPriority w:val="0"/>
    <w:pPr>
      <w:numPr>
        <w:numId w:val="0"/>
      </w:numPr>
      <w:jc w:val="both"/>
    </w:pPr>
  </w:style>
  <w:style w:type="paragraph" w:customStyle="1" w:styleId="119">
    <w:name w:val="图标脚注说明"/>
    <w:basedOn w:val="26"/>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8"/>
    <w:qFormat/>
    <w:uiPriority w:val="0"/>
    <w:pPr>
      <w:spacing w:beforeLines="0" w:afterLines="0"/>
    </w:pPr>
    <w:rPr>
      <w:rFonts w:ascii="宋体" w:eastAsia="宋体"/>
    </w:rPr>
  </w:style>
  <w:style w:type="paragraph" w:customStyle="1" w:styleId="124">
    <w:name w:val="一级无"/>
    <w:basedOn w:val="44"/>
    <w:qFormat/>
    <w:uiPriority w:val="0"/>
    <w:pPr>
      <w:spacing w:beforeLines="0" w:afterLines="0"/>
    </w:pPr>
    <w:rPr>
      <w:rFonts w:ascii="宋体" w:eastAsia="宋体"/>
    </w:rPr>
  </w:style>
  <w:style w:type="paragraph" w:customStyle="1" w:styleId="125">
    <w:name w:val="正文表标题"/>
    <w:next w:val="26"/>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6"/>
    <w:next w:val="26"/>
    <w:qFormat/>
    <w:uiPriority w:val="0"/>
    <w:pPr>
      <w:ind w:firstLine="0" w:firstLineChars="0"/>
    </w:pPr>
  </w:style>
  <w:style w:type="paragraph" w:customStyle="1" w:styleId="127">
    <w:name w:val="正文图标题"/>
    <w:next w:val="2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qFormat/>
    <w:uiPriority w:val="0"/>
    <w:rPr>
      <w:rFonts w:ascii="Times New Roman" w:hAnsi="Times New Roman" w:eastAsia="黑体" w:cs="Times New Roman"/>
      <w:sz w:val="28"/>
      <w:lang w:val="en-US" w:eastAsia="zh-CN" w:bidi="ar-SA"/>
    </w:rPr>
  </w:style>
  <w:style w:type="paragraph" w:customStyle="1" w:styleId="130">
    <w:name w:val="其他实施日期"/>
    <w:basedOn w:val="114"/>
    <w:qFormat/>
    <w:uiPriority w:val="0"/>
    <w:pPr>
      <w:framePr w:wrap="around" w:vAnchor="margin" w:hAnchor="text" w:y="1"/>
    </w:pPr>
  </w:style>
  <w:style w:type="paragraph" w:customStyle="1" w:styleId="131">
    <w:name w:val="封面标准名称2"/>
    <w:basedOn w:val="79"/>
    <w:qFormat/>
    <w:uiPriority w:val="0"/>
    <w:pPr>
      <w:framePr w:wrap="around" w:vAnchor="margin" w:hAnchor="text" w:y="4469"/>
      <w:spacing w:beforeLines="630"/>
    </w:pPr>
  </w:style>
  <w:style w:type="paragraph" w:customStyle="1" w:styleId="132">
    <w:name w:val="封面标准英文名称2"/>
    <w:basedOn w:val="80"/>
    <w:qFormat/>
    <w:uiPriority w:val="0"/>
    <w:pPr>
      <w:framePr w:wrap="around" w:y="4469"/>
    </w:pPr>
  </w:style>
  <w:style w:type="paragraph" w:customStyle="1" w:styleId="133">
    <w:name w:val="封面一致性程度标识2"/>
    <w:basedOn w:val="81"/>
    <w:qFormat/>
    <w:uiPriority w:val="0"/>
    <w:pPr>
      <w:framePr w:wrap="around" w:y="4469"/>
    </w:pPr>
  </w:style>
  <w:style w:type="paragraph" w:customStyle="1" w:styleId="134">
    <w:name w:val="封面标准文稿类别2"/>
    <w:basedOn w:val="82"/>
    <w:qFormat/>
    <w:uiPriority w:val="0"/>
    <w:pPr>
      <w:framePr w:wrap="around" w:y="4469"/>
    </w:pPr>
  </w:style>
  <w:style w:type="paragraph" w:customStyle="1" w:styleId="135">
    <w:name w:val="封面标准文稿编辑信息2"/>
    <w:basedOn w:val="83"/>
    <w:qFormat/>
    <w:uiPriority w:val="0"/>
    <w:pPr>
      <w:framePr w:wrap="around" w:y="4469"/>
    </w:pPr>
  </w:style>
  <w:style w:type="paragraph" w:customStyle="1" w:styleId="136">
    <w:name w:val="标准名称"/>
    <w:basedOn w:val="52"/>
    <w:link w:val="143"/>
    <w:qFormat/>
    <w:uiPriority w:val="0"/>
  </w:style>
  <w:style w:type="character" w:customStyle="1" w:styleId="137">
    <w:name w:val="段 Char"/>
    <w:link w:val="26"/>
    <w:qFormat/>
    <w:uiPriority w:val="0"/>
    <w:rPr>
      <w:rFonts w:ascii="宋体"/>
      <w:sz w:val="21"/>
      <w:lang w:val="en-US" w:eastAsia="zh-CN" w:bidi="ar-SA"/>
    </w:rPr>
  </w:style>
  <w:style w:type="character" w:customStyle="1" w:styleId="138">
    <w:name w:val="发布"/>
    <w:qFormat/>
    <w:uiPriority w:val="0"/>
    <w:rPr>
      <w:rFonts w:ascii="黑体" w:eastAsia="黑体"/>
      <w:spacing w:val="85"/>
      <w:w w:val="100"/>
      <w:position w:val="3"/>
      <w:sz w:val="28"/>
      <w:szCs w:val="28"/>
    </w:rPr>
  </w:style>
  <w:style w:type="character" w:customStyle="1" w:styleId="139">
    <w:name w:val="附录公式 Char"/>
    <w:basedOn w:val="137"/>
    <w:link w:val="91"/>
    <w:qFormat/>
    <w:uiPriority w:val="0"/>
    <w:rPr>
      <w:rFonts w:ascii="宋体"/>
      <w:sz w:val="21"/>
      <w:lang w:val="en-US" w:eastAsia="zh-CN" w:bidi="ar-SA"/>
    </w:rPr>
  </w:style>
  <w:style w:type="character" w:customStyle="1" w:styleId="140">
    <w:name w:val="首示例 Char"/>
    <w:link w:val="116"/>
    <w:qFormat/>
    <w:uiPriority w:val="0"/>
    <w:rPr>
      <w:rFonts w:ascii="宋体" w:hAnsi="宋体"/>
      <w:kern w:val="2"/>
      <w:sz w:val="18"/>
      <w:szCs w:val="18"/>
    </w:rPr>
  </w:style>
  <w:style w:type="character" w:customStyle="1" w:styleId="141">
    <w:name w:val="Placeholder Text1"/>
    <w:basedOn w:val="37"/>
    <w:semiHidden/>
    <w:qFormat/>
    <w:uiPriority w:val="99"/>
    <w:rPr>
      <w:color w:val="808080"/>
    </w:rPr>
  </w:style>
  <w:style w:type="character" w:customStyle="1" w:styleId="142">
    <w:name w:val="目次、标准名称标题 Char"/>
    <w:basedOn w:val="37"/>
    <w:link w:val="52"/>
    <w:qFormat/>
    <w:uiPriority w:val="0"/>
    <w:rPr>
      <w:rFonts w:ascii="黑体" w:eastAsia="黑体"/>
      <w:sz w:val="32"/>
      <w:shd w:val="clear" w:color="FFFFFF" w:fill="FFFFFF"/>
    </w:rPr>
  </w:style>
  <w:style w:type="character" w:customStyle="1" w:styleId="143">
    <w:name w:val="标准名称 Char"/>
    <w:basedOn w:val="142"/>
    <w:link w:val="136"/>
    <w:qFormat/>
    <w:uiPriority w:val="0"/>
    <w:rPr>
      <w:rFonts w:ascii="黑体" w:eastAsia="黑体"/>
      <w:sz w:val="32"/>
      <w:shd w:val="clear" w:color="FFFFFF" w:fill="FFFFFF"/>
    </w:rPr>
  </w:style>
  <w:style w:type="character" w:customStyle="1" w:styleId="144">
    <w:name w:val="批注框文本 Char"/>
    <w:basedOn w:val="37"/>
    <w:link w:val="19"/>
    <w:qFormat/>
    <w:uiPriority w:val="0"/>
    <w:rPr>
      <w:kern w:val="2"/>
      <w:sz w:val="18"/>
      <w:szCs w:val="18"/>
    </w:rPr>
  </w:style>
  <w:style w:type="character" w:customStyle="1" w:styleId="145">
    <w:name w:val="日期 Char"/>
    <w:basedOn w:val="37"/>
    <w:link w:val="17"/>
    <w:qFormat/>
    <w:uiPriority w:val="0"/>
    <w:rPr>
      <w:kern w:val="2"/>
      <w:sz w:val="21"/>
      <w:szCs w:val="24"/>
    </w:rPr>
  </w:style>
  <w:style w:type="character" w:styleId="146">
    <w:name w:val="Placeholder Text"/>
    <w:basedOn w:val="37"/>
    <w:semiHidden/>
    <w:qFormat/>
    <w:uiPriority w:val="99"/>
    <w:rPr>
      <w:color w:val="808080"/>
    </w:rPr>
  </w:style>
  <w:style w:type="character" w:customStyle="1" w:styleId="147">
    <w:name w:val="标题 1 Char"/>
    <w:basedOn w:val="37"/>
    <w:link w:val="3"/>
    <w:qFormat/>
    <w:uiPriority w:val="0"/>
    <w:rPr>
      <w:rFonts w:asciiTheme="majorHAnsi" w:hAnsiTheme="majorHAnsi" w:eastAsiaTheme="majorEastAsia" w:cstheme="majorBidi"/>
      <w:color w:val="376092" w:themeColor="accent1" w:themeShade="BF"/>
      <w:kern w:val="2"/>
      <w:sz w:val="32"/>
      <w:szCs w:val="32"/>
    </w:rPr>
  </w:style>
  <w:style w:type="paragraph" w:customStyle="1" w:styleId="148">
    <w:name w:val="TOC 标题1"/>
    <w:basedOn w:val="3"/>
    <w:next w:val="1"/>
    <w:unhideWhenUsed/>
    <w:qFormat/>
    <w:uiPriority w:val="39"/>
    <w:pPr>
      <w:widowControl/>
      <w:spacing w:before="480" w:line="276" w:lineRule="auto"/>
      <w:jc w:val="left"/>
      <w:outlineLvl w:val="9"/>
    </w:pPr>
    <w:rPr>
      <w:b/>
      <w:bCs/>
      <w:kern w:val="0"/>
      <w:sz w:val="28"/>
      <w:szCs w:val="28"/>
      <w:lang w:eastAsia="en-US"/>
    </w:rPr>
  </w:style>
  <w:style w:type="character" w:customStyle="1" w:styleId="149">
    <w:name w:val="批注文字 Char"/>
    <w:basedOn w:val="37"/>
    <w:link w:val="10"/>
    <w:qFormat/>
    <w:uiPriority w:val="0"/>
    <w:rPr>
      <w:kern w:val="2"/>
    </w:rPr>
  </w:style>
  <w:style w:type="character" w:customStyle="1" w:styleId="150">
    <w:name w:val="批注主题 Char"/>
    <w:basedOn w:val="149"/>
    <w:link w:val="34"/>
    <w:semiHidden/>
    <w:qFormat/>
    <w:uiPriority w:val="0"/>
    <w:rPr>
      <w:b/>
      <w:bCs/>
      <w:kern w:val="2"/>
    </w:rPr>
  </w:style>
  <w:style w:type="character" w:customStyle="1" w:styleId="151">
    <w:name w:val="未处理的提及1"/>
    <w:basedOn w:val="37"/>
    <w:semiHidden/>
    <w:unhideWhenUsed/>
    <w:qFormat/>
    <w:uiPriority w:val="99"/>
    <w:rPr>
      <w:color w:val="605E5C"/>
      <w:shd w:val="clear" w:color="auto" w:fill="E1DFDD"/>
    </w:rPr>
  </w:style>
  <w:style w:type="paragraph" w:customStyle="1" w:styleId="152">
    <w:name w:val="3级标题"/>
    <w:basedOn w:val="4"/>
    <w:qFormat/>
    <w:uiPriority w:val="0"/>
    <w:pPr>
      <w:spacing w:before="156" w:beforeLines="50" w:after="156" w:afterLines="50"/>
    </w:pPr>
    <w:rPr>
      <w:rFonts w:ascii="黑体" w:hAnsi="黑体"/>
      <w:b/>
      <w:color w:val="000000" w:themeColor="text1"/>
      <w:sz w:val="21"/>
      <w14:textFill>
        <w14:solidFill>
          <w14:schemeClr w14:val="tx1"/>
        </w14:solidFill>
      </w14:textFill>
    </w:rPr>
  </w:style>
  <w:style w:type="character" w:customStyle="1" w:styleId="153">
    <w:name w:val="标题 3 Char"/>
    <w:basedOn w:val="37"/>
    <w:link w:val="4"/>
    <w:semiHidden/>
    <w:qFormat/>
    <w:uiPriority w:val="0"/>
    <w:rPr>
      <w:rFonts w:asciiTheme="majorHAnsi" w:hAnsiTheme="majorHAnsi" w:eastAsiaTheme="majorEastAsia" w:cstheme="majorBidi"/>
      <w:color w:val="254061" w:themeColor="accent1" w:themeShade="80"/>
      <w:kern w:val="2"/>
      <w:sz w:val="24"/>
      <w:szCs w:val="24"/>
    </w:rPr>
  </w:style>
  <w:style w:type="paragraph" w:customStyle="1" w:styleId="154">
    <w:name w:val="修订1"/>
    <w:hidden/>
    <w:semiHidden/>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qFormat/>
    <w:uiPriority w:val="99"/>
    <w:pPr>
      <w:ind w:left="720"/>
      <w:contextualSpacing/>
    </w:pPr>
  </w:style>
  <w:style w:type="character" w:customStyle="1" w:styleId="156">
    <w:name w:val="未处理的提及2"/>
    <w:basedOn w:val="37"/>
    <w:semiHidden/>
    <w:unhideWhenUsed/>
    <w:qFormat/>
    <w:uiPriority w:val="99"/>
    <w:rPr>
      <w:color w:val="605E5C"/>
      <w:shd w:val="clear" w:color="auto" w:fill="E1DFDD"/>
    </w:rPr>
  </w:style>
  <w:style w:type="paragraph" w:customStyle="1" w:styleId="157">
    <w:name w:val="RegSectionLevel2"/>
    <w:basedOn w:val="1"/>
    <w:qFormat/>
    <w:uiPriority w:val="0"/>
    <w:pPr>
      <w:keepNext/>
      <w:widowControl/>
      <w:numPr>
        <w:ilvl w:val="1"/>
        <w:numId w:val="18"/>
      </w:numPr>
      <w:jc w:val="left"/>
    </w:pPr>
    <w:rPr>
      <w:rFonts w:eastAsia="MS Mincho"/>
      <w:b/>
      <w:kern w:val="0"/>
      <w:sz w:val="22"/>
      <w:szCs w:val="22"/>
      <w:lang w:val="en-GB" w:eastAsia="de-DE"/>
    </w:rPr>
  </w:style>
  <w:style w:type="paragraph" w:customStyle="1" w:styleId="158">
    <w:name w:val="RegSectionLevel3"/>
    <w:basedOn w:val="1"/>
    <w:qFormat/>
    <w:uiPriority w:val="0"/>
    <w:pPr>
      <w:keepNext/>
      <w:widowControl/>
      <w:numPr>
        <w:ilvl w:val="2"/>
        <w:numId w:val="18"/>
      </w:numPr>
      <w:autoSpaceDE w:val="0"/>
      <w:autoSpaceDN w:val="0"/>
      <w:adjustRightInd w:val="0"/>
      <w:jc w:val="left"/>
    </w:pPr>
    <w:rPr>
      <w:rFonts w:eastAsia="MS Mincho"/>
      <w:b/>
      <w:bCs/>
      <w:kern w:val="0"/>
      <w:sz w:val="22"/>
      <w:szCs w:val="22"/>
      <w:lang w:eastAsia="de-DE"/>
    </w:rPr>
  </w:style>
  <w:style w:type="paragraph" w:customStyle="1" w:styleId="159">
    <w:name w:val="标准文件_段"/>
    <w:link w:val="16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0">
    <w:name w:val="标准文件_段 Char"/>
    <w:link w:val="159"/>
    <w:qFormat/>
    <w:uiPriority w:val="0"/>
    <w:rPr>
      <w:rFonts w:ascii="宋体"/>
      <w:sz w:val="21"/>
    </w:rPr>
  </w:style>
  <w:style w:type="paragraph" w:customStyle="1" w:styleId="161">
    <w:name w:val="报告表格"/>
    <w:qFormat/>
    <w:uiPriority w:val="0"/>
    <w:pPr>
      <w:jc w:val="center"/>
    </w:pPr>
    <w:rPr>
      <w:rFonts w:ascii="Times New Roman" w:hAnsi="Times New Roman" w:eastAsia="宋体" w:cs="Times New Roman"/>
      <w:szCs w:val="24"/>
      <w:lang w:val="en-US" w:eastAsia="zh-CN" w:bidi="ar-SA"/>
    </w:rPr>
  </w:style>
  <w:style w:type="paragraph" w:customStyle="1" w:styleId="162">
    <w:name w:val="2Bullet List"/>
    <w:qFormat/>
    <w:uiPriority w:val="0"/>
    <w:rPr>
      <w:rFonts w:ascii="Times New Roman" w:hAnsi="Times New Roman" w:eastAsia="MS Mincho" w:cs="Times New Roman"/>
      <w:snapToGrid w:val="0"/>
      <w:sz w:val="24"/>
      <w:lang w:val="en-US" w:eastAsia="en-US" w:bidi="ar-SA"/>
    </w:rPr>
  </w:style>
  <w:style w:type="paragraph" w:customStyle="1" w:styleId="163">
    <w:name w:val="标准文件_正文表标题"/>
    <w:next w:val="159"/>
    <w:qFormat/>
    <w:uiPriority w:val="0"/>
    <w:pPr>
      <w:numPr>
        <w:ilvl w:val="0"/>
        <w:numId w:val="19"/>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6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6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66">
    <w:name w:val="修订4"/>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26</Pages>
  <Words>2421</Words>
  <Characters>13803</Characters>
  <Lines>115</Lines>
  <Paragraphs>32</Paragraphs>
  <TotalTime>114</TotalTime>
  <ScaleCrop>false</ScaleCrop>
  <LinksUpToDate>false</LinksUpToDate>
  <CharactersWithSpaces>16192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2023-10-26T01:27:00Z</dcterms:created>
  <dc:creator>CNIS</dc:creator>
  <cp:lastModifiedBy>白</cp:lastModifiedBy>
  <cp:lastPrinted>2022-07-21T15:38:00Z</cp:lastPrinted>
  <dcterms:modified xsi:type="dcterms:W3CDTF">2023-11-07T06:26:41Z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2314E96F589E40439100897248EE82F7_13</vt:lpwstr>
  </property>
</Properties>
</file>