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FBD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37EEB2">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5DAD915">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r>
            <w:bookmarkStart w:id="0" w:name="ICS"/>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13.020.30</w:t>
            </w:r>
            <w:r>
              <w:rPr>
                <w:rFonts w:ascii="黑体" w:hAnsi="黑体" w:eastAsia="黑体"/>
                <w:sz w:val="21"/>
                <w:szCs w:val="21"/>
              </w:rPr>
              <w:fldChar w:fldCharType="end"/>
            </w:r>
            <w:bookmarkEnd w:id="0"/>
          </w:p>
        </w:tc>
      </w:tr>
      <w:tr w14:paraId="6ACB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AF422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1462BD0">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r>
            <w:bookmarkStart w:id="1" w:name="CSDN"/>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Z02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CB048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74A139F6">
            <w:pPr>
              <w:pStyle w:val="52"/>
              <w:framePr w:w="0" w:hRule="auto" w:wrap="auto" w:vAnchor="margin" w:hAnchor="text" w:xAlign="left" w:yAlign="inline"/>
              <w:rPr>
                <w:rFonts w:ascii="宋体" w:hAnsi="宋体"/>
                <w:sz w:val="28"/>
                <w:szCs w:val="28"/>
              </w:rPr>
            </w:pPr>
            <w:r>
              <w:rPr>
                <w:lang w:bidi="ar-SA"/>
              </w:rPr>
              <w:drawing>
                <wp:inline distT="0" distB="0" distL="0" distR="0">
                  <wp:extent cx="796290" cy="397510"/>
                  <wp:effectExtent l="0" t="0" r="3810"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34"/>
                          <a:stretch>
                            <a:fillRect/>
                          </a:stretch>
                        </pic:blipFill>
                        <pic:spPr>
                          <a:xfrm>
                            <a:off x="0" y="0"/>
                            <a:ext cx="813958" cy="406373"/>
                          </a:xfrm>
                          <a:prstGeom prst="rect">
                            <a:avLst/>
                          </a:prstGeom>
                        </pic:spPr>
                      </pic:pic>
                    </a:graphicData>
                  </a:graphic>
                </wp:inline>
              </w:drawing>
            </w:r>
            <w:r>
              <w:rPr>
                <w:sz w:val="21"/>
              </w:rPr>
              <w:t xml:space="preserve"> </w:t>
            </w:r>
            <w:r>
              <w:fldChar w:fldCharType="begin"/>
            </w:r>
            <w:bookmarkStart w:id="2" w:name="c1"/>
            <w:r>
              <w:instrText xml:space="preserve">FORMTEXT</w:instrText>
            </w:r>
            <w:r>
              <w:fldChar w:fldCharType="separate"/>
            </w:r>
            <w:r>
              <w:rPr>
                <w:rFonts w:hint="eastAsia"/>
              </w:rPr>
              <w:t>11</w:t>
            </w:r>
            <w:r>
              <w:fldChar w:fldCharType="end"/>
            </w:r>
            <w:bookmarkEnd w:id="2"/>
          </w:p>
        </w:tc>
      </w:tr>
    </w:tbl>
    <w:p w14:paraId="0D7A65B1">
      <w:pPr>
        <w:pStyle w:val="53"/>
        <w:framePr w:w="9639" w:h="624" w:hRule="exact" w:hSpace="181" w:vSpace="181" w:wrap="around" w:vAnchor="margin" w:hAnchor="page" w:x="1305" w:y="2269"/>
        <w:rPr>
          <w:rFonts w:ascii="黑体" w:hAnsi="黑体" w:eastAsia="黑体"/>
          <w:b w:val="0"/>
          <w:sz w:val="48"/>
          <w:szCs w:val="48"/>
        </w:rPr>
      </w:pPr>
      <w:r>
        <w:rPr>
          <w:rFonts w:ascii="黑体" w:eastAsia="黑体"/>
          <w:b w:val="0"/>
          <w:w w:val="100"/>
          <w:sz w:val="48"/>
        </w:rPr>
        <w:fldChar w:fldCharType="begin"/>
      </w:r>
      <w:bookmarkStart w:id="3" w:name="c2"/>
      <w:r>
        <w:rPr>
          <w:rFonts w:ascii="黑体" w:eastAsia="黑体"/>
          <w:b w:val="0"/>
          <w:w w:val="100"/>
          <w:sz w:val="48"/>
        </w:rPr>
        <w:instrText xml:space="preserve">FORMTEXT</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3"/>
      <w:r>
        <w:rPr>
          <w:rFonts w:hint="eastAsia" w:ascii="黑体" w:hAnsi="黑体" w:eastAsia="黑体"/>
          <w:b w:val="0"/>
          <w:w w:val="100"/>
          <w:sz w:val="48"/>
          <w:szCs w:val="48"/>
        </w:rPr>
        <w:t>地方标准</w:t>
      </w:r>
    </w:p>
    <w:p w14:paraId="18A6D0C3">
      <w:pPr>
        <w:pStyle w:val="198"/>
        <w:rPr>
          <w:lang w:val="fr-FR"/>
        </w:rPr>
      </w:pPr>
      <w:r>
        <w:rPr>
          <w:lang w:val="fr-FR"/>
        </w:rPr>
        <w:t>DB</w:t>
      </w:r>
      <w:r>
        <w:rPr>
          <w:sz w:val="15"/>
          <w:szCs w:val="15"/>
          <w:lang w:val="fr-FR"/>
        </w:rPr>
        <w:t xml:space="preserve"> </w:t>
      </w:r>
      <w:r>
        <w:fldChar w:fldCharType="begin"/>
      </w:r>
      <w:bookmarkStart w:id="4" w:name="文字1"/>
      <w:r>
        <w:rPr>
          <w:lang w:val="fr-FR"/>
        </w:rPr>
        <w:instrText xml:space="preserve">FORMTEXT</w:instrText>
      </w:r>
      <w:r>
        <w:fldChar w:fldCharType="separate"/>
      </w:r>
      <w:r>
        <w:rPr>
          <w:rFonts w:hint="eastAsia"/>
          <w:lang w:val="fr-FR"/>
        </w:rPr>
        <w:t>11</w:t>
      </w:r>
      <w:r>
        <w:rPr>
          <w:lang w:val="fr-FR"/>
        </w:rPr>
        <w:t>/T</w:t>
      </w:r>
      <w:r>
        <w:fldChar w:fldCharType="end"/>
      </w:r>
      <w:bookmarkEnd w:id="4"/>
      <w:r>
        <w:rPr>
          <w:lang w:val="fr-FR"/>
        </w:rPr>
        <w:t xml:space="preserve"> </w:t>
      </w:r>
      <w:r>
        <w:fldChar w:fldCharType="begin"/>
      </w:r>
      <w:bookmarkStart w:id="5" w:name="NSTD_CODE_F"/>
      <w:r>
        <w:rPr>
          <w:lang w:val="fr-FR"/>
        </w:rPr>
        <w:instrText xml:space="preserve">FORMTEXT</w:instrText>
      </w:r>
      <w:r>
        <w:fldChar w:fldCharType="separate"/>
      </w:r>
      <w:r>
        <w:t>XXXX</w:t>
      </w:r>
      <w:r>
        <w:fldChar w:fldCharType="end"/>
      </w:r>
      <w:bookmarkEnd w:id="5"/>
      <w:r>
        <w:rPr>
          <w:rFonts w:hAnsi="黑体"/>
          <w:lang w:val="fr-FR"/>
        </w:rPr>
        <w:t>—</w:t>
      </w:r>
      <w:r>
        <w:fldChar w:fldCharType="begin"/>
      </w:r>
      <w:bookmarkStart w:id="6" w:name="NSTD_CODE_B"/>
      <w:r>
        <w:rPr>
          <w:lang w:val="fr-FR"/>
        </w:rPr>
        <w:instrText xml:space="preserve">FORMTEXT</w:instrText>
      </w:r>
      <w:r>
        <w:fldChar w:fldCharType="separate"/>
      </w:r>
      <w:r>
        <w:t>XXXX</w:t>
      </w:r>
      <w:r>
        <w:fldChar w:fldCharType="end"/>
      </w:r>
      <w:bookmarkEnd w:id="6"/>
    </w:p>
    <w:p w14:paraId="5D3A031B">
      <w:pPr>
        <w:pStyle w:val="199"/>
        <w:rPr>
          <w:rFonts w:hAnsi="黑体"/>
        </w:rPr>
      </w:pPr>
      <w:r>
        <w:rPr>
          <w:rFonts w:hAnsi="黑体"/>
        </w:rPr>
        <w:fldChar w:fldCharType="begin"/>
      </w:r>
      <w:bookmarkStart w:id="7" w:name="OSTD_CODE"/>
      <w:r>
        <w:rPr>
          <w:rFonts w:hAnsi="黑体"/>
        </w:rPr>
        <w:instrText xml:space="preserve">FORMTEXT</w:instrText>
      </w:r>
      <w:r>
        <w:rPr>
          <w:rFonts w:hAnsi="黑体"/>
        </w:rPr>
        <w:fldChar w:fldCharType="separate"/>
      </w:r>
      <w:r>
        <w:rPr>
          <w:rFonts w:hint="eastAsia" w:hAnsi="黑体"/>
        </w:rPr>
        <w:t xml:space="preserve">     </w:t>
      </w:r>
      <w:r>
        <w:rPr>
          <w:rFonts w:hAnsi="黑体"/>
        </w:rPr>
        <w:fldChar w:fldCharType="end"/>
      </w:r>
      <w:bookmarkEnd w:id="7"/>
      <w:r>
        <w:rPr>
          <w:rFonts w:hint="eastAsia" w:hAnsi="黑体"/>
        </w:rPr>
        <w:t>代替D</w:t>
      </w:r>
      <w:r>
        <w:rPr>
          <w:rFonts w:hAnsi="黑体"/>
        </w:rPr>
        <w:t xml:space="preserve">B 11/T </w:t>
      </w:r>
      <w:r>
        <w:rPr>
          <w:rFonts w:hint="eastAsia" w:hAnsi="黑体"/>
        </w:rPr>
        <w:t>1</w:t>
      </w:r>
      <w:r>
        <w:rPr>
          <w:rFonts w:hAnsi="黑体"/>
        </w:rPr>
        <w:t>820-2021</w:t>
      </w:r>
    </w:p>
    <w:p w14:paraId="572F5B5B">
      <w:pPr>
        <w:spacing w:line="240" w:lineRule="auto"/>
        <w:rPr>
          <w:rFonts w:ascii="黑体" w:hAnsi="黑体" w:eastAsia="黑体"/>
          <w:kern w:val="0"/>
          <w:sz w:val="10"/>
          <w:szCs w:val="10"/>
        </w:rPr>
      </w:pPr>
      <w:r>
        <w:rPr>
          <w:lang w:bidi="ar-SA"/>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2700655</wp:posOffset>
                </wp:positionV>
                <wp:extent cx="6120130" cy="0"/>
                <wp:effectExtent l="0" t="0" r="0" b="0"/>
                <wp:wrapNone/>
                <wp:docPr id="4" name="直接连接符 73"/>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eDSZbYAAAADAEAAA8AAAAAAAAAAQAgAAAAIgAAAGRycy9k&#10;b3ducmV2LnhtbFBLAQIUABQAAAAIAIdO4kCFcVcwyQEAAHkDAAAOAAAAAAAAAAEAIAAAACcBAABk&#10;cnMvZTJvRG9jLnhtbFBLBQYAAAAABgAGAFkBAABiBQAAAAA=&#10;">
                <v:fill on="f" focussize="0,0"/>
                <v:stroke color="#000000" joinstyle="round"/>
                <v:imagedata o:title=""/>
                <o:lock v:ext="edit" aspectratio="f"/>
              </v:line>
            </w:pict>
          </mc:Fallback>
        </mc:AlternateContent>
      </w:r>
    </w:p>
    <w:p w14:paraId="11F77F72">
      <w:pPr>
        <w:pStyle w:val="200"/>
        <w:framePr w:h="6974" w:hRule="exact" w:wrap="around" w:x="1435" w:y="5217" w:anchorLock="1"/>
      </w:pPr>
      <w:r>
        <w:rPr>
          <w:rFonts w:hint="eastAsia"/>
        </w:rPr>
        <w:t>街区层面控制性详细规划环境影响评价</w:t>
      </w:r>
    </w:p>
    <w:p w14:paraId="4BFED226">
      <w:pPr>
        <w:pStyle w:val="200"/>
        <w:framePr w:h="6974" w:hRule="exact" w:wrap="around" w:x="1435" w:y="5217" w:anchorLock="1"/>
      </w:pPr>
      <w:r>
        <w:rPr>
          <w:rFonts w:hint="eastAsia"/>
        </w:rPr>
        <w:t>技术指南</w:t>
      </w:r>
    </w:p>
    <w:p w14:paraId="6434F542">
      <w:pPr>
        <w:framePr w:w="9639" w:h="6974" w:hRule="exact" w:wrap="around" w:vAnchor="page" w:hAnchor="page" w:x="1395" w:y="6720" w:anchorLock="1"/>
        <w:ind w:left="-1418"/>
      </w:pPr>
    </w:p>
    <w:p w14:paraId="69DDA075">
      <w:pPr>
        <w:pStyle w:val="128"/>
        <w:framePr w:w="9639" w:h="6974" w:hRule="exact" w:wrap="around" w:vAnchor="page" w:hAnchor="page" w:x="1395" w:y="6720" w:anchorLock="1"/>
        <w:rPr>
          <w:rFonts w:ascii="黑体" w:hAnsi="黑体" w:eastAsia="黑体"/>
          <w:szCs w:val="28"/>
        </w:rPr>
      </w:pPr>
      <w:r>
        <w:rPr>
          <w:rFonts w:ascii="黑体" w:hAnsi="黑体" w:eastAsia="黑体"/>
          <w:szCs w:val="28"/>
        </w:rPr>
        <w:fldChar w:fldCharType="begin"/>
      </w:r>
      <w:r>
        <w:rPr>
          <w:rFonts w:ascii="黑体" w:hAnsi="黑体" w:eastAsia="黑体"/>
          <w:szCs w:val="28"/>
        </w:rPr>
        <w:instrText xml:space="preserve">FORMTEXT</w:instrText>
      </w:r>
      <w:r>
        <w:rPr>
          <w:rFonts w:ascii="黑体" w:hAnsi="黑体" w:eastAsia="黑体"/>
          <w:szCs w:val="28"/>
        </w:rPr>
        <w:fldChar w:fldCharType="separate"/>
      </w:r>
      <w:r>
        <w:rPr>
          <w:rFonts w:ascii="黑体" w:hAnsi="黑体" w:eastAsia="黑体"/>
          <w:szCs w:val="28"/>
        </w:rPr>
        <w:t>Technical guidelines for environmental impact assessment of</w:t>
      </w:r>
    </w:p>
    <w:p w14:paraId="45449644">
      <w:pPr>
        <w:pStyle w:val="128"/>
        <w:framePr w:w="9639" w:h="6974" w:hRule="exact" w:wrap="around" w:vAnchor="page" w:hAnchor="page" w:x="1395" w:y="6720" w:anchorLock="1"/>
        <w:rPr>
          <w:rFonts w:eastAsia="黑体"/>
          <w:szCs w:val="28"/>
        </w:rPr>
      </w:pPr>
      <w:r>
        <w:rPr>
          <w:rFonts w:ascii="黑体" w:hAnsi="黑体" w:eastAsia="黑体"/>
          <w:szCs w:val="28"/>
        </w:rPr>
        <w:t>regulatory detailed planning at community level</w:t>
      </w:r>
      <w:r>
        <w:rPr>
          <w:rFonts w:ascii="黑体" w:hAnsi="黑体" w:eastAsia="黑体"/>
          <w:szCs w:val="28"/>
        </w:rPr>
        <w:fldChar w:fldCharType="end"/>
      </w:r>
    </w:p>
    <w:p w14:paraId="7F3FBA4E">
      <w:pPr>
        <w:pStyle w:val="128"/>
        <w:framePr w:w="9639" w:h="6974" w:hRule="exact" w:wrap="around" w:vAnchor="page" w:hAnchor="page" w:x="1395" w:y="6720" w:anchorLock="1"/>
        <w:rPr>
          <w:rFonts w:ascii="黑体" w:hAnsi="黑体" w:eastAsia="黑体"/>
          <w:szCs w:val="28"/>
        </w:rPr>
      </w:pPr>
    </w:p>
    <w:p w14:paraId="2084ED3E">
      <w:pPr>
        <w:pStyle w:val="128"/>
        <w:framePr w:w="9639" w:h="6974" w:hRule="exact" w:wrap="around" w:vAnchor="page" w:hAnchor="page" w:x="1395" w:y="6720" w:anchorLock="1"/>
        <w:rPr>
          <w:rFonts w:eastAsia="黑体"/>
          <w:szCs w:val="28"/>
        </w:rPr>
      </w:pPr>
    </w:p>
    <w:p w14:paraId="190192EB">
      <w:pPr>
        <w:pStyle w:val="128"/>
        <w:framePr w:w="9639" w:h="6974" w:hRule="exact" w:wrap="around" w:vAnchor="page" w:hAnchor="page" w:x="1395" w:y="6720" w:anchorLock="1"/>
        <w:spacing w:before="440" w:after="160"/>
        <w:rPr>
          <w:sz w:val="24"/>
          <w:szCs w:val="28"/>
        </w:rPr>
      </w:pPr>
    </w:p>
    <w:p w14:paraId="64826C76">
      <w:pPr>
        <w:pStyle w:val="128"/>
        <w:framePr w:w="9639" w:h="6974" w:hRule="exact" w:wrap="around" w:vAnchor="page" w:hAnchor="page" w:x="1395" w:y="6720" w:anchorLock="1"/>
        <w:spacing w:before="180" w:line="240" w:lineRule="atLeast"/>
        <w:rPr>
          <w:sz w:val="21"/>
          <w:szCs w:val="28"/>
        </w:rPr>
      </w:pPr>
    </w:p>
    <w:p w14:paraId="3AD081AB">
      <w:pPr>
        <w:pStyle w:val="128"/>
        <w:framePr w:w="9639" w:h="6974" w:hRule="exact" w:wrap="around" w:vAnchor="page" w:hAnchor="page" w:x="1395" w:y="6720" w:anchorLock="1"/>
        <w:spacing w:before="720" w:beforeLines="300" w:after="72" w:afterLines="30" w:line="240" w:lineRule="auto"/>
        <w:rPr>
          <w:b/>
          <w:sz w:val="21"/>
          <w:szCs w:val="28"/>
        </w:rPr>
      </w:pPr>
      <w:r>
        <w:rPr>
          <w:lang w:bidi="ar-SA"/>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8468360</wp:posOffset>
                </wp:positionV>
                <wp:extent cx="6120130" cy="0"/>
                <wp:effectExtent l="0" t="0" r="0" b="0"/>
                <wp:wrapNone/>
                <wp:docPr id="5" name="Drawing 5"/>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style>
                        <a:lnRef idx="0">
                          <a:scrgbClr r="0" g="0" b="0"/>
                        </a:lnRef>
                        <a:fillRef idx="0">
                          <a:srgbClr val="B1B7BE"/>
                        </a:fillRef>
                        <a:effectRef idx="0">
                          <a:schemeClr val="accent1"/>
                        </a:effectRef>
                        <a:fontRef idx="minor">
                          <a:srgbClr val="000000"/>
                        </a:fontRef>
                      </wps:style>
                      <wps:bodyPr/>
                    </wps:wsp>
                  </a:graphicData>
                </a:graphic>
              </wp:anchor>
            </w:drawing>
          </mc:Choice>
          <mc:Fallback>
            <w:pict>
              <v:line id="Drawing 5" o:spid="_x0000_s1026" o:spt="20" style="position:absolute;left:0pt;margin-left:56.7pt;margin-top:666.8pt;height:0pt;width:481.9pt;mso-position-horizontal-relative:page;mso-position-vertical-relative:page;z-index:251660288;mso-width-relative:page;mso-height-relative:page;" filled="f" stroked="t" coordsize="21600,21600" o:gfxdata="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11irNgA&#10;AAAOAQAADwAAAAAAAAABACAAAAAiAAAAZHJzL2Rvd25yZXYueG1sUEsBAhQAFAAAAAgAh07iQKB9&#10;mGetAQAAcAMAAA4AAAAAAAAAAQAgAAAAJwEAAGRycy9lMm9Eb2MueG1sUEsFBgAAAAAGAAYAWQEA&#10;AEYFAAAAAA==&#10;">
                <v:fill on="f" focussize="0,0"/>
                <v:stroke color="#000000" joinstyle="round"/>
                <v:imagedata o:title=""/>
                <o:lock v:ext="edit" aspectratio="f"/>
              </v:line>
            </w:pict>
          </mc:Fallback>
        </mc:AlternateContent>
      </w:r>
    </w:p>
    <w:p w14:paraId="755E7E86">
      <w:pPr>
        <w:pStyle w:val="196"/>
        <w:framePr w:w="9651" w:h="689" w:hRule="exact" w:wrap="around" w:x="1140" w:y="12875"/>
      </w:pPr>
      <w:r>
        <w:rPr>
          <w:rFonts w:ascii="黑体"/>
        </w:rPr>
        <w:fldChar w:fldCharType="begin"/>
      </w:r>
      <w:bookmarkStart w:id="8" w:name="PLSH_DATE_Y"/>
      <w:r>
        <w:rPr>
          <w:rFonts w:ascii="黑体"/>
        </w:rPr>
        <w:instrText xml:space="preserve">FORMTEXT</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r>
      <w:bookmarkStart w:id="9" w:name="PLSH_DATE_M"/>
      <w:r>
        <w:rPr>
          <w:rFonts w:ascii="黑体"/>
        </w:rPr>
        <w:instrText xml:space="preserve">FORMTEXT</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r>
      <w:bookmarkStart w:id="10" w:name="PLSH_DATE_D"/>
      <w:r>
        <w:rPr>
          <w:rFonts w:ascii="黑体"/>
        </w:rPr>
        <w:instrText xml:space="preserve">FORMTEXT</w:instrText>
      </w:r>
      <w:r>
        <w:rPr>
          <w:rFonts w:ascii="黑体"/>
        </w:rPr>
        <w:fldChar w:fldCharType="separate"/>
      </w:r>
      <w:r>
        <w:rPr>
          <w:rFonts w:ascii="黑体"/>
        </w:rPr>
        <w:t>XX</w:t>
      </w:r>
      <w:r>
        <w:rPr>
          <w:rFonts w:ascii="黑体"/>
        </w:rPr>
        <w:fldChar w:fldCharType="end"/>
      </w:r>
      <w:bookmarkEnd w:id="10"/>
      <w:r>
        <w:rPr>
          <w:rFonts w:hint="eastAsia"/>
        </w:rPr>
        <w:t xml:space="preserve">发布                                    </w:t>
      </w: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6181CFB8">
      <w:pPr>
        <w:pStyle w:val="154"/>
        <w:framePr w:h="584" w:hRule="exact" w:hSpace="181" w:vSpace="181" w:wrap="around" w:vAnchor="page" w:hAnchor="page" w:x="2528" w:y="13971"/>
        <w:rPr>
          <w:rFonts w:hAnsi="黑体"/>
        </w:rPr>
      </w:pPr>
      <w:r>
        <w:rPr>
          <w:rFonts w:hAnsi="黑体"/>
          <w:w w:val="100"/>
          <w:sz w:val="28"/>
        </w:rPr>
        <w:fldChar w:fldCharType="begin"/>
      </w:r>
      <w:bookmarkStart w:id="11" w:name="fm"/>
      <w:r>
        <w:rPr>
          <w:rFonts w:hAnsi="黑体"/>
          <w:w w:val="100"/>
          <w:sz w:val="28"/>
        </w:rPr>
        <w:instrText xml:space="preserve">FORMTEXT</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1"/>
      <w:r>
        <w:rPr>
          <w:rFonts w:ascii="Times New Roman"/>
          <w:w w:val="100"/>
          <w:sz w:val="28"/>
        </w:rPr>
        <w:t>  </w:t>
      </w:r>
      <w:r>
        <w:rPr>
          <w:rStyle w:val="232"/>
          <w:rFonts w:hint="eastAsia" w:hAnsi="黑体"/>
        </w:rPr>
        <w:t>发</w:t>
      </w:r>
      <w:r>
        <w:rPr>
          <w:rStyle w:val="232"/>
          <w:rFonts w:hint="eastAsia" w:hAnsi="黑体"/>
          <w:spacing w:val="0"/>
        </w:rPr>
        <w:t>布</w:t>
      </w:r>
    </w:p>
    <w:p w14:paraId="0B4EDB8B">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p>
    <w:p w14:paraId="5AC99EB1">
      <w:pPr>
        <w:pStyle w:val="94"/>
        <w:spacing w:after="468"/>
      </w:pPr>
      <w:r>
        <w:rPr>
          <w:rFonts w:hint="eastAsia"/>
          <w:spacing w:val="320"/>
        </w:rPr>
        <w:t>目</w:t>
      </w:r>
      <w:r>
        <w:rPr>
          <w:rFonts w:hint="eastAsia"/>
        </w:rPr>
        <w:t>次</w:t>
      </w:r>
    </w:p>
    <w:sdt>
      <w:sdtPr>
        <w:rPr>
          <w:rFonts w:ascii="黑体" w:eastAsia="黑体"/>
          <w:sz w:val="32"/>
        </w:rPr>
        <w:id w:val="929783070"/>
      </w:sdtPr>
      <w:sdtEndPr>
        <w:rPr>
          <w:rFonts w:ascii="黑体" w:eastAsia="黑体"/>
          <w:sz w:val="32"/>
        </w:rPr>
      </w:sdtEndPr>
      <w:sdtContent>
        <w:p w14:paraId="1FAAD238">
          <w:pPr>
            <w:pStyle w:val="20"/>
            <w:tabs>
              <w:tab w:val="right" w:leader="dot" w:pos="9344"/>
            </w:tabs>
            <w:rPr>
              <w:rFonts w:asciiTheme="minorHAnsi" w:hAnsiTheme="minorHAnsi" w:eastAsiaTheme="minorEastAsia" w:cstheme="minorBidi"/>
              <w:szCs w:val="22"/>
              <w:lang w:bidi="ar-SA"/>
            </w:rPr>
          </w:pPr>
          <w:r>
            <w:fldChar w:fldCharType="begin"/>
          </w:r>
          <w:r>
            <w:instrText xml:space="preserve">TOC \o "1-1" \h</w:instrText>
          </w:r>
          <w:r>
            <w:fldChar w:fldCharType="separate"/>
          </w:r>
          <w:r>
            <w:fldChar w:fldCharType="begin"/>
          </w:r>
          <w:r>
            <w:instrText xml:space="preserve"> HYPERLINK \l "_Toc173419004" </w:instrText>
          </w:r>
          <w:r>
            <w:fldChar w:fldCharType="separate"/>
          </w:r>
          <w:r>
            <w:rPr>
              <w:rStyle w:val="34"/>
              <w:rFonts w:hint="eastAsia"/>
            </w:rPr>
            <w:t>前言</w:t>
          </w:r>
          <w:r>
            <w:tab/>
          </w:r>
          <w:r>
            <w:fldChar w:fldCharType="begin"/>
          </w:r>
          <w:r>
            <w:instrText xml:space="preserve"> PAGEREF _Toc173419004 \h </w:instrText>
          </w:r>
          <w:r>
            <w:fldChar w:fldCharType="separate"/>
          </w:r>
          <w:r>
            <w:t>2</w:t>
          </w:r>
          <w:r>
            <w:fldChar w:fldCharType="end"/>
          </w:r>
          <w:r>
            <w:fldChar w:fldCharType="end"/>
          </w:r>
        </w:p>
        <w:p w14:paraId="114804DA">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"_Toc173419005" </w:instrText>
          </w:r>
          <w:r>
            <w:fldChar w:fldCharType="separate"/>
          </w:r>
          <w:r>
            <w:rPr>
              <w:rStyle w:val="34"/>
              <w:rFonts w:hint="eastAsia"/>
            </w:rPr>
            <w:t>引言</w:t>
          </w:r>
          <w:r>
            <w:tab/>
          </w:r>
          <w:r>
            <w:fldChar w:fldCharType="begin"/>
          </w:r>
          <w:r>
            <w:instrText xml:space="preserve"> PAGEREF _Toc173419005 \h </w:instrText>
          </w:r>
          <w:r>
            <w:fldChar w:fldCharType="separate"/>
          </w:r>
          <w:r>
            <w:t>3</w:t>
          </w:r>
          <w:r>
            <w:fldChar w:fldCharType="end"/>
          </w:r>
          <w:r>
            <w:fldChar w:fldCharType="end"/>
          </w:r>
        </w:p>
        <w:p w14:paraId="73560967">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"_Toc173419006" </w:instrText>
          </w:r>
          <w:r>
            <w:fldChar w:fldCharType="separate"/>
          </w:r>
          <w:r>
            <w:rPr>
              <w:rStyle w:val="34"/>
            </w:rPr>
            <w:t>1</w:t>
          </w:r>
          <w:r>
            <w:rPr>
              <w:rStyle w:val="34"/>
              <w:rFonts w:hint="eastAsia"/>
            </w:rPr>
            <w:t xml:space="preserve">  范围</w:t>
          </w:r>
          <w:r>
            <w:tab/>
          </w:r>
          <w:r>
            <w:fldChar w:fldCharType="begin"/>
          </w:r>
          <w:r>
            <w:instrText xml:space="preserve"> PAGEREF _Toc173419006 \h </w:instrText>
          </w:r>
          <w:r>
            <w:fldChar w:fldCharType="separate"/>
          </w:r>
          <w:r>
            <w:t>4</w:t>
          </w:r>
          <w:r>
            <w:fldChar w:fldCharType="end"/>
          </w:r>
          <w:r>
            <w:fldChar w:fldCharType="end"/>
          </w:r>
        </w:p>
        <w:p w14:paraId="2133CE01">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"_Toc173419007" </w:instrText>
          </w:r>
          <w:r>
            <w:fldChar w:fldCharType="separate"/>
          </w:r>
          <w:r>
            <w:rPr>
              <w:rStyle w:val="34"/>
            </w:rPr>
            <w:t>2</w:t>
          </w:r>
          <w:r>
            <w:rPr>
              <w:rStyle w:val="34"/>
              <w:rFonts w:hint="eastAsia"/>
            </w:rPr>
            <w:t xml:space="preserve">  规范性引用文件</w:t>
          </w:r>
          <w:r>
            <w:tab/>
          </w:r>
          <w:r>
            <w:fldChar w:fldCharType="begin"/>
          </w:r>
          <w:r>
            <w:instrText xml:space="preserve"> PAGEREF _Toc173419007 \h </w:instrText>
          </w:r>
          <w:r>
            <w:fldChar w:fldCharType="separate"/>
          </w:r>
          <w:r>
            <w:t>4</w:t>
          </w:r>
          <w:r>
            <w:fldChar w:fldCharType="end"/>
          </w:r>
          <w:r>
            <w:fldChar w:fldCharType="end"/>
          </w:r>
        </w:p>
        <w:p w14:paraId="3D0661E7">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"_Toc173419008" </w:instrText>
          </w:r>
          <w:r>
            <w:fldChar w:fldCharType="separate"/>
          </w:r>
          <w:r>
            <w:rPr>
              <w:rStyle w:val="34"/>
            </w:rPr>
            <w:t>3</w:t>
          </w:r>
          <w:r>
            <w:rPr>
              <w:rStyle w:val="34"/>
              <w:rFonts w:hint="eastAsia"/>
            </w:rPr>
            <w:t xml:space="preserve">  术语和定义</w:t>
          </w:r>
          <w:r>
            <w:tab/>
          </w:r>
          <w:r>
            <w:fldChar w:fldCharType="begin"/>
          </w:r>
          <w:r>
            <w:instrText xml:space="preserve"> PAGEREF _Toc173419008 \h </w:instrText>
          </w:r>
          <w:r>
            <w:fldChar w:fldCharType="separate"/>
          </w:r>
          <w:r>
            <w:t>4</w:t>
          </w:r>
          <w:r>
            <w:fldChar w:fldCharType="end"/>
          </w:r>
          <w:r>
            <w:fldChar w:fldCharType="end"/>
          </w:r>
        </w:p>
        <w:p w14:paraId="36AA0355">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"_Toc173419009" </w:instrText>
          </w:r>
          <w:r>
            <w:fldChar w:fldCharType="separate"/>
          </w:r>
          <w:r>
            <w:rPr>
              <w:rStyle w:val="34"/>
            </w:rPr>
            <w:t>4</w:t>
          </w:r>
          <w:r>
            <w:rPr>
              <w:rStyle w:val="34"/>
              <w:rFonts w:hint="eastAsia"/>
            </w:rPr>
            <w:t xml:space="preserve">  一般规定</w:t>
          </w:r>
          <w:r>
            <w:tab/>
          </w:r>
          <w:r>
            <w:fldChar w:fldCharType="begin"/>
          </w:r>
          <w:r>
            <w:instrText xml:space="preserve"> PAGEREF _Toc173419009 \h </w:instrText>
          </w:r>
          <w:r>
            <w:fldChar w:fldCharType="separate"/>
          </w:r>
          <w:r>
            <w:t>5</w:t>
          </w:r>
          <w:r>
            <w:fldChar w:fldCharType="end"/>
          </w:r>
          <w:r>
            <w:fldChar w:fldCharType="end"/>
          </w:r>
        </w:p>
        <w:p w14:paraId="4F0F63F7">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"_Toc173419010" </w:instrText>
          </w:r>
          <w:r>
            <w:fldChar w:fldCharType="separate"/>
          </w:r>
          <w:r>
            <w:rPr>
              <w:rStyle w:val="34"/>
            </w:rPr>
            <w:t>5</w:t>
          </w:r>
          <w:r>
            <w:rPr>
              <w:rStyle w:val="34"/>
              <w:rFonts w:hint="eastAsia"/>
            </w:rPr>
            <w:t xml:space="preserve">  技术要求</w:t>
          </w:r>
          <w:r>
            <w:tab/>
          </w:r>
          <w:r>
            <w:fldChar w:fldCharType="begin"/>
          </w:r>
          <w:r>
            <w:instrText xml:space="preserve"> PAGEREF _Toc173419010 \h </w:instrText>
          </w:r>
          <w:r>
            <w:fldChar w:fldCharType="separate"/>
          </w:r>
          <w:r>
            <w:t>6</w:t>
          </w:r>
          <w:r>
            <w:fldChar w:fldCharType="end"/>
          </w:r>
          <w:r>
            <w:fldChar w:fldCharType="end"/>
          </w:r>
        </w:p>
        <w:p w14:paraId="6A77790F">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"_Toc173419011" </w:instrText>
          </w:r>
          <w:r>
            <w:fldChar w:fldCharType="separate"/>
          </w:r>
          <w:r>
            <w:rPr>
              <w:rStyle w:val="34"/>
            </w:rPr>
            <w:t>6</w:t>
          </w:r>
          <w:r>
            <w:rPr>
              <w:rStyle w:val="34"/>
              <w:rFonts w:hint="eastAsia"/>
            </w:rPr>
            <w:t xml:space="preserve">  编制要求</w:t>
          </w:r>
          <w:r>
            <w:tab/>
          </w:r>
          <w:r>
            <w:fldChar w:fldCharType="begin"/>
          </w:r>
          <w:r>
            <w:instrText xml:space="preserve"> PAGEREF _Toc173419011 \h </w:instrText>
          </w:r>
          <w:r>
            <w:fldChar w:fldCharType="separate"/>
          </w:r>
          <w:r>
            <w:t>9</w:t>
          </w:r>
          <w:r>
            <w:fldChar w:fldCharType="end"/>
          </w:r>
          <w:r>
            <w:fldChar w:fldCharType="end"/>
          </w:r>
        </w:p>
        <w:p w14:paraId="486C0521">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"_Toc173419012" </w:instrText>
          </w:r>
          <w:r>
            <w:fldChar w:fldCharType="separate"/>
          </w:r>
          <w:r>
            <w:rPr>
              <w:rStyle w:val="34"/>
              <w:rFonts w:hint="eastAsia"/>
            </w:rPr>
            <w:t>附录A（规范性）</w:t>
          </w:r>
          <w:r>
            <w:rPr>
              <w:rStyle w:val="34"/>
            </w:rPr>
            <w:t xml:space="preserve"> </w:t>
          </w:r>
          <w:r>
            <w:rPr>
              <w:rStyle w:val="34"/>
              <w:rFonts w:hint="eastAsia"/>
            </w:rPr>
            <w:t xml:space="preserve"> 用地性质情况表</w:t>
          </w:r>
          <w:r>
            <w:tab/>
          </w:r>
          <w:r>
            <w:fldChar w:fldCharType="begin"/>
          </w:r>
          <w:r>
            <w:instrText xml:space="preserve"> PAGEREF _Toc173419012 \h </w:instrText>
          </w:r>
          <w:r>
            <w:fldChar w:fldCharType="separate"/>
          </w:r>
          <w:r>
            <w:t>10</w:t>
          </w:r>
          <w:r>
            <w:fldChar w:fldCharType="end"/>
          </w:r>
          <w:r>
            <w:fldChar w:fldCharType="end"/>
          </w:r>
        </w:p>
        <w:p w14:paraId="4C54BAA2">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"_Toc173419013" </w:instrText>
          </w:r>
          <w:r>
            <w:fldChar w:fldCharType="separate"/>
          </w:r>
          <w:r>
            <w:rPr>
              <w:rStyle w:val="34"/>
              <w:rFonts w:hint="eastAsia"/>
            </w:rPr>
            <w:t>附录B（规范性）</w:t>
          </w:r>
          <w:r>
            <w:rPr>
              <w:rStyle w:val="34"/>
            </w:rPr>
            <w:t xml:space="preserve"> </w:t>
          </w:r>
          <w:r>
            <w:rPr>
              <w:rStyle w:val="34"/>
              <w:rFonts w:hint="eastAsia"/>
            </w:rPr>
            <w:t xml:space="preserve"> 建设项目识别表</w:t>
          </w:r>
          <w:r>
            <w:tab/>
          </w:r>
          <w:r>
            <w:fldChar w:fldCharType="begin"/>
          </w:r>
          <w:r>
            <w:instrText xml:space="preserve"> PAGEREF _Toc173419013 \h </w:instrText>
          </w:r>
          <w:r>
            <w:fldChar w:fldCharType="separate"/>
          </w:r>
          <w:r>
            <w:t>11</w:t>
          </w:r>
          <w:r>
            <w:fldChar w:fldCharType="end"/>
          </w:r>
          <w:r>
            <w:fldChar w:fldCharType="end"/>
          </w:r>
        </w:p>
        <w:p w14:paraId="1E089E97">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"_Toc173419014" </w:instrText>
          </w:r>
          <w:r>
            <w:fldChar w:fldCharType="separate"/>
          </w:r>
          <w:r>
            <w:rPr>
              <w:rStyle w:val="34"/>
              <w:rFonts w:hint="eastAsia"/>
            </w:rPr>
            <w:t>附录C（规范性）</w:t>
          </w:r>
          <w:r>
            <w:rPr>
              <w:rStyle w:val="34"/>
            </w:rPr>
            <w:t xml:space="preserve"> </w:t>
          </w:r>
          <w:r>
            <w:rPr>
              <w:rStyle w:val="34"/>
              <w:rFonts w:hint="eastAsia"/>
            </w:rPr>
            <w:t xml:space="preserve"> 建设项目环境影响情况表</w:t>
          </w:r>
          <w:r>
            <w:tab/>
          </w:r>
          <w:r>
            <w:fldChar w:fldCharType="begin"/>
          </w:r>
          <w:r>
            <w:instrText xml:space="preserve"> PAGEREF _Toc173419014 \h </w:instrText>
          </w:r>
          <w:r>
            <w:fldChar w:fldCharType="separate"/>
          </w:r>
          <w:r>
            <w:t>12</w:t>
          </w:r>
          <w:r>
            <w:fldChar w:fldCharType="end"/>
          </w:r>
          <w:r>
            <w:fldChar w:fldCharType="end"/>
          </w:r>
        </w:p>
        <w:p w14:paraId="207157C9">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"_Toc173419015" </w:instrText>
          </w:r>
          <w:r>
            <w:fldChar w:fldCharType="separate"/>
          </w:r>
          <w:r>
            <w:rPr>
              <w:rStyle w:val="34"/>
              <w:rFonts w:hint="eastAsia"/>
            </w:rPr>
            <w:t>附录D（规范性）</w:t>
          </w:r>
          <w:r>
            <w:rPr>
              <w:rStyle w:val="34"/>
            </w:rPr>
            <w:t xml:space="preserve"> </w:t>
          </w:r>
          <w:r>
            <w:rPr>
              <w:rStyle w:val="34"/>
              <w:rFonts w:hint="eastAsia"/>
            </w:rPr>
            <w:t xml:space="preserve"> 评价成果相关附表</w:t>
          </w:r>
          <w:r>
            <w:tab/>
          </w:r>
          <w:r>
            <w:fldChar w:fldCharType="begin"/>
          </w:r>
          <w:r>
            <w:instrText xml:space="preserve"> PAGEREF _Toc173419015 \h </w:instrText>
          </w:r>
          <w:r>
            <w:fldChar w:fldCharType="separate"/>
          </w:r>
          <w:r>
            <w:t>13</w:t>
          </w:r>
          <w:r>
            <w:fldChar w:fldCharType="end"/>
          </w:r>
          <w:r>
            <w:fldChar w:fldCharType="end"/>
          </w:r>
        </w:p>
        <w:p w14:paraId="5993F9C4">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"_Toc173419016" </w:instrText>
          </w:r>
          <w:r>
            <w:fldChar w:fldCharType="separate"/>
          </w:r>
          <w:r>
            <w:rPr>
              <w:rStyle w:val="34"/>
              <w:rFonts w:hint="eastAsia"/>
            </w:rPr>
            <w:t>附录E（规范性）</w:t>
          </w:r>
          <w:r>
            <w:rPr>
              <w:rStyle w:val="34"/>
            </w:rPr>
            <w:t xml:space="preserve"> </w:t>
          </w:r>
          <w:r>
            <w:rPr>
              <w:rStyle w:val="34"/>
              <w:rFonts w:hint="eastAsia"/>
            </w:rPr>
            <w:t xml:space="preserve"> 评价结论相关附表</w:t>
          </w:r>
          <w:r>
            <w:tab/>
          </w:r>
          <w:r>
            <w:fldChar w:fldCharType="begin"/>
          </w:r>
          <w:r>
            <w:instrText xml:space="preserve"> PAGEREF _Toc173419016 \h </w:instrText>
          </w:r>
          <w:r>
            <w:fldChar w:fldCharType="separate"/>
          </w:r>
          <w:r>
            <w:t>14</w:t>
          </w:r>
          <w:r>
            <w:fldChar w:fldCharType="end"/>
          </w:r>
          <w:r>
            <w:fldChar w:fldCharType="end"/>
          </w:r>
        </w:p>
        <w:p w14:paraId="448727F5">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"_Toc173419017" </w:instrText>
          </w:r>
          <w:r>
            <w:fldChar w:fldCharType="separate"/>
          </w:r>
          <w:r>
            <w:rPr>
              <w:rStyle w:val="34"/>
              <w:rFonts w:hint="eastAsia"/>
            </w:rPr>
            <w:t>附录F（资料性）</w:t>
          </w:r>
          <w:r>
            <w:rPr>
              <w:rStyle w:val="34"/>
            </w:rPr>
            <w:t xml:space="preserve"> </w:t>
          </w:r>
          <w:r>
            <w:rPr>
              <w:rStyle w:val="34"/>
              <w:rFonts w:hint="eastAsia"/>
            </w:rPr>
            <w:t xml:space="preserve"> 目录结构</w:t>
          </w:r>
          <w:r>
            <w:tab/>
          </w:r>
          <w:r>
            <w:fldChar w:fldCharType="begin"/>
          </w:r>
          <w:r>
            <w:instrText xml:space="preserve"> PAGEREF _Toc173419017 \h </w:instrText>
          </w:r>
          <w:r>
            <w:fldChar w:fldCharType="separate"/>
          </w:r>
          <w:r>
            <w:t>15</w:t>
          </w:r>
          <w:r>
            <w:fldChar w:fldCharType="end"/>
          </w:r>
          <w:r>
            <w:fldChar w:fldCharType="end"/>
          </w:r>
        </w:p>
        <w:p w14:paraId="5D27DC2B">
          <w:pPr>
            <w:pStyle w:val="20"/>
            <w:tabs>
              <w:tab w:val="right" w:leader="dot" w:pos="9344"/>
            </w:tabs>
            <w:rPr>
              <w:rFonts w:asciiTheme="minorHAnsi" w:hAnsiTheme="minorHAnsi" w:eastAsiaTheme="minorEastAsia" w:cstheme="minorBidi"/>
              <w:szCs w:val="22"/>
              <w:lang w:bidi="ar-SA"/>
            </w:rPr>
          </w:pPr>
          <w:r>
            <w:fldChar w:fldCharType="end"/>
          </w:r>
          <w:r>
            <w:fldChar w:fldCharType="begin"/>
          </w:r>
          <w:r>
            <w:instrText xml:space="preserve"> HYPERLINK \l "_Toc167200695" </w:instrText>
          </w:r>
          <w:r>
            <w:fldChar w:fldCharType="separate"/>
          </w:r>
          <w:r>
            <w:rPr>
              <w:rStyle w:val="34"/>
              <w:rFonts w:hint="eastAsia"/>
            </w:rPr>
            <w:t>参考文献</w:t>
          </w:r>
          <w:r>
            <w:tab/>
          </w:r>
          <w:r>
            <w:rPr>
              <w:rFonts w:hint="eastAsia"/>
            </w:rPr>
            <w:t>17</w:t>
          </w:r>
          <w:r>
            <w:rPr>
              <w:rFonts w:hint="eastAsia"/>
            </w:rPr>
            <w:fldChar w:fldCharType="end"/>
          </w:r>
        </w:p>
        <w:p w14:paraId="07B22027">
          <w:pPr>
            <w:pStyle w:val="94"/>
            <w:spacing w:after="468"/>
            <w:sectPr>
              <w:headerReference r:id="rId9" w:type="default"/>
              <w:footerReference r:id="rId11" w:type="default"/>
              <w:headerReference r:id="rId10" w:type="even"/>
              <w:footerReference r:id="rId12" w:type="even"/>
              <w:pgSz w:w="11906" w:h="16838"/>
              <w:pgMar w:top="567" w:right="1134" w:bottom="1134" w:left="1134" w:header="1418" w:footer="1134" w:gutter="284"/>
              <w:pgNumType w:start="1"/>
              <w:cols w:space="425" w:num="1"/>
              <w:docGrid w:type="lines" w:linePitch="312" w:charSpace="0"/>
            </w:sectPr>
          </w:pPr>
        </w:p>
      </w:sdtContent>
    </w:sdt>
    <w:p w14:paraId="55C24E9E">
      <w:pPr>
        <w:pStyle w:val="92"/>
        <w:spacing w:after="468"/>
      </w:pPr>
      <w:bookmarkStart w:id="12" w:name="_Toc173419004"/>
      <w:r>
        <w:rPr>
          <w:spacing w:val="320"/>
        </w:rPr>
        <w:t>前</w:t>
      </w:r>
      <w:r>
        <w:t>言</w:t>
      </w:r>
      <w:bookmarkEnd w:id="12"/>
    </w:p>
    <w:p w14:paraId="61A87C57">
      <w:pPr>
        <w:pStyle w:val="59"/>
        <w:ind w:firstLine="420"/>
      </w:pPr>
      <w:r>
        <w:rPr>
          <w:rFonts w:hint="eastAsia"/>
        </w:rPr>
        <w:t>本文件按照GB/T 1.1—2020《标准化工作导则  第1部分：标准化文件的结构和起草规则》的规定起草。</w:t>
      </w:r>
    </w:p>
    <w:p w14:paraId="0F78B647">
      <w:pPr>
        <w:pStyle w:val="59"/>
        <w:ind w:firstLine="420"/>
      </w:pPr>
      <w:r>
        <w:rPr>
          <w:rFonts w:hint="eastAsia"/>
        </w:rPr>
        <w:t>本文件代替D</w:t>
      </w:r>
      <w:r>
        <w:t>B11/T</w:t>
      </w:r>
      <w:r>
        <w:rPr>
          <w:rFonts w:hint="eastAsia"/>
        </w:rPr>
        <w:t xml:space="preserve"> </w:t>
      </w:r>
      <w:r>
        <w:t>1820-2021</w:t>
      </w:r>
      <w:r>
        <w:rPr>
          <w:rFonts w:hint="eastAsia"/>
        </w:rPr>
        <w:t>《街区层面控制性详细规划环境影响评价技术指南》，D</w:t>
      </w:r>
      <w:r>
        <w:t>B11/T</w:t>
      </w:r>
      <w:r>
        <w:rPr>
          <w:rFonts w:hint="eastAsia"/>
        </w:rPr>
        <w:t xml:space="preserve"> </w:t>
      </w:r>
      <w:r>
        <w:t>1820-2021</w:t>
      </w:r>
      <w:r>
        <w:rPr>
          <w:rFonts w:hint="eastAsia"/>
        </w:rPr>
        <w:t>自本文件实施之日起废止。</w:t>
      </w:r>
    </w:p>
    <w:p w14:paraId="0B3E7BC3">
      <w:pPr>
        <w:pStyle w:val="59"/>
        <w:ind w:firstLine="420"/>
      </w:pPr>
      <w:r>
        <w:rPr>
          <w:rFonts w:hint="eastAsia"/>
        </w:rPr>
        <w:t>本文件与D</w:t>
      </w:r>
      <w:r>
        <w:t>B11/T</w:t>
      </w:r>
      <w:r>
        <w:rPr>
          <w:rFonts w:hint="eastAsia"/>
        </w:rPr>
        <w:t xml:space="preserve"> </w:t>
      </w:r>
      <w:r>
        <w:t>1820-2021</w:t>
      </w:r>
      <w:r>
        <w:rPr>
          <w:rFonts w:hint="eastAsia"/>
        </w:rPr>
        <w:t>相比，主要技术内容变化如下：</w:t>
      </w:r>
    </w:p>
    <w:p w14:paraId="5322B036">
      <w:pPr>
        <w:pStyle w:val="59"/>
        <w:ind w:firstLine="420"/>
      </w:pPr>
      <w:r>
        <w:rPr>
          <w:rFonts w:hint="eastAsia"/>
        </w:rPr>
        <w:t>——更改了文件的参考使用范围（见第1章）；</w:t>
      </w:r>
    </w:p>
    <w:p w14:paraId="62B59AD9">
      <w:pPr>
        <w:pStyle w:val="59"/>
        <w:ind w:firstLine="420"/>
      </w:pPr>
      <w:r>
        <w:rPr>
          <w:rFonts w:hint="eastAsia"/>
        </w:rPr>
        <w:t>——调整了规划概述要求（见第5.1章）；</w:t>
      </w:r>
    </w:p>
    <w:p w14:paraId="43AEDD7E">
      <w:pPr>
        <w:pStyle w:val="59"/>
        <w:ind w:firstLine="420"/>
      </w:pPr>
      <w:r>
        <w:rPr>
          <w:rFonts w:hint="eastAsia"/>
        </w:rPr>
        <w:t>——更改了建设项目识别相关步骤和技术要求（见第5.4章）；</w:t>
      </w:r>
    </w:p>
    <w:p w14:paraId="14892050">
      <w:pPr>
        <w:pStyle w:val="59"/>
        <w:ind w:firstLine="420"/>
      </w:pPr>
      <w:r>
        <w:rPr>
          <w:rFonts w:hint="eastAsia"/>
        </w:rPr>
        <w:t>——调整了建设项目环境影响分析的技术要求（见第5.5章）；</w:t>
      </w:r>
    </w:p>
    <w:p w14:paraId="5BEF9CB0">
      <w:pPr>
        <w:pStyle w:val="59"/>
        <w:ind w:firstLine="420"/>
      </w:pPr>
      <w:r>
        <w:rPr>
          <w:rFonts w:hint="eastAsia"/>
        </w:rPr>
        <w:t>——完善了规划优化完善意见的相关要求（见第5.6章）；</w:t>
      </w:r>
    </w:p>
    <w:p w14:paraId="2400A1A5">
      <w:pPr>
        <w:pStyle w:val="59"/>
        <w:ind w:firstLine="420"/>
      </w:pPr>
      <w:r>
        <w:rPr>
          <w:rFonts w:hint="eastAsia"/>
        </w:rPr>
        <w:t>本文件由北京市生态环境局提出并归口。</w:t>
      </w:r>
    </w:p>
    <w:p w14:paraId="47BC55DE">
      <w:pPr>
        <w:pStyle w:val="59"/>
        <w:ind w:firstLine="420"/>
      </w:pPr>
      <w:r>
        <w:rPr>
          <w:rFonts w:hint="eastAsia"/>
        </w:rPr>
        <w:t>本文件由北京市生态环境局组织实施。</w:t>
      </w:r>
    </w:p>
    <w:p w14:paraId="27E24A69">
      <w:pPr>
        <w:pStyle w:val="59"/>
        <w:ind w:firstLine="420"/>
      </w:pPr>
      <w:r>
        <w:rPr>
          <w:rFonts w:hint="eastAsia"/>
        </w:rPr>
        <w:t>本文件起草单位：北京市生态环境评估与投诉中心。</w:t>
      </w:r>
    </w:p>
    <w:p w14:paraId="71317405">
      <w:pPr>
        <w:pStyle w:val="59"/>
        <w:ind w:firstLine="420"/>
      </w:pPr>
      <w:r>
        <w:rPr>
          <w:rFonts w:hint="eastAsia"/>
        </w:rPr>
        <w:t>本文件主要起草人：</w:t>
      </w:r>
    </w:p>
    <w:p w14:paraId="7D3F528B">
      <w:pPr>
        <w:pStyle w:val="59"/>
        <w:ind w:firstLine="420"/>
      </w:pPr>
      <w:r>
        <w:rPr>
          <w:rFonts w:hint="eastAsia"/>
        </w:rPr>
        <w:t>本文件于2</w:t>
      </w:r>
      <w:r>
        <w:t>021</w:t>
      </w:r>
      <w:r>
        <w:rPr>
          <w:rFonts w:hint="eastAsia"/>
        </w:rPr>
        <w:t>年首次发布，本次为第一次修订</w:t>
      </w:r>
      <w:r>
        <w:t>。</w:t>
      </w:r>
    </w:p>
    <w:p w14:paraId="3E164F10">
      <w:pPr>
        <w:pStyle w:val="59"/>
        <w:ind w:firstLine="420"/>
        <w:sectPr>
          <w:headerReference r:id="rId13" w:type="default"/>
          <w:footerReference r:id="rId15" w:type="default"/>
          <w:headerReference r:id="rId14" w:type="even"/>
          <w:footerReference r:id="rId16" w:type="even"/>
          <w:pgSz w:w="11906" w:h="16838"/>
          <w:pgMar w:top="567" w:right="1134" w:bottom="1134" w:left="1134" w:header="1418" w:footer="1134" w:gutter="284"/>
          <w:cols w:space="425" w:num="1"/>
          <w:docGrid w:type="lines" w:linePitch="312" w:charSpace="0"/>
        </w:sectPr>
      </w:pPr>
    </w:p>
    <w:p w14:paraId="26A68E09">
      <w:pPr>
        <w:pStyle w:val="92"/>
        <w:spacing w:after="468"/>
      </w:pPr>
      <w:bookmarkStart w:id="13" w:name="_Toc173419005"/>
      <w:bookmarkStart w:id="14" w:name="_Toc64907088"/>
      <w:bookmarkStart w:id="15" w:name="_Toc63416812"/>
      <w:r>
        <w:rPr>
          <w:spacing w:val="320"/>
        </w:rPr>
        <w:t>引</w:t>
      </w:r>
      <w:r>
        <w:t>言</w:t>
      </w:r>
      <w:bookmarkEnd w:id="13"/>
      <w:bookmarkEnd w:id="14"/>
      <w:bookmarkEnd w:id="15"/>
    </w:p>
    <w:p w14:paraId="4CEEC6FF">
      <w:pPr>
        <w:pStyle w:val="59"/>
        <w:ind w:firstLine="420"/>
      </w:pPr>
      <w:r>
        <w:rPr>
          <w:rFonts w:hint="eastAsia"/>
        </w:rPr>
        <w:t>2020年《北京市优化营商环境条例》明确了在街区层面控制性详细规划阶段全面开展区域评估的工作要求，2022年首次修订中提出：“政府及有关部门编制详细规划或者土地一级开发阶段应当同步开展环境、水、交通等区域评估”，拓展了实施范围；2023年《北京市全面优化营商环境助力企业高质量发展实施方案》要求：“将区域评估实施范围由控制性详细规划阶段拓展至综合实施方案和土地一级开发”。为贯彻营商环境改革政策，落实区域评估要求，结合生态环境领域工作实际，依据《中华人民共和国环境保护法》《中华人民共和国环境影响评价法》</w:t>
      </w:r>
      <w:bookmarkStart w:id="86" w:name="_GoBack"/>
      <w:bookmarkEnd w:id="86"/>
      <w:r>
        <w:rPr>
          <w:rFonts w:hint="eastAsia"/>
        </w:rPr>
        <w:t>制定本文件。</w:t>
      </w:r>
    </w:p>
    <w:p w14:paraId="11300D9F">
      <w:pPr>
        <w:pStyle w:val="59"/>
        <w:ind w:firstLine="420"/>
      </w:pPr>
      <w:r>
        <w:rPr>
          <w:rFonts w:hint="eastAsia"/>
        </w:rPr>
        <w:t>街区层面控制性详细规划环境影响评价的工作目的：一是在政府及有关部门编制街区层面控制性详细规划时同步开展环境影响评价，在评价过程中优化完善规划内容；二是对纳入环境影响评价审批的建设项目开展环境影响分析并提出生态环境保护措施，作为规划区域内建设项目环境影响评价工作简化的必要条件。</w:t>
      </w:r>
    </w:p>
    <w:p w14:paraId="3549C117">
      <w:pPr>
        <w:pStyle w:val="59"/>
        <w:ind w:firstLine="420"/>
      </w:pPr>
      <w:r>
        <w:rPr>
          <w:rFonts w:hint="eastAsia"/>
        </w:rPr>
        <w:t>本文件用于指导街区层面控制性详细规划环境影响评价工作，可为环境影响技术评估和环境影响评价管理工作提供技术支撑。</w:t>
      </w:r>
    </w:p>
    <w:p w14:paraId="28176CDA">
      <w:pPr>
        <w:pStyle w:val="59"/>
        <w:ind w:firstLine="420"/>
      </w:pPr>
    </w:p>
    <w:p w14:paraId="7A916E93">
      <w:pPr>
        <w:pStyle w:val="59"/>
        <w:ind w:firstLine="420"/>
        <w:sectPr>
          <w:headerReference r:id="rId17" w:type="default"/>
          <w:footerReference r:id="rId19" w:type="default"/>
          <w:headerReference r:id="rId18" w:type="even"/>
          <w:footerReference r:id="rId20" w:type="even"/>
          <w:pgSz w:w="11906" w:h="16838"/>
          <w:pgMar w:top="567" w:right="1134" w:bottom="1134" w:left="1134" w:header="1418" w:footer="1134" w:gutter="284"/>
          <w:cols w:space="425" w:num="1"/>
          <w:docGrid w:type="lines" w:linePitch="312" w:charSpace="0"/>
        </w:sectPr>
      </w:pPr>
    </w:p>
    <w:p w14:paraId="24200AE0">
      <w:pPr>
        <w:spacing w:line="20" w:lineRule="exact"/>
        <w:jc w:val="center"/>
        <w:rPr>
          <w:rFonts w:ascii="黑体" w:hAnsi="黑体" w:eastAsia="黑体"/>
          <w:sz w:val="32"/>
          <w:szCs w:val="32"/>
        </w:rPr>
      </w:pPr>
    </w:p>
    <w:p w14:paraId="112B8695">
      <w:pPr>
        <w:spacing w:line="20" w:lineRule="exact"/>
        <w:jc w:val="center"/>
        <w:rPr>
          <w:rFonts w:ascii="黑体" w:hAnsi="黑体" w:eastAsia="黑体"/>
          <w:sz w:val="32"/>
          <w:szCs w:val="32"/>
        </w:rPr>
      </w:pPr>
    </w:p>
    <w:sdt>
      <w:sdtPr>
        <w:tag w:val="NEW_STAND_NAME"/>
        <w:id w:val="-1"/>
      </w:sdtPr>
      <w:sdtContent>
        <w:p w14:paraId="1DF12C37">
          <w:pPr>
            <w:pStyle w:val="180"/>
            <w:spacing w:before="312" w:beforeLines="100" w:after="3" w:afterLines="1"/>
          </w:pPr>
          <w:r>
            <w:rPr>
              <w:rFonts w:hint="eastAsia"/>
            </w:rPr>
            <w:t>街区层面控制性详细规划环境影响评价技术指南</w:t>
          </w:r>
        </w:p>
      </w:sdtContent>
    </w:sdt>
    <w:p w14:paraId="07A8D5C0">
      <w:pPr>
        <w:pStyle w:val="107"/>
        <w:spacing w:before="312" w:after="312"/>
      </w:pPr>
      <w:bookmarkStart w:id="16" w:name="_Toc26986771"/>
      <w:bookmarkStart w:id="17" w:name="_Toc64907089"/>
      <w:bookmarkStart w:id="18" w:name="_Toc17233333"/>
      <w:bookmarkStart w:id="19" w:name="_Toc24884218"/>
      <w:bookmarkStart w:id="20" w:name="_Toc26648465"/>
      <w:bookmarkStart w:id="21" w:name="_Toc26718930"/>
      <w:bookmarkStart w:id="22" w:name="_Toc26986530"/>
      <w:bookmarkStart w:id="23" w:name="_Toc173419006"/>
      <w:bookmarkStart w:id="24" w:name="_Toc17233325"/>
      <w:bookmarkStart w:id="25" w:name="_Toc63416813"/>
      <w:bookmarkStart w:id="26" w:name="_Toc24884211"/>
      <w:r>
        <w:rPr>
          <w:rFonts w:hint="eastAsia"/>
        </w:rPr>
        <w:t>范围</w:t>
      </w:r>
      <w:bookmarkEnd w:id="16"/>
      <w:bookmarkEnd w:id="17"/>
      <w:bookmarkEnd w:id="18"/>
      <w:bookmarkEnd w:id="19"/>
      <w:bookmarkEnd w:id="20"/>
      <w:bookmarkEnd w:id="21"/>
      <w:bookmarkEnd w:id="22"/>
      <w:bookmarkEnd w:id="23"/>
      <w:bookmarkEnd w:id="24"/>
      <w:bookmarkEnd w:id="25"/>
      <w:bookmarkEnd w:id="26"/>
    </w:p>
    <w:p w14:paraId="33D4553F">
      <w:pPr>
        <w:pStyle w:val="59"/>
        <w:ind w:firstLine="420"/>
      </w:pPr>
      <w:r>
        <w:rPr>
          <w:rFonts w:hint="eastAsia"/>
        </w:rPr>
        <w:t>本文件给出了街区层面控制性详细规划环境影响评价的一般规定、技术要求及编制要求。</w:t>
      </w:r>
    </w:p>
    <w:p w14:paraId="04BAAAF5">
      <w:pPr>
        <w:pStyle w:val="59"/>
        <w:ind w:firstLine="420"/>
      </w:pPr>
      <w:r>
        <w:rPr>
          <w:rFonts w:hint="eastAsia"/>
        </w:rPr>
        <w:t>本文件适用于中心城区和新城街区的控制性详细规划阶段的环境影响评价工作，规划综合实施方案阶段的环境影响评价工作可参照使用。</w:t>
      </w:r>
    </w:p>
    <w:p w14:paraId="763A8B62">
      <w:pPr>
        <w:pStyle w:val="59"/>
        <w:ind w:firstLine="420"/>
      </w:pPr>
      <w:r>
        <w:rPr>
          <w:rFonts w:hint="eastAsia"/>
        </w:rPr>
        <w:t>本文件不适用于产业园区规划环境影响评价工作。</w:t>
      </w:r>
    </w:p>
    <w:p w14:paraId="48420583">
      <w:pPr>
        <w:pStyle w:val="107"/>
        <w:spacing w:before="312" w:after="312"/>
      </w:pPr>
      <w:bookmarkStart w:id="27" w:name="_Toc26986531"/>
      <w:bookmarkStart w:id="28" w:name="_Toc26718931"/>
      <w:bookmarkStart w:id="29" w:name="_Toc64907090"/>
      <w:bookmarkStart w:id="30" w:name="_Toc173419007"/>
      <w:bookmarkStart w:id="31" w:name="_Toc63416814"/>
      <w:bookmarkStart w:id="32" w:name="_Toc26986772"/>
      <w:r>
        <w:rPr>
          <w:rFonts w:hint="eastAsia"/>
        </w:rPr>
        <w:t>规范性引用文件</w:t>
      </w:r>
      <w:bookmarkEnd w:id="27"/>
      <w:bookmarkEnd w:id="28"/>
      <w:bookmarkEnd w:id="29"/>
      <w:bookmarkEnd w:id="30"/>
      <w:bookmarkEnd w:id="31"/>
      <w:bookmarkEnd w:id="32"/>
    </w:p>
    <w:p w14:paraId="4797B526">
      <w:pPr>
        <w:pStyle w:val="59"/>
        <w:ind w:firstLine="420"/>
      </w:pPr>
      <w:sdt>
        <w:sdtPr>
          <w:id w:val="147475586"/>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20025CA1">
      <w:pPr>
        <w:pStyle w:val="59"/>
        <w:ind w:firstLine="420"/>
      </w:pPr>
      <w:r>
        <w:rPr>
          <w:rFonts w:hint="eastAsia"/>
        </w:rPr>
        <w:t>HJ 2.1  建设项目环境影响评价技术导则  总纲</w:t>
      </w:r>
    </w:p>
    <w:p w14:paraId="49F790B6">
      <w:pPr>
        <w:pStyle w:val="59"/>
        <w:ind w:firstLine="420"/>
      </w:pPr>
      <w:r>
        <w:rPr>
          <w:rFonts w:hint="eastAsia"/>
        </w:rPr>
        <w:t>HJ 2.2  环境影响评价技术导则  大气环境</w:t>
      </w:r>
    </w:p>
    <w:p w14:paraId="27178A49">
      <w:pPr>
        <w:pStyle w:val="59"/>
        <w:ind w:firstLine="420"/>
      </w:pPr>
      <w:r>
        <w:rPr>
          <w:rFonts w:hint="eastAsia"/>
        </w:rPr>
        <w:t>HJ 2.3  环境影响评价技术导则  地表水环境</w:t>
      </w:r>
    </w:p>
    <w:p w14:paraId="3ADD88E0">
      <w:pPr>
        <w:pStyle w:val="59"/>
        <w:ind w:firstLine="420"/>
      </w:pPr>
      <w:r>
        <w:rPr>
          <w:rFonts w:hint="eastAsia"/>
        </w:rPr>
        <w:t>HJ 2.4  环境影响评价技术导则  声环境</w:t>
      </w:r>
    </w:p>
    <w:p w14:paraId="11F98398">
      <w:pPr>
        <w:pStyle w:val="59"/>
        <w:ind w:firstLine="420"/>
      </w:pPr>
      <w:r>
        <w:rPr>
          <w:rFonts w:hint="eastAsia"/>
        </w:rPr>
        <w:t>HJ 10.1  辐射环境保护管理导则 核技术利用建设项目 环境影响评价文件的内容和格式</w:t>
      </w:r>
    </w:p>
    <w:p w14:paraId="516AC071">
      <w:pPr>
        <w:pStyle w:val="59"/>
        <w:ind w:firstLine="420"/>
      </w:pPr>
      <w:r>
        <w:rPr>
          <w:rFonts w:hint="eastAsia"/>
        </w:rPr>
        <w:t>HJ/T</w:t>
      </w:r>
      <w:r>
        <w:t xml:space="preserve"> </w:t>
      </w:r>
      <w:r>
        <w:rPr>
          <w:rFonts w:hint="eastAsia"/>
        </w:rPr>
        <w:t>10.3  辐射环境保护管理导则 电磁辐射环境影响评价方法与标准</w:t>
      </w:r>
    </w:p>
    <w:p w14:paraId="32E485CF">
      <w:pPr>
        <w:pStyle w:val="59"/>
        <w:ind w:firstLine="420"/>
      </w:pPr>
      <w:r>
        <w:rPr>
          <w:rFonts w:hint="eastAsia"/>
        </w:rPr>
        <w:t>HJ 19  环境影响评价技术导则  生态影响</w:t>
      </w:r>
    </w:p>
    <w:p w14:paraId="73E7F9CE">
      <w:pPr>
        <w:pStyle w:val="59"/>
        <w:ind w:firstLine="420"/>
      </w:pPr>
      <w:r>
        <w:rPr>
          <w:rFonts w:hint="eastAsia"/>
        </w:rPr>
        <w:t>HJ 169  建设项目环境风险评价技术导则</w:t>
      </w:r>
    </w:p>
    <w:p w14:paraId="45BE4BDD">
      <w:pPr>
        <w:pStyle w:val="59"/>
        <w:ind w:firstLine="420"/>
      </w:pPr>
      <w:r>
        <w:rPr>
          <w:rFonts w:hint="eastAsia"/>
        </w:rPr>
        <w:t>HJ 610  环境影响评价技术导则  地下水环境</w:t>
      </w:r>
    </w:p>
    <w:p w14:paraId="36C29210">
      <w:pPr>
        <w:pStyle w:val="59"/>
        <w:ind w:firstLine="420"/>
      </w:pPr>
      <w:r>
        <w:rPr>
          <w:rFonts w:hint="eastAsia"/>
        </w:rPr>
        <w:t>HJ 964  环境影响评价技术导则  土壤环境（试行）</w:t>
      </w:r>
    </w:p>
    <w:p w14:paraId="696F49C9">
      <w:pPr>
        <w:pStyle w:val="107"/>
        <w:spacing w:before="312" w:after="312"/>
      </w:pPr>
      <w:bookmarkStart w:id="33" w:name="_Toc173419008"/>
      <w:bookmarkStart w:id="34" w:name="_Toc63416815"/>
      <w:bookmarkStart w:id="35" w:name="_Toc64907091"/>
      <w:r>
        <w:rPr>
          <w:rFonts w:hint="eastAsia"/>
        </w:rPr>
        <w:t>术语和定义</w:t>
      </w:r>
      <w:bookmarkEnd w:id="33"/>
      <w:bookmarkEnd w:id="34"/>
      <w:bookmarkEnd w:id="35"/>
    </w:p>
    <w:sdt>
      <w:sdtPr>
        <w:id w:val="147453091"/>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1547B3">
          <w:pPr>
            <w:pStyle w:val="59"/>
            <w:ind w:firstLine="420"/>
          </w:pPr>
          <w:r>
            <w:rPr>
              <w:rFonts w:hint="eastAsia"/>
            </w:rPr>
            <w:t>下列术语和定义适用于本文件。</w:t>
          </w:r>
        </w:p>
      </w:sdtContent>
    </w:sdt>
    <w:p w14:paraId="06FF7F1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街区层面控制性详细规划</w:t>
      </w:r>
      <w:r>
        <w:rPr>
          <w:rFonts w:ascii="黑体" w:hAnsi="黑体" w:eastAsia="黑体"/>
        </w:rPr>
        <w:t xml:space="preserve"> regulatory detailed planning at community level</w:t>
      </w:r>
    </w:p>
    <w:p w14:paraId="7F759B39">
      <w:pPr>
        <w:pStyle w:val="226"/>
        <w:numPr>
          <w:ilvl w:val="0"/>
          <w:numId w:val="0"/>
        </w:numPr>
        <w:ind w:firstLine="420" w:firstLineChars="200"/>
      </w:pPr>
      <w:r>
        <w:rPr>
          <w:rFonts w:hint="eastAsia"/>
        </w:rPr>
        <w:t>以依法批准的城市总体规划为依据，以落实总体规划意图为目的，以土地使用控制为重点，对一定时期内建设用地的用地性质、开发强度、设施配套和空间环境等做出控制要求的规划。</w:t>
      </w:r>
    </w:p>
    <w:p w14:paraId="02C59F3B">
      <w:pPr>
        <w:pStyle w:val="226"/>
        <w:ind w:left="420" w:hanging="420" w:hangingChars="200"/>
        <w:rPr>
          <w:rFonts w:ascii="黑体" w:hAnsi="黑体" w:eastAsia="黑体"/>
        </w:rPr>
      </w:pPr>
    </w:p>
    <w:p w14:paraId="0FF3DBBA">
      <w:pPr>
        <w:pStyle w:val="59"/>
        <w:ind w:firstLine="420"/>
        <w:rPr>
          <w:rFonts w:ascii="黑体" w:hAnsi="黑体" w:eastAsia="黑体"/>
        </w:rPr>
      </w:pPr>
      <w:r>
        <w:rPr>
          <w:rFonts w:hint="eastAsia" w:ascii="黑体" w:hAnsi="黑体" w:eastAsia="黑体"/>
        </w:rPr>
        <w:t xml:space="preserve">规划综合实施方案 </w:t>
      </w:r>
      <w:r>
        <w:rPr>
          <w:rFonts w:ascii="黑体" w:hAnsi="黑体" w:eastAsia="黑体"/>
        </w:rPr>
        <w:t>comprehensive implementation plan</w:t>
      </w:r>
    </w:p>
    <w:p w14:paraId="2B473C3E">
      <w:pPr>
        <w:pStyle w:val="59"/>
        <w:ind w:firstLine="420"/>
      </w:pPr>
      <w:r>
        <w:rPr>
          <w:rFonts w:hint="eastAsia"/>
        </w:rPr>
        <w:t>按照城市总体规划、分区规划、控制性详细规划及专项规划的刚性要求，通过梳理现状、统筹资源、协调利益，对一定区域近期建设规划目标，从规划统筹方案、成本测算方案、实施计划方案等方面做出的全面、具体的实施安排。</w:t>
      </w:r>
    </w:p>
    <w:p w14:paraId="1659EB1E">
      <w:pPr>
        <w:pStyle w:val="226"/>
        <w:ind w:left="420" w:hanging="420" w:hangingChars="200"/>
        <w:rPr>
          <w:rFonts w:ascii="黑体" w:hAnsi="黑体" w:eastAsia="黑体"/>
        </w:rPr>
      </w:pPr>
    </w:p>
    <w:p w14:paraId="5AE04C32">
      <w:pPr>
        <w:pStyle w:val="226"/>
        <w:numPr>
          <w:ilvl w:val="0"/>
          <w:numId w:val="0"/>
        </w:numPr>
        <w:ind w:left="420"/>
        <w:rPr>
          <w:rFonts w:ascii="黑体" w:hAnsi="黑体" w:eastAsia="黑体"/>
        </w:rPr>
      </w:pPr>
      <w:r>
        <w:rPr>
          <w:rFonts w:hint="eastAsia" w:ascii="黑体" w:hAnsi="黑体" w:eastAsia="黑体"/>
        </w:rPr>
        <w:t>环境敏感区 environmental sensitive areas</w:t>
      </w:r>
    </w:p>
    <w:p w14:paraId="47B741F9">
      <w:pPr>
        <w:pStyle w:val="59"/>
        <w:ind w:firstLine="420"/>
      </w:pPr>
      <w:r>
        <w:rPr>
          <w:rFonts w:hint="eastAsia"/>
        </w:rPr>
        <w:t>依法设立的各级各类保护区域和对建设项目产生的环境影响特别敏感的区域，主要包括：</w:t>
      </w:r>
    </w:p>
    <w:p w14:paraId="75374E9C">
      <w:pPr>
        <w:pStyle w:val="59"/>
        <w:ind w:firstLine="420"/>
      </w:pPr>
      <w:r>
        <w:rPr>
          <w:rFonts w:hint="eastAsia"/>
        </w:rPr>
        <w:t>a)</w:t>
      </w:r>
      <w:r>
        <w:rPr>
          <w:rFonts w:hint="eastAsia"/>
        </w:rPr>
        <w:tab/>
      </w:r>
      <w:r>
        <w:rPr>
          <w:rFonts w:hint="eastAsia"/>
        </w:rPr>
        <w:t>国家公园、自然保护区、风景名胜区、世界文化和自然遗产地、饮用水水源保护区；</w:t>
      </w:r>
    </w:p>
    <w:p w14:paraId="7504D4A6">
      <w:pPr>
        <w:pStyle w:val="59"/>
        <w:ind w:firstLine="420"/>
      </w:pPr>
      <w:r>
        <w:rPr>
          <w:rFonts w:hint="eastAsia"/>
        </w:rPr>
        <w:t>b)</w:t>
      </w:r>
      <w:r>
        <w:rPr>
          <w:rFonts w:hint="eastAsia"/>
        </w:rPr>
        <w:tab/>
      </w:r>
      <w:r>
        <w:rPr>
          <w:rFonts w:hint="eastAsia"/>
        </w:rPr>
        <w:t>除a）外的生态保护红线管控范围，永久基本农田、自然公园（森林公园、地质公园等）、重要湿地、天然林、重点保护野生动物栖息地、重点保护野生植物生长繁殖地、沙化土地封禁保护区；</w:t>
      </w:r>
    </w:p>
    <w:p w14:paraId="6769A76E">
      <w:pPr>
        <w:pStyle w:val="59"/>
        <w:ind w:firstLine="420"/>
      </w:pPr>
      <w:r>
        <w:rPr>
          <w:rFonts w:hint="eastAsia"/>
        </w:rPr>
        <w:t>c)</w:t>
      </w:r>
      <w:r>
        <w:rPr>
          <w:rFonts w:hint="eastAsia"/>
        </w:rPr>
        <w:tab/>
      </w:r>
      <w:r>
        <w:rPr>
          <w:rFonts w:hint="eastAsia"/>
        </w:rPr>
        <w:t>以居住、医疗卫生、文化教育、科研、行政办公等为主要功能的区域，以及文物保护单位。</w:t>
      </w:r>
    </w:p>
    <w:p w14:paraId="47011907">
      <w:pPr>
        <w:pStyle w:val="226"/>
        <w:ind w:left="420" w:hanging="420" w:hangingChars="200"/>
        <w:rPr>
          <w:rFonts w:ascii="黑体" w:hAnsi="黑体" w:eastAsia="黑体"/>
        </w:rPr>
      </w:pPr>
    </w:p>
    <w:p w14:paraId="60881858">
      <w:pPr>
        <w:pStyle w:val="226"/>
        <w:numPr>
          <w:ilvl w:val="0"/>
          <w:numId w:val="0"/>
        </w:numPr>
        <w:ind w:left="420"/>
        <w:rPr>
          <w:rFonts w:ascii="黑体" w:hAnsi="黑体" w:eastAsia="黑体"/>
        </w:rPr>
      </w:pPr>
      <w:r>
        <w:rPr>
          <w:rFonts w:hint="default" w:ascii="黑体" w:hAnsi="黑体" w:eastAsia="黑体"/>
          <w:lang w:val="en-US"/>
        </w:rPr>
        <w:t>c</w:t>
      </w:r>
      <w:r>
        <w:rPr>
          <w:rFonts w:hint="eastAsia" w:ascii="黑体" w:hAnsi="黑体" w:eastAsia="黑体"/>
        </w:rPr>
        <w:t xml:space="preserve"> a</w:t>
      </w:r>
      <w:r>
        <w:rPr>
          <w:rFonts w:ascii="黑体" w:hAnsi="黑体" w:eastAsia="黑体"/>
        </w:rPr>
        <w:t xml:space="preserve">pproval </w:t>
      </w:r>
      <w:r>
        <w:rPr>
          <w:rFonts w:hint="eastAsia" w:ascii="黑体" w:hAnsi="黑体" w:eastAsia="黑体"/>
        </w:rPr>
        <w:t xml:space="preserve">type </w:t>
      </w:r>
      <w:r>
        <w:rPr>
          <w:rFonts w:ascii="黑体" w:hAnsi="黑体" w:eastAsia="黑体"/>
        </w:rPr>
        <w:t>construction projects</w:t>
      </w:r>
    </w:p>
    <w:p w14:paraId="65B0E433">
      <w:pPr>
        <w:pStyle w:val="59"/>
        <w:ind w:firstLine="420"/>
      </w:pPr>
      <w:r>
        <w:rPr>
          <w:rFonts w:hint="eastAsia"/>
        </w:rPr>
        <w:t>根据《建设项目环境影响评价分类管理名录》及北京市实施细化规定，需组织编制环境影响报告书、环境影响报告表的建设项目。</w:t>
      </w:r>
    </w:p>
    <w:p w14:paraId="4FCC3444">
      <w:pPr>
        <w:pStyle w:val="226"/>
        <w:ind w:left="420" w:hanging="420" w:hangingChars="200"/>
        <w:rPr>
          <w:rFonts w:ascii="黑体" w:hAnsi="黑体" w:eastAsia="黑体"/>
        </w:rPr>
      </w:pPr>
    </w:p>
    <w:p w14:paraId="6DF5E20B">
      <w:pPr>
        <w:pStyle w:val="226"/>
        <w:numPr>
          <w:ilvl w:val="0"/>
          <w:numId w:val="0"/>
        </w:numPr>
        <w:ind w:left="420"/>
        <w:rPr>
          <w:rFonts w:ascii="黑体" w:hAnsi="黑体" w:eastAsia="黑体"/>
        </w:rPr>
      </w:pPr>
      <w:r>
        <w:rPr>
          <w:rFonts w:hint="eastAsia" w:ascii="黑体" w:hAnsi="黑体" w:eastAsia="黑体"/>
        </w:rPr>
        <w:t>非审批类建设项目 non-a</w:t>
      </w:r>
      <w:r>
        <w:rPr>
          <w:rFonts w:ascii="黑体" w:hAnsi="黑体" w:eastAsia="黑体"/>
        </w:rPr>
        <w:t xml:space="preserve">pproval </w:t>
      </w:r>
      <w:r>
        <w:rPr>
          <w:rFonts w:hint="eastAsia" w:ascii="黑体" w:hAnsi="黑体" w:eastAsia="黑体"/>
        </w:rPr>
        <w:t xml:space="preserve">type </w:t>
      </w:r>
      <w:r>
        <w:rPr>
          <w:rFonts w:ascii="黑体" w:hAnsi="黑体" w:eastAsia="黑体"/>
        </w:rPr>
        <w:t>construction projects</w:t>
      </w:r>
    </w:p>
    <w:p w14:paraId="0DEF726C">
      <w:pPr>
        <w:pStyle w:val="59"/>
        <w:ind w:firstLine="420"/>
      </w:pPr>
      <w:r>
        <w:rPr>
          <w:rFonts w:hint="eastAsia"/>
        </w:rPr>
        <w:t>根据《建设项目环境影响评价分类管理名录》及北京市实施细化规定，需填报环境影响登记表的建设项目，以及不纳入建设项目环境影响评价管理的建设项目。</w:t>
      </w:r>
    </w:p>
    <w:p w14:paraId="68BBE73F">
      <w:pPr>
        <w:pStyle w:val="107"/>
        <w:spacing w:before="312" w:after="312"/>
      </w:pPr>
      <w:bookmarkStart w:id="36" w:name="_Toc64907092"/>
      <w:bookmarkStart w:id="37" w:name="_Toc173419009"/>
      <w:bookmarkStart w:id="38" w:name="_Toc63416816"/>
      <w:r>
        <w:rPr>
          <w:rFonts w:hint="eastAsia"/>
        </w:rPr>
        <w:t>一般规定</w:t>
      </w:r>
      <w:bookmarkEnd w:id="36"/>
      <w:bookmarkEnd w:id="37"/>
      <w:bookmarkEnd w:id="38"/>
    </w:p>
    <w:p w14:paraId="5B1D54D9">
      <w:pPr>
        <w:pStyle w:val="108"/>
        <w:spacing w:before="156" w:after="156"/>
      </w:pPr>
      <w:bookmarkStart w:id="39" w:name="_Toc63416817"/>
      <w:bookmarkStart w:id="40" w:name="_Toc64907093"/>
      <w:r>
        <w:rPr>
          <w:rFonts w:hint="eastAsia"/>
        </w:rPr>
        <w:t>评价原则</w:t>
      </w:r>
      <w:bookmarkEnd w:id="39"/>
      <w:bookmarkEnd w:id="40"/>
    </w:p>
    <w:p w14:paraId="593E20D6">
      <w:pPr>
        <w:pStyle w:val="68"/>
        <w:spacing w:before="156" w:after="156"/>
        <w:ind w:left="0"/>
      </w:pPr>
      <w:r>
        <w:rPr>
          <w:rFonts w:hint="eastAsia"/>
        </w:rPr>
        <w:t>全程互动</w:t>
      </w:r>
    </w:p>
    <w:p w14:paraId="07A16058">
      <w:pPr>
        <w:pStyle w:val="59"/>
        <w:ind w:firstLine="420"/>
      </w:pPr>
      <w:r>
        <w:rPr>
          <w:rFonts w:hint="eastAsia"/>
        </w:rPr>
        <w:t>应在规划编制阶段同步启动环境影响评价工作，与规划编制全过程互动。</w:t>
      </w:r>
    </w:p>
    <w:p w14:paraId="6E8D0D1F">
      <w:pPr>
        <w:pStyle w:val="68"/>
        <w:spacing w:before="156" w:after="156"/>
        <w:ind w:left="0"/>
      </w:pPr>
      <w:r>
        <w:rPr>
          <w:rFonts w:hint="eastAsia"/>
        </w:rPr>
        <w:t>分类指导</w:t>
      </w:r>
    </w:p>
    <w:p w14:paraId="14FE677E">
      <w:pPr>
        <w:pStyle w:val="59"/>
        <w:ind w:firstLine="420"/>
      </w:pPr>
      <w:r>
        <w:rPr>
          <w:rFonts w:hint="eastAsia"/>
        </w:rPr>
        <w:t>根据规划内容，将规划区域内建设项目分类为审批类建设项目和非审批类建设项目，分别开展相关工作。</w:t>
      </w:r>
    </w:p>
    <w:p w14:paraId="2C7F394C">
      <w:pPr>
        <w:pStyle w:val="68"/>
        <w:spacing w:before="156" w:after="156"/>
        <w:ind w:left="0"/>
      </w:pPr>
      <w:r>
        <w:rPr>
          <w:rFonts w:hint="eastAsia"/>
        </w:rPr>
        <w:t>整体优化</w:t>
      </w:r>
    </w:p>
    <w:p w14:paraId="4C1BEDD8">
      <w:pPr>
        <w:pStyle w:val="59"/>
        <w:ind w:firstLine="420"/>
      </w:pPr>
      <w:r>
        <w:rPr>
          <w:rFonts w:hint="eastAsia"/>
        </w:rPr>
        <w:t>统筹考虑评价范围内环境敏感区和污染源的空间分布，在环境影响分析基础上，提出规划的优化完善意见。</w:t>
      </w:r>
    </w:p>
    <w:p w14:paraId="0AA4C06A">
      <w:pPr>
        <w:pStyle w:val="68"/>
        <w:spacing w:before="156" w:after="156"/>
        <w:ind w:left="0"/>
      </w:pPr>
      <w:r>
        <w:rPr>
          <w:rFonts w:hint="eastAsia"/>
        </w:rPr>
        <w:t>科学简化</w:t>
      </w:r>
    </w:p>
    <w:p w14:paraId="03B0BE33">
      <w:pPr>
        <w:pStyle w:val="59"/>
        <w:ind w:firstLine="420"/>
      </w:pPr>
      <w:r>
        <w:rPr>
          <w:rFonts w:hint="eastAsia"/>
        </w:rPr>
        <w:t>根据识别的生态环境制约因素、环境影响分析结论，提出规划实施中的生态环境保护约束性要求，作为科学简化后续建设项目环境影响评价工作的必要条件。</w:t>
      </w:r>
    </w:p>
    <w:p w14:paraId="46937C69">
      <w:pPr>
        <w:pStyle w:val="108"/>
        <w:spacing w:before="156" w:after="156"/>
      </w:pPr>
      <w:bookmarkStart w:id="41" w:name="_Toc63416818"/>
      <w:bookmarkStart w:id="42" w:name="_Toc64907094"/>
      <w:r>
        <w:rPr>
          <w:rFonts w:hint="eastAsia"/>
        </w:rPr>
        <w:t>评价范围</w:t>
      </w:r>
      <w:bookmarkEnd w:id="41"/>
      <w:bookmarkEnd w:id="42"/>
    </w:p>
    <w:p w14:paraId="3634E372">
      <w:pPr>
        <w:pStyle w:val="59"/>
        <w:ind w:firstLine="420"/>
      </w:pPr>
      <w:r>
        <w:rPr>
          <w:rFonts w:hint="eastAsia"/>
        </w:rPr>
        <w:t>一般包括规划区域、可能受到规划实施后直接或间接影响的周边区域，以及可能对规划区域内环境敏感区产生影响的周边区域。</w:t>
      </w:r>
    </w:p>
    <w:p w14:paraId="643E9979">
      <w:pPr>
        <w:pStyle w:val="108"/>
        <w:spacing w:before="156" w:after="156"/>
      </w:pPr>
      <w:bookmarkStart w:id="43" w:name="_Toc64907095"/>
      <w:bookmarkStart w:id="44" w:name="_Toc63416819"/>
      <w:r>
        <w:rPr>
          <w:rFonts w:hint="eastAsia"/>
        </w:rPr>
        <w:t>技术流程</w:t>
      </w:r>
      <w:bookmarkEnd w:id="43"/>
      <w:bookmarkEnd w:id="44"/>
    </w:p>
    <w:p w14:paraId="0794BA6C">
      <w:pPr>
        <w:pStyle w:val="59"/>
        <w:ind w:firstLine="420"/>
      </w:pPr>
      <w:r>
        <w:rPr>
          <w:rFonts w:hint="eastAsia"/>
        </w:rPr>
        <w:t>街区层面控制性详细规划环境影响评价技术流程如图</w:t>
      </w:r>
      <w:r>
        <w:rPr>
          <w:rFonts w:ascii="Times New Roman"/>
        </w:rPr>
        <w:t>1</w:t>
      </w:r>
      <w:r>
        <w:rPr>
          <w:rFonts w:hint="eastAsia"/>
        </w:rPr>
        <w:t>所示。</w:t>
      </w:r>
    </w:p>
    <w:p w14:paraId="3D9B323C">
      <w:pPr>
        <w:pStyle w:val="59"/>
        <w:ind w:firstLine="0" w:firstLineChars="0"/>
        <w:jc w:val="center"/>
      </w:pPr>
      <w:r>
        <w:t xml:space="preserve">  </w:t>
      </w:r>
      <w:r>
        <w:object>
          <v:shape id="_x0000_i1025" o:spt="75" type="#_x0000_t75" style="height:510.4pt;width:281.6pt;" o:ole="t" filled="f" o:preferrelative="t" stroked="f" coordsize="21600,21600">
            <v:path/>
            <v:fill on="f" focussize="0,0"/>
            <v:stroke on="f" joinstyle="miter"/>
            <v:imagedata r:id="rId36" o:title=""/>
            <o:lock v:ext="edit" aspectratio="t"/>
            <w10:wrap type="none"/>
            <w10:anchorlock/>
          </v:shape>
          <o:OLEObject Type="Embed" ProgID="Visio.Drawing.15" ShapeID="_x0000_i1025" DrawAspect="Content" ObjectID="_1468075725" r:id="rId35">
            <o:LockedField>false</o:LockedField>
          </o:OLEObject>
        </w:object>
      </w:r>
    </w:p>
    <w:p w14:paraId="28C964C8">
      <w:pPr>
        <w:pStyle w:val="117"/>
        <w:spacing w:before="156" w:after="156"/>
      </w:pPr>
      <w:r>
        <w:rPr>
          <w:rFonts w:hint="eastAsia"/>
        </w:rPr>
        <w:t>技术流程</w:t>
      </w:r>
    </w:p>
    <w:p w14:paraId="0B706E5B">
      <w:pPr>
        <w:pStyle w:val="107"/>
        <w:spacing w:before="312" w:after="312"/>
      </w:pPr>
      <w:bookmarkStart w:id="45" w:name="_Toc63416820"/>
      <w:bookmarkStart w:id="46" w:name="_Toc173419010"/>
      <w:bookmarkStart w:id="47" w:name="_Toc64907096"/>
      <w:r>
        <w:rPr>
          <w:rFonts w:hint="eastAsia"/>
        </w:rPr>
        <w:t>技术要求</w:t>
      </w:r>
      <w:bookmarkEnd w:id="45"/>
      <w:bookmarkEnd w:id="46"/>
      <w:bookmarkEnd w:id="47"/>
    </w:p>
    <w:p w14:paraId="0FC437EA">
      <w:pPr>
        <w:pStyle w:val="108"/>
        <w:spacing w:before="156" w:after="156"/>
      </w:pPr>
      <w:bookmarkStart w:id="48" w:name="_Toc63416821"/>
      <w:bookmarkStart w:id="49" w:name="_Toc64907097"/>
      <w:r>
        <w:rPr>
          <w:rFonts w:hint="eastAsia"/>
        </w:rPr>
        <w:t>规划概述</w:t>
      </w:r>
      <w:bookmarkEnd w:id="48"/>
      <w:bookmarkEnd w:id="49"/>
    </w:p>
    <w:p w14:paraId="5A4152E5">
      <w:pPr>
        <w:pStyle w:val="59"/>
        <w:ind w:firstLine="420"/>
      </w:pPr>
      <w:r>
        <w:rPr>
          <w:rFonts w:hint="eastAsia"/>
        </w:rPr>
        <w:t>根据街区层面控制性详细规划或规划综合实施方案及其他相关资料，概述规划内容，包括但不限于以下内容：</w:t>
      </w:r>
    </w:p>
    <w:p w14:paraId="0DB5B900">
      <w:pPr>
        <w:pStyle w:val="177"/>
        <w:numPr>
          <w:ilvl w:val="0"/>
          <w:numId w:val="31"/>
        </w:numPr>
      </w:pPr>
      <w:r>
        <w:rPr>
          <w:rFonts w:hint="eastAsia"/>
        </w:rPr>
        <w:t>给出规划整体情况，包括规划范围、功能定位、发展目标、空间布局、功能分区、各地块用地性质、实施现状、实施清单和时序等；</w:t>
      </w:r>
    </w:p>
    <w:p w14:paraId="19A34C0A">
      <w:pPr>
        <w:pStyle w:val="177"/>
        <w:numPr>
          <w:ilvl w:val="0"/>
          <w:numId w:val="31"/>
        </w:numPr>
      </w:pPr>
      <w:r>
        <w:rPr>
          <w:rFonts w:hint="eastAsia"/>
        </w:rPr>
        <w:t>梳理建设项目的位置、规模、布局、设计等工程内容，包括居住与公共服务、综合交通、市政设施以及其它产生污染的设施等。</w:t>
      </w:r>
    </w:p>
    <w:p w14:paraId="5857894F">
      <w:pPr>
        <w:pStyle w:val="108"/>
        <w:spacing w:before="156" w:after="156"/>
      </w:pPr>
      <w:bookmarkStart w:id="50" w:name="_Toc63416822"/>
      <w:bookmarkStart w:id="51" w:name="_Toc64907098"/>
      <w:r>
        <w:rPr>
          <w:rFonts w:hint="eastAsia"/>
        </w:rPr>
        <w:t>符合性</w:t>
      </w:r>
      <w:bookmarkEnd w:id="50"/>
      <w:bookmarkEnd w:id="51"/>
      <w:r>
        <w:rPr>
          <w:rFonts w:hint="eastAsia"/>
        </w:rPr>
        <w:t>分析</w:t>
      </w:r>
    </w:p>
    <w:p w14:paraId="1BC1AC52">
      <w:pPr>
        <w:pStyle w:val="168"/>
        <w:ind w:left="0"/>
      </w:pPr>
      <w:r>
        <w:rPr>
          <w:rFonts w:hint="eastAsia"/>
          <w:u w:color="FFFFFF"/>
        </w:rPr>
        <w:t>分析与生态环境分区管控要求的符合性，识别所在的生态环境管控单元，分析其与生态环境准入清单的符合性；</w:t>
      </w:r>
      <w:r>
        <w:rPr>
          <w:rFonts w:hint="eastAsia"/>
        </w:rPr>
        <w:t>分析与相关生态环境保护规划、计划、方案及规划环境影响评价相关要求的符合性。</w:t>
      </w:r>
    </w:p>
    <w:p w14:paraId="401FE697">
      <w:pPr>
        <w:pStyle w:val="168"/>
        <w:ind w:left="0"/>
        <w:rPr>
          <w:u w:color="FFFFFF"/>
        </w:rPr>
      </w:pPr>
      <w:r>
        <w:rPr>
          <w:rFonts w:hint="eastAsia"/>
          <w:u w:color="FFFFFF"/>
        </w:rPr>
        <w:t>当规划不符合上述相关要求时，应提出规划调整意见，说明互动情况。</w:t>
      </w:r>
    </w:p>
    <w:p w14:paraId="05786CDF">
      <w:pPr>
        <w:pStyle w:val="108"/>
        <w:spacing w:before="156" w:after="156"/>
      </w:pPr>
      <w:bookmarkStart w:id="52" w:name="_Toc64907099"/>
      <w:bookmarkStart w:id="53" w:name="_Toc63416823"/>
      <w:r>
        <w:rPr>
          <w:rFonts w:hint="eastAsia"/>
        </w:rPr>
        <w:t>现状调查与评价</w:t>
      </w:r>
      <w:bookmarkEnd w:id="52"/>
      <w:bookmarkEnd w:id="53"/>
    </w:p>
    <w:p w14:paraId="68195AB8">
      <w:pPr>
        <w:pStyle w:val="68"/>
        <w:spacing w:before="156" w:after="156"/>
        <w:ind w:left="0"/>
      </w:pPr>
      <w:r>
        <w:rPr>
          <w:rFonts w:hint="eastAsia"/>
        </w:rPr>
        <w:t>用地情况</w:t>
      </w:r>
    </w:p>
    <w:p w14:paraId="494316CD">
      <w:pPr>
        <w:pStyle w:val="59"/>
        <w:ind w:firstLine="420"/>
      </w:pPr>
      <w:r>
        <w:t>调查规划区域内地块的土地利用类型和建设现状</w:t>
      </w:r>
      <w:r>
        <w:rPr>
          <w:rFonts w:hint="eastAsia"/>
        </w:rPr>
        <w:t>，</w:t>
      </w:r>
      <w:r>
        <w:t>结合5.1</w:t>
      </w:r>
      <w:r>
        <w:rPr>
          <w:rFonts w:hAnsi="宋体"/>
        </w:rPr>
        <w:t>识别</w:t>
      </w:r>
      <w:r>
        <w:rPr>
          <w:rFonts w:hint="eastAsia" w:hAnsi="宋体"/>
        </w:rPr>
        <w:t>涉及用地性质变更的地块和疑似污染地块，将地块情况</w:t>
      </w:r>
      <w:r>
        <w:t>填</w:t>
      </w:r>
      <w:r>
        <w:rPr>
          <w:rFonts w:hint="eastAsia"/>
        </w:rPr>
        <w:t>入</w:t>
      </w:r>
      <w:r>
        <w:t>附</w:t>
      </w:r>
      <w:r>
        <w:rPr>
          <w:rFonts w:hint="eastAsia"/>
        </w:rPr>
        <w:t>录A的表</w:t>
      </w:r>
      <w:r>
        <w:t>A.1</w:t>
      </w:r>
      <w:r>
        <w:rPr>
          <w:rFonts w:hint="eastAsia"/>
        </w:rPr>
        <w:t>，重点包括以下内容：</w:t>
      </w:r>
    </w:p>
    <w:p w14:paraId="12002278">
      <w:pPr>
        <w:pStyle w:val="177"/>
        <w:numPr>
          <w:ilvl w:val="0"/>
          <w:numId w:val="32"/>
        </w:numPr>
      </w:pPr>
      <w:r>
        <w:rPr>
          <w:rFonts w:hint="eastAsia"/>
        </w:rPr>
        <w:t>用途变更为住宅、公共管理与公共服务用地的；</w:t>
      </w:r>
    </w:p>
    <w:p w14:paraId="26633266">
      <w:pPr>
        <w:pStyle w:val="177"/>
        <w:numPr>
          <w:ilvl w:val="0"/>
          <w:numId w:val="32"/>
        </w:numPr>
      </w:pPr>
      <w:r>
        <w:rPr>
          <w:rFonts w:hint="eastAsia"/>
        </w:rPr>
        <w:t>从事过有色金属冶炼、石油加工、化工、焦化、电镀、制革等行业生产经营活动，以及从事过危险废物贮存、利用、处置活动的用地。</w:t>
      </w:r>
    </w:p>
    <w:p w14:paraId="41D92735">
      <w:pPr>
        <w:pStyle w:val="68"/>
        <w:spacing w:before="156" w:after="156"/>
        <w:ind w:left="0"/>
      </w:pPr>
      <w:r>
        <w:rPr>
          <w:rFonts w:hint="eastAsia"/>
        </w:rPr>
        <w:t>污染源</w:t>
      </w:r>
    </w:p>
    <w:p w14:paraId="2AB645B8">
      <w:pPr>
        <w:pStyle w:val="59"/>
        <w:ind w:firstLine="420"/>
        <w:rPr>
          <w:rFonts w:ascii="Times New Roman"/>
        </w:rPr>
      </w:pPr>
      <w:r>
        <w:rPr>
          <w:rFonts w:ascii="Times New Roman"/>
        </w:rPr>
        <w:t>调查评价范围内</w:t>
      </w:r>
      <w:r>
        <w:rPr>
          <w:rFonts w:hint="eastAsia" w:ascii="Times New Roman"/>
        </w:rPr>
        <w:t>现状</w:t>
      </w:r>
      <w:r>
        <w:rPr>
          <w:rFonts w:hint="eastAsia"/>
        </w:rPr>
        <w:t>污染源</w:t>
      </w:r>
      <w:r>
        <w:rPr>
          <w:rFonts w:ascii="Times New Roman"/>
        </w:rPr>
        <w:t>，明确其</w:t>
      </w:r>
      <w:r>
        <w:rPr>
          <w:rFonts w:ascii="&quot;Times New Roman&quot;" w:hAnsi="Calibri" w:cs="&quot;Times New Roman&quot;"/>
          <w:color w:val="000000"/>
          <w:kern w:val="2"/>
        </w:rPr>
        <w:t>位置、类型、规模等</w:t>
      </w:r>
      <w:r>
        <w:rPr>
          <w:rFonts w:ascii="Times New Roman"/>
        </w:rPr>
        <w:t>，说明</w:t>
      </w:r>
      <w:r>
        <w:rPr>
          <w:rFonts w:hint="eastAsia" w:ascii="Times New Roman"/>
        </w:rPr>
        <w:t>环境保护</w:t>
      </w:r>
      <w:r>
        <w:rPr>
          <w:rFonts w:ascii="Times New Roman"/>
        </w:rPr>
        <w:t>措施及污染排放情况等</w:t>
      </w:r>
      <w:r>
        <w:rPr>
          <w:rFonts w:hint="eastAsia" w:ascii="Times New Roman"/>
        </w:rPr>
        <w:t>，包括</w:t>
      </w:r>
      <w:r>
        <w:rPr>
          <w:rFonts w:ascii="Times New Roman"/>
        </w:rPr>
        <w:t>但不限于以下设施或单位：</w:t>
      </w:r>
    </w:p>
    <w:p w14:paraId="388703EC">
      <w:pPr>
        <w:pStyle w:val="177"/>
        <w:numPr>
          <w:ilvl w:val="0"/>
          <w:numId w:val="33"/>
        </w:numPr>
      </w:pPr>
      <w:r>
        <w:rPr>
          <w:rFonts w:hint="eastAsia" w:ascii="Times New Roman"/>
        </w:rPr>
        <w:t>综合</w:t>
      </w:r>
      <w:r>
        <w:rPr>
          <w:rFonts w:ascii="Times New Roman"/>
        </w:rPr>
        <w:t>交通设施：高速公路、一级公路、二级公路、城市快速路、主干路、次干路、轨道交通、交通枢纽、普通铁路、城际铁路、高速铁路、机场</w:t>
      </w:r>
      <w:r>
        <w:rPr>
          <w:rFonts w:hint="eastAsia" w:ascii="Times New Roman"/>
        </w:rPr>
        <w:t>，</w:t>
      </w:r>
      <w:r>
        <w:rPr>
          <w:rFonts w:ascii="Times New Roman"/>
        </w:rPr>
        <w:t>加油（气）站、储油（气）库等；</w:t>
      </w:r>
    </w:p>
    <w:p w14:paraId="63D4A57C">
      <w:pPr>
        <w:pStyle w:val="177"/>
        <w:numPr>
          <w:ilvl w:val="0"/>
          <w:numId w:val="33"/>
        </w:numPr>
      </w:pPr>
      <w:r>
        <w:rPr>
          <w:rFonts w:ascii="Times New Roman"/>
        </w:rPr>
        <w:t>城市基础设施：供电供热中心、</w:t>
      </w:r>
      <w:r>
        <w:rPr>
          <w:rFonts w:hint="eastAsia" w:ascii="Times New Roman"/>
        </w:rPr>
        <w:t>生活垃圾转运站</w:t>
      </w:r>
      <w:r>
        <w:rPr>
          <w:rFonts w:ascii="Times New Roman"/>
        </w:rPr>
        <w:t>、污水处理设施、危险废物处置设施等；</w:t>
      </w:r>
    </w:p>
    <w:p w14:paraId="26F116FC">
      <w:pPr>
        <w:pStyle w:val="177"/>
        <w:numPr>
          <w:ilvl w:val="0"/>
          <w:numId w:val="33"/>
        </w:numPr>
      </w:pPr>
      <w:r>
        <w:rPr>
          <w:rFonts w:ascii="Times New Roman"/>
        </w:rPr>
        <w:t>辐射设施：输变电工程（</w:t>
      </w:r>
      <w:r>
        <w:t>110</w:t>
      </w:r>
      <w:r>
        <w:rPr>
          <w:rFonts w:ascii="Times New Roman"/>
        </w:rPr>
        <w:t>千伏及以上）、广播电台、差转台、电视塔台、卫星地球上行站、雷达等电磁辐射设施，核设施、核技术利用等</w:t>
      </w:r>
      <w:r>
        <w:rPr>
          <w:rFonts w:hint="eastAsia" w:ascii="Times New Roman"/>
        </w:rPr>
        <w:t>电离辐射</w:t>
      </w:r>
      <w:r>
        <w:rPr>
          <w:rFonts w:ascii="Times New Roman"/>
        </w:rPr>
        <w:t>设施；</w:t>
      </w:r>
    </w:p>
    <w:p w14:paraId="5C912940">
      <w:pPr>
        <w:pStyle w:val="177"/>
        <w:numPr>
          <w:ilvl w:val="0"/>
          <w:numId w:val="33"/>
        </w:numPr>
      </w:pPr>
      <w:r>
        <w:rPr>
          <w:rFonts w:hint="eastAsia" w:ascii="Times New Roman"/>
        </w:rPr>
        <w:t>其他排放污染物的企事业单位：畜牧养殖、食品加工、电子制造、装备制造、机械加工、化工石化、医药制造、印刷、汽车维修、医疗机构等单位。</w:t>
      </w:r>
    </w:p>
    <w:p w14:paraId="051CA728">
      <w:pPr>
        <w:pStyle w:val="68"/>
        <w:spacing w:before="156" w:after="156"/>
        <w:ind w:left="0"/>
      </w:pPr>
      <w:r>
        <w:rPr>
          <w:rFonts w:hint="eastAsia"/>
        </w:rPr>
        <w:t>环境敏感区</w:t>
      </w:r>
    </w:p>
    <w:p w14:paraId="4AA0C531">
      <w:pPr>
        <w:pStyle w:val="59"/>
        <w:ind w:firstLine="420"/>
      </w:pPr>
      <w:r>
        <w:rPr>
          <w:rFonts w:hint="eastAsia"/>
        </w:rPr>
        <w:t>调查评价范围内现状环境敏感区，明确其</w:t>
      </w:r>
      <w:r>
        <w:rPr>
          <w:rFonts w:ascii="&quot;Times New Roman&quot;" w:hAnsi="Calibri" w:cs="&quot;Times New Roman&quot;"/>
          <w:color w:val="000000"/>
          <w:kern w:val="2"/>
        </w:rPr>
        <w:t>位置、类型、规模</w:t>
      </w:r>
      <w:r>
        <w:rPr>
          <w:rFonts w:hint="eastAsia" w:ascii="&quot;Times New Roman&quot;" w:hAnsi="Calibri" w:cs="&quot;Times New Roman&quot;"/>
          <w:color w:val="000000"/>
          <w:kern w:val="2"/>
        </w:rPr>
        <w:t>、范围</w:t>
      </w:r>
      <w:r>
        <w:rPr>
          <w:rFonts w:ascii="&quot;Times New Roman&quot;" w:hAnsi="Calibri" w:cs="&quot;Times New Roman&quot;"/>
          <w:color w:val="000000"/>
          <w:kern w:val="2"/>
        </w:rPr>
        <w:t>等</w:t>
      </w:r>
      <w:r>
        <w:rPr>
          <w:rFonts w:hint="eastAsia"/>
        </w:rPr>
        <w:t>。</w:t>
      </w:r>
    </w:p>
    <w:p w14:paraId="107EA883">
      <w:pPr>
        <w:pStyle w:val="68"/>
        <w:spacing w:before="156" w:after="156"/>
        <w:ind w:left="0"/>
      </w:pPr>
      <w:r>
        <w:rPr>
          <w:rFonts w:hint="eastAsia"/>
        </w:rPr>
        <w:t>生态环境质量</w:t>
      </w:r>
    </w:p>
    <w:p w14:paraId="06F51C78">
      <w:pPr>
        <w:pStyle w:val="167"/>
      </w:pPr>
      <w:r>
        <w:rPr>
          <w:rFonts w:ascii="&quot;Times New Roman&quot;" w:hAnsi="Calibri" w:cs="&quot;Times New Roman&quot;"/>
          <w:color w:val="000000"/>
          <w:kern w:val="2"/>
        </w:rPr>
        <w:t>充分收集和利用已有环境质量数据，并</w:t>
      </w:r>
      <w:r>
        <w:rPr>
          <w:rFonts w:ascii="Times New Roman"/>
        </w:rPr>
        <w:t>注明来源和有效性。</w:t>
      </w:r>
      <w:r>
        <w:rPr>
          <w:rFonts w:hint="eastAsia"/>
        </w:rPr>
        <w:t>可从以下方面开展调查和评价：</w:t>
      </w:r>
    </w:p>
    <w:p w14:paraId="6A821D6E">
      <w:pPr>
        <w:pStyle w:val="177"/>
        <w:numPr>
          <w:ilvl w:val="0"/>
          <w:numId w:val="34"/>
        </w:numPr>
      </w:pPr>
      <w:r>
        <w:rPr>
          <w:rFonts w:ascii="Times New Roman"/>
        </w:rPr>
        <w:t>结合各类环境功能区划及目标要求，对评价范围内水环境质量、</w:t>
      </w:r>
      <w:r>
        <w:rPr>
          <w:rFonts w:hint="eastAsia" w:ascii="Times New Roman"/>
        </w:rPr>
        <w:t>大气</w:t>
      </w:r>
      <w:r>
        <w:rPr>
          <w:rFonts w:ascii="Times New Roman"/>
        </w:rPr>
        <w:t>环境质量、声环境质量、土壤环境质量进行评价；评价范围有辐射设施时开展周边环境辐射水平调查；</w:t>
      </w:r>
    </w:p>
    <w:p w14:paraId="5A49146B">
      <w:pPr>
        <w:pStyle w:val="177"/>
        <w:numPr>
          <w:ilvl w:val="0"/>
          <w:numId w:val="34"/>
        </w:numPr>
      </w:pPr>
      <w:r>
        <w:rPr>
          <w:rFonts w:ascii="Times New Roman"/>
        </w:rPr>
        <w:t>分析区域生态系统的组成、结构与功能状况，涉及</w:t>
      </w:r>
      <w:r>
        <w:t>3.3</w:t>
      </w:r>
      <w:r>
        <w:rPr>
          <w:rFonts w:ascii="Times New Roman"/>
        </w:rPr>
        <w:t>环境敏感区中</w:t>
      </w:r>
      <w:r>
        <w:t>a）、b）</w:t>
      </w:r>
      <w:r>
        <w:rPr>
          <w:rFonts w:ascii="Times New Roman"/>
        </w:rPr>
        <w:t>时应调查其生态环境现状及保护要求。</w:t>
      </w:r>
    </w:p>
    <w:p w14:paraId="57CE8C99">
      <w:pPr>
        <w:pStyle w:val="167"/>
      </w:pPr>
      <w:r>
        <w:rPr>
          <w:rFonts w:ascii="Times New Roman"/>
        </w:rPr>
        <w:t>当已有数据不能满足上述评价要求或存在排放特征污染物的</w:t>
      </w:r>
      <w:r>
        <w:rPr>
          <w:rFonts w:hint="eastAsia" w:ascii="Times New Roman"/>
        </w:rPr>
        <w:t>工业企业</w:t>
      </w:r>
      <w:r>
        <w:rPr>
          <w:rFonts w:ascii="Times New Roman"/>
        </w:rPr>
        <w:t>时，</w:t>
      </w:r>
      <w:r>
        <w:rPr>
          <w:rFonts w:hint="eastAsia" w:ascii="Times New Roman"/>
        </w:rPr>
        <w:t>可结合</w:t>
      </w:r>
      <w:r>
        <w:t>3.3</w:t>
      </w:r>
      <w:r>
        <w:rPr>
          <w:rFonts w:ascii="Times New Roman"/>
        </w:rPr>
        <w:t>环境敏感区</w:t>
      </w:r>
      <w:r>
        <w:rPr>
          <w:rFonts w:hint="eastAsia" w:ascii="Times New Roman"/>
        </w:rPr>
        <w:t>中c）</w:t>
      </w:r>
      <w:r>
        <w:rPr>
          <w:rFonts w:ascii="Times New Roman"/>
        </w:rPr>
        <w:t>进行环境质量补充监测。</w:t>
      </w:r>
    </w:p>
    <w:p w14:paraId="13630FCB">
      <w:pPr>
        <w:pStyle w:val="68"/>
        <w:spacing w:before="156" w:after="156"/>
        <w:ind w:left="0"/>
      </w:pPr>
      <w:r>
        <w:rPr>
          <w:rFonts w:hint="eastAsia"/>
        </w:rPr>
        <w:t>现状制约因素及建议</w:t>
      </w:r>
    </w:p>
    <w:p w14:paraId="2A25E3C7">
      <w:pPr>
        <w:pStyle w:val="59"/>
        <w:ind w:firstLine="420"/>
      </w:pPr>
      <w:r>
        <w:rPr>
          <w:rFonts w:hint="eastAsia"/>
        </w:rPr>
        <w:t>宜从以下方面分析规划实施的生态环境制约因素及解决建议：</w:t>
      </w:r>
    </w:p>
    <w:p w14:paraId="7731351D">
      <w:pPr>
        <w:pStyle w:val="177"/>
        <w:numPr>
          <w:ilvl w:val="0"/>
          <w:numId w:val="35"/>
        </w:numPr>
      </w:pPr>
      <w:r>
        <w:rPr>
          <w:rFonts w:hint="eastAsia"/>
        </w:rPr>
        <w:t>现状用地性质环境合理性、污染源与环境敏感区的空间布局环境合理性；</w:t>
      </w:r>
    </w:p>
    <w:p w14:paraId="3A242EC3">
      <w:pPr>
        <w:pStyle w:val="177"/>
        <w:numPr>
          <w:ilvl w:val="0"/>
          <w:numId w:val="35"/>
        </w:numPr>
      </w:pPr>
      <w:r>
        <w:rPr>
          <w:rFonts w:hint="eastAsia"/>
        </w:rPr>
        <w:t>现有污染源存在的主要问题，包括环境保护措施落实及污染物排放达标情况；</w:t>
      </w:r>
    </w:p>
    <w:p w14:paraId="62302903">
      <w:pPr>
        <w:pStyle w:val="177"/>
        <w:numPr>
          <w:ilvl w:val="0"/>
          <w:numId w:val="35"/>
        </w:numPr>
      </w:pPr>
      <w:r>
        <w:rPr>
          <w:rFonts w:hint="eastAsia"/>
        </w:rPr>
        <w:t>污水处理、供热、固体废物转运处置等市政基础设施的承载能力；</w:t>
      </w:r>
    </w:p>
    <w:p w14:paraId="118A4F43">
      <w:pPr>
        <w:pStyle w:val="177"/>
        <w:numPr>
          <w:ilvl w:val="0"/>
          <w:numId w:val="35"/>
        </w:numPr>
      </w:pPr>
      <w:r>
        <w:rPr>
          <w:rFonts w:hint="eastAsia"/>
        </w:rPr>
        <w:t>评价范围内存在的其他生态环境问题。</w:t>
      </w:r>
    </w:p>
    <w:p w14:paraId="28E6F1CC">
      <w:pPr>
        <w:pStyle w:val="108"/>
        <w:spacing w:before="156" w:after="156"/>
      </w:pPr>
      <w:bookmarkStart w:id="54" w:name="_Toc64907100"/>
      <w:bookmarkStart w:id="55" w:name="_Toc63416824"/>
      <w:r>
        <w:rPr>
          <w:rFonts w:hint="eastAsia"/>
        </w:rPr>
        <w:t>建设项目识别</w:t>
      </w:r>
      <w:bookmarkEnd w:id="54"/>
      <w:bookmarkEnd w:id="55"/>
    </w:p>
    <w:p w14:paraId="1413EE9D">
      <w:pPr>
        <w:pStyle w:val="168"/>
        <w:ind w:left="0"/>
        <w:rPr>
          <w:u w:color="FFFFFF"/>
        </w:rPr>
      </w:pPr>
      <w:r>
        <w:rPr>
          <w:rFonts w:hint="eastAsia"/>
          <w:u w:color="FFFFFF"/>
        </w:rPr>
        <w:t>识别规划区域内建设项目，将建设项目划分为审批类建设项目和非审批类建设项目，按附录B的表B.1给出建设项目的环评类别、名称或项目类别、特性。</w:t>
      </w:r>
    </w:p>
    <w:p w14:paraId="5CFCFC62">
      <w:pPr>
        <w:pStyle w:val="168"/>
        <w:ind w:left="0"/>
      </w:pPr>
      <w:r>
        <w:rPr>
          <w:rFonts w:hint="eastAsia"/>
          <w:u w:color="FFFFFF"/>
        </w:rPr>
        <w:t>当规划区域与产业园区用地重合时，若产业园区规划环境影响评价相关文件对其中的建设项目提出了环境保护措施，可不再开展环境影响分析。</w:t>
      </w:r>
    </w:p>
    <w:p w14:paraId="085B3B6B">
      <w:pPr>
        <w:pStyle w:val="108"/>
        <w:spacing w:before="156" w:after="156"/>
      </w:pPr>
      <w:r>
        <w:rPr>
          <w:rFonts w:hint="eastAsia"/>
        </w:rPr>
        <w:t>环境影响分析</w:t>
      </w:r>
    </w:p>
    <w:p w14:paraId="2B3A77A8">
      <w:pPr>
        <w:pStyle w:val="68"/>
        <w:spacing w:before="156" w:after="156"/>
        <w:ind w:left="0"/>
      </w:pPr>
      <w:r>
        <w:rPr>
          <w:rFonts w:hint="eastAsia"/>
        </w:rPr>
        <w:t>审批类建设项目</w:t>
      </w:r>
    </w:p>
    <w:p w14:paraId="3446D640">
      <w:pPr>
        <w:pStyle w:val="167"/>
      </w:pPr>
      <w:r>
        <w:rPr>
          <w:rFonts w:hint="eastAsia"/>
        </w:rPr>
        <w:t>参考HJ 2.1、HJ 2.2、HJ 2.3、HJ 610、HJ 964、HJ 2.4、HJ 169、HJ 10.1、HJ/T 10.3、HJ 19、《建设项目环境影响报告表编制技术指南（生态影响类）（试行）》《建设项目环境影响报告表编制技术指南（污染影响类）（试行）》技术方法，重点开展运营期的环境影响分析及环境风险分析。生态影响类建设项目还需分析施工期的环境影响。</w:t>
      </w:r>
    </w:p>
    <w:p w14:paraId="7F5DA0EB">
      <w:pPr>
        <w:pStyle w:val="167"/>
      </w:pPr>
      <w:r>
        <w:rPr>
          <w:rFonts w:hint="eastAsia"/>
        </w:rPr>
        <w:t>需逐个分析建设项目与周边污染源或环境敏感区的距离、影响关系，并结合环境投诉风险分析空间布局合理性，填写附录C的表C.1。</w:t>
      </w:r>
    </w:p>
    <w:p w14:paraId="17EAA97B">
      <w:pPr>
        <w:pStyle w:val="68"/>
        <w:spacing w:before="156" w:after="156"/>
        <w:ind w:left="0"/>
      </w:pPr>
      <w:r>
        <w:rPr>
          <w:rFonts w:hint="eastAsia"/>
        </w:rPr>
        <w:t>非审批类建设项目</w:t>
      </w:r>
    </w:p>
    <w:p w14:paraId="2760330D">
      <w:pPr>
        <w:pStyle w:val="167"/>
      </w:pPr>
      <w:r>
        <w:rPr>
          <w:rFonts w:hint="eastAsia"/>
        </w:rPr>
        <w:t>针对生活垃圾转运站、城市（镇）管网及管廊建设（天然气调压站）、房地产开发、学校（幼儿园、小学）、城市道路（城市次干路、城市支路）、粪便处置工程、基层医疗卫生服务（社区卫生服务站）、公交枢纽、大型停车场等建设项目，逐个说明与周边污染源或环境敏感区的距离，并结合环境投诉风险说明空间布局进一步优化的可行性，填写附录C的表C.2。</w:t>
      </w:r>
    </w:p>
    <w:p w14:paraId="06BB5771">
      <w:pPr>
        <w:pStyle w:val="167"/>
      </w:pPr>
      <w:r>
        <w:rPr>
          <w:rFonts w:hint="eastAsia"/>
        </w:rPr>
        <w:t>城市道路类建设项目需结合</w:t>
      </w:r>
      <w:r>
        <w:t>3.3环境敏感区中c）</w:t>
      </w:r>
      <w:r>
        <w:rPr>
          <w:rFonts w:hint="eastAsia"/>
        </w:rPr>
        <w:t>，开展声环境影响分析。</w:t>
      </w:r>
    </w:p>
    <w:p w14:paraId="2DFD16D2">
      <w:pPr>
        <w:pStyle w:val="108"/>
        <w:spacing w:before="156" w:after="156"/>
        <w:rPr>
          <w:strike/>
        </w:rPr>
      </w:pPr>
      <w:bookmarkStart w:id="56" w:name="_Toc64907103"/>
      <w:bookmarkStart w:id="57" w:name="_Toc63416827"/>
      <w:r>
        <w:rPr>
          <w:rFonts w:hint="eastAsia"/>
        </w:rPr>
        <w:t>规划环境合理性论证及优化意见</w:t>
      </w:r>
      <w:bookmarkEnd w:id="56"/>
      <w:bookmarkEnd w:id="57"/>
    </w:p>
    <w:p w14:paraId="4C7DEBA2">
      <w:pPr>
        <w:pStyle w:val="68"/>
        <w:spacing w:before="156" w:after="156"/>
        <w:ind w:left="0"/>
      </w:pPr>
      <w:r>
        <w:rPr>
          <w:rFonts w:hint="eastAsia"/>
        </w:rPr>
        <w:t>用地性质优化意见</w:t>
      </w:r>
    </w:p>
    <w:p w14:paraId="17E134E4">
      <w:pPr>
        <w:pStyle w:val="59"/>
        <w:ind w:firstLine="420"/>
        <w:rPr>
          <w:rFonts w:ascii="Times New Roman"/>
        </w:rPr>
      </w:pPr>
      <w:r>
        <w:rPr>
          <w:rFonts w:ascii="Times New Roman"/>
        </w:rPr>
        <w:t>根据</w:t>
      </w:r>
      <w:r>
        <w:rPr>
          <w:szCs w:val="20"/>
          <w:lang w:bidi="ar-SA"/>
        </w:rPr>
        <w:t>5.3.1</w:t>
      </w:r>
      <w:r>
        <w:rPr>
          <w:rFonts w:ascii="Times New Roman"/>
        </w:rPr>
        <w:t>调查结果，对以下情况</w:t>
      </w:r>
      <w:r>
        <w:rPr>
          <w:rFonts w:hint="eastAsia" w:ascii="Times New Roman"/>
        </w:rPr>
        <w:t>提出</w:t>
      </w:r>
      <w:r>
        <w:rPr>
          <w:rFonts w:hint="eastAsia" w:ascii="Calibri" w:hAnsi="Calibri" w:cs="&quot;Times New Roman&quot;"/>
          <w:color w:val="000000"/>
          <w:kern w:val="2"/>
        </w:rPr>
        <w:t>开展土壤污染状况调查要求的优化意见，确保土壤环境质量符合用地性质。</w:t>
      </w:r>
      <w:r>
        <w:rPr>
          <w:rFonts w:hint="eastAsia" w:hAnsi="宋体"/>
        </w:rPr>
        <w:t>填写附录D的表D.1，</w:t>
      </w:r>
      <w:r>
        <w:rPr>
          <w:rFonts w:hint="eastAsia"/>
        </w:rPr>
        <w:t>包括但不限于以下内容：</w:t>
      </w:r>
    </w:p>
    <w:p w14:paraId="325D4073">
      <w:pPr>
        <w:pStyle w:val="177"/>
        <w:numPr>
          <w:ilvl w:val="0"/>
          <w:numId w:val="36"/>
        </w:numPr>
      </w:pPr>
      <w:r>
        <w:rPr>
          <w:rFonts w:hint="eastAsia"/>
        </w:rPr>
        <w:t>用途变更为住宅、公共管理与公共服务用地的</w:t>
      </w:r>
      <w:r>
        <w:rPr>
          <w:rFonts w:hint="eastAsia" w:ascii="Calibri" w:hAnsi="Calibri" w:cs="&quot;Times New Roman&quot;"/>
          <w:color w:val="000000"/>
          <w:kern w:val="2"/>
        </w:rPr>
        <w:t>；</w:t>
      </w:r>
    </w:p>
    <w:p w14:paraId="18144E70">
      <w:pPr>
        <w:pStyle w:val="177"/>
        <w:numPr>
          <w:ilvl w:val="0"/>
          <w:numId w:val="36"/>
        </w:numPr>
      </w:pPr>
      <w:r>
        <w:rPr>
          <w:rFonts w:hint="eastAsia"/>
        </w:rPr>
        <w:t>从事过有色金属冶炼、石油加工、化工、焦化、电镀、制革等行业生产经营活动，以及从事过危险废物贮存、利用、处置活动的用地。</w:t>
      </w:r>
    </w:p>
    <w:p w14:paraId="5181E1A8">
      <w:pPr>
        <w:pStyle w:val="68"/>
        <w:spacing w:before="156" w:after="156"/>
        <w:ind w:left="0"/>
      </w:pPr>
      <w:r>
        <w:rPr>
          <w:rFonts w:hint="eastAsia"/>
        </w:rPr>
        <w:t>空间布局优化意见</w:t>
      </w:r>
    </w:p>
    <w:p w14:paraId="1FD4C6F8">
      <w:pPr>
        <w:pStyle w:val="59"/>
        <w:ind w:firstLine="420"/>
      </w:pPr>
      <w:r>
        <w:rPr>
          <w:rFonts w:hint="eastAsia"/>
        </w:rPr>
        <w:t>根据</w:t>
      </w:r>
      <w:r>
        <w:t>5.5</w:t>
      </w:r>
      <w:r>
        <w:rPr>
          <w:rFonts w:hint="eastAsia"/>
        </w:rPr>
        <w:t>分析结果，对以下情况提出空间布局环境合理性的优化意见或准入要求，</w:t>
      </w:r>
      <w:r>
        <w:rPr>
          <w:rFonts w:hint="eastAsia" w:hAnsi="宋体"/>
        </w:rPr>
        <w:t>填写附录D的表D.1。</w:t>
      </w:r>
      <w:r>
        <w:rPr>
          <w:rFonts w:hint="eastAsia"/>
        </w:rPr>
        <w:t>包括但不限于以下内容：</w:t>
      </w:r>
    </w:p>
    <w:p w14:paraId="51F790D4">
      <w:pPr>
        <w:pStyle w:val="177"/>
        <w:numPr>
          <w:ilvl w:val="0"/>
          <w:numId w:val="37"/>
        </w:numPr>
      </w:pPr>
      <w:r>
        <w:rPr>
          <w:rFonts w:hint="eastAsia" w:ascii="Times New Roman"/>
        </w:rPr>
        <w:t>建设用地位于、穿越、跨越</w:t>
      </w:r>
      <w:r>
        <w:t>3.3</w:t>
      </w:r>
      <w:r>
        <w:rPr>
          <w:rFonts w:hint="eastAsia" w:ascii="Times New Roman"/>
        </w:rPr>
        <w:t>环境敏感区</w:t>
      </w:r>
      <w:r>
        <w:rPr>
          <w:rFonts w:hint="eastAsia"/>
        </w:rPr>
        <w:t>中</w:t>
      </w:r>
      <w:r>
        <w:t>a</w:t>
      </w:r>
      <w:r>
        <w:rPr>
          <w:rFonts w:hint="eastAsia"/>
        </w:rPr>
        <w:t>）、</w:t>
      </w:r>
      <w:r>
        <w:t>b</w:t>
      </w:r>
      <w:r>
        <w:rPr>
          <w:rFonts w:hint="eastAsia"/>
        </w:rPr>
        <w:t>）的，</w:t>
      </w:r>
      <w:r>
        <w:rPr>
          <w:rFonts w:hint="eastAsia" w:ascii="Times New Roman"/>
        </w:rPr>
        <w:t>应提出空间布局优化意见或准入要求</w:t>
      </w:r>
      <w:r>
        <w:rPr>
          <w:rFonts w:hint="eastAsia"/>
        </w:rPr>
        <w:t>；</w:t>
      </w:r>
    </w:p>
    <w:p w14:paraId="4EF55D70">
      <w:pPr>
        <w:pStyle w:val="177"/>
        <w:numPr>
          <w:ilvl w:val="0"/>
          <w:numId w:val="36"/>
        </w:numPr>
        <w:rPr>
          <w:rFonts w:ascii="Times New Roman"/>
        </w:rPr>
      </w:pPr>
      <w:r>
        <w:rPr>
          <w:rFonts w:hint="eastAsia" w:ascii="Times New Roman"/>
        </w:rPr>
        <w:t>建设项目间因邻近可能产生环境影响或投诉风险时，应提出空间布局优化意见。</w:t>
      </w:r>
    </w:p>
    <w:p w14:paraId="3F462559">
      <w:pPr>
        <w:pStyle w:val="68"/>
        <w:spacing w:before="156" w:after="156"/>
        <w:ind w:left="0"/>
      </w:pPr>
      <w:r>
        <w:rPr>
          <w:rFonts w:hint="eastAsia" w:ascii="Times New Roman"/>
          <w:kern w:val="2"/>
        </w:rPr>
        <w:t>用地功能优化意见</w:t>
      </w:r>
    </w:p>
    <w:p w14:paraId="57596825">
      <w:pPr>
        <w:pStyle w:val="59"/>
        <w:ind w:firstLine="420"/>
      </w:pPr>
      <w:r>
        <w:rPr>
          <w:rFonts w:hint="eastAsia"/>
        </w:rPr>
        <w:t>根据5.4识别结果,对尚未确定建设项目信息的用地，如留白用地、工业用地等，需结合用地功能、产业目标、周边环境、环境质量等，对用地建设内容提出生态环境准入要求。</w:t>
      </w:r>
    </w:p>
    <w:p w14:paraId="7DD7F3B9">
      <w:pPr>
        <w:pStyle w:val="68"/>
        <w:spacing w:before="156" w:after="156"/>
        <w:ind w:left="0"/>
      </w:pPr>
      <w:r>
        <w:rPr>
          <w:rFonts w:hint="eastAsia"/>
        </w:rPr>
        <w:t>市政基础设施合理性论证及优化意见</w:t>
      </w:r>
    </w:p>
    <w:p w14:paraId="4FC149FE">
      <w:pPr>
        <w:pStyle w:val="59"/>
        <w:ind w:firstLine="420"/>
      </w:pPr>
      <w:r>
        <w:rPr>
          <w:rFonts w:hint="eastAsia"/>
        </w:rPr>
        <w:t>根据</w:t>
      </w:r>
      <w:r>
        <w:t>5.1</w:t>
      </w:r>
      <w:r>
        <w:rPr>
          <w:rFonts w:hint="eastAsia"/>
        </w:rPr>
        <w:t>、</w:t>
      </w:r>
      <w:r>
        <w:t>5.3</w:t>
      </w:r>
      <w:r>
        <w:rPr>
          <w:rFonts w:hint="eastAsia"/>
        </w:rPr>
        <w:t>调查结果，对以下情况提出市政基础设施规划优化完善意见</w:t>
      </w:r>
      <w:r>
        <w:rPr>
          <w:rFonts w:hint="eastAsia" w:ascii="Times New Roman"/>
        </w:rPr>
        <w:t>，</w:t>
      </w:r>
      <w:r>
        <w:rPr>
          <w:rFonts w:hint="eastAsia" w:hAnsi="宋体"/>
        </w:rPr>
        <w:t>填写附录D的表D.1。</w:t>
      </w:r>
      <w:r>
        <w:rPr>
          <w:rFonts w:hint="eastAsia"/>
        </w:rPr>
        <w:t>包括但不限于以下内容：</w:t>
      </w:r>
    </w:p>
    <w:p w14:paraId="5434013B">
      <w:pPr>
        <w:pStyle w:val="59"/>
        <w:numPr>
          <w:ilvl w:val="0"/>
          <w:numId w:val="38"/>
        </w:numPr>
        <w:ind w:firstLineChars="0"/>
      </w:pPr>
      <w:r>
        <w:rPr>
          <w:rFonts w:hint="eastAsia"/>
        </w:rPr>
        <w:t>根据规划范围内人口规模、建筑规模、基础设施能力及污染排放预测结果，论证规划实施中污水集中处理、中水回用、集中供热和固体废物暂存处置等市政基础设施的可依托性，可依托性不足时，提出增加市政基础设施能力的优化意见；</w:t>
      </w:r>
    </w:p>
    <w:p w14:paraId="4CCA5878">
      <w:pPr>
        <w:pStyle w:val="59"/>
        <w:numPr>
          <w:ilvl w:val="0"/>
          <w:numId w:val="38"/>
        </w:numPr>
        <w:ind w:firstLineChars="0"/>
      </w:pPr>
      <w:r>
        <w:rPr>
          <w:rFonts w:hint="eastAsia"/>
        </w:rPr>
        <w:t>按市政基础设施先行建设的原则，论证基础设施建设、管网建设与规划实施的时序合理性，提出优化意见。</w:t>
      </w:r>
    </w:p>
    <w:p w14:paraId="4EAE17D0">
      <w:pPr>
        <w:pStyle w:val="108"/>
        <w:spacing w:before="156" w:after="156"/>
      </w:pPr>
      <w:r>
        <w:rPr>
          <w:rFonts w:hint="eastAsia"/>
        </w:rPr>
        <w:t>建设项目环境保护措施</w:t>
      </w:r>
    </w:p>
    <w:p w14:paraId="2E8F179D">
      <w:pPr>
        <w:pStyle w:val="168"/>
        <w:numPr>
          <w:ilvl w:val="0"/>
          <w:numId w:val="0"/>
        </w:numPr>
        <w:ind w:firstLine="420" w:firstLineChars="200"/>
      </w:pPr>
      <w:r>
        <w:rPr>
          <w:rFonts w:hint="eastAsia"/>
        </w:rPr>
        <w:t>根据</w:t>
      </w:r>
      <w:r>
        <w:rPr>
          <w:szCs w:val="20"/>
          <w:lang w:bidi="ar-SA"/>
        </w:rPr>
        <w:t>5.5</w:t>
      </w:r>
      <w:r>
        <w:rPr>
          <w:rFonts w:hint="eastAsia"/>
        </w:rPr>
        <w:t>分析结果，对规划区域内建设项目提出施工期或运营期的污染防治、生态保护、环境风险防范等环境保护措施，作为后续建设项目环境影响评价工作简化的必要条件，</w:t>
      </w:r>
      <w:r>
        <w:rPr>
          <w:rFonts w:hint="eastAsia" w:ascii="Times New Roman"/>
        </w:rPr>
        <w:t>填写附录D的表D.2</w:t>
      </w:r>
      <w:r>
        <w:rPr>
          <w:rFonts w:hint="eastAsia"/>
        </w:rPr>
        <w:t>。</w:t>
      </w:r>
    </w:p>
    <w:p w14:paraId="097A671C">
      <w:pPr>
        <w:pStyle w:val="108"/>
        <w:spacing w:before="156" w:after="156"/>
      </w:pPr>
      <w:bookmarkStart w:id="58" w:name="_Toc63416828"/>
      <w:bookmarkStart w:id="59" w:name="_Toc64907104"/>
      <w:r>
        <w:rPr>
          <w:rFonts w:hint="eastAsia"/>
        </w:rPr>
        <w:t>评价结论</w:t>
      </w:r>
      <w:bookmarkEnd w:id="58"/>
      <w:bookmarkEnd w:id="59"/>
    </w:p>
    <w:p w14:paraId="3D70DEEB">
      <w:pPr>
        <w:pStyle w:val="59"/>
        <w:ind w:firstLine="420"/>
      </w:pPr>
      <w:r>
        <w:rPr>
          <w:rFonts w:hint="eastAsia"/>
        </w:rPr>
        <w:t>对全部评价工作内容和成果进行归纳总结。总结现状生态环境问题及解决建议、规划优化完善意见、审批类建设项目环境影响评价开展情况。将环境影响评价开展情况填入附录E的表E.1，作为后续建设项目环境影响评价工作简化的参考。</w:t>
      </w:r>
    </w:p>
    <w:p w14:paraId="7E348904">
      <w:pPr>
        <w:pStyle w:val="107"/>
        <w:spacing w:before="312" w:after="312"/>
      </w:pPr>
      <w:bookmarkStart w:id="60" w:name="_Toc60235405"/>
      <w:bookmarkStart w:id="61" w:name="_Toc63416829"/>
      <w:bookmarkStart w:id="62" w:name="_Toc173419011"/>
      <w:bookmarkStart w:id="63" w:name="_Toc56085721"/>
      <w:bookmarkStart w:id="64" w:name="_Toc64907105"/>
      <w:r>
        <w:rPr>
          <w:rFonts w:hint="eastAsia"/>
        </w:rPr>
        <w:t>编制要求</w:t>
      </w:r>
      <w:bookmarkEnd w:id="60"/>
      <w:bookmarkEnd w:id="61"/>
      <w:bookmarkEnd w:id="62"/>
      <w:bookmarkEnd w:id="63"/>
      <w:bookmarkEnd w:id="64"/>
    </w:p>
    <w:p w14:paraId="4B4B8B49">
      <w:pPr>
        <w:pStyle w:val="108"/>
        <w:spacing w:before="156" w:after="156"/>
      </w:pPr>
      <w:bookmarkStart w:id="65" w:name="_Toc64907106"/>
      <w:bookmarkStart w:id="66" w:name="_Toc63416830"/>
      <w:r>
        <w:rPr>
          <w:rFonts w:hint="eastAsia"/>
        </w:rPr>
        <w:t>环境影响评价文件编制要求</w:t>
      </w:r>
      <w:bookmarkEnd w:id="65"/>
      <w:bookmarkEnd w:id="66"/>
    </w:p>
    <w:p w14:paraId="6C6C8C43">
      <w:pPr>
        <w:pStyle w:val="68"/>
        <w:spacing w:before="156" w:after="156"/>
        <w:ind w:left="0"/>
      </w:pPr>
      <w:r>
        <w:rPr>
          <w:rFonts w:hint="eastAsia"/>
        </w:rPr>
        <w:t>总体要求</w:t>
      </w:r>
    </w:p>
    <w:p w14:paraId="0F5D940E">
      <w:pPr>
        <w:pStyle w:val="59"/>
        <w:ind w:firstLine="420"/>
      </w:pPr>
      <w:r>
        <w:rPr>
          <w:rFonts w:hint="eastAsia"/>
        </w:rPr>
        <w:t>环境影响评价文件应结构完整、文字简洁、重点突出、图文并茂、结论清晰明确。</w:t>
      </w:r>
    </w:p>
    <w:p w14:paraId="75A131BF">
      <w:pPr>
        <w:pStyle w:val="68"/>
        <w:spacing w:before="156" w:after="156"/>
        <w:ind w:left="0"/>
      </w:pPr>
      <w:r>
        <w:rPr>
          <w:rFonts w:hint="eastAsia"/>
        </w:rPr>
        <w:t>内容要求</w:t>
      </w:r>
    </w:p>
    <w:p w14:paraId="016854A4">
      <w:pPr>
        <w:pStyle w:val="59"/>
        <w:ind w:firstLine="420"/>
      </w:pPr>
      <w:r>
        <w:rPr>
          <w:rFonts w:hint="eastAsia"/>
        </w:rPr>
        <w:t>环境影响评价文件应包括但不限于以下内容：总论、规划概述、规划符合性分析、现状调查与评价、建设项目识别、环境影响分析、规划环境合理性论证及优化意见、建设项目环境保护措施及评价结论等。目录结构可参考</w:t>
      </w:r>
      <w:r>
        <w:rPr>
          <w:rFonts w:hint="eastAsia" w:ascii="Times New Roman"/>
          <w:kern w:val="2"/>
        </w:rPr>
        <w:t>附录</w:t>
      </w:r>
      <w:r>
        <w:rPr>
          <w:rFonts w:ascii="Times New Roman"/>
        </w:rPr>
        <w:t>F</w:t>
      </w:r>
      <w:r>
        <w:rPr>
          <w:rFonts w:hint="eastAsia"/>
        </w:rPr>
        <w:t>。</w:t>
      </w:r>
    </w:p>
    <w:p w14:paraId="043CEBD8">
      <w:pPr>
        <w:pStyle w:val="108"/>
        <w:spacing w:before="156" w:after="156"/>
      </w:pPr>
      <w:bookmarkStart w:id="67" w:name="_Toc63416831"/>
      <w:bookmarkStart w:id="68" w:name="_Toc64907107"/>
      <w:r>
        <w:rPr>
          <w:rFonts w:hint="eastAsia"/>
        </w:rPr>
        <w:t>制图要求</w:t>
      </w:r>
      <w:bookmarkEnd w:id="67"/>
      <w:bookmarkEnd w:id="68"/>
    </w:p>
    <w:p w14:paraId="4725D473">
      <w:pPr>
        <w:pStyle w:val="168"/>
        <w:ind w:left="0"/>
      </w:pPr>
      <w:r>
        <w:rPr>
          <w:rFonts w:hint="eastAsia"/>
        </w:rPr>
        <w:t>必要图件应包括但不限于以下内容：规划图、主导功能规划图、规划用地功能图、现状用地情况图、环境敏感区和污染源分布图、市政基础设施图、生态环境监测布点图、建设项目分布图等。</w:t>
      </w:r>
    </w:p>
    <w:p w14:paraId="5C4F1731">
      <w:pPr>
        <w:pStyle w:val="168"/>
        <w:ind w:left="0"/>
      </w:pPr>
      <w:r>
        <w:rPr>
          <w:rFonts w:hint="eastAsia"/>
        </w:rPr>
        <w:t>图件应选择合适的比例尺，清晰、完整、准确反映规划布局和相对位置关系。所有图件均须注明图名、指向标、比例尺、图例、注记等内容</w:t>
      </w:r>
      <w:r>
        <w:t>。</w:t>
      </w:r>
    </w:p>
    <w:p w14:paraId="6E423106">
      <w:pPr>
        <w:widowControl/>
        <w:adjustRightInd/>
        <w:spacing w:line="240" w:lineRule="auto"/>
        <w:jc w:val="left"/>
      </w:pPr>
      <w:r>
        <w:br w:type="page"/>
      </w:r>
    </w:p>
    <w:p w14:paraId="4807F5B9">
      <w:pPr>
        <w:pStyle w:val="201"/>
      </w:pPr>
      <w:r>
        <w:t>规划概述需要图件：区位图、街区及主导功能分区划定图、现状用地功能分类图、空间结构规划图、主导功能规划图不确定：重点地区布局规划图基准高度规划图 基准强度规划图 在图纸右上角或左上角放置指北针、比例尺。规划环评总纲：介绍规划编制背景和定位， 结合图、表梳理分析规划的空间范围和布局，规划不同阶段目标、发展规模、布局、结构（包括产业结构、能源结构、资源利用结构等）、建设时序，配套基础设施等可能对生态环境造成影响的规划内容，梳理规划的环境目标、环境污染治理要求、环保基础设施建设、生态保护与建设等方面的内容。如规划方案包含的具体建设项目有明确的规划内容，应说明其建设时段、内容、规模、选址等。</w:t>
      </w:r>
    </w:p>
    <w:p w14:paraId="797D275E">
      <w:pPr>
        <w:pStyle w:val="202"/>
      </w:pPr>
    </w:p>
    <w:p w14:paraId="6692F1D9">
      <w:pPr>
        <w:pStyle w:val="79"/>
        <w:spacing w:before="78" w:after="156"/>
      </w:pPr>
      <w:r>
        <w:br w:type="textWrapping"/>
      </w:r>
      <w:bookmarkStart w:id="69" w:name="_Toc63416832"/>
      <w:bookmarkStart w:id="70" w:name="_Toc173419012"/>
      <w:bookmarkStart w:id="71" w:name="_Toc64907108"/>
      <w:r>
        <w:rPr>
          <w:rFonts w:hint="eastAsia"/>
        </w:rPr>
        <w:t>（规范性）</w:t>
      </w:r>
      <w:r>
        <w:br w:type="textWrapping"/>
      </w:r>
      <w:r>
        <w:rPr>
          <w:rFonts w:hint="eastAsia"/>
        </w:rPr>
        <w:t>用地性质情况表</w:t>
      </w:r>
      <w:bookmarkEnd w:id="69"/>
      <w:bookmarkEnd w:id="70"/>
      <w:bookmarkEnd w:id="71"/>
    </w:p>
    <w:p w14:paraId="3E2AF99B">
      <w:pPr>
        <w:ind w:firstLine="420"/>
        <w:rPr>
          <w:rFonts w:ascii="宋体" w:hAnsi="宋体"/>
        </w:rPr>
      </w:pPr>
      <w:r>
        <w:rPr>
          <w:rFonts w:ascii="宋体" w:hAnsi="宋体"/>
          <w:color w:val="000000"/>
        </w:rPr>
        <w:t> </w:t>
      </w:r>
      <w:r>
        <w:rPr>
          <w:rFonts w:hint="eastAsia" w:ascii="宋体" w:hAnsi="宋体"/>
          <w:color w:val="000000"/>
        </w:rPr>
        <w:t>用地性质情况见表</w:t>
      </w:r>
      <w:r>
        <w:rPr>
          <w:rFonts w:ascii="Times New Roman" w:hAnsi="Times New Roman"/>
          <w:kern w:val="0"/>
        </w:rPr>
        <w:t>A.1</w:t>
      </w:r>
      <w:r>
        <w:rPr>
          <w:rFonts w:hint="eastAsia" w:ascii="宋体" w:hAnsi="宋体"/>
          <w:color w:val="000000"/>
        </w:rPr>
        <w:t>。</w:t>
      </w:r>
    </w:p>
    <w:p w14:paraId="47A56BDA">
      <w:pPr>
        <w:pStyle w:val="80"/>
        <w:spacing w:before="156" w:after="156"/>
        <w:ind w:left="0"/>
      </w:pPr>
      <w:r>
        <w:t> 用地</w:t>
      </w:r>
      <w:r>
        <w:rPr>
          <w:rFonts w:hint="eastAsia"/>
        </w:rPr>
        <w:t>性质</w:t>
      </w:r>
      <w:r>
        <w:t>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701"/>
        <w:gridCol w:w="1446"/>
        <w:gridCol w:w="1701"/>
        <w:gridCol w:w="1409"/>
        <w:gridCol w:w="1670"/>
      </w:tblGrid>
      <w:tr w14:paraId="204A8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8" w:space="0"/>
              <w:bottom w:val="single" w:color="auto" w:sz="8" w:space="0"/>
            </w:tcBorders>
            <w:vAlign w:val="center"/>
          </w:tcPr>
          <w:p w14:paraId="1CD66653">
            <w:pPr>
              <w:spacing w:line="240" w:lineRule="auto"/>
              <w:jc w:val="center"/>
              <w:rPr>
                <w:rFonts w:ascii="宋体" w:hAnsi="宋体"/>
                <w:sz w:val="18"/>
              </w:rPr>
            </w:pPr>
            <w:r>
              <w:rPr>
                <w:rFonts w:ascii="宋体" w:hAnsi="宋体"/>
                <w:b/>
                <w:color w:val="000000"/>
                <w:sz w:val="18"/>
              </w:rPr>
              <w:t>地块编号/序号</w:t>
            </w:r>
          </w:p>
        </w:tc>
        <w:tc>
          <w:tcPr>
            <w:tcW w:w="1701" w:type="dxa"/>
            <w:tcBorders>
              <w:top w:val="single" w:color="auto" w:sz="8" w:space="0"/>
              <w:bottom w:val="single" w:color="auto" w:sz="8" w:space="0"/>
            </w:tcBorders>
            <w:vAlign w:val="center"/>
          </w:tcPr>
          <w:p w14:paraId="6077BB09">
            <w:pPr>
              <w:spacing w:line="240" w:lineRule="auto"/>
              <w:jc w:val="center"/>
              <w:rPr>
                <w:rFonts w:ascii="宋体" w:hAnsi="宋体"/>
                <w:sz w:val="18"/>
              </w:rPr>
            </w:pPr>
            <w:r>
              <w:rPr>
                <w:rFonts w:ascii="宋体" w:hAnsi="宋体"/>
                <w:b/>
                <w:color w:val="000000"/>
                <w:sz w:val="18"/>
              </w:rPr>
              <w:t>现状土地利用类型</w:t>
            </w:r>
          </w:p>
        </w:tc>
        <w:tc>
          <w:tcPr>
            <w:tcW w:w="1446" w:type="dxa"/>
            <w:tcBorders>
              <w:top w:val="single" w:color="auto" w:sz="8" w:space="0"/>
              <w:bottom w:val="single" w:color="auto" w:sz="8" w:space="0"/>
            </w:tcBorders>
            <w:vAlign w:val="center"/>
          </w:tcPr>
          <w:p w14:paraId="546BEBA2">
            <w:pPr>
              <w:spacing w:line="240" w:lineRule="auto"/>
              <w:jc w:val="center"/>
              <w:rPr>
                <w:rFonts w:ascii="宋体" w:hAnsi="宋体"/>
                <w:sz w:val="18"/>
              </w:rPr>
            </w:pPr>
            <w:r>
              <w:rPr>
                <w:rFonts w:ascii="宋体" w:hAnsi="宋体"/>
                <w:b/>
                <w:color w:val="000000"/>
                <w:sz w:val="18"/>
              </w:rPr>
              <w:t>现状建设</w:t>
            </w:r>
            <w:r>
              <w:rPr>
                <w:rFonts w:hint="eastAsia" w:ascii="宋体" w:hAnsi="宋体"/>
                <w:b/>
                <w:color w:val="000000"/>
                <w:sz w:val="18"/>
              </w:rPr>
              <w:t>内容</w:t>
            </w:r>
          </w:p>
        </w:tc>
        <w:tc>
          <w:tcPr>
            <w:tcW w:w="1701" w:type="dxa"/>
            <w:tcBorders>
              <w:top w:val="single" w:color="auto" w:sz="8" w:space="0"/>
              <w:bottom w:val="single" w:color="auto" w:sz="8" w:space="0"/>
            </w:tcBorders>
            <w:vAlign w:val="center"/>
          </w:tcPr>
          <w:p w14:paraId="1CEC46DF">
            <w:pPr>
              <w:spacing w:line="240" w:lineRule="auto"/>
              <w:jc w:val="center"/>
              <w:rPr>
                <w:rFonts w:ascii="宋体" w:hAnsi="宋体"/>
                <w:sz w:val="18"/>
              </w:rPr>
            </w:pPr>
            <w:r>
              <w:rPr>
                <w:rFonts w:ascii="宋体" w:hAnsi="宋体"/>
                <w:b/>
                <w:color w:val="000000"/>
                <w:sz w:val="18"/>
              </w:rPr>
              <w:t>规划土地用地类型</w:t>
            </w:r>
          </w:p>
        </w:tc>
        <w:tc>
          <w:tcPr>
            <w:tcW w:w="1409" w:type="dxa"/>
            <w:tcBorders>
              <w:top w:val="single" w:color="auto" w:sz="8" w:space="0"/>
              <w:bottom w:val="single" w:color="auto" w:sz="8" w:space="0"/>
            </w:tcBorders>
            <w:vAlign w:val="center"/>
          </w:tcPr>
          <w:p w14:paraId="12C99258">
            <w:pPr>
              <w:spacing w:line="240" w:lineRule="auto"/>
              <w:jc w:val="center"/>
              <w:rPr>
                <w:rFonts w:ascii="宋体" w:hAnsi="宋体"/>
                <w:b/>
                <w:color w:val="000000"/>
                <w:sz w:val="18"/>
              </w:rPr>
            </w:pPr>
            <w:r>
              <w:rPr>
                <w:rFonts w:hint="eastAsia" w:ascii="宋体" w:hAnsi="宋体"/>
                <w:b/>
                <w:color w:val="000000"/>
                <w:sz w:val="18"/>
              </w:rPr>
              <w:t>规划</w:t>
            </w:r>
            <w:r>
              <w:rPr>
                <w:rFonts w:ascii="宋体" w:hAnsi="宋体"/>
                <w:b/>
                <w:color w:val="000000"/>
                <w:sz w:val="18"/>
              </w:rPr>
              <w:t>建设内容</w:t>
            </w:r>
          </w:p>
        </w:tc>
        <w:tc>
          <w:tcPr>
            <w:tcW w:w="1670" w:type="dxa"/>
            <w:tcBorders>
              <w:top w:val="single" w:color="auto" w:sz="8" w:space="0"/>
              <w:bottom w:val="single" w:color="auto" w:sz="8" w:space="0"/>
            </w:tcBorders>
            <w:vAlign w:val="center"/>
          </w:tcPr>
          <w:p w14:paraId="3C897FB1">
            <w:pPr>
              <w:spacing w:line="240" w:lineRule="exact"/>
              <w:jc w:val="center"/>
              <w:rPr>
                <w:rFonts w:ascii="宋体" w:hAnsi="宋体"/>
                <w:b/>
                <w:color w:val="000000"/>
                <w:sz w:val="18"/>
              </w:rPr>
            </w:pPr>
            <w:r>
              <w:rPr>
                <w:rFonts w:hint="eastAsia" w:ascii="宋体" w:hAnsi="宋体"/>
                <w:b/>
                <w:color w:val="000000"/>
                <w:sz w:val="18"/>
              </w:rPr>
              <w:t>后续应开展的工作</w:t>
            </w:r>
          </w:p>
        </w:tc>
      </w:tr>
      <w:tr w14:paraId="742B5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8" w:space="0"/>
            </w:tcBorders>
          </w:tcPr>
          <w:p w14:paraId="566DE2B2">
            <w:pPr>
              <w:ind w:firstLine="420"/>
              <w:rPr>
                <w:rFonts w:ascii="宋体" w:hAnsi="宋体"/>
              </w:rPr>
            </w:pPr>
          </w:p>
        </w:tc>
        <w:tc>
          <w:tcPr>
            <w:tcW w:w="1701" w:type="dxa"/>
            <w:tcBorders>
              <w:top w:val="single" w:color="auto" w:sz="8" w:space="0"/>
            </w:tcBorders>
          </w:tcPr>
          <w:p w14:paraId="62769153">
            <w:pPr>
              <w:ind w:firstLine="420"/>
              <w:rPr>
                <w:rFonts w:ascii="宋体" w:hAnsi="宋体"/>
              </w:rPr>
            </w:pPr>
          </w:p>
        </w:tc>
        <w:tc>
          <w:tcPr>
            <w:tcW w:w="1446" w:type="dxa"/>
            <w:tcBorders>
              <w:top w:val="single" w:color="auto" w:sz="8" w:space="0"/>
            </w:tcBorders>
          </w:tcPr>
          <w:p w14:paraId="3650CA94">
            <w:pPr>
              <w:ind w:firstLine="420"/>
              <w:rPr>
                <w:rFonts w:ascii="宋体" w:hAnsi="宋体"/>
              </w:rPr>
            </w:pPr>
          </w:p>
        </w:tc>
        <w:tc>
          <w:tcPr>
            <w:tcW w:w="1701" w:type="dxa"/>
            <w:tcBorders>
              <w:top w:val="single" w:color="auto" w:sz="8" w:space="0"/>
            </w:tcBorders>
          </w:tcPr>
          <w:p w14:paraId="20017657">
            <w:pPr>
              <w:ind w:firstLine="420"/>
              <w:rPr>
                <w:rFonts w:ascii="宋体" w:hAnsi="宋体"/>
              </w:rPr>
            </w:pPr>
          </w:p>
        </w:tc>
        <w:tc>
          <w:tcPr>
            <w:tcW w:w="1409" w:type="dxa"/>
            <w:tcBorders>
              <w:top w:val="single" w:color="auto" w:sz="8" w:space="0"/>
            </w:tcBorders>
          </w:tcPr>
          <w:p w14:paraId="703018E0">
            <w:pPr>
              <w:ind w:firstLine="420"/>
              <w:rPr>
                <w:rFonts w:ascii="宋体" w:hAnsi="宋体"/>
              </w:rPr>
            </w:pPr>
          </w:p>
        </w:tc>
        <w:tc>
          <w:tcPr>
            <w:tcW w:w="1670" w:type="dxa"/>
            <w:tcBorders>
              <w:top w:val="single" w:color="auto" w:sz="8" w:space="0"/>
            </w:tcBorders>
          </w:tcPr>
          <w:p w14:paraId="561884A3">
            <w:pPr>
              <w:ind w:firstLine="420"/>
              <w:rPr>
                <w:rFonts w:ascii="宋体" w:hAnsi="宋体"/>
              </w:rPr>
            </w:pPr>
          </w:p>
        </w:tc>
      </w:tr>
      <w:tr w14:paraId="0B876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14:paraId="562F7207">
            <w:pPr>
              <w:ind w:firstLine="420"/>
              <w:rPr>
                <w:rFonts w:ascii="宋体" w:hAnsi="宋体"/>
              </w:rPr>
            </w:pPr>
          </w:p>
        </w:tc>
        <w:tc>
          <w:tcPr>
            <w:tcW w:w="1701" w:type="dxa"/>
          </w:tcPr>
          <w:p w14:paraId="0AAEF126">
            <w:pPr>
              <w:ind w:firstLine="420"/>
              <w:rPr>
                <w:rFonts w:ascii="宋体" w:hAnsi="宋体"/>
              </w:rPr>
            </w:pPr>
          </w:p>
        </w:tc>
        <w:tc>
          <w:tcPr>
            <w:tcW w:w="1446" w:type="dxa"/>
          </w:tcPr>
          <w:p w14:paraId="2DEBFDDA">
            <w:pPr>
              <w:ind w:firstLine="420"/>
              <w:rPr>
                <w:rFonts w:ascii="宋体" w:hAnsi="宋体"/>
              </w:rPr>
            </w:pPr>
          </w:p>
        </w:tc>
        <w:tc>
          <w:tcPr>
            <w:tcW w:w="1701" w:type="dxa"/>
          </w:tcPr>
          <w:p w14:paraId="2AF1ED0B">
            <w:pPr>
              <w:ind w:firstLine="420"/>
              <w:rPr>
                <w:rFonts w:ascii="宋体" w:hAnsi="宋体"/>
              </w:rPr>
            </w:pPr>
          </w:p>
        </w:tc>
        <w:tc>
          <w:tcPr>
            <w:tcW w:w="1409" w:type="dxa"/>
          </w:tcPr>
          <w:p w14:paraId="2806DF51">
            <w:pPr>
              <w:ind w:firstLine="420"/>
              <w:rPr>
                <w:rFonts w:ascii="宋体" w:hAnsi="宋体"/>
              </w:rPr>
            </w:pPr>
          </w:p>
        </w:tc>
        <w:tc>
          <w:tcPr>
            <w:tcW w:w="1670" w:type="dxa"/>
          </w:tcPr>
          <w:p w14:paraId="01A979FA">
            <w:pPr>
              <w:ind w:firstLine="420"/>
              <w:rPr>
                <w:rFonts w:ascii="宋体" w:hAnsi="宋体"/>
              </w:rPr>
            </w:pPr>
          </w:p>
        </w:tc>
      </w:tr>
      <w:tr w14:paraId="0AB21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14:paraId="3494B335">
            <w:pPr>
              <w:ind w:firstLine="420"/>
              <w:rPr>
                <w:rFonts w:ascii="宋体" w:hAnsi="宋体"/>
              </w:rPr>
            </w:pPr>
          </w:p>
        </w:tc>
        <w:tc>
          <w:tcPr>
            <w:tcW w:w="1701" w:type="dxa"/>
          </w:tcPr>
          <w:p w14:paraId="4A007075">
            <w:pPr>
              <w:ind w:firstLine="420"/>
              <w:rPr>
                <w:rFonts w:ascii="宋体" w:hAnsi="宋体"/>
              </w:rPr>
            </w:pPr>
          </w:p>
        </w:tc>
        <w:tc>
          <w:tcPr>
            <w:tcW w:w="1446" w:type="dxa"/>
          </w:tcPr>
          <w:p w14:paraId="1BB3897B">
            <w:pPr>
              <w:ind w:firstLine="420"/>
              <w:rPr>
                <w:rFonts w:ascii="宋体" w:hAnsi="宋体"/>
              </w:rPr>
            </w:pPr>
          </w:p>
        </w:tc>
        <w:tc>
          <w:tcPr>
            <w:tcW w:w="1701" w:type="dxa"/>
          </w:tcPr>
          <w:p w14:paraId="3D2DA92B">
            <w:pPr>
              <w:ind w:firstLine="420"/>
              <w:rPr>
                <w:rFonts w:ascii="宋体" w:hAnsi="宋体"/>
              </w:rPr>
            </w:pPr>
          </w:p>
        </w:tc>
        <w:tc>
          <w:tcPr>
            <w:tcW w:w="1409" w:type="dxa"/>
          </w:tcPr>
          <w:p w14:paraId="3007A619">
            <w:pPr>
              <w:ind w:firstLine="420"/>
              <w:rPr>
                <w:rFonts w:ascii="宋体" w:hAnsi="宋体"/>
              </w:rPr>
            </w:pPr>
          </w:p>
        </w:tc>
        <w:tc>
          <w:tcPr>
            <w:tcW w:w="1670" w:type="dxa"/>
          </w:tcPr>
          <w:p w14:paraId="3106F42A">
            <w:pPr>
              <w:ind w:firstLine="420"/>
              <w:rPr>
                <w:rFonts w:ascii="宋体" w:hAnsi="宋体"/>
              </w:rPr>
            </w:pPr>
          </w:p>
        </w:tc>
      </w:tr>
    </w:tbl>
    <w:p w14:paraId="15265E5E">
      <w:pPr>
        <w:pStyle w:val="79"/>
        <w:pageBreakBefore/>
        <w:spacing w:before="78" w:after="156"/>
      </w:pPr>
      <w:r>
        <w:br w:type="textWrapping"/>
      </w:r>
      <w:bookmarkStart w:id="72" w:name="_Toc173419013"/>
      <w:r>
        <w:rPr>
          <w:rFonts w:hint="eastAsia"/>
        </w:rPr>
        <w:t>（规范性）</w:t>
      </w:r>
      <w:r>
        <w:br w:type="textWrapping"/>
      </w:r>
      <w:r>
        <w:rPr>
          <w:rFonts w:hint="eastAsia"/>
        </w:rPr>
        <w:t>建设项目识别表</w:t>
      </w:r>
      <w:bookmarkEnd w:id="72"/>
    </w:p>
    <w:p w14:paraId="22CDF01B">
      <w:pPr>
        <w:spacing w:before="156" w:after="156"/>
        <w:ind w:firstLine="420"/>
      </w:pPr>
      <w:r>
        <w:rPr>
          <w:rFonts w:ascii="宋体" w:hAnsi="宋体"/>
          <w:color w:val="000000"/>
        </w:rPr>
        <w:t> </w:t>
      </w:r>
      <w:r>
        <w:rPr>
          <w:rFonts w:hint="eastAsia"/>
        </w:rPr>
        <w:t>建设项目情况</w:t>
      </w:r>
      <w:r>
        <w:rPr>
          <w:rFonts w:hint="eastAsia" w:ascii="宋体" w:hAnsi="宋体"/>
          <w:color w:val="000000"/>
        </w:rPr>
        <w:t>见表</w:t>
      </w:r>
      <w:r>
        <w:rPr>
          <w:rFonts w:ascii="Times New Roman" w:hAnsi="Times New Roman"/>
          <w:kern w:val="0"/>
        </w:rPr>
        <w:t>B.1</w:t>
      </w:r>
      <w:r>
        <w:rPr>
          <w:rFonts w:hint="eastAsia" w:ascii="宋体" w:hAnsi="宋体"/>
          <w:color w:val="000000"/>
        </w:rPr>
        <w:t>。</w:t>
      </w:r>
    </w:p>
    <w:p w14:paraId="11FB8D53">
      <w:pPr>
        <w:pStyle w:val="80"/>
        <w:numPr>
          <w:ilvl w:val="255"/>
          <w:numId w:val="0"/>
        </w:numPr>
        <w:spacing w:before="156" w:after="156"/>
      </w:pPr>
      <w:r>
        <w:rPr>
          <w:rFonts w:hint="eastAsia"/>
        </w:rPr>
        <w:t>表B.1 建设项目识别表</w:t>
      </w:r>
    </w:p>
    <w:tbl>
      <w:tblPr>
        <w:tblStyle w:val="28"/>
        <w:tblW w:w="48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0"/>
        <w:gridCol w:w="2705"/>
        <w:gridCol w:w="2421"/>
        <w:gridCol w:w="2389"/>
      </w:tblGrid>
      <w:tr w14:paraId="12CBA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2" w:hRule="atLeast"/>
          <w:tblHeader/>
          <w:jc w:val="center"/>
        </w:trPr>
        <w:tc>
          <w:tcPr>
            <w:tcW w:w="841" w:type="pct"/>
            <w:tcBorders>
              <w:top w:val="single" w:color="000000" w:sz="8" w:space="0"/>
              <w:bottom w:val="single" w:color="000000" w:sz="8" w:space="0"/>
            </w:tcBorders>
            <w:shd w:val="clear" w:color="auto" w:fill="auto"/>
            <w:vAlign w:val="center"/>
          </w:tcPr>
          <w:p w14:paraId="00166361">
            <w:pPr>
              <w:pStyle w:val="181"/>
            </w:pPr>
            <w:r>
              <w:rPr>
                <w:rFonts w:hint="eastAsia"/>
                <w:b/>
              </w:rPr>
              <w:t>分类</w:t>
            </w:r>
          </w:p>
        </w:tc>
        <w:tc>
          <w:tcPr>
            <w:tcW w:w="1497" w:type="pct"/>
            <w:tcBorders>
              <w:top w:val="single" w:color="auto" w:sz="8" w:space="0"/>
              <w:bottom w:val="single" w:color="auto" w:sz="8" w:space="0"/>
            </w:tcBorders>
            <w:vAlign w:val="center"/>
          </w:tcPr>
          <w:p w14:paraId="6171B1FA">
            <w:pPr>
              <w:pStyle w:val="181"/>
              <w:rPr>
                <w:b/>
              </w:rPr>
            </w:pPr>
            <w:r>
              <w:rPr>
                <w:rFonts w:hint="eastAsia"/>
                <w:b/>
              </w:rPr>
              <w:t>环评分类</w:t>
            </w:r>
          </w:p>
        </w:tc>
        <w:tc>
          <w:tcPr>
            <w:tcW w:w="1340" w:type="pct"/>
            <w:tcBorders>
              <w:top w:val="single" w:color="auto" w:sz="8" w:space="0"/>
              <w:bottom w:val="single" w:color="auto" w:sz="8" w:space="0"/>
            </w:tcBorders>
            <w:shd w:val="clear" w:color="auto" w:fill="auto"/>
            <w:vAlign w:val="center"/>
          </w:tcPr>
          <w:p w14:paraId="4CC563CE">
            <w:pPr>
              <w:pStyle w:val="181"/>
              <w:rPr>
                <w:b/>
              </w:rPr>
            </w:pPr>
            <w:r>
              <w:rPr>
                <w:rFonts w:hint="eastAsia"/>
                <w:b/>
              </w:rPr>
              <w:t>名称或项目类别</w:t>
            </w:r>
          </w:p>
        </w:tc>
        <w:tc>
          <w:tcPr>
            <w:tcW w:w="1323" w:type="pct"/>
            <w:tcBorders>
              <w:top w:val="single" w:color="auto" w:sz="8" w:space="0"/>
              <w:bottom w:val="single" w:color="auto" w:sz="8" w:space="0"/>
            </w:tcBorders>
            <w:shd w:val="clear" w:color="auto" w:fill="auto"/>
            <w:vAlign w:val="center"/>
          </w:tcPr>
          <w:p w14:paraId="0C2524D1">
            <w:pPr>
              <w:pStyle w:val="181"/>
              <w:rPr>
                <w:b/>
              </w:rPr>
            </w:pPr>
            <w:r>
              <w:rPr>
                <w:rFonts w:hint="eastAsia"/>
                <w:b/>
              </w:rPr>
              <w:t>特性</w:t>
            </w:r>
          </w:p>
        </w:tc>
      </w:tr>
      <w:tr w14:paraId="2C7F9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pct"/>
            <w:vMerge w:val="restart"/>
            <w:tcBorders>
              <w:top w:val="single" w:color="000000" w:sz="8" w:space="0"/>
            </w:tcBorders>
            <w:shd w:val="clear" w:color="auto" w:fill="auto"/>
            <w:vAlign w:val="center"/>
          </w:tcPr>
          <w:p w14:paraId="2C70084C">
            <w:pPr>
              <w:pStyle w:val="181"/>
              <w:rPr>
                <w:rFonts w:hAnsi="宋体"/>
                <w:b/>
              </w:rPr>
            </w:pPr>
            <w:r>
              <w:rPr>
                <w:rFonts w:hint="eastAsia" w:hAnsi="宋体"/>
                <w:b/>
              </w:rPr>
              <w:t>审批类建设项目</w:t>
            </w:r>
          </w:p>
        </w:tc>
        <w:tc>
          <w:tcPr>
            <w:tcW w:w="1497" w:type="pct"/>
            <w:tcBorders>
              <w:top w:val="single" w:color="auto" w:sz="8" w:space="0"/>
            </w:tcBorders>
            <w:vAlign w:val="center"/>
          </w:tcPr>
          <w:p w14:paraId="7C52C74E">
            <w:pPr>
              <w:pStyle w:val="181"/>
            </w:pPr>
            <w:r>
              <w:rPr>
                <w:rFonts w:hint="eastAsia"/>
              </w:rPr>
              <w:t>报告书/报告表</w:t>
            </w:r>
          </w:p>
        </w:tc>
        <w:tc>
          <w:tcPr>
            <w:tcW w:w="1340" w:type="pct"/>
            <w:tcBorders>
              <w:top w:val="single" w:color="auto" w:sz="8" w:space="0"/>
              <w:bottom w:val="single" w:color="auto" w:sz="4" w:space="0"/>
            </w:tcBorders>
            <w:shd w:val="clear" w:color="auto" w:fill="auto"/>
            <w:vAlign w:val="center"/>
          </w:tcPr>
          <w:p w14:paraId="0ADE1F13">
            <w:pPr>
              <w:pStyle w:val="181"/>
            </w:pPr>
            <w:r>
              <w:rPr>
                <w:rFonts w:hint="eastAsia"/>
              </w:rPr>
              <w:t>XX</w:t>
            </w:r>
            <w:r>
              <w:t>项目</w:t>
            </w:r>
          </w:p>
        </w:tc>
        <w:tc>
          <w:tcPr>
            <w:tcW w:w="1323" w:type="pct"/>
            <w:tcBorders>
              <w:top w:val="single" w:color="auto" w:sz="8" w:space="0"/>
              <w:bottom w:val="single" w:color="auto" w:sz="4" w:space="0"/>
            </w:tcBorders>
            <w:shd w:val="clear" w:color="auto" w:fill="auto"/>
            <w:vAlign w:val="center"/>
          </w:tcPr>
          <w:p w14:paraId="2A54D327">
            <w:pPr>
              <w:pStyle w:val="181"/>
            </w:pPr>
            <w:r>
              <w:t>污染型/</w:t>
            </w:r>
            <w:r>
              <w:rPr>
                <w:rFonts w:hint="eastAsia"/>
              </w:rPr>
              <w:t>受体</w:t>
            </w:r>
            <w:r>
              <w:t>敏感型</w:t>
            </w:r>
          </w:p>
        </w:tc>
      </w:tr>
      <w:tr w14:paraId="6243F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pct"/>
            <w:vMerge w:val="continue"/>
            <w:shd w:val="clear" w:color="auto" w:fill="auto"/>
            <w:vAlign w:val="center"/>
          </w:tcPr>
          <w:p w14:paraId="76BFA081"/>
        </w:tc>
        <w:tc>
          <w:tcPr>
            <w:tcW w:w="1497" w:type="pct"/>
            <w:vAlign w:val="center"/>
          </w:tcPr>
          <w:p w14:paraId="1A5DD1A3">
            <w:pPr>
              <w:pStyle w:val="181"/>
            </w:pPr>
          </w:p>
        </w:tc>
        <w:tc>
          <w:tcPr>
            <w:tcW w:w="1340" w:type="pct"/>
            <w:tcBorders>
              <w:top w:val="single" w:color="auto" w:sz="4" w:space="0"/>
              <w:bottom w:val="single" w:color="auto" w:sz="4" w:space="0"/>
            </w:tcBorders>
            <w:shd w:val="clear" w:color="auto" w:fill="auto"/>
            <w:vAlign w:val="center"/>
          </w:tcPr>
          <w:p w14:paraId="2AD6D015">
            <w:pPr>
              <w:pStyle w:val="181"/>
            </w:pPr>
            <w:r>
              <w:rPr>
                <w:rFonts w:hint="eastAsia"/>
              </w:rPr>
              <w:t>XX</w:t>
            </w:r>
            <w:r>
              <w:t>项目</w:t>
            </w:r>
          </w:p>
        </w:tc>
        <w:tc>
          <w:tcPr>
            <w:tcW w:w="1323" w:type="pct"/>
            <w:tcBorders>
              <w:top w:val="single" w:color="auto" w:sz="4" w:space="0"/>
              <w:bottom w:val="single" w:color="auto" w:sz="4" w:space="0"/>
            </w:tcBorders>
            <w:shd w:val="clear" w:color="auto" w:fill="auto"/>
            <w:vAlign w:val="center"/>
          </w:tcPr>
          <w:p w14:paraId="71EF782A">
            <w:pPr>
              <w:pStyle w:val="181"/>
            </w:pPr>
          </w:p>
        </w:tc>
      </w:tr>
      <w:tr w14:paraId="45F9E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shd w:val="clear" w:color="auto" w:fill="auto"/>
            <w:vAlign w:val="center"/>
          </w:tcPr>
          <w:p w14:paraId="08738AB1"/>
        </w:tc>
        <w:tc>
          <w:tcPr>
            <w:tcW w:w="1497" w:type="pct"/>
            <w:vAlign w:val="center"/>
          </w:tcPr>
          <w:p w14:paraId="3BC50CE9">
            <w:pPr>
              <w:pStyle w:val="181"/>
            </w:pPr>
          </w:p>
        </w:tc>
        <w:tc>
          <w:tcPr>
            <w:tcW w:w="1340" w:type="pct"/>
            <w:tcBorders>
              <w:top w:val="single" w:color="auto" w:sz="4" w:space="0"/>
              <w:bottom w:val="single" w:color="auto" w:sz="4" w:space="0"/>
            </w:tcBorders>
            <w:shd w:val="clear" w:color="auto" w:fill="auto"/>
            <w:vAlign w:val="center"/>
          </w:tcPr>
          <w:p w14:paraId="1A5A1FA1">
            <w:pPr>
              <w:pStyle w:val="181"/>
            </w:pPr>
            <w:r>
              <w:t>……</w:t>
            </w:r>
          </w:p>
        </w:tc>
        <w:tc>
          <w:tcPr>
            <w:tcW w:w="1323" w:type="pct"/>
            <w:tcBorders>
              <w:top w:val="single" w:color="auto" w:sz="4" w:space="0"/>
              <w:bottom w:val="single" w:color="auto" w:sz="4" w:space="0"/>
            </w:tcBorders>
            <w:shd w:val="clear" w:color="auto" w:fill="auto"/>
            <w:vAlign w:val="center"/>
          </w:tcPr>
          <w:p w14:paraId="2745C40C">
            <w:pPr>
              <w:pStyle w:val="181"/>
            </w:pPr>
          </w:p>
        </w:tc>
      </w:tr>
      <w:tr w14:paraId="2A61F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41" w:type="pct"/>
            <w:vMerge w:val="restart"/>
            <w:shd w:val="clear" w:color="auto" w:fill="auto"/>
            <w:vAlign w:val="center"/>
          </w:tcPr>
          <w:p w14:paraId="5F5FCB2D">
            <w:pPr>
              <w:pStyle w:val="181"/>
              <w:rPr>
                <w:rFonts w:hAnsi="宋体"/>
                <w:b/>
              </w:rPr>
            </w:pPr>
            <w:r>
              <w:rPr>
                <w:rFonts w:hint="eastAsia" w:hAnsi="宋体"/>
                <w:b/>
              </w:rPr>
              <w:t>非审批类建设项目</w:t>
            </w:r>
          </w:p>
        </w:tc>
        <w:tc>
          <w:tcPr>
            <w:tcW w:w="1497" w:type="pct"/>
            <w:vAlign w:val="center"/>
          </w:tcPr>
          <w:p w14:paraId="3B382934">
            <w:pPr>
              <w:pStyle w:val="181"/>
              <w:rPr>
                <w:rFonts w:hAnsi="宋体"/>
              </w:rPr>
            </w:pPr>
            <w:r>
              <w:rPr>
                <w:rFonts w:hint="eastAsia" w:hAnsi="宋体"/>
              </w:rPr>
              <w:t>登记表/不纳入环境影响评价管理</w:t>
            </w:r>
          </w:p>
        </w:tc>
        <w:tc>
          <w:tcPr>
            <w:tcW w:w="1340" w:type="pct"/>
            <w:tcBorders>
              <w:top w:val="single" w:color="auto" w:sz="4" w:space="0"/>
              <w:bottom w:val="single" w:color="auto" w:sz="4" w:space="0"/>
            </w:tcBorders>
            <w:shd w:val="clear" w:color="auto" w:fill="auto"/>
            <w:vAlign w:val="center"/>
          </w:tcPr>
          <w:p w14:paraId="46BBEF3F">
            <w:pPr>
              <w:pStyle w:val="181"/>
              <w:rPr>
                <w:rFonts w:hAnsi="宋体"/>
              </w:rPr>
            </w:pPr>
            <w:r>
              <w:rPr>
                <w:rFonts w:hint="eastAsia" w:hAnsi="宋体"/>
              </w:rPr>
              <w:t>XX</w:t>
            </w:r>
            <w:r>
              <w:rPr>
                <w:rFonts w:hAnsi="宋体"/>
              </w:rPr>
              <w:t>项目</w:t>
            </w:r>
          </w:p>
        </w:tc>
        <w:tc>
          <w:tcPr>
            <w:tcW w:w="1323" w:type="pct"/>
            <w:tcBorders>
              <w:top w:val="single" w:color="auto" w:sz="4" w:space="0"/>
              <w:bottom w:val="single" w:color="auto" w:sz="4" w:space="0"/>
            </w:tcBorders>
            <w:shd w:val="clear" w:color="auto" w:fill="auto"/>
            <w:vAlign w:val="center"/>
          </w:tcPr>
          <w:p w14:paraId="529E60DA">
            <w:pPr>
              <w:pStyle w:val="181"/>
              <w:rPr>
                <w:rFonts w:hAnsi="宋体"/>
              </w:rPr>
            </w:pPr>
          </w:p>
        </w:tc>
      </w:tr>
      <w:tr w14:paraId="240DA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shd w:val="clear" w:color="auto" w:fill="auto"/>
            <w:vAlign w:val="center"/>
          </w:tcPr>
          <w:p w14:paraId="69F6C23B"/>
        </w:tc>
        <w:tc>
          <w:tcPr>
            <w:tcW w:w="1497" w:type="pct"/>
          </w:tcPr>
          <w:p w14:paraId="1B36128A">
            <w:pPr>
              <w:pStyle w:val="181"/>
              <w:rPr>
                <w:rFonts w:hAnsi="宋体"/>
              </w:rPr>
            </w:pPr>
          </w:p>
        </w:tc>
        <w:tc>
          <w:tcPr>
            <w:tcW w:w="1340" w:type="pct"/>
            <w:tcBorders>
              <w:top w:val="single" w:color="auto" w:sz="4" w:space="0"/>
              <w:bottom w:val="single" w:color="auto" w:sz="4" w:space="0"/>
            </w:tcBorders>
            <w:shd w:val="clear" w:color="auto" w:fill="auto"/>
            <w:vAlign w:val="center"/>
          </w:tcPr>
          <w:p w14:paraId="19EC601F">
            <w:pPr>
              <w:pStyle w:val="181"/>
              <w:rPr>
                <w:rFonts w:hAnsi="宋体"/>
              </w:rPr>
            </w:pPr>
            <w:r>
              <w:rPr>
                <w:rFonts w:hint="eastAsia" w:hAnsi="宋体"/>
              </w:rPr>
              <w:t>XX</w:t>
            </w:r>
            <w:r>
              <w:rPr>
                <w:rFonts w:hAnsi="宋体"/>
              </w:rPr>
              <w:t>项目</w:t>
            </w:r>
          </w:p>
        </w:tc>
        <w:tc>
          <w:tcPr>
            <w:tcW w:w="1323" w:type="pct"/>
            <w:tcBorders>
              <w:top w:val="single" w:color="auto" w:sz="4" w:space="0"/>
              <w:bottom w:val="single" w:color="auto" w:sz="4" w:space="0"/>
            </w:tcBorders>
            <w:shd w:val="clear" w:color="auto" w:fill="auto"/>
            <w:vAlign w:val="center"/>
          </w:tcPr>
          <w:p w14:paraId="005F6877">
            <w:pPr>
              <w:pStyle w:val="181"/>
            </w:pPr>
          </w:p>
        </w:tc>
      </w:tr>
      <w:tr w14:paraId="64B51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tcBorders>
              <w:bottom w:val="single" w:color="auto" w:sz="8" w:space="0"/>
            </w:tcBorders>
            <w:shd w:val="clear" w:color="auto" w:fill="auto"/>
            <w:vAlign w:val="center"/>
          </w:tcPr>
          <w:p w14:paraId="4877D423"/>
        </w:tc>
        <w:tc>
          <w:tcPr>
            <w:tcW w:w="1497" w:type="pct"/>
            <w:tcBorders>
              <w:bottom w:val="single" w:color="auto" w:sz="8" w:space="0"/>
            </w:tcBorders>
          </w:tcPr>
          <w:p w14:paraId="2AD1F9A7">
            <w:pPr>
              <w:pStyle w:val="181"/>
            </w:pPr>
          </w:p>
        </w:tc>
        <w:tc>
          <w:tcPr>
            <w:tcW w:w="1340" w:type="pct"/>
            <w:tcBorders>
              <w:top w:val="single" w:color="auto" w:sz="4" w:space="0"/>
              <w:bottom w:val="single" w:color="auto" w:sz="8" w:space="0"/>
            </w:tcBorders>
            <w:shd w:val="clear" w:color="auto" w:fill="auto"/>
            <w:vAlign w:val="center"/>
          </w:tcPr>
          <w:p w14:paraId="099BC07E">
            <w:pPr>
              <w:pStyle w:val="181"/>
            </w:pPr>
            <w:r>
              <w:t>……</w:t>
            </w:r>
          </w:p>
        </w:tc>
        <w:tc>
          <w:tcPr>
            <w:tcW w:w="1323" w:type="pct"/>
            <w:tcBorders>
              <w:top w:val="single" w:color="auto" w:sz="4" w:space="0"/>
            </w:tcBorders>
            <w:shd w:val="clear" w:color="auto" w:fill="auto"/>
            <w:vAlign w:val="center"/>
          </w:tcPr>
          <w:p w14:paraId="76373BFB">
            <w:pPr>
              <w:pStyle w:val="181"/>
            </w:pPr>
          </w:p>
        </w:tc>
      </w:tr>
    </w:tbl>
    <w:p w14:paraId="24AF3F7C">
      <w:pPr>
        <w:pStyle w:val="79"/>
        <w:pageBreakBefore/>
        <w:spacing w:before="78" w:after="156"/>
      </w:pPr>
      <w:r>
        <w:br w:type="textWrapping"/>
      </w:r>
      <w:bookmarkStart w:id="73" w:name="_Toc173419014"/>
      <w:r>
        <w:rPr>
          <w:rFonts w:hint="eastAsia"/>
        </w:rPr>
        <w:t>（规范性）</w:t>
      </w:r>
      <w:r>
        <w:br w:type="textWrapping"/>
      </w:r>
      <w:r>
        <w:rPr>
          <w:rFonts w:hint="eastAsia"/>
        </w:rPr>
        <w:t>建设项目环境影响情况表</w:t>
      </w:r>
      <w:bookmarkEnd w:id="73"/>
    </w:p>
    <w:p w14:paraId="16C71DC1">
      <w:pPr>
        <w:spacing w:before="156" w:after="156"/>
        <w:ind w:firstLine="420"/>
      </w:pPr>
      <w:r>
        <w:rPr>
          <w:rFonts w:ascii="宋体" w:hAnsi="宋体"/>
          <w:color w:val="000000"/>
        </w:rPr>
        <w:t> </w:t>
      </w:r>
      <w:r>
        <w:rPr>
          <w:rFonts w:hint="eastAsia" w:ascii="宋体" w:hAnsi="宋体"/>
          <w:color w:val="000000"/>
        </w:rPr>
        <w:t>审批类</w:t>
      </w:r>
      <w:r>
        <w:rPr>
          <w:rFonts w:hint="eastAsia"/>
        </w:rPr>
        <w:t>建设项目环境影响情况</w:t>
      </w:r>
      <w:r>
        <w:rPr>
          <w:rFonts w:hint="eastAsia" w:ascii="宋体" w:hAnsi="宋体"/>
          <w:color w:val="000000"/>
        </w:rPr>
        <w:t>见表</w:t>
      </w:r>
      <w:r>
        <w:rPr>
          <w:rFonts w:ascii="Times New Roman" w:hAnsi="Times New Roman"/>
          <w:kern w:val="0"/>
        </w:rPr>
        <w:t>C.1</w:t>
      </w:r>
      <w:r>
        <w:rPr>
          <w:rFonts w:hint="eastAsia" w:ascii="宋体" w:hAnsi="宋体"/>
          <w:color w:val="000000"/>
        </w:rPr>
        <w:t>，非审批类</w:t>
      </w:r>
      <w:r>
        <w:rPr>
          <w:rFonts w:hint="eastAsia"/>
        </w:rPr>
        <w:t>建设项目环境影响情况</w:t>
      </w:r>
      <w:r>
        <w:rPr>
          <w:rFonts w:hint="eastAsia" w:ascii="宋体" w:hAnsi="宋体"/>
          <w:color w:val="000000"/>
        </w:rPr>
        <w:t>见表</w:t>
      </w:r>
      <w:r>
        <w:rPr>
          <w:rFonts w:ascii="Times New Roman" w:hAnsi="Times New Roman"/>
          <w:kern w:val="0"/>
        </w:rPr>
        <w:t>C.2</w:t>
      </w:r>
      <w:r>
        <w:rPr>
          <w:rFonts w:hint="eastAsia" w:ascii="宋体" w:hAnsi="宋体"/>
          <w:color w:val="000000"/>
        </w:rPr>
        <w:t>。</w:t>
      </w:r>
    </w:p>
    <w:p w14:paraId="610CD925">
      <w:pPr>
        <w:pStyle w:val="80"/>
        <w:numPr>
          <w:ilvl w:val="255"/>
          <w:numId w:val="0"/>
        </w:numPr>
        <w:spacing w:before="156" w:after="156"/>
      </w:pPr>
      <w:r>
        <w:rPr>
          <w:rFonts w:hint="eastAsia"/>
        </w:rPr>
        <w:t>表C</w:t>
      </w:r>
      <w:r>
        <w:rPr>
          <w:rFonts w:hint="eastAsia" w:ascii="宋体" w:hAnsi="宋体"/>
          <w:color w:val="000000"/>
        </w:rPr>
        <w:t>.</w:t>
      </w:r>
      <w:r>
        <w:rPr>
          <w:rFonts w:hint="eastAsia"/>
        </w:rPr>
        <w:t>1 审批类建设项目环境影响情况表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1"/>
        <w:gridCol w:w="1455"/>
        <w:gridCol w:w="1190"/>
        <w:gridCol w:w="1342"/>
        <w:gridCol w:w="2263"/>
        <w:gridCol w:w="2263"/>
      </w:tblGrid>
      <w:tr w14:paraId="6222C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59" w:type="pct"/>
            <w:tcBorders>
              <w:top w:val="single" w:color="auto" w:sz="8" w:space="0"/>
              <w:bottom w:val="single" w:color="auto" w:sz="8" w:space="0"/>
            </w:tcBorders>
            <w:vAlign w:val="center"/>
          </w:tcPr>
          <w:p w14:paraId="4914BA97">
            <w:pPr>
              <w:pStyle w:val="181"/>
              <w:rPr>
                <w:rFonts w:hAnsi="宋体"/>
                <w:b/>
              </w:rPr>
            </w:pPr>
            <w:r>
              <w:rPr>
                <w:rFonts w:hint="eastAsia" w:hAnsi="宋体"/>
                <w:b/>
              </w:rPr>
              <w:t>序号</w:t>
            </w:r>
          </w:p>
        </w:tc>
        <w:tc>
          <w:tcPr>
            <w:tcW w:w="776" w:type="pct"/>
            <w:tcBorders>
              <w:top w:val="single" w:color="auto" w:sz="8" w:space="0"/>
              <w:bottom w:val="single" w:color="auto" w:sz="8" w:space="0"/>
            </w:tcBorders>
            <w:shd w:val="clear" w:color="auto" w:fill="auto"/>
            <w:vAlign w:val="center"/>
          </w:tcPr>
          <w:p w14:paraId="643D3341">
            <w:pPr>
              <w:pStyle w:val="181"/>
              <w:rPr>
                <w:rFonts w:hAnsi="宋体"/>
                <w:b/>
              </w:rPr>
            </w:pPr>
            <w:r>
              <w:rPr>
                <w:rFonts w:hint="eastAsia" w:hAnsi="宋体"/>
                <w:b/>
              </w:rPr>
              <w:t>名称或项目类别</w:t>
            </w:r>
          </w:p>
        </w:tc>
        <w:tc>
          <w:tcPr>
            <w:tcW w:w="635" w:type="pct"/>
            <w:tcBorders>
              <w:top w:val="single" w:color="000000" w:sz="8" w:space="0"/>
              <w:bottom w:val="single" w:color="000000" w:sz="8" w:space="0"/>
            </w:tcBorders>
            <w:shd w:val="clear" w:color="auto" w:fill="auto"/>
            <w:vAlign w:val="center"/>
          </w:tcPr>
          <w:p w14:paraId="09893FC2">
            <w:pPr>
              <w:pStyle w:val="181"/>
              <w:rPr>
                <w:rFonts w:hAnsi="宋体"/>
                <w:b/>
              </w:rPr>
            </w:pPr>
            <w:r>
              <w:rPr>
                <w:rFonts w:hint="eastAsia" w:hAnsi="宋体"/>
                <w:b/>
              </w:rPr>
              <w:t>地块编号/序号</w:t>
            </w:r>
          </w:p>
        </w:tc>
        <w:tc>
          <w:tcPr>
            <w:tcW w:w="716" w:type="pct"/>
            <w:tcBorders>
              <w:top w:val="single" w:color="auto" w:sz="8" w:space="0"/>
              <w:bottom w:val="single" w:color="auto" w:sz="8" w:space="0"/>
            </w:tcBorders>
            <w:vAlign w:val="center"/>
          </w:tcPr>
          <w:p w14:paraId="01A1328D">
            <w:pPr>
              <w:pStyle w:val="181"/>
              <w:rPr>
                <w:b/>
              </w:rPr>
            </w:pPr>
            <w:r>
              <w:rPr>
                <w:rFonts w:hint="eastAsia"/>
                <w:b/>
              </w:rPr>
              <w:t>位置图</w:t>
            </w:r>
          </w:p>
        </w:tc>
        <w:tc>
          <w:tcPr>
            <w:tcW w:w="1207" w:type="pct"/>
            <w:tcBorders>
              <w:top w:val="single" w:color="auto" w:sz="8" w:space="0"/>
              <w:bottom w:val="single" w:color="auto" w:sz="8" w:space="0"/>
            </w:tcBorders>
            <w:shd w:val="clear" w:color="auto" w:fill="auto"/>
            <w:vAlign w:val="center"/>
          </w:tcPr>
          <w:p w14:paraId="26CE0FB1">
            <w:pPr>
              <w:pStyle w:val="181"/>
              <w:rPr>
                <w:b/>
              </w:rPr>
            </w:pPr>
            <w:r>
              <w:rPr>
                <w:rFonts w:hint="eastAsia"/>
                <w:b/>
              </w:rPr>
              <w:t>与周边环境敏感区或污染源的距离、影响关系</w:t>
            </w:r>
          </w:p>
        </w:tc>
        <w:tc>
          <w:tcPr>
            <w:tcW w:w="1207" w:type="pct"/>
            <w:tcBorders>
              <w:top w:val="single" w:color="auto" w:sz="8" w:space="0"/>
              <w:bottom w:val="single" w:color="auto" w:sz="8" w:space="0"/>
            </w:tcBorders>
            <w:vAlign w:val="center"/>
          </w:tcPr>
          <w:p w14:paraId="5E2DAB21">
            <w:pPr>
              <w:pStyle w:val="181"/>
              <w:rPr>
                <w:b/>
              </w:rPr>
            </w:pPr>
            <w:r>
              <w:rPr>
                <w:rFonts w:hint="eastAsia"/>
                <w:b/>
              </w:rPr>
              <w:t>空间布局合理性</w:t>
            </w:r>
          </w:p>
        </w:tc>
      </w:tr>
      <w:tr w14:paraId="531B8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tcBorders>
              <w:top w:val="single" w:color="auto" w:sz="8" w:space="0"/>
            </w:tcBorders>
            <w:vAlign w:val="center"/>
          </w:tcPr>
          <w:p w14:paraId="3515D154">
            <w:pPr>
              <w:pStyle w:val="181"/>
            </w:pPr>
            <w:r>
              <w:rPr>
                <w:rFonts w:hint="eastAsia"/>
              </w:rPr>
              <w:t>1</w:t>
            </w:r>
          </w:p>
        </w:tc>
        <w:tc>
          <w:tcPr>
            <w:tcW w:w="776" w:type="pct"/>
            <w:tcBorders>
              <w:top w:val="single" w:color="auto" w:sz="8" w:space="0"/>
            </w:tcBorders>
            <w:shd w:val="clear" w:color="auto" w:fill="auto"/>
            <w:vAlign w:val="center"/>
          </w:tcPr>
          <w:p w14:paraId="2F50383F">
            <w:pPr>
              <w:pStyle w:val="181"/>
            </w:pPr>
            <w:r>
              <w:rPr>
                <w:rFonts w:hint="eastAsia"/>
              </w:rPr>
              <w:t>XX项目</w:t>
            </w:r>
          </w:p>
        </w:tc>
        <w:tc>
          <w:tcPr>
            <w:tcW w:w="635" w:type="pct"/>
            <w:tcBorders>
              <w:top w:val="single" w:color="000000" w:sz="8" w:space="0"/>
            </w:tcBorders>
            <w:shd w:val="clear" w:color="auto" w:fill="auto"/>
            <w:vAlign w:val="center"/>
          </w:tcPr>
          <w:p w14:paraId="3FB767CD">
            <w:pPr>
              <w:jc w:val="center"/>
            </w:pPr>
          </w:p>
        </w:tc>
        <w:tc>
          <w:tcPr>
            <w:tcW w:w="716" w:type="pct"/>
            <w:tcBorders>
              <w:top w:val="single" w:color="auto" w:sz="8" w:space="0"/>
            </w:tcBorders>
            <w:vAlign w:val="center"/>
          </w:tcPr>
          <w:p w14:paraId="42083349">
            <w:pPr>
              <w:pStyle w:val="181"/>
            </w:pPr>
          </w:p>
        </w:tc>
        <w:tc>
          <w:tcPr>
            <w:tcW w:w="1207" w:type="pct"/>
            <w:tcBorders>
              <w:top w:val="single" w:color="auto" w:sz="8" w:space="0"/>
            </w:tcBorders>
            <w:shd w:val="clear" w:color="auto" w:fill="auto"/>
            <w:vAlign w:val="center"/>
          </w:tcPr>
          <w:p w14:paraId="432AF4AB">
            <w:pPr>
              <w:pStyle w:val="181"/>
            </w:pPr>
          </w:p>
        </w:tc>
        <w:tc>
          <w:tcPr>
            <w:tcW w:w="1207" w:type="pct"/>
            <w:tcBorders>
              <w:top w:val="single" w:color="auto" w:sz="8" w:space="0"/>
            </w:tcBorders>
          </w:tcPr>
          <w:p w14:paraId="5D1371BA">
            <w:pPr>
              <w:pStyle w:val="181"/>
            </w:pPr>
          </w:p>
        </w:tc>
      </w:tr>
      <w:tr w14:paraId="42B35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vAlign w:val="center"/>
          </w:tcPr>
          <w:p w14:paraId="38351D93">
            <w:pPr>
              <w:pStyle w:val="181"/>
            </w:pPr>
            <w:r>
              <w:rPr>
                <w:rFonts w:hint="eastAsia"/>
              </w:rPr>
              <w:t>2</w:t>
            </w:r>
          </w:p>
        </w:tc>
        <w:tc>
          <w:tcPr>
            <w:tcW w:w="776" w:type="pct"/>
            <w:shd w:val="clear" w:color="auto" w:fill="auto"/>
            <w:vAlign w:val="center"/>
          </w:tcPr>
          <w:p w14:paraId="68B594C8">
            <w:pPr>
              <w:pStyle w:val="181"/>
            </w:pPr>
            <w:r>
              <w:rPr>
                <w:rFonts w:hint="eastAsia"/>
              </w:rPr>
              <w:t>XX项目</w:t>
            </w:r>
          </w:p>
        </w:tc>
        <w:tc>
          <w:tcPr>
            <w:tcW w:w="635" w:type="pct"/>
            <w:shd w:val="clear" w:color="auto" w:fill="auto"/>
            <w:vAlign w:val="center"/>
          </w:tcPr>
          <w:p w14:paraId="557C7858"/>
        </w:tc>
        <w:tc>
          <w:tcPr>
            <w:tcW w:w="716" w:type="pct"/>
          </w:tcPr>
          <w:p w14:paraId="56A711F7">
            <w:pPr>
              <w:pStyle w:val="181"/>
            </w:pPr>
          </w:p>
        </w:tc>
        <w:tc>
          <w:tcPr>
            <w:tcW w:w="1207" w:type="pct"/>
            <w:shd w:val="clear" w:color="auto" w:fill="auto"/>
            <w:vAlign w:val="center"/>
          </w:tcPr>
          <w:p w14:paraId="4B023AE0">
            <w:pPr>
              <w:pStyle w:val="181"/>
            </w:pPr>
          </w:p>
        </w:tc>
        <w:tc>
          <w:tcPr>
            <w:tcW w:w="1207" w:type="pct"/>
          </w:tcPr>
          <w:p w14:paraId="45E78384">
            <w:pPr>
              <w:pStyle w:val="181"/>
            </w:pPr>
          </w:p>
        </w:tc>
      </w:tr>
      <w:tr w14:paraId="1EEA9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vAlign w:val="center"/>
          </w:tcPr>
          <w:p w14:paraId="6B997CFC">
            <w:pPr>
              <w:pStyle w:val="181"/>
            </w:pPr>
            <w:r>
              <w:rPr>
                <w:rFonts w:hint="eastAsia"/>
              </w:rPr>
              <w:t>3</w:t>
            </w:r>
          </w:p>
        </w:tc>
        <w:tc>
          <w:tcPr>
            <w:tcW w:w="776" w:type="pct"/>
            <w:shd w:val="clear" w:color="auto" w:fill="auto"/>
            <w:vAlign w:val="center"/>
          </w:tcPr>
          <w:p w14:paraId="7944B2F1">
            <w:pPr>
              <w:pStyle w:val="181"/>
            </w:pPr>
            <w:r>
              <w:t>……</w:t>
            </w:r>
          </w:p>
        </w:tc>
        <w:tc>
          <w:tcPr>
            <w:tcW w:w="635" w:type="pct"/>
            <w:shd w:val="clear" w:color="auto" w:fill="auto"/>
            <w:vAlign w:val="center"/>
          </w:tcPr>
          <w:p w14:paraId="3B5E4A37"/>
        </w:tc>
        <w:tc>
          <w:tcPr>
            <w:tcW w:w="716" w:type="pct"/>
          </w:tcPr>
          <w:p w14:paraId="4AE2B570">
            <w:pPr>
              <w:pStyle w:val="181"/>
            </w:pPr>
          </w:p>
        </w:tc>
        <w:tc>
          <w:tcPr>
            <w:tcW w:w="1207" w:type="pct"/>
            <w:shd w:val="clear" w:color="auto" w:fill="auto"/>
            <w:vAlign w:val="center"/>
          </w:tcPr>
          <w:p w14:paraId="63CFB0E4">
            <w:pPr>
              <w:pStyle w:val="181"/>
            </w:pPr>
          </w:p>
        </w:tc>
        <w:tc>
          <w:tcPr>
            <w:tcW w:w="1207" w:type="pct"/>
          </w:tcPr>
          <w:p w14:paraId="602B0976">
            <w:pPr>
              <w:pStyle w:val="181"/>
            </w:pPr>
          </w:p>
        </w:tc>
      </w:tr>
    </w:tbl>
    <w:p w14:paraId="6BA32051">
      <w:pPr>
        <w:pStyle w:val="80"/>
        <w:numPr>
          <w:ilvl w:val="255"/>
          <w:numId w:val="0"/>
        </w:numPr>
        <w:spacing w:before="156" w:after="156"/>
      </w:pPr>
      <w:r>
        <w:rPr>
          <w:rFonts w:hint="eastAsia"/>
        </w:rPr>
        <w:t>表</w:t>
      </w:r>
      <w:r>
        <w:t>C.2</w:t>
      </w:r>
      <w:r>
        <w:rPr>
          <w:rFonts w:hint="eastAsia"/>
        </w:rPr>
        <w:t xml:space="preserve"> 非审批类建设项目环境影响情况表</w:t>
      </w:r>
    </w:p>
    <w:tbl>
      <w:tblPr>
        <w:tblStyle w:val="28"/>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61"/>
        <w:gridCol w:w="1417"/>
        <w:gridCol w:w="1220"/>
        <w:gridCol w:w="1331"/>
        <w:gridCol w:w="2385"/>
        <w:gridCol w:w="2160"/>
      </w:tblGrid>
      <w:tr w14:paraId="57FB07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Header/>
          <w:jc w:val="center"/>
        </w:trPr>
        <w:tc>
          <w:tcPr>
            <w:tcW w:w="459" w:type="pct"/>
            <w:tcBorders>
              <w:top w:val="single" w:color="000000" w:sz="8" w:space="0"/>
              <w:bottom w:val="single" w:color="000000" w:sz="8" w:space="0"/>
            </w:tcBorders>
            <w:shd w:val="clear" w:color="auto" w:fill="auto"/>
            <w:vAlign w:val="center"/>
          </w:tcPr>
          <w:p w14:paraId="1DAC1314">
            <w:pPr>
              <w:pStyle w:val="181"/>
              <w:rPr>
                <w:rFonts w:hAnsi="宋体"/>
                <w:b/>
              </w:rPr>
            </w:pPr>
            <w:r>
              <w:rPr>
                <w:rFonts w:hint="eastAsia" w:hAnsi="宋体"/>
                <w:b/>
              </w:rPr>
              <w:t>序号</w:t>
            </w:r>
          </w:p>
        </w:tc>
        <w:tc>
          <w:tcPr>
            <w:tcW w:w="756" w:type="pct"/>
            <w:tcBorders>
              <w:top w:val="single" w:color="000000" w:sz="8" w:space="0"/>
              <w:bottom w:val="single" w:color="000000" w:sz="8" w:space="0"/>
            </w:tcBorders>
            <w:shd w:val="clear" w:color="auto" w:fill="auto"/>
            <w:vAlign w:val="center"/>
          </w:tcPr>
          <w:p w14:paraId="5ACE598A">
            <w:pPr>
              <w:pStyle w:val="181"/>
              <w:rPr>
                <w:rFonts w:hAnsi="宋体"/>
                <w:b/>
              </w:rPr>
            </w:pPr>
            <w:r>
              <w:rPr>
                <w:rFonts w:hint="eastAsia" w:hAnsi="宋体"/>
                <w:b/>
              </w:rPr>
              <w:t>名称或项目类别</w:t>
            </w:r>
          </w:p>
        </w:tc>
        <w:tc>
          <w:tcPr>
            <w:tcW w:w="651" w:type="pct"/>
            <w:tcBorders>
              <w:top w:val="single" w:color="000000" w:sz="8" w:space="0"/>
              <w:bottom w:val="single" w:color="000000" w:sz="8" w:space="0"/>
            </w:tcBorders>
            <w:shd w:val="clear" w:color="auto" w:fill="auto"/>
            <w:vAlign w:val="center"/>
          </w:tcPr>
          <w:p w14:paraId="63646E44">
            <w:pPr>
              <w:pStyle w:val="181"/>
              <w:rPr>
                <w:rFonts w:hAnsi="宋体"/>
                <w:b/>
              </w:rPr>
            </w:pPr>
            <w:r>
              <w:rPr>
                <w:rFonts w:hint="eastAsia" w:hAnsi="宋体"/>
                <w:b/>
              </w:rPr>
              <w:t>地块编号/序号</w:t>
            </w:r>
          </w:p>
        </w:tc>
        <w:tc>
          <w:tcPr>
            <w:tcW w:w="710" w:type="pct"/>
            <w:tcBorders>
              <w:top w:val="single" w:color="000000" w:sz="8" w:space="0"/>
              <w:bottom w:val="single" w:color="000000" w:sz="8" w:space="0"/>
            </w:tcBorders>
            <w:shd w:val="clear" w:color="auto" w:fill="auto"/>
            <w:vAlign w:val="center"/>
          </w:tcPr>
          <w:p w14:paraId="495B784F">
            <w:pPr>
              <w:pStyle w:val="181"/>
              <w:rPr>
                <w:rFonts w:hAnsi="宋体"/>
                <w:b/>
              </w:rPr>
            </w:pPr>
            <w:r>
              <w:rPr>
                <w:rFonts w:hint="eastAsia"/>
                <w:b/>
              </w:rPr>
              <w:t>位置图</w:t>
            </w:r>
          </w:p>
        </w:tc>
        <w:tc>
          <w:tcPr>
            <w:tcW w:w="1272" w:type="pct"/>
            <w:tcBorders>
              <w:top w:val="single" w:color="000000" w:sz="8" w:space="0"/>
              <w:bottom w:val="single" w:color="000000" w:sz="8" w:space="0"/>
            </w:tcBorders>
            <w:shd w:val="clear" w:color="auto" w:fill="auto"/>
            <w:vAlign w:val="center"/>
          </w:tcPr>
          <w:p w14:paraId="04E46738">
            <w:pPr>
              <w:pStyle w:val="181"/>
              <w:rPr>
                <w:rFonts w:hAnsi="宋体"/>
                <w:b/>
              </w:rPr>
            </w:pPr>
            <w:r>
              <w:rPr>
                <w:rFonts w:hint="eastAsia" w:hAnsi="宋体"/>
                <w:b/>
              </w:rPr>
              <w:t>与周边环境敏感区/污染源的距离</w:t>
            </w:r>
          </w:p>
        </w:tc>
        <w:tc>
          <w:tcPr>
            <w:tcW w:w="1152" w:type="pct"/>
            <w:tcBorders>
              <w:top w:val="single" w:color="000000" w:sz="8" w:space="0"/>
              <w:bottom w:val="single" w:color="000000" w:sz="8" w:space="0"/>
            </w:tcBorders>
            <w:vAlign w:val="center"/>
          </w:tcPr>
          <w:p w14:paraId="24F1B81B">
            <w:pPr>
              <w:pStyle w:val="181"/>
              <w:rPr>
                <w:rFonts w:hAnsi="宋体"/>
                <w:b/>
              </w:rPr>
            </w:pPr>
            <w:r>
              <w:rPr>
                <w:rFonts w:hint="eastAsia" w:hAnsi="宋体"/>
                <w:b/>
              </w:rPr>
              <w:t>空间布局优化可行性</w:t>
            </w:r>
          </w:p>
        </w:tc>
      </w:tr>
      <w:tr w14:paraId="73702A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459" w:type="pct"/>
            <w:tcBorders>
              <w:top w:val="single" w:color="000000" w:sz="8" w:space="0"/>
            </w:tcBorders>
            <w:shd w:val="clear" w:color="auto" w:fill="auto"/>
            <w:vAlign w:val="center"/>
          </w:tcPr>
          <w:p w14:paraId="4F578283">
            <w:pPr>
              <w:pStyle w:val="181"/>
              <w:rPr>
                <w:rFonts w:hAnsi="宋体"/>
              </w:rPr>
            </w:pPr>
            <w:r>
              <w:rPr>
                <w:rFonts w:hint="eastAsia"/>
              </w:rPr>
              <w:t>1</w:t>
            </w:r>
          </w:p>
        </w:tc>
        <w:tc>
          <w:tcPr>
            <w:tcW w:w="756" w:type="pct"/>
            <w:tcBorders>
              <w:top w:val="single" w:color="000000" w:sz="8" w:space="0"/>
            </w:tcBorders>
            <w:shd w:val="clear" w:color="auto" w:fill="auto"/>
            <w:vAlign w:val="center"/>
          </w:tcPr>
          <w:p w14:paraId="6A83A4E9">
            <w:pPr>
              <w:pStyle w:val="181"/>
              <w:rPr>
                <w:rFonts w:hAnsi="宋体"/>
              </w:rPr>
            </w:pPr>
            <w:r>
              <w:rPr>
                <w:rFonts w:hint="eastAsia"/>
              </w:rPr>
              <w:t>XX项目</w:t>
            </w:r>
          </w:p>
        </w:tc>
        <w:tc>
          <w:tcPr>
            <w:tcW w:w="651" w:type="pct"/>
            <w:tcBorders>
              <w:top w:val="single" w:color="000000" w:sz="8" w:space="0"/>
            </w:tcBorders>
            <w:shd w:val="clear" w:color="auto" w:fill="auto"/>
            <w:vAlign w:val="center"/>
          </w:tcPr>
          <w:p w14:paraId="042AFF15">
            <w:pPr>
              <w:pStyle w:val="181"/>
              <w:rPr>
                <w:rFonts w:hAnsi="宋体"/>
              </w:rPr>
            </w:pPr>
          </w:p>
        </w:tc>
        <w:tc>
          <w:tcPr>
            <w:tcW w:w="710" w:type="pct"/>
            <w:tcBorders>
              <w:top w:val="single" w:color="000000" w:sz="8" w:space="0"/>
            </w:tcBorders>
            <w:shd w:val="clear" w:color="auto" w:fill="auto"/>
            <w:vAlign w:val="center"/>
          </w:tcPr>
          <w:p w14:paraId="00840AB9">
            <w:pPr>
              <w:pStyle w:val="181"/>
            </w:pPr>
          </w:p>
        </w:tc>
        <w:tc>
          <w:tcPr>
            <w:tcW w:w="1272" w:type="pct"/>
            <w:tcBorders>
              <w:top w:val="single" w:color="000000" w:sz="8" w:space="0"/>
            </w:tcBorders>
            <w:shd w:val="clear" w:color="auto" w:fill="auto"/>
            <w:vAlign w:val="center"/>
          </w:tcPr>
          <w:p w14:paraId="7807CA99">
            <w:pPr>
              <w:pStyle w:val="181"/>
            </w:pPr>
          </w:p>
        </w:tc>
        <w:tc>
          <w:tcPr>
            <w:tcW w:w="1152" w:type="pct"/>
            <w:tcBorders>
              <w:top w:val="single" w:color="000000" w:sz="8" w:space="0"/>
            </w:tcBorders>
          </w:tcPr>
          <w:p w14:paraId="439629A2">
            <w:pPr>
              <w:pStyle w:val="181"/>
            </w:pPr>
          </w:p>
        </w:tc>
      </w:tr>
      <w:tr w14:paraId="159139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459" w:type="pct"/>
            <w:shd w:val="clear" w:color="auto" w:fill="auto"/>
            <w:vAlign w:val="center"/>
          </w:tcPr>
          <w:p w14:paraId="072CE36C">
            <w:pPr>
              <w:pStyle w:val="181"/>
            </w:pPr>
            <w:r>
              <w:rPr>
                <w:rFonts w:hint="eastAsia"/>
              </w:rPr>
              <w:t>2</w:t>
            </w:r>
          </w:p>
        </w:tc>
        <w:tc>
          <w:tcPr>
            <w:tcW w:w="756" w:type="pct"/>
            <w:shd w:val="clear" w:color="auto" w:fill="auto"/>
            <w:vAlign w:val="center"/>
          </w:tcPr>
          <w:p w14:paraId="06E7F422">
            <w:pPr>
              <w:pStyle w:val="181"/>
            </w:pPr>
            <w:r>
              <w:rPr>
                <w:rFonts w:hint="eastAsia"/>
              </w:rPr>
              <w:t>XX项目</w:t>
            </w:r>
          </w:p>
        </w:tc>
        <w:tc>
          <w:tcPr>
            <w:tcW w:w="651" w:type="pct"/>
            <w:shd w:val="clear" w:color="auto" w:fill="auto"/>
            <w:vAlign w:val="center"/>
          </w:tcPr>
          <w:p w14:paraId="036766D3">
            <w:pPr>
              <w:pStyle w:val="181"/>
              <w:rPr>
                <w:rFonts w:hAnsi="宋体"/>
              </w:rPr>
            </w:pPr>
          </w:p>
        </w:tc>
        <w:tc>
          <w:tcPr>
            <w:tcW w:w="710" w:type="pct"/>
            <w:shd w:val="clear" w:color="auto" w:fill="auto"/>
            <w:vAlign w:val="center"/>
          </w:tcPr>
          <w:p w14:paraId="3EFEAF0F">
            <w:pPr>
              <w:pStyle w:val="181"/>
            </w:pPr>
          </w:p>
        </w:tc>
        <w:tc>
          <w:tcPr>
            <w:tcW w:w="1272" w:type="pct"/>
            <w:shd w:val="clear" w:color="auto" w:fill="auto"/>
            <w:vAlign w:val="center"/>
          </w:tcPr>
          <w:p w14:paraId="15D8468F">
            <w:pPr>
              <w:pStyle w:val="181"/>
            </w:pPr>
          </w:p>
        </w:tc>
        <w:tc>
          <w:tcPr>
            <w:tcW w:w="1152" w:type="pct"/>
          </w:tcPr>
          <w:p w14:paraId="479140B6">
            <w:pPr>
              <w:pStyle w:val="181"/>
            </w:pPr>
          </w:p>
        </w:tc>
      </w:tr>
      <w:tr w14:paraId="7BFD8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59" w:type="pct"/>
            <w:shd w:val="clear" w:color="auto" w:fill="auto"/>
            <w:vAlign w:val="center"/>
          </w:tcPr>
          <w:p w14:paraId="69C13529">
            <w:pPr>
              <w:pStyle w:val="181"/>
            </w:pPr>
            <w:r>
              <w:rPr>
                <w:rFonts w:hint="eastAsia"/>
              </w:rPr>
              <w:t>3</w:t>
            </w:r>
          </w:p>
        </w:tc>
        <w:tc>
          <w:tcPr>
            <w:tcW w:w="756" w:type="pct"/>
            <w:shd w:val="clear" w:color="auto" w:fill="auto"/>
            <w:vAlign w:val="center"/>
          </w:tcPr>
          <w:p w14:paraId="6CBC4AF5">
            <w:pPr>
              <w:pStyle w:val="181"/>
              <w:rPr>
                <w:rFonts w:hAnsi="宋体"/>
              </w:rPr>
            </w:pPr>
            <w:r>
              <w:t>……</w:t>
            </w:r>
          </w:p>
        </w:tc>
        <w:tc>
          <w:tcPr>
            <w:tcW w:w="651" w:type="pct"/>
            <w:shd w:val="clear" w:color="auto" w:fill="auto"/>
            <w:vAlign w:val="center"/>
          </w:tcPr>
          <w:p w14:paraId="341CFBAE">
            <w:pPr>
              <w:pStyle w:val="181"/>
              <w:rPr>
                <w:rFonts w:hAnsi="宋体"/>
              </w:rPr>
            </w:pPr>
          </w:p>
        </w:tc>
        <w:tc>
          <w:tcPr>
            <w:tcW w:w="710" w:type="pct"/>
            <w:shd w:val="clear" w:color="auto" w:fill="auto"/>
            <w:vAlign w:val="center"/>
          </w:tcPr>
          <w:p w14:paraId="1FFF9C62">
            <w:pPr>
              <w:pStyle w:val="181"/>
              <w:jc w:val="left"/>
            </w:pPr>
          </w:p>
        </w:tc>
        <w:tc>
          <w:tcPr>
            <w:tcW w:w="1272" w:type="pct"/>
            <w:shd w:val="clear" w:color="auto" w:fill="auto"/>
            <w:vAlign w:val="center"/>
          </w:tcPr>
          <w:p w14:paraId="3B8E2A49">
            <w:pPr>
              <w:pStyle w:val="181"/>
            </w:pPr>
          </w:p>
        </w:tc>
        <w:tc>
          <w:tcPr>
            <w:tcW w:w="1152" w:type="pct"/>
          </w:tcPr>
          <w:p w14:paraId="247E3D66">
            <w:pPr>
              <w:pStyle w:val="181"/>
            </w:pPr>
          </w:p>
        </w:tc>
      </w:tr>
    </w:tbl>
    <w:p w14:paraId="51E26DD7">
      <w:pPr>
        <w:pStyle w:val="59"/>
        <w:ind w:firstLine="360"/>
        <w:rPr>
          <w:sz w:val="18"/>
          <w:szCs w:val="18"/>
        </w:rPr>
      </w:pPr>
    </w:p>
    <w:p w14:paraId="13945DC0">
      <w:pPr>
        <w:pStyle w:val="59"/>
        <w:ind w:firstLine="420"/>
        <w:sectPr>
          <w:headerReference r:id="rId21" w:type="default"/>
          <w:footerReference r:id="rId23" w:type="default"/>
          <w:headerReference r:id="rId22" w:type="even"/>
          <w:footerReference r:id="rId24" w:type="even"/>
          <w:pgSz w:w="11906" w:h="16838"/>
          <w:pgMar w:top="567" w:right="1134" w:bottom="1134" w:left="1134" w:header="1418" w:footer="1134" w:gutter="284"/>
          <w:cols w:space="425" w:num="1"/>
          <w:docGrid w:type="lines" w:linePitch="312" w:charSpace="0"/>
        </w:sectPr>
      </w:pPr>
    </w:p>
    <w:p w14:paraId="333AC3F7">
      <w:pPr>
        <w:pStyle w:val="201"/>
      </w:pPr>
    </w:p>
    <w:p w14:paraId="59B410D8">
      <w:pPr>
        <w:pStyle w:val="202"/>
      </w:pPr>
    </w:p>
    <w:p w14:paraId="3519515B">
      <w:pPr>
        <w:pStyle w:val="79"/>
        <w:spacing w:before="78" w:after="156"/>
      </w:pPr>
      <w:r>
        <w:br w:type="textWrapping"/>
      </w:r>
      <w:bookmarkStart w:id="74" w:name="_Toc63416833"/>
      <w:bookmarkStart w:id="75" w:name="_Toc173419015"/>
      <w:bookmarkStart w:id="76" w:name="_Toc64907109"/>
      <w:r>
        <w:rPr>
          <w:rFonts w:hint="eastAsia"/>
        </w:rPr>
        <w:t>（规范性）</w:t>
      </w:r>
      <w:r>
        <w:br w:type="textWrapping"/>
      </w:r>
      <w:r>
        <w:rPr>
          <w:rFonts w:hint="eastAsia"/>
        </w:rPr>
        <w:t>评价成果相关附表</w:t>
      </w:r>
      <w:bookmarkEnd w:id="74"/>
      <w:bookmarkEnd w:id="75"/>
      <w:bookmarkEnd w:id="76"/>
    </w:p>
    <w:p w14:paraId="0AD76CB6">
      <w:pPr>
        <w:pStyle w:val="59"/>
        <w:ind w:firstLine="420"/>
      </w:pPr>
      <w:r>
        <w:rPr>
          <w:rFonts w:hint="eastAsia"/>
        </w:rPr>
        <w:t>优化完善意见一览表见表</w:t>
      </w:r>
      <w:r>
        <w:rPr>
          <w:rFonts w:ascii="Times New Roman"/>
        </w:rPr>
        <w:t>D.1</w:t>
      </w:r>
      <w:r>
        <w:rPr>
          <w:rFonts w:hint="eastAsia"/>
        </w:rPr>
        <w:t>，环境保护措施及管控要求一览表见表</w:t>
      </w:r>
      <w:r>
        <w:rPr>
          <w:rFonts w:ascii="Times New Roman"/>
        </w:rPr>
        <w:t>D.2</w:t>
      </w:r>
      <w:r>
        <w:rPr>
          <w:rFonts w:hint="eastAsia"/>
        </w:rPr>
        <w:t>。</w:t>
      </w:r>
    </w:p>
    <w:p w14:paraId="4D16E865">
      <w:pPr>
        <w:pStyle w:val="80"/>
        <w:numPr>
          <w:ilvl w:val="0"/>
          <w:numId w:val="0"/>
        </w:numPr>
        <w:spacing w:before="156" w:after="156"/>
      </w:pPr>
      <w:r>
        <w:rPr>
          <w:rFonts w:hint="eastAsia"/>
        </w:rPr>
        <w:t>表D</w:t>
      </w:r>
      <w:r>
        <w:t xml:space="preserve">.1 </w:t>
      </w:r>
      <w:r>
        <w:rPr>
          <w:rFonts w:hint="eastAsia"/>
        </w:rPr>
        <w:t>优化完善意见一览表</w:t>
      </w:r>
    </w:p>
    <w:tbl>
      <w:tblPr>
        <w:tblStyle w:val="28"/>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92"/>
        <w:gridCol w:w="1894"/>
        <w:gridCol w:w="1894"/>
        <w:gridCol w:w="1896"/>
        <w:gridCol w:w="1791"/>
      </w:tblGrid>
      <w:tr w14:paraId="35A91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blHeader/>
        </w:trPr>
        <w:tc>
          <w:tcPr>
            <w:tcW w:w="1010" w:type="pct"/>
            <w:tcBorders>
              <w:top w:val="single" w:color="auto" w:sz="8" w:space="0"/>
              <w:bottom w:val="single" w:color="auto" w:sz="8" w:space="0"/>
            </w:tcBorders>
            <w:vAlign w:val="center"/>
          </w:tcPr>
          <w:p w14:paraId="48498D2C">
            <w:pPr>
              <w:pStyle w:val="181"/>
              <w:rPr>
                <w:b/>
              </w:rPr>
            </w:pPr>
          </w:p>
        </w:tc>
        <w:tc>
          <w:tcPr>
            <w:tcW w:w="1011" w:type="pct"/>
            <w:tcBorders>
              <w:top w:val="single" w:color="auto" w:sz="8" w:space="0"/>
              <w:bottom w:val="single" w:color="auto" w:sz="8" w:space="0"/>
            </w:tcBorders>
            <w:vAlign w:val="center"/>
          </w:tcPr>
          <w:p w14:paraId="167873E1">
            <w:pPr>
              <w:pStyle w:val="181"/>
              <w:rPr>
                <w:b/>
              </w:rPr>
            </w:pPr>
            <w:r>
              <w:rPr>
                <w:rFonts w:hint="eastAsia"/>
                <w:b/>
              </w:rPr>
              <w:t>规划原方案</w:t>
            </w:r>
          </w:p>
        </w:tc>
        <w:tc>
          <w:tcPr>
            <w:tcW w:w="1011" w:type="pct"/>
            <w:tcBorders>
              <w:top w:val="single" w:color="auto" w:sz="8" w:space="0"/>
              <w:bottom w:val="single" w:color="auto" w:sz="8" w:space="0"/>
            </w:tcBorders>
            <w:shd w:val="clear" w:color="auto" w:fill="auto"/>
            <w:vAlign w:val="center"/>
          </w:tcPr>
          <w:p w14:paraId="388A83F2">
            <w:pPr>
              <w:pStyle w:val="181"/>
              <w:rPr>
                <w:b/>
              </w:rPr>
            </w:pPr>
            <w:r>
              <w:rPr>
                <w:rFonts w:hint="eastAsia"/>
                <w:b/>
              </w:rPr>
              <w:t>优化完善意见</w:t>
            </w:r>
          </w:p>
        </w:tc>
        <w:tc>
          <w:tcPr>
            <w:tcW w:w="1012" w:type="pct"/>
            <w:tcBorders>
              <w:top w:val="single" w:color="auto" w:sz="8" w:space="0"/>
              <w:bottom w:val="single" w:color="auto" w:sz="8" w:space="0"/>
            </w:tcBorders>
            <w:shd w:val="clear" w:color="auto" w:fill="auto"/>
            <w:vAlign w:val="center"/>
          </w:tcPr>
          <w:p w14:paraId="4909A490">
            <w:pPr>
              <w:pStyle w:val="181"/>
              <w:rPr>
                <w:b/>
              </w:rPr>
            </w:pPr>
            <w:r>
              <w:rPr>
                <w:rFonts w:hint="eastAsia"/>
                <w:b/>
              </w:rPr>
              <w:t>意见依据</w:t>
            </w:r>
          </w:p>
        </w:tc>
        <w:tc>
          <w:tcPr>
            <w:tcW w:w="956" w:type="pct"/>
            <w:tcBorders>
              <w:top w:val="single" w:color="auto" w:sz="8" w:space="0"/>
              <w:bottom w:val="single" w:color="auto" w:sz="8" w:space="0"/>
            </w:tcBorders>
            <w:shd w:val="clear" w:color="auto" w:fill="auto"/>
            <w:vAlign w:val="center"/>
          </w:tcPr>
          <w:p w14:paraId="7EB5778C">
            <w:pPr>
              <w:pStyle w:val="181"/>
              <w:rPr>
                <w:b/>
              </w:rPr>
            </w:pPr>
            <w:r>
              <w:rPr>
                <w:rFonts w:hint="eastAsia"/>
                <w:b/>
              </w:rPr>
              <w:t>优化完善情况</w:t>
            </w:r>
          </w:p>
        </w:tc>
      </w:tr>
      <w:tr w14:paraId="19534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14:paraId="1476A0DB">
            <w:pPr>
              <w:pStyle w:val="181"/>
            </w:pPr>
            <w:r>
              <w:rPr>
                <w:rFonts w:hint="eastAsia"/>
              </w:rPr>
              <w:t>用地性质</w:t>
            </w:r>
          </w:p>
        </w:tc>
        <w:tc>
          <w:tcPr>
            <w:tcW w:w="1011" w:type="pct"/>
          </w:tcPr>
          <w:p w14:paraId="44DF5A96">
            <w:pPr>
              <w:pStyle w:val="181"/>
              <w:jc w:val="left"/>
            </w:pPr>
          </w:p>
        </w:tc>
        <w:tc>
          <w:tcPr>
            <w:tcW w:w="1011" w:type="pct"/>
            <w:shd w:val="clear" w:color="auto" w:fill="auto"/>
            <w:vAlign w:val="center"/>
          </w:tcPr>
          <w:p w14:paraId="59050062">
            <w:pPr>
              <w:pStyle w:val="181"/>
              <w:jc w:val="left"/>
            </w:pPr>
            <w:r>
              <w:rPr>
                <w:rFonts w:hint="eastAsia"/>
              </w:rPr>
              <w:t>1</w:t>
            </w:r>
          </w:p>
        </w:tc>
        <w:tc>
          <w:tcPr>
            <w:tcW w:w="1012" w:type="pct"/>
            <w:shd w:val="clear" w:color="auto" w:fill="auto"/>
            <w:vAlign w:val="center"/>
          </w:tcPr>
          <w:p w14:paraId="23B84CDE">
            <w:pPr>
              <w:pStyle w:val="181"/>
            </w:pPr>
          </w:p>
        </w:tc>
        <w:tc>
          <w:tcPr>
            <w:tcW w:w="956" w:type="pct"/>
            <w:shd w:val="clear" w:color="auto" w:fill="auto"/>
            <w:vAlign w:val="center"/>
          </w:tcPr>
          <w:p w14:paraId="268FFBE1">
            <w:pPr>
              <w:pStyle w:val="181"/>
            </w:pPr>
          </w:p>
        </w:tc>
      </w:tr>
      <w:tr w14:paraId="489EC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14:paraId="66E8E728">
            <w:pPr>
              <w:pStyle w:val="181"/>
            </w:pPr>
          </w:p>
        </w:tc>
        <w:tc>
          <w:tcPr>
            <w:tcW w:w="1011" w:type="pct"/>
          </w:tcPr>
          <w:p w14:paraId="0E3DD375">
            <w:pPr>
              <w:pStyle w:val="181"/>
              <w:jc w:val="left"/>
            </w:pPr>
          </w:p>
        </w:tc>
        <w:tc>
          <w:tcPr>
            <w:tcW w:w="1011" w:type="pct"/>
            <w:shd w:val="clear" w:color="auto" w:fill="auto"/>
            <w:vAlign w:val="center"/>
          </w:tcPr>
          <w:p w14:paraId="56BDF04B">
            <w:pPr>
              <w:pStyle w:val="181"/>
              <w:jc w:val="left"/>
            </w:pPr>
            <w:r>
              <w:rPr>
                <w:rFonts w:hint="eastAsia"/>
              </w:rPr>
              <w:t>2</w:t>
            </w:r>
          </w:p>
        </w:tc>
        <w:tc>
          <w:tcPr>
            <w:tcW w:w="1012" w:type="pct"/>
            <w:shd w:val="clear" w:color="auto" w:fill="auto"/>
            <w:vAlign w:val="center"/>
          </w:tcPr>
          <w:p w14:paraId="2C0517E9">
            <w:pPr>
              <w:pStyle w:val="181"/>
            </w:pPr>
          </w:p>
        </w:tc>
        <w:tc>
          <w:tcPr>
            <w:tcW w:w="956" w:type="pct"/>
            <w:shd w:val="clear" w:color="auto" w:fill="auto"/>
            <w:vAlign w:val="center"/>
          </w:tcPr>
          <w:p w14:paraId="6A0DF198">
            <w:pPr>
              <w:pStyle w:val="181"/>
            </w:pPr>
          </w:p>
        </w:tc>
      </w:tr>
      <w:tr w14:paraId="5DBFC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1010" w:type="pct"/>
            <w:vMerge w:val="continue"/>
            <w:vAlign w:val="center"/>
          </w:tcPr>
          <w:p w14:paraId="6AFD6523">
            <w:pPr>
              <w:pStyle w:val="181"/>
            </w:pPr>
          </w:p>
        </w:tc>
        <w:tc>
          <w:tcPr>
            <w:tcW w:w="1011" w:type="pct"/>
          </w:tcPr>
          <w:p w14:paraId="60C9F13F">
            <w:pPr>
              <w:pStyle w:val="181"/>
              <w:jc w:val="left"/>
            </w:pPr>
          </w:p>
        </w:tc>
        <w:tc>
          <w:tcPr>
            <w:tcW w:w="1011" w:type="pct"/>
            <w:shd w:val="clear" w:color="auto" w:fill="auto"/>
            <w:vAlign w:val="center"/>
          </w:tcPr>
          <w:p w14:paraId="31E91B31">
            <w:pPr>
              <w:pStyle w:val="181"/>
              <w:jc w:val="left"/>
            </w:pPr>
            <w:r>
              <w:rPr>
                <w:rFonts w:hint="eastAsia"/>
              </w:rPr>
              <w:t>……</w:t>
            </w:r>
          </w:p>
        </w:tc>
        <w:tc>
          <w:tcPr>
            <w:tcW w:w="1012" w:type="pct"/>
            <w:shd w:val="clear" w:color="auto" w:fill="auto"/>
            <w:vAlign w:val="center"/>
          </w:tcPr>
          <w:p w14:paraId="12ECACB4">
            <w:pPr>
              <w:pStyle w:val="181"/>
            </w:pPr>
          </w:p>
        </w:tc>
        <w:tc>
          <w:tcPr>
            <w:tcW w:w="956" w:type="pct"/>
            <w:shd w:val="clear" w:color="auto" w:fill="auto"/>
            <w:vAlign w:val="center"/>
          </w:tcPr>
          <w:p w14:paraId="3B2D0331">
            <w:pPr>
              <w:pStyle w:val="181"/>
            </w:pPr>
          </w:p>
        </w:tc>
      </w:tr>
      <w:tr w14:paraId="19D5F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14:paraId="43B5EF89">
            <w:pPr>
              <w:pStyle w:val="181"/>
            </w:pPr>
            <w:r>
              <w:rPr>
                <w:rFonts w:hint="eastAsia"/>
              </w:rPr>
              <w:t>空间布局</w:t>
            </w:r>
          </w:p>
        </w:tc>
        <w:tc>
          <w:tcPr>
            <w:tcW w:w="1011" w:type="pct"/>
          </w:tcPr>
          <w:p w14:paraId="1E43CBB7">
            <w:pPr>
              <w:pStyle w:val="181"/>
              <w:jc w:val="left"/>
            </w:pPr>
          </w:p>
        </w:tc>
        <w:tc>
          <w:tcPr>
            <w:tcW w:w="1011" w:type="pct"/>
            <w:shd w:val="clear" w:color="auto" w:fill="auto"/>
            <w:vAlign w:val="center"/>
          </w:tcPr>
          <w:p w14:paraId="65E012AD">
            <w:pPr>
              <w:pStyle w:val="181"/>
              <w:jc w:val="left"/>
            </w:pPr>
            <w:r>
              <w:rPr>
                <w:rFonts w:hint="eastAsia"/>
              </w:rPr>
              <w:t>1</w:t>
            </w:r>
          </w:p>
        </w:tc>
        <w:tc>
          <w:tcPr>
            <w:tcW w:w="1012" w:type="pct"/>
            <w:shd w:val="clear" w:color="auto" w:fill="auto"/>
            <w:vAlign w:val="center"/>
          </w:tcPr>
          <w:p w14:paraId="3C17414D">
            <w:pPr>
              <w:pStyle w:val="181"/>
            </w:pPr>
          </w:p>
        </w:tc>
        <w:tc>
          <w:tcPr>
            <w:tcW w:w="956" w:type="pct"/>
            <w:shd w:val="clear" w:color="auto" w:fill="auto"/>
            <w:vAlign w:val="center"/>
          </w:tcPr>
          <w:p w14:paraId="4336E231">
            <w:pPr>
              <w:pStyle w:val="181"/>
            </w:pPr>
          </w:p>
        </w:tc>
      </w:tr>
      <w:tr w14:paraId="40E0D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14:paraId="40F8458B">
            <w:pPr>
              <w:pStyle w:val="181"/>
            </w:pPr>
          </w:p>
        </w:tc>
        <w:tc>
          <w:tcPr>
            <w:tcW w:w="1011" w:type="pct"/>
          </w:tcPr>
          <w:p w14:paraId="02CE5D69">
            <w:pPr>
              <w:pStyle w:val="181"/>
              <w:jc w:val="left"/>
            </w:pPr>
          </w:p>
        </w:tc>
        <w:tc>
          <w:tcPr>
            <w:tcW w:w="1011" w:type="pct"/>
            <w:shd w:val="clear" w:color="auto" w:fill="auto"/>
            <w:vAlign w:val="center"/>
          </w:tcPr>
          <w:p w14:paraId="13680045">
            <w:pPr>
              <w:pStyle w:val="181"/>
              <w:jc w:val="left"/>
            </w:pPr>
            <w:r>
              <w:rPr>
                <w:rFonts w:hint="eastAsia"/>
              </w:rPr>
              <w:t>2</w:t>
            </w:r>
          </w:p>
        </w:tc>
        <w:tc>
          <w:tcPr>
            <w:tcW w:w="1012" w:type="pct"/>
            <w:shd w:val="clear" w:color="auto" w:fill="auto"/>
            <w:vAlign w:val="center"/>
          </w:tcPr>
          <w:p w14:paraId="068E0F04">
            <w:pPr>
              <w:pStyle w:val="181"/>
            </w:pPr>
          </w:p>
        </w:tc>
        <w:tc>
          <w:tcPr>
            <w:tcW w:w="956" w:type="pct"/>
            <w:shd w:val="clear" w:color="auto" w:fill="auto"/>
            <w:vAlign w:val="center"/>
          </w:tcPr>
          <w:p w14:paraId="593CC34E">
            <w:pPr>
              <w:pStyle w:val="181"/>
            </w:pPr>
          </w:p>
        </w:tc>
      </w:tr>
      <w:tr w14:paraId="55C06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14:paraId="603E91B5">
            <w:pPr>
              <w:pStyle w:val="181"/>
            </w:pPr>
          </w:p>
        </w:tc>
        <w:tc>
          <w:tcPr>
            <w:tcW w:w="1011" w:type="pct"/>
          </w:tcPr>
          <w:p w14:paraId="245ACB80">
            <w:pPr>
              <w:pStyle w:val="181"/>
              <w:jc w:val="left"/>
            </w:pPr>
          </w:p>
        </w:tc>
        <w:tc>
          <w:tcPr>
            <w:tcW w:w="1011" w:type="pct"/>
            <w:shd w:val="clear" w:color="auto" w:fill="auto"/>
            <w:vAlign w:val="center"/>
          </w:tcPr>
          <w:p w14:paraId="57E0B999">
            <w:pPr>
              <w:pStyle w:val="181"/>
              <w:jc w:val="left"/>
            </w:pPr>
            <w:r>
              <w:rPr>
                <w:rFonts w:hint="eastAsia"/>
              </w:rPr>
              <w:t>……</w:t>
            </w:r>
          </w:p>
        </w:tc>
        <w:tc>
          <w:tcPr>
            <w:tcW w:w="1012" w:type="pct"/>
            <w:shd w:val="clear" w:color="auto" w:fill="auto"/>
            <w:vAlign w:val="center"/>
          </w:tcPr>
          <w:p w14:paraId="5FA9E0A4">
            <w:pPr>
              <w:pStyle w:val="181"/>
            </w:pPr>
          </w:p>
        </w:tc>
        <w:tc>
          <w:tcPr>
            <w:tcW w:w="956" w:type="pct"/>
            <w:shd w:val="clear" w:color="auto" w:fill="auto"/>
            <w:vAlign w:val="center"/>
          </w:tcPr>
          <w:p w14:paraId="0738E76B">
            <w:pPr>
              <w:pStyle w:val="181"/>
            </w:pPr>
          </w:p>
        </w:tc>
      </w:tr>
      <w:tr w14:paraId="482F7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14:paraId="295B49BA">
            <w:pPr>
              <w:pStyle w:val="181"/>
            </w:pPr>
            <w:r>
              <w:rPr>
                <w:rFonts w:hint="eastAsia"/>
              </w:rPr>
              <w:t>市政基础设施</w:t>
            </w:r>
          </w:p>
        </w:tc>
        <w:tc>
          <w:tcPr>
            <w:tcW w:w="1011" w:type="pct"/>
          </w:tcPr>
          <w:p w14:paraId="5A1817D9">
            <w:pPr>
              <w:pStyle w:val="181"/>
              <w:jc w:val="left"/>
            </w:pPr>
          </w:p>
        </w:tc>
        <w:tc>
          <w:tcPr>
            <w:tcW w:w="1011" w:type="pct"/>
            <w:shd w:val="clear" w:color="auto" w:fill="auto"/>
            <w:vAlign w:val="center"/>
          </w:tcPr>
          <w:p w14:paraId="5D203FBE">
            <w:pPr>
              <w:pStyle w:val="181"/>
              <w:jc w:val="left"/>
            </w:pPr>
            <w:r>
              <w:rPr>
                <w:rFonts w:hint="eastAsia"/>
              </w:rPr>
              <w:t>1</w:t>
            </w:r>
          </w:p>
        </w:tc>
        <w:tc>
          <w:tcPr>
            <w:tcW w:w="1012" w:type="pct"/>
            <w:shd w:val="clear" w:color="auto" w:fill="auto"/>
            <w:vAlign w:val="center"/>
          </w:tcPr>
          <w:p w14:paraId="766793A1">
            <w:pPr>
              <w:pStyle w:val="181"/>
            </w:pPr>
          </w:p>
        </w:tc>
        <w:tc>
          <w:tcPr>
            <w:tcW w:w="956" w:type="pct"/>
            <w:shd w:val="clear" w:color="auto" w:fill="auto"/>
            <w:vAlign w:val="center"/>
          </w:tcPr>
          <w:p w14:paraId="0226BA19">
            <w:pPr>
              <w:pStyle w:val="181"/>
            </w:pPr>
          </w:p>
        </w:tc>
      </w:tr>
      <w:tr w14:paraId="33888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tcPr>
          <w:p w14:paraId="765CB307">
            <w:pPr>
              <w:pStyle w:val="181"/>
            </w:pPr>
          </w:p>
        </w:tc>
        <w:tc>
          <w:tcPr>
            <w:tcW w:w="1011" w:type="pct"/>
          </w:tcPr>
          <w:p w14:paraId="54CC7EBA">
            <w:pPr>
              <w:pStyle w:val="181"/>
              <w:jc w:val="left"/>
            </w:pPr>
          </w:p>
        </w:tc>
        <w:tc>
          <w:tcPr>
            <w:tcW w:w="1011" w:type="pct"/>
            <w:shd w:val="clear" w:color="auto" w:fill="auto"/>
            <w:vAlign w:val="center"/>
          </w:tcPr>
          <w:p w14:paraId="04BFCCDE">
            <w:pPr>
              <w:pStyle w:val="181"/>
              <w:jc w:val="left"/>
            </w:pPr>
            <w:r>
              <w:rPr>
                <w:rFonts w:hint="eastAsia"/>
              </w:rPr>
              <w:t>2</w:t>
            </w:r>
          </w:p>
        </w:tc>
        <w:tc>
          <w:tcPr>
            <w:tcW w:w="1012" w:type="pct"/>
            <w:shd w:val="clear" w:color="auto" w:fill="auto"/>
            <w:vAlign w:val="center"/>
          </w:tcPr>
          <w:p w14:paraId="71A03F40">
            <w:pPr>
              <w:pStyle w:val="181"/>
            </w:pPr>
          </w:p>
        </w:tc>
        <w:tc>
          <w:tcPr>
            <w:tcW w:w="956" w:type="pct"/>
            <w:shd w:val="clear" w:color="auto" w:fill="auto"/>
            <w:vAlign w:val="center"/>
          </w:tcPr>
          <w:p w14:paraId="09CC2A3D">
            <w:pPr>
              <w:pStyle w:val="181"/>
            </w:pPr>
          </w:p>
        </w:tc>
      </w:tr>
      <w:tr w14:paraId="7ECFE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tcPr>
          <w:p w14:paraId="684E1059">
            <w:pPr>
              <w:pStyle w:val="181"/>
            </w:pPr>
          </w:p>
        </w:tc>
        <w:tc>
          <w:tcPr>
            <w:tcW w:w="1011" w:type="pct"/>
          </w:tcPr>
          <w:p w14:paraId="17AF63D8">
            <w:pPr>
              <w:pStyle w:val="181"/>
              <w:jc w:val="left"/>
            </w:pPr>
          </w:p>
        </w:tc>
        <w:tc>
          <w:tcPr>
            <w:tcW w:w="1011" w:type="pct"/>
            <w:shd w:val="clear" w:color="auto" w:fill="auto"/>
            <w:vAlign w:val="center"/>
          </w:tcPr>
          <w:p w14:paraId="2E678D73">
            <w:pPr>
              <w:pStyle w:val="181"/>
              <w:jc w:val="left"/>
            </w:pPr>
            <w:r>
              <w:rPr>
                <w:rFonts w:hint="eastAsia"/>
              </w:rPr>
              <w:t>……</w:t>
            </w:r>
          </w:p>
        </w:tc>
        <w:tc>
          <w:tcPr>
            <w:tcW w:w="1012" w:type="pct"/>
            <w:shd w:val="clear" w:color="auto" w:fill="auto"/>
            <w:vAlign w:val="center"/>
          </w:tcPr>
          <w:p w14:paraId="272F42FB">
            <w:pPr>
              <w:pStyle w:val="181"/>
            </w:pPr>
          </w:p>
        </w:tc>
        <w:tc>
          <w:tcPr>
            <w:tcW w:w="956" w:type="pct"/>
            <w:shd w:val="clear" w:color="auto" w:fill="auto"/>
            <w:vAlign w:val="center"/>
          </w:tcPr>
          <w:p w14:paraId="60013737">
            <w:pPr>
              <w:pStyle w:val="181"/>
            </w:pPr>
          </w:p>
        </w:tc>
      </w:tr>
    </w:tbl>
    <w:p w14:paraId="10FDC6AC">
      <w:pPr>
        <w:pStyle w:val="80"/>
        <w:numPr>
          <w:ilvl w:val="0"/>
          <w:numId w:val="0"/>
        </w:numPr>
        <w:spacing w:before="156" w:after="156"/>
        <w:rPr>
          <w:rFonts w:hAnsi="黑体"/>
        </w:rPr>
      </w:pPr>
      <w:r>
        <w:rPr>
          <w:rFonts w:hint="eastAsia" w:hAnsi="黑体"/>
        </w:rPr>
        <w:t>表D</w:t>
      </w:r>
      <w:r>
        <w:rPr>
          <w:rFonts w:hAnsi="黑体"/>
        </w:rPr>
        <w:t xml:space="preserve">.2 </w:t>
      </w:r>
      <w:r>
        <w:rPr>
          <w:rFonts w:hint="eastAsia" w:hAnsi="黑体"/>
        </w:rPr>
        <w:t>环境保护措施及管控要求一览表</w:t>
      </w:r>
    </w:p>
    <w:tbl>
      <w:tblPr>
        <w:tblStyle w:val="28"/>
        <w:tblpPr w:leftFromText="180" w:rightFromText="180" w:vertAnchor="text" w:horzAnchor="margin" w:tblpXSpec="center" w:tblpY="9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44"/>
        <w:gridCol w:w="2976"/>
        <w:gridCol w:w="3554"/>
      </w:tblGrid>
      <w:tr w14:paraId="02EBF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blHeader/>
          <w:jc w:val="center"/>
        </w:trPr>
        <w:tc>
          <w:tcPr>
            <w:tcW w:w="1517" w:type="pct"/>
            <w:tcBorders>
              <w:top w:val="single" w:color="auto" w:sz="8" w:space="0"/>
              <w:bottom w:val="single" w:color="auto" w:sz="8" w:space="0"/>
            </w:tcBorders>
            <w:shd w:val="clear" w:color="auto" w:fill="auto"/>
            <w:vAlign w:val="center"/>
          </w:tcPr>
          <w:p w14:paraId="604168C7">
            <w:pPr>
              <w:pStyle w:val="17"/>
              <w:spacing w:line="200" w:lineRule="exact"/>
              <w:jc w:val="center"/>
              <w:rPr>
                <w:b/>
              </w:rPr>
            </w:pPr>
            <w:r>
              <w:rPr>
                <w:rFonts w:hint="eastAsia"/>
                <w:b/>
              </w:rPr>
              <w:t>名称</w:t>
            </w:r>
            <w:r>
              <w:rPr>
                <w:rFonts w:hint="eastAsia" w:hAnsi="宋体"/>
                <w:b/>
              </w:rPr>
              <w:t>或项目类别</w:t>
            </w:r>
          </w:p>
        </w:tc>
        <w:tc>
          <w:tcPr>
            <w:tcW w:w="1587" w:type="pct"/>
            <w:tcBorders>
              <w:top w:val="single" w:color="auto" w:sz="8" w:space="0"/>
              <w:bottom w:val="single" w:color="auto" w:sz="8" w:space="0"/>
            </w:tcBorders>
            <w:vAlign w:val="center"/>
          </w:tcPr>
          <w:p w14:paraId="172581D6">
            <w:pPr>
              <w:pStyle w:val="17"/>
              <w:spacing w:line="200" w:lineRule="exact"/>
              <w:jc w:val="center"/>
              <w:rPr>
                <w:b/>
              </w:rPr>
            </w:pPr>
            <w:r>
              <w:rPr>
                <w:rFonts w:hint="eastAsia" w:hAnsi="宋体"/>
                <w:b/>
              </w:rPr>
              <w:t>地块编号/序号</w:t>
            </w:r>
          </w:p>
        </w:tc>
        <w:tc>
          <w:tcPr>
            <w:tcW w:w="1895" w:type="pct"/>
            <w:tcBorders>
              <w:top w:val="single" w:color="auto" w:sz="8" w:space="0"/>
              <w:bottom w:val="single" w:color="auto" w:sz="8" w:space="0"/>
            </w:tcBorders>
            <w:shd w:val="clear" w:color="auto" w:fill="auto"/>
            <w:vAlign w:val="center"/>
          </w:tcPr>
          <w:p w14:paraId="140F1A8E">
            <w:pPr>
              <w:pStyle w:val="17"/>
              <w:spacing w:line="200" w:lineRule="exact"/>
              <w:jc w:val="center"/>
              <w:rPr>
                <w:b/>
              </w:rPr>
            </w:pPr>
            <w:r>
              <w:rPr>
                <w:rFonts w:hint="eastAsia"/>
                <w:b/>
              </w:rPr>
              <w:t>环境保护措施及管控要求</w:t>
            </w:r>
          </w:p>
        </w:tc>
      </w:tr>
      <w:tr w14:paraId="7AB61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tcBorders>
              <w:top w:val="single" w:color="auto" w:sz="8" w:space="0"/>
            </w:tcBorders>
            <w:shd w:val="clear" w:color="auto" w:fill="auto"/>
            <w:vAlign w:val="center"/>
          </w:tcPr>
          <w:p w14:paraId="0BB767E3">
            <w:pPr>
              <w:pStyle w:val="17"/>
              <w:jc w:val="center"/>
              <w:rPr>
                <w:rFonts w:ascii="宋体" w:hAnsi="宋体"/>
              </w:rPr>
            </w:pPr>
          </w:p>
        </w:tc>
        <w:tc>
          <w:tcPr>
            <w:tcW w:w="1587" w:type="pct"/>
            <w:tcBorders>
              <w:top w:val="single" w:color="auto" w:sz="8" w:space="0"/>
            </w:tcBorders>
          </w:tcPr>
          <w:p w14:paraId="24798118">
            <w:pPr>
              <w:pStyle w:val="17"/>
            </w:pPr>
          </w:p>
        </w:tc>
        <w:tc>
          <w:tcPr>
            <w:tcW w:w="1895" w:type="pct"/>
            <w:tcBorders>
              <w:top w:val="single" w:color="auto" w:sz="8" w:space="0"/>
            </w:tcBorders>
            <w:shd w:val="clear" w:color="auto" w:fill="auto"/>
            <w:vAlign w:val="center"/>
          </w:tcPr>
          <w:p w14:paraId="533B37C9">
            <w:pPr>
              <w:pStyle w:val="17"/>
            </w:pPr>
          </w:p>
        </w:tc>
      </w:tr>
      <w:tr w14:paraId="2AC7A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shd w:val="clear" w:color="auto" w:fill="auto"/>
            <w:vAlign w:val="center"/>
          </w:tcPr>
          <w:p w14:paraId="097C33AF">
            <w:pPr>
              <w:pStyle w:val="17"/>
              <w:jc w:val="center"/>
              <w:rPr>
                <w:rFonts w:ascii="宋体" w:hAnsi="宋体"/>
              </w:rPr>
            </w:pPr>
          </w:p>
        </w:tc>
        <w:tc>
          <w:tcPr>
            <w:tcW w:w="1587" w:type="pct"/>
          </w:tcPr>
          <w:p w14:paraId="1DD19B1E">
            <w:pPr>
              <w:pStyle w:val="17"/>
            </w:pPr>
          </w:p>
        </w:tc>
        <w:tc>
          <w:tcPr>
            <w:tcW w:w="1895" w:type="pct"/>
            <w:shd w:val="clear" w:color="auto" w:fill="auto"/>
            <w:vAlign w:val="center"/>
          </w:tcPr>
          <w:p w14:paraId="30CCFFDB">
            <w:pPr>
              <w:pStyle w:val="17"/>
            </w:pPr>
          </w:p>
        </w:tc>
      </w:tr>
      <w:tr w14:paraId="62D62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shd w:val="clear" w:color="auto" w:fill="auto"/>
            <w:vAlign w:val="center"/>
          </w:tcPr>
          <w:p w14:paraId="2561B233">
            <w:pPr>
              <w:pStyle w:val="17"/>
              <w:jc w:val="center"/>
            </w:pPr>
          </w:p>
        </w:tc>
        <w:tc>
          <w:tcPr>
            <w:tcW w:w="1587" w:type="pct"/>
          </w:tcPr>
          <w:p w14:paraId="57714AFC">
            <w:pPr>
              <w:pStyle w:val="17"/>
            </w:pPr>
          </w:p>
        </w:tc>
        <w:tc>
          <w:tcPr>
            <w:tcW w:w="1895" w:type="pct"/>
            <w:shd w:val="clear" w:color="auto" w:fill="auto"/>
            <w:vAlign w:val="center"/>
          </w:tcPr>
          <w:p w14:paraId="5482BAA0">
            <w:pPr>
              <w:pStyle w:val="17"/>
            </w:pPr>
          </w:p>
        </w:tc>
      </w:tr>
    </w:tbl>
    <w:p w14:paraId="4797D4CA">
      <w:pPr>
        <w:pStyle w:val="59"/>
        <w:ind w:firstLine="420"/>
      </w:pPr>
    </w:p>
    <w:p w14:paraId="06321E98">
      <w:pPr>
        <w:pStyle w:val="59"/>
        <w:ind w:firstLine="420"/>
      </w:pPr>
    </w:p>
    <w:p w14:paraId="6E1548E4">
      <w:pPr>
        <w:pStyle w:val="59"/>
        <w:ind w:firstLine="420"/>
      </w:pPr>
    </w:p>
    <w:p w14:paraId="32B78258">
      <w:pPr>
        <w:widowControl/>
        <w:adjustRightInd/>
        <w:spacing w:line="240" w:lineRule="auto"/>
        <w:jc w:val="left"/>
        <w:rPr>
          <w:rFonts w:ascii="宋体" w:hAnsi="Times New Roman"/>
          <w:kern w:val="0"/>
        </w:rPr>
      </w:pPr>
      <w:r>
        <w:br w:type="page"/>
      </w:r>
    </w:p>
    <w:p w14:paraId="56D66B0C">
      <w:pPr>
        <w:pStyle w:val="79"/>
        <w:spacing w:before="78" w:after="156"/>
      </w:pPr>
      <w:r>
        <w:br w:type="textWrapping"/>
      </w:r>
      <w:bookmarkStart w:id="77" w:name="_Toc173419016"/>
      <w:r>
        <w:rPr>
          <w:rFonts w:hint="eastAsia"/>
        </w:rPr>
        <w:t>（规范性）</w:t>
      </w:r>
      <w:r>
        <w:br w:type="textWrapping"/>
      </w:r>
      <w:r>
        <w:rPr>
          <w:rFonts w:hint="eastAsia"/>
        </w:rPr>
        <w:t>评价结论相关附表</w:t>
      </w:r>
      <w:bookmarkEnd w:id="77"/>
    </w:p>
    <w:p w14:paraId="726EA011">
      <w:pPr>
        <w:pStyle w:val="59"/>
        <w:ind w:firstLine="420"/>
      </w:pPr>
      <w:r>
        <w:rPr>
          <w:rFonts w:hint="eastAsia"/>
        </w:rPr>
        <w:t>审批类建设项目环境影响评价开展情况表</w:t>
      </w:r>
      <w:r>
        <w:rPr>
          <w:rFonts w:ascii="Times New Roman"/>
        </w:rPr>
        <w:t>E.1</w:t>
      </w:r>
      <w:r>
        <w:rPr>
          <w:rFonts w:hint="eastAsia"/>
        </w:rPr>
        <w:t>。</w:t>
      </w:r>
    </w:p>
    <w:p w14:paraId="39CCF5A9">
      <w:pPr>
        <w:pStyle w:val="80"/>
        <w:numPr>
          <w:ilvl w:val="0"/>
          <w:numId w:val="0"/>
        </w:numPr>
        <w:spacing w:before="156" w:after="156"/>
        <w:rPr>
          <w:rFonts w:hAnsi="黑体"/>
        </w:rPr>
      </w:pPr>
      <w:r>
        <w:rPr>
          <w:rFonts w:hint="eastAsia" w:hAnsi="黑体"/>
        </w:rPr>
        <w:t>表E</w:t>
      </w:r>
      <w:r>
        <w:rPr>
          <w:rFonts w:hAnsi="黑体"/>
        </w:rPr>
        <w:t>.</w:t>
      </w:r>
      <w:r>
        <w:rPr>
          <w:rFonts w:hint="eastAsia" w:hAnsi="黑体"/>
        </w:rPr>
        <w:t>1</w:t>
      </w:r>
      <w:r>
        <w:rPr>
          <w:rFonts w:hAnsi="黑体"/>
        </w:rPr>
        <w:t xml:space="preserve"> </w:t>
      </w:r>
      <w:r>
        <w:rPr>
          <w:rFonts w:hint="eastAsia" w:hAnsi="黑体"/>
        </w:rPr>
        <w:t>审批类建设项目环境影响评价开展情况表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694"/>
        <w:gridCol w:w="2976"/>
      </w:tblGrid>
      <w:tr w14:paraId="1416F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43" w:type="dxa"/>
            <w:tcBorders>
              <w:top w:val="single" w:color="auto" w:sz="8" w:space="0"/>
              <w:bottom w:val="single" w:color="auto" w:sz="8" w:space="0"/>
            </w:tcBorders>
            <w:vAlign w:val="center"/>
          </w:tcPr>
          <w:p w14:paraId="05A9DDBB">
            <w:pPr>
              <w:pStyle w:val="17"/>
              <w:spacing w:line="200" w:lineRule="exact"/>
              <w:jc w:val="center"/>
              <w:rPr>
                <w:b/>
              </w:rPr>
            </w:pPr>
            <w:r>
              <w:rPr>
                <w:rFonts w:hint="eastAsia"/>
                <w:b/>
              </w:rPr>
              <w:t>名称或项目类别</w:t>
            </w:r>
          </w:p>
        </w:tc>
        <w:tc>
          <w:tcPr>
            <w:tcW w:w="2694" w:type="dxa"/>
            <w:tcBorders>
              <w:top w:val="single" w:color="auto" w:sz="8" w:space="0"/>
              <w:bottom w:val="single" w:color="auto" w:sz="8" w:space="0"/>
            </w:tcBorders>
            <w:vAlign w:val="center"/>
          </w:tcPr>
          <w:p w14:paraId="1B9E64A2">
            <w:pPr>
              <w:pStyle w:val="17"/>
              <w:spacing w:line="200" w:lineRule="exact"/>
              <w:jc w:val="center"/>
              <w:rPr>
                <w:b/>
              </w:rPr>
            </w:pPr>
            <w:r>
              <w:rPr>
                <w:rFonts w:hint="eastAsia"/>
                <w:b/>
              </w:rPr>
              <w:t>应编制环评文件类型</w:t>
            </w:r>
          </w:p>
        </w:tc>
        <w:tc>
          <w:tcPr>
            <w:tcW w:w="2976" w:type="dxa"/>
            <w:tcBorders>
              <w:top w:val="single" w:color="auto" w:sz="8" w:space="0"/>
              <w:bottom w:val="single" w:color="auto" w:sz="8" w:space="0"/>
            </w:tcBorders>
            <w:vAlign w:val="center"/>
          </w:tcPr>
          <w:p w14:paraId="5D816838">
            <w:pPr>
              <w:pStyle w:val="17"/>
              <w:spacing w:line="200" w:lineRule="exact"/>
              <w:jc w:val="center"/>
              <w:rPr>
                <w:b/>
              </w:rPr>
            </w:pPr>
            <w:r>
              <w:rPr>
                <w:rFonts w:hint="eastAsia"/>
                <w:b/>
              </w:rPr>
              <w:t>已开展评价内容</w:t>
            </w:r>
          </w:p>
        </w:tc>
      </w:tr>
      <w:tr w14:paraId="66C94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8" w:space="0"/>
            </w:tcBorders>
            <w:vAlign w:val="center"/>
          </w:tcPr>
          <w:p w14:paraId="295D7397">
            <w:pPr>
              <w:pStyle w:val="181"/>
            </w:pPr>
          </w:p>
        </w:tc>
        <w:tc>
          <w:tcPr>
            <w:tcW w:w="2694" w:type="dxa"/>
            <w:tcBorders>
              <w:top w:val="single" w:color="auto" w:sz="8" w:space="0"/>
            </w:tcBorders>
          </w:tcPr>
          <w:p w14:paraId="541137DF">
            <w:pPr>
              <w:pStyle w:val="59"/>
              <w:ind w:firstLine="420"/>
            </w:pPr>
          </w:p>
        </w:tc>
        <w:tc>
          <w:tcPr>
            <w:tcW w:w="2976" w:type="dxa"/>
            <w:tcBorders>
              <w:top w:val="single" w:color="auto" w:sz="8" w:space="0"/>
            </w:tcBorders>
          </w:tcPr>
          <w:p w14:paraId="5A57341B">
            <w:pPr>
              <w:pStyle w:val="59"/>
              <w:ind w:firstLine="420"/>
            </w:pPr>
          </w:p>
        </w:tc>
      </w:tr>
      <w:tr w14:paraId="235D1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14:paraId="17970DA7">
            <w:pPr>
              <w:pStyle w:val="59"/>
              <w:ind w:firstLine="360"/>
              <w:rPr>
                <w:sz w:val="18"/>
              </w:rPr>
            </w:pPr>
          </w:p>
        </w:tc>
        <w:tc>
          <w:tcPr>
            <w:tcW w:w="2694" w:type="dxa"/>
          </w:tcPr>
          <w:p w14:paraId="14A62B75">
            <w:pPr>
              <w:pStyle w:val="59"/>
              <w:ind w:firstLine="420"/>
            </w:pPr>
          </w:p>
        </w:tc>
        <w:tc>
          <w:tcPr>
            <w:tcW w:w="2976" w:type="dxa"/>
          </w:tcPr>
          <w:p w14:paraId="62D8E179">
            <w:pPr>
              <w:pStyle w:val="59"/>
              <w:ind w:firstLine="420"/>
            </w:pPr>
          </w:p>
        </w:tc>
      </w:tr>
      <w:tr w14:paraId="2332F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14:paraId="04E7DB7F">
            <w:pPr>
              <w:pStyle w:val="59"/>
              <w:ind w:firstLine="360"/>
              <w:rPr>
                <w:sz w:val="18"/>
              </w:rPr>
            </w:pPr>
          </w:p>
        </w:tc>
        <w:tc>
          <w:tcPr>
            <w:tcW w:w="2694" w:type="dxa"/>
          </w:tcPr>
          <w:p w14:paraId="44E536A7">
            <w:pPr>
              <w:pStyle w:val="59"/>
              <w:ind w:firstLine="420"/>
            </w:pPr>
          </w:p>
        </w:tc>
        <w:tc>
          <w:tcPr>
            <w:tcW w:w="2976" w:type="dxa"/>
          </w:tcPr>
          <w:p w14:paraId="32815778">
            <w:pPr>
              <w:pStyle w:val="59"/>
              <w:ind w:firstLine="420"/>
            </w:pPr>
          </w:p>
        </w:tc>
      </w:tr>
      <w:tr w14:paraId="5FAA1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43" w:type="dxa"/>
            <w:vAlign w:val="center"/>
          </w:tcPr>
          <w:p w14:paraId="0660C495">
            <w:pPr>
              <w:pStyle w:val="181"/>
            </w:pPr>
          </w:p>
        </w:tc>
        <w:tc>
          <w:tcPr>
            <w:tcW w:w="2694" w:type="dxa"/>
          </w:tcPr>
          <w:p w14:paraId="7A18E1C2">
            <w:pPr>
              <w:pStyle w:val="59"/>
              <w:ind w:firstLine="420"/>
            </w:pPr>
          </w:p>
        </w:tc>
        <w:tc>
          <w:tcPr>
            <w:tcW w:w="2976" w:type="dxa"/>
          </w:tcPr>
          <w:p w14:paraId="7100C922">
            <w:pPr>
              <w:pStyle w:val="59"/>
              <w:ind w:firstLine="420"/>
            </w:pPr>
          </w:p>
        </w:tc>
      </w:tr>
    </w:tbl>
    <w:p w14:paraId="420D4179">
      <w:pPr>
        <w:pStyle w:val="59"/>
        <w:ind w:firstLine="420"/>
        <w:sectPr>
          <w:headerReference r:id="rId25" w:type="default"/>
          <w:footerReference r:id="rId27" w:type="default"/>
          <w:headerReference r:id="rId26" w:type="even"/>
          <w:footerReference r:id="rId28" w:type="even"/>
          <w:pgSz w:w="11906" w:h="16838"/>
          <w:pgMar w:top="567" w:right="1134" w:bottom="1134" w:left="1134" w:header="1418" w:footer="1134" w:gutter="284"/>
          <w:cols w:space="425" w:num="1"/>
          <w:docGrid w:type="lines" w:linePitch="312" w:charSpace="0"/>
        </w:sectPr>
      </w:pPr>
    </w:p>
    <w:p w14:paraId="36C5511B">
      <w:pPr>
        <w:pStyle w:val="201"/>
      </w:pPr>
    </w:p>
    <w:p w14:paraId="77B863DB">
      <w:pPr>
        <w:pStyle w:val="202"/>
      </w:pPr>
    </w:p>
    <w:p w14:paraId="07FC6860">
      <w:pPr>
        <w:pStyle w:val="79"/>
        <w:spacing w:before="78" w:after="156"/>
      </w:pPr>
      <w:r>
        <w:br w:type="textWrapping"/>
      </w:r>
      <w:bookmarkStart w:id="78" w:name="_Toc173419017"/>
      <w:bookmarkStart w:id="79" w:name="_Toc63416834"/>
      <w:bookmarkStart w:id="80" w:name="_Toc64907110"/>
      <w:r>
        <w:rPr>
          <w:rFonts w:hint="eastAsia"/>
        </w:rPr>
        <w:t>（资料性）</w:t>
      </w:r>
      <w:r>
        <w:br w:type="textWrapping"/>
      </w:r>
      <w:r>
        <w:rPr>
          <w:rFonts w:hint="eastAsia"/>
        </w:rPr>
        <w:t>目录结构</w:t>
      </w:r>
      <w:bookmarkEnd w:id="78"/>
      <w:bookmarkEnd w:id="79"/>
      <w:bookmarkEnd w:id="80"/>
    </w:p>
    <w:p w14:paraId="368F9870">
      <w:pPr>
        <w:widowControl/>
        <w:autoSpaceDE w:val="0"/>
        <w:autoSpaceDN w:val="0"/>
        <w:adjustRightInd/>
        <w:spacing w:line="240" w:lineRule="auto"/>
        <w:ind w:firstLine="422" w:firstLineChars="200"/>
        <w:rPr>
          <w:rFonts w:ascii="宋体" w:hAnsi="Times New Roman"/>
          <w:b/>
          <w:kern w:val="0"/>
        </w:rPr>
      </w:pPr>
      <w:r>
        <w:rPr>
          <w:rFonts w:hint="eastAsia" w:ascii="宋体" w:hAnsi="Times New Roman"/>
          <w:b/>
          <w:kern w:val="0"/>
        </w:rPr>
        <w:t>1.总论</w:t>
      </w:r>
    </w:p>
    <w:p w14:paraId="3387FE88">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1.1</w:t>
      </w:r>
      <w:r>
        <w:rPr>
          <w:rFonts w:hint="eastAsia" w:ascii="宋体" w:hAnsi="Times New Roman"/>
          <w:kern w:val="0"/>
        </w:rPr>
        <w:t>任务由来</w:t>
      </w:r>
    </w:p>
    <w:p w14:paraId="3FE271E7">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1.2</w:t>
      </w:r>
      <w:r>
        <w:rPr>
          <w:rFonts w:hint="eastAsia" w:ascii="宋体" w:hAnsi="Times New Roman"/>
          <w:kern w:val="0"/>
        </w:rPr>
        <w:t>评价依据</w:t>
      </w:r>
    </w:p>
    <w:p w14:paraId="627404E5">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1.3</w:t>
      </w:r>
      <w:r>
        <w:rPr>
          <w:rFonts w:hint="eastAsia" w:ascii="宋体" w:hAnsi="Times New Roman"/>
          <w:kern w:val="0"/>
        </w:rPr>
        <w:t>评价范围</w:t>
      </w:r>
    </w:p>
    <w:p w14:paraId="2B830F4F">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1.4</w:t>
      </w:r>
      <w:r>
        <w:rPr>
          <w:rFonts w:hint="eastAsia" w:ascii="宋体" w:hAnsi="Times New Roman"/>
          <w:kern w:val="0"/>
        </w:rPr>
        <w:t>评价重点</w:t>
      </w:r>
    </w:p>
    <w:p w14:paraId="7DFF0F2E">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w:t>
      </w:r>
      <w:r>
        <w:rPr>
          <w:rFonts w:hint="eastAsia" w:ascii="Times New Roman" w:hAnsi="Times New Roman"/>
          <w:kern w:val="0"/>
        </w:rPr>
        <w:t>5</w:t>
      </w:r>
      <w:r>
        <w:rPr>
          <w:rFonts w:hint="eastAsia" w:ascii="宋体" w:hAnsi="Times New Roman"/>
          <w:kern w:val="0"/>
        </w:rPr>
        <w:t>执行标准</w:t>
      </w:r>
    </w:p>
    <w:p w14:paraId="0AE23790">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2.</w:t>
      </w:r>
      <w:r>
        <w:rPr>
          <w:rFonts w:hint="eastAsia" w:ascii="宋体" w:hAnsi="Times New Roman"/>
          <w:b/>
          <w:kern w:val="0"/>
        </w:rPr>
        <w:t>规划概述</w:t>
      </w:r>
    </w:p>
    <w:p w14:paraId="6D2D0A2C">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3.</w:t>
      </w:r>
      <w:r>
        <w:rPr>
          <w:rFonts w:hint="eastAsia" w:ascii="宋体" w:hAnsi="Times New Roman"/>
          <w:b/>
          <w:kern w:val="0"/>
        </w:rPr>
        <w:t>规划符合性分析</w:t>
      </w:r>
    </w:p>
    <w:p w14:paraId="2B98C4E7">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3.1</w:t>
      </w:r>
      <w:r>
        <w:rPr>
          <w:rFonts w:hint="eastAsia" w:ascii="宋体" w:hAnsi="Times New Roman"/>
          <w:kern w:val="0"/>
        </w:rPr>
        <w:t>与生态环境分区管控成果的符合性</w:t>
      </w:r>
    </w:p>
    <w:p w14:paraId="0668A75D">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3.2</w:t>
      </w:r>
      <w:r>
        <w:rPr>
          <w:rFonts w:hint="eastAsia" w:ascii="宋体" w:hAnsi="Times New Roman"/>
          <w:kern w:val="0"/>
        </w:rPr>
        <w:t>与相关生态环境保护规划、规划影响评价的符合性</w:t>
      </w:r>
    </w:p>
    <w:p w14:paraId="5CBA319B">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4.</w:t>
      </w:r>
      <w:r>
        <w:rPr>
          <w:rFonts w:hint="eastAsia" w:ascii="宋体" w:hAnsi="Times New Roman"/>
          <w:b/>
          <w:kern w:val="0"/>
        </w:rPr>
        <w:t>现状调查与评价</w:t>
      </w:r>
    </w:p>
    <w:p w14:paraId="2580FB16">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4.1</w:t>
      </w:r>
      <w:r>
        <w:rPr>
          <w:rFonts w:hint="eastAsia" w:ascii="宋体" w:hAnsi="Times New Roman"/>
          <w:kern w:val="0"/>
        </w:rPr>
        <w:t>用地情况</w:t>
      </w:r>
    </w:p>
    <w:p w14:paraId="18251F39">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4.2</w:t>
      </w:r>
      <w:r>
        <w:rPr>
          <w:rFonts w:hint="eastAsia" w:ascii="宋体" w:hAnsi="Times New Roman"/>
          <w:kern w:val="0"/>
        </w:rPr>
        <w:t>污染源</w:t>
      </w:r>
    </w:p>
    <w:p w14:paraId="5DA7B117">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4.3</w:t>
      </w:r>
      <w:r>
        <w:rPr>
          <w:rFonts w:hint="eastAsia" w:ascii="宋体" w:hAnsi="Times New Roman"/>
          <w:kern w:val="0"/>
        </w:rPr>
        <w:t>环境敏感区</w:t>
      </w:r>
    </w:p>
    <w:p w14:paraId="036DE4DA">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4.4</w:t>
      </w:r>
      <w:r>
        <w:rPr>
          <w:rFonts w:hint="eastAsia" w:ascii="宋体" w:hAnsi="Times New Roman"/>
          <w:kern w:val="0"/>
        </w:rPr>
        <w:t>生态环境质量</w:t>
      </w:r>
    </w:p>
    <w:p w14:paraId="687B646B">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4.5</w:t>
      </w:r>
      <w:r>
        <w:rPr>
          <w:rFonts w:hint="eastAsia" w:ascii="宋体" w:hAnsi="Times New Roman"/>
          <w:kern w:val="0"/>
        </w:rPr>
        <w:t>现状制约因素及建议</w:t>
      </w:r>
    </w:p>
    <w:p w14:paraId="0D7185C6">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5.</w:t>
      </w:r>
      <w:r>
        <w:rPr>
          <w:rFonts w:hint="eastAsia" w:ascii="宋体" w:hAnsi="Times New Roman"/>
          <w:b/>
          <w:kern w:val="0"/>
        </w:rPr>
        <w:t>建设项目识别</w:t>
      </w:r>
    </w:p>
    <w:p w14:paraId="0E1AC25D">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6.</w:t>
      </w:r>
      <w:r>
        <w:rPr>
          <w:rFonts w:hint="eastAsia" w:ascii="宋体" w:hAnsi="Times New Roman"/>
          <w:b/>
          <w:kern w:val="0"/>
        </w:rPr>
        <w:t>环境影响分析</w:t>
      </w:r>
    </w:p>
    <w:p w14:paraId="74F48594">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6.1</w:t>
      </w:r>
      <w:r>
        <w:rPr>
          <w:rFonts w:hint="eastAsia" w:ascii="宋体" w:hAnsi="Times New Roman"/>
          <w:kern w:val="0"/>
        </w:rPr>
        <w:t>审批类建设项目</w:t>
      </w:r>
    </w:p>
    <w:p w14:paraId="4C594433">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6.2</w:t>
      </w:r>
      <w:r>
        <w:rPr>
          <w:rFonts w:hint="eastAsia" w:ascii="宋体" w:hAnsi="Times New Roman"/>
          <w:kern w:val="0"/>
        </w:rPr>
        <w:t>非审批类建设项目</w:t>
      </w:r>
    </w:p>
    <w:p w14:paraId="711B6EE9">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7.</w:t>
      </w:r>
      <w:r>
        <w:rPr>
          <w:rFonts w:hint="eastAsia" w:ascii="宋体" w:hAnsi="Times New Roman"/>
          <w:b/>
          <w:kern w:val="0"/>
        </w:rPr>
        <w:t>规划环境合理性论证及优化意见</w:t>
      </w:r>
    </w:p>
    <w:p w14:paraId="0145642F">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7.1</w:t>
      </w:r>
      <w:r>
        <w:rPr>
          <w:rFonts w:hint="eastAsia" w:ascii="宋体" w:hAnsi="Times New Roman"/>
          <w:kern w:val="0"/>
        </w:rPr>
        <w:t>用地性质优化意见</w:t>
      </w:r>
    </w:p>
    <w:p w14:paraId="5603197C">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7.2</w:t>
      </w:r>
      <w:r>
        <w:rPr>
          <w:rFonts w:hint="eastAsia" w:ascii="宋体" w:hAnsi="Times New Roman"/>
          <w:kern w:val="0"/>
        </w:rPr>
        <w:t>空间布局优化意见</w:t>
      </w:r>
    </w:p>
    <w:p w14:paraId="5A84FCE2">
      <w:pPr>
        <w:widowControl/>
        <w:autoSpaceDE w:val="0"/>
        <w:autoSpaceDN w:val="0"/>
        <w:adjustRightInd/>
        <w:spacing w:line="240" w:lineRule="auto"/>
        <w:ind w:firstLine="420" w:firstLineChars="200"/>
        <w:rPr>
          <w:rFonts w:ascii="宋体" w:hAnsi="Times New Roman"/>
          <w:kern w:val="0"/>
        </w:rPr>
      </w:pPr>
      <w:r>
        <w:rPr>
          <w:rFonts w:hint="eastAsia" w:ascii="Times New Roman" w:hAnsi="Times New Roman"/>
          <w:kern w:val="0"/>
        </w:rPr>
        <w:t>7.3</w:t>
      </w:r>
      <w:r>
        <w:rPr>
          <w:rFonts w:hint="eastAsia" w:ascii="Times New Roman"/>
        </w:rPr>
        <w:t>用地功能优化意见</w:t>
      </w:r>
    </w:p>
    <w:p w14:paraId="5A0C61A6">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w:t>
      </w:r>
      <w:r>
        <w:rPr>
          <w:rFonts w:hint="eastAsia" w:ascii="Times New Roman" w:hAnsi="Times New Roman"/>
          <w:kern w:val="0"/>
        </w:rPr>
        <w:t>4</w:t>
      </w:r>
      <w:r>
        <w:rPr>
          <w:rFonts w:hint="eastAsia" w:ascii="宋体" w:hAnsi="Times New Roman"/>
          <w:kern w:val="0"/>
        </w:rPr>
        <w:t>市政基础设施合理性论证及优化意见</w:t>
      </w:r>
    </w:p>
    <w:p w14:paraId="2CC31148">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8.</w:t>
      </w:r>
      <w:r>
        <w:rPr>
          <w:rFonts w:hint="eastAsia" w:ascii="宋体" w:hAnsi="Times New Roman"/>
          <w:b/>
          <w:kern w:val="0"/>
        </w:rPr>
        <w:t>建设项目环境保护措施</w:t>
      </w:r>
    </w:p>
    <w:p w14:paraId="0DB3FCBD">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9.</w:t>
      </w:r>
      <w:r>
        <w:rPr>
          <w:rFonts w:hint="eastAsia" w:ascii="宋体" w:hAnsi="Times New Roman"/>
          <w:b/>
          <w:kern w:val="0"/>
        </w:rPr>
        <w:t>评价结论</w:t>
      </w:r>
    </w:p>
    <w:p w14:paraId="21F888BE">
      <w:pPr>
        <w:pStyle w:val="59"/>
        <w:ind w:firstLine="420"/>
        <w:rPr>
          <w:rFonts w:ascii="Times New Roman"/>
        </w:rPr>
      </w:pPr>
    </w:p>
    <w:p w14:paraId="33FCF534"/>
    <w:p w14:paraId="58852268"/>
    <w:p w14:paraId="37FE75C2">
      <w:pPr>
        <w:keepNext/>
        <w:pageBreakBefore/>
        <w:widowControl/>
        <w:shd w:val="clear" w:color="FFFFFF" w:fill="FFFFFF"/>
        <w:spacing w:before="640" w:after="560" w:line="460" w:lineRule="exact"/>
        <w:jc w:val="center"/>
        <w:outlineLvl w:val="0"/>
        <w:rPr>
          <w:rFonts w:ascii="Times New Roman" w:eastAsia="黑体"/>
          <w:kern w:val="0"/>
          <w:sz w:val="32"/>
          <w:szCs w:val="20"/>
          <w:lang w:bidi="ar-SA"/>
        </w:rPr>
      </w:pPr>
      <w:bookmarkStart w:id="81" w:name="BKCKWX"/>
      <w:bookmarkStart w:id="82" w:name="_Toc83210784"/>
      <w:bookmarkStart w:id="83" w:name="_Toc17878131"/>
      <w:bookmarkStart w:id="84" w:name="_Toc82446842"/>
      <w:bookmarkStart w:id="85" w:name="_Toc82446747"/>
      <w:r>
        <w:rPr>
          <w:rFonts w:ascii="Times New Roman" w:eastAsia="黑体"/>
          <w:kern w:val="0"/>
          <w:sz w:val="32"/>
          <w:szCs w:val="20"/>
          <w:lang w:bidi="ar-SA"/>
        </w:rPr>
        <w:t>参 考 文 献</w:t>
      </w:r>
      <w:bookmarkEnd w:id="81"/>
      <w:bookmarkEnd w:id="82"/>
      <w:bookmarkEnd w:id="83"/>
      <w:bookmarkEnd w:id="84"/>
      <w:bookmarkEnd w:id="85"/>
    </w:p>
    <w:p w14:paraId="2E1020F6">
      <w:pPr>
        <w:widowControl/>
        <w:tabs>
          <w:tab w:val="center" w:pos="4201"/>
          <w:tab w:val="right" w:leader="dot" w:pos="9298"/>
        </w:tabs>
        <w:autoSpaceDE w:val="0"/>
        <w:autoSpaceDN w:val="0"/>
        <w:adjustRightInd/>
        <w:spacing w:line="240" w:lineRule="auto"/>
        <w:ind w:firstLine="420" w:firstLine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1</w:t>
      </w:r>
      <w:r>
        <w:rPr>
          <w:rFonts w:ascii="Times New Roman"/>
          <w:kern w:val="0"/>
          <w:szCs w:val="20"/>
          <w:lang w:bidi="ar-SA"/>
        </w:rPr>
        <w:t xml:space="preserve">] </w:t>
      </w:r>
      <w:r>
        <w:rPr>
          <w:rFonts w:hint="eastAsia" w:ascii="Times New Roman"/>
          <w:kern w:val="0"/>
          <w:szCs w:val="20"/>
          <w:lang w:bidi="ar-SA"/>
        </w:rPr>
        <w:t xml:space="preserve"> 北京市规划和自然资源委员会关于印发《北京市国土空间调查、规划、用途管制用地分类指南（试行）》的通知（京规自〔2022〕38号）</w:t>
      </w:r>
    </w:p>
    <w:p w14:paraId="557B82E9">
      <w:pPr>
        <w:widowControl/>
        <w:tabs>
          <w:tab w:val="center" w:pos="4201"/>
          <w:tab w:val="right" w:leader="dot" w:pos="9298"/>
        </w:tabs>
        <w:autoSpaceDE w:val="0"/>
        <w:autoSpaceDN w:val="0"/>
        <w:adjustRightInd/>
        <w:spacing w:line="240" w:lineRule="auto"/>
        <w:ind w:firstLine="420" w:firstLine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2</w:t>
      </w:r>
      <w:r>
        <w:rPr>
          <w:rFonts w:ascii="Times New Roman"/>
          <w:kern w:val="0"/>
          <w:szCs w:val="20"/>
          <w:lang w:bidi="ar-SA"/>
        </w:rPr>
        <w:t>]</w:t>
      </w:r>
      <w:r>
        <w:rPr>
          <w:rFonts w:hint="eastAsia" w:ascii="Times New Roman"/>
          <w:kern w:val="0"/>
          <w:szCs w:val="20"/>
          <w:lang w:bidi="ar-SA"/>
        </w:rPr>
        <w:t xml:space="preserve">  《建设项目环境影响评价分类管理名录（2021年版）》（生态环境部令 第16号）</w:t>
      </w:r>
    </w:p>
    <w:p w14:paraId="3846C253">
      <w:pPr>
        <w:widowControl/>
        <w:tabs>
          <w:tab w:val="center" w:pos="4201"/>
          <w:tab w:val="right" w:leader="dot" w:pos="9298"/>
        </w:tabs>
        <w:autoSpaceDE w:val="0"/>
        <w:autoSpaceDN w:val="0"/>
        <w:adjustRightInd/>
        <w:spacing w:line="240" w:lineRule="auto"/>
        <w:ind w:left="840" w:leftChars="200" w:hanging="420" w:hanging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3</w:t>
      </w:r>
      <w:r>
        <w:rPr>
          <w:rFonts w:ascii="Times New Roman"/>
          <w:kern w:val="0"/>
          <w:szCs w:val="20"/>
          <w:lang w:bidi="ar-SA"/>
        </w:rPr>
        <w:t>]</w:t>
      </w:r>
      <w:r>
        <w:rPr>
          <w:rFonts w:hint="eastAsia" w:ascii="Times New Roman"/>
          <w:kern w:val="0"/>
          <w:szCs w:val="20"/>
          <w:lang w:bidi="ar-SA"/>
        </w:rPr>
        <w:t xml:space="preserve">  《〈建设项目环境影响评价分类管理名录〉北京市实施细化规定》（北京市生态环境局 通告〔2022〕4号）</w:t>
      </w:r>
    </w:p>
    <w:p w14:paraId="235061AA">
      <w:pPr>
        <w:widowControl/>
        <w:autoSpaceDE w:val="0"/>
        <w:autoSpaceDN w:val="0"/>
        <w:adjustRightInd/>
        <w:spacing w:line="240" w:lineRule="auto"/>
        <w:ind w:firstLine="420" w:firstLineChars="200"/>
        <w:rPr>
          <w:rFonts w:ascii="宋体"/>
          <w:kern w:val="0"/>
          <w:szCs w:val="20"/>
          <w:lang w:bidi="ar-SA"/>
        </w:rPr>
      </w:pPr>
      <w:r>
        <w:rPr>
          <w:rFonts w:ascii="Times New Roman"/>
          <w:kern w:val="0"/>
          <w:szCs w:val="20"/>
          <w:lang w:bidi="ar-SA"/>
        </w:rPr>
        <w:t>[4]</w:t>
      </w:r>
      <w:r>
        <w:rPr>
          <w:rFonts w:hint="eastAsia" w:ascii="宋体"/>
          <w:kern w:val="0"/>
          <w:szCs w:val="20"/>
          <w:lang w:bidi="ar-SA"/>
        </w:rPr>
        <w:t xml:space="preserve">  生态环境部办公厅关于印发《建设项目环境影响报告表》内容、格式及编制技术指南的通知（环办环评〔2020〕33号）</w:t>
      </w:r>
    </w:p>
    <w:p w14:paraId="0890B36D">
      <w:pPr>
        <w:widowControl/>
        <w:autoSpaceDE w:val="0"/>
        <w:autoSpaceDN w:val="0"/>
        <w:adjustRightInd/>
        <w:spacing w:line="240" w:lineRule="auto"/>
        <w:ind w:firstLine="420" w:firstLineChars="200"/>
        <w:rPr>
          <w:rFonts w:ascii="宋体"/>
          <w:kern w:val="0"/>
          <w:szCs w:val="20"/>
          <w:lang w:bidi="ar-SA"/>
        </w:rPr>
      </w:pPr>
      <w:r>
        <w:rPr>
          <w:rFonts w:ascii="Times New Roman"/>
          <w:kern w:val="0"/>
          <w:szCs w:val="20"/>
          <w:lang w:bidi="ar-SA"/>
        </w:rPr>
        <w:t>[</w:t>
      </w:r>
      <w:r>
        <w:rPr>
          <w:rFonts w:hint="eastAsia" w:ascii="Times New Roman"/>
          <w:kern w:val="0"/>
          <w:szCs w:val="20"/>
          <w:lang w:bidi="ar-SA"/>
        </w:rPr>
        <w:t>5</w:t>
      </w:r>
      <w:r>
        <w:rPr>
          <w:rFonts w:ascii="Times New Roman"/>
          <w:kern w:val="0"/>
          <w:szCs w:val="20"/>
          <w:lang w:bidi="ar-SA"/>
        </w:rPr>
        <w:t>]</w:t>
      </w:r>
      <w:r>
        <w:rPr>
          <w:rFonts w:hint="eastAsia" w:ascii="宋体"/>
          <w:kern w:val="0"/>
          <w:szCs w:val="20"/>
          <w:lang w:bidi="ar-SA"/>
        </w:rPr>
        <w:t xml:space="preserve">  建设项目环境影响评价技术导则 总纲（</w:t>
      </w:r>
      <w:r>
        <w:rPr>
          <w:rFonts w:ascii="宋体"/>
          <w:kern w:val="0"/>
          <w:szCs w:val="20"/>
          <w:lang w:bidi="ar-SA"/>
        </w:rPr>
        <w:t>HJ2.1-2016</w:t>
      </w:r>
      <w:r>
        <w:rPr>
          <w:rFonts w:hint="eastAsia" w:ascii="宋体"/>
          <w:kern w:val="0"/>
          <w:szCs w:val="20"/>
          <w:lang w:bidi="ar-SA"/>
        </w:rPr>
        <w:t>）</w:t>
      </w:r>
    </w:p>
    <w:p w14:paraId="0B31279B">
      <w:pPr>
        <w:widowControl/>
        <w:autoSpaceDE w:val="0"/>
        <w:autoSpaceDN w:val="0"/>
        <w:adjustRightInd/>
        <w:spacing w:line="240" w:lineRule="auto"/>
        <w:ind w:firstLine="420" w:firstLineChars="200"/>
        <w:rPr>
          <w:rFonts w:ascii="宋体"/>
          <w:kern w:val="0"/>
          <w:szCs w:val="20"/>
          <w:lang w:bidi="ar-SA"/>
        </w:rPr>
      </w:pPr>
      <w:r>
        <w:rPr>
          <w:rFonts w:ascii="宋体"/>
          <w:kern w:val="0"/>
          <w:szCs w:val="20"/>
          <w:lang w:bidi="ar-SA"/>
        </w:rPr>
        <w:pict>
          <v:rect id="_x0000_i1026" o:spt="1" style="height:1.5pt;width:116.95pt;" fillcolor="#000000" filled="t" stroked="f" coordsize="21600,21600" o:hr="t" o:hrstd="t" o:hrnoshade="t" o:hrpct="250" o:hralign="center">
            <v:path/>
            <v:fill on="t" focussize="0,0"/>
            <v:stroke on="f"/>
            <v:imagedata o:title=""/>
            <o:lock v:ext="edit"/>
            <w10:wrap type="none"/>
            <w10:anchorlock/>
          </v:rect>
        </w:pict>
      </w:r>
    </w:p>
    <w:p w14:paraId="046901A2">
      <w:pPr>
        <w:jc w:val="center"/>
        <w:rPr>
          <w:rFonts w:ascii="黑体" w:hAnsi="Times New Roman" w:eastAsia="黑体"/>
          <w:kern w:val="0"/>
        </w:rPr>
      </w:pPr>
    </w:p>
    <w:p w14:paraId="309E4D84"/>
    <w:sectPr>
      <w:headerReference r:id="rId29" w:type="default"/>
      <w:footerReference r:id="rId31" w:type="default"/>
      <w:headerReference r:id="rId30" w:type="even"/>
      <w:footerReference r:id="rId32" w:type="even"/>
      <w:pgSz w:w="11906" w:h="16838"/>
      <w:pgMar w:top="567" w:right="1134" w:bottom="1134" w:left="1134" w:header="1418" w:footer="1134" w:gutter="284"/>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quot;Times New Roman&quot;">
    <w:altName w:val="Segoe Print"/>
    <w:panose1 w:val="00000000000000000000"/>
    <w:charset w:val="00"/>
    <w:family w:val="roman"/>
    <w:pitch w:val="default"/>
    <w:sig w:usb0="00000000" w:usb1="00000000" w:usb2="00000000" w:usb3="00000000" w:csb0="00000000" w:csb1="00000000"/>
  </w:font>
  <w:font w:name="DejaVu Sans">
    <w:altName w:val="Segoe Print"/>
    <w:panose1 w:val="020B0606030804020204"/>
    <w:charset w:val="00"/>
    <w:family w:val="auto"/>
    <w:pitch w:val="default"/>
    <w:sig w:usb0="00000000" w:usb1="00000000"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AC1E">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9A22">
    <w:pPr>
      <w:pStyle w:val="54"/>
    </w:pPr>
    <w:r>
      <w:fldChar w:fldCharType="begin"/>
    </w:r>
    <w:r>
      <w:instrText xml:space="preserve">PAGE   \* MERGEFORMAT \* MERGEFORMAT</w:instrText>
    </w:r>
    <w:r>
      <w:fldChar w:fldCharType="separate"/>
    </w:r>
    <w: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C133">
    <w:pPr>
      <w:pStyle w:val="55"/>
    </w:pPr>
    <w:r>
      <w:fldChar w:fldCharType="begin"/>
    </w:r>
    <w:r>
      <w:instrText xml:space="preserve">PAGE   \* MERGEFORMAT</w:instrText>
    </w:r>
    <w:r>
      <w:fldChar w:fldCharType="separate"/>
    </w:r>
    <w:r>
      <w:rPr>
        <w:lang w:val="zh-CN"/>
      </w:rP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C28A">
    <w:pPr>
      <w:pStyle w:val="54"/>
    </w:pPr>
    <w:r>
      <w:fldChar w:fldCharType="begin"/>
    </w:r>
    <w:r>
      <w:instrText xml:space="preserve">PAGE   \* MERGEFORMAT \* MERGEFORMAT</w:instrText>
    </w:r>
    <w:r>
      <w:fldChar w:fldCharType="separate"/>
    </w:r>
    <w:r>
      <w:t>14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A4DF">
    <w:pPr>
      <w:pStyle w:val="55"/>
    </w:pPr>
    <w:r>
      <w:fldChar w:fldCharType="begin"/>
    </w:r>
    <w:r>
      <w:instrText xml:space="preserve">PAGE   \* MERGEFORMAT</w:instrText>
    </w:r>
    <w:r>
      <w:fldChar w:fldCharType="separate"/>
    </w:r>
    <w:r>
      <w:rPr>
        <w:lang w:val="zh-CN"/>
      </w:rPr>
      <w:t>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4410">
    <w:pPr>
      <w:pStyle w:val="54"/>
    </w:pPr>
    <w:r>
      <w:fldChar w:fldCharType="begin"/>
    </w:r>
    <w:r>
      <w:instrText xml:space="preserve">PAGE   \* MERGEFORMAT \* MERGEFORMAT</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83FB">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A0A2">
    <w:pPr>
      <w:pStyle w:val="55"/>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1265">
    <w:pPr>
      <w:pStyle w:val="54"/>
    </w:pPr>
    <w:r>
      <w:fldChar w:fldCharType="begin"/>
    </w:r>
    <w:r>
      <w:instrText xml:space="preserve">PAGE   \* MERGEFORMAT \* MERGEFORMAT</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F4D1">
    <w:pPr>
      <w:pStyle w:val="55"/>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B0F0">
    <w:pPr>
      <w:pStyle w:val="54"/>
    </w:pPr>
    <w:r>
      <w:fldChar w:fldCharType="begin"/>
    </w:r>
    <w:r>
      <w:instrText xml:space="preserve">PAGE   \* MERGEFORMAT \* MERGEFORMAT</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44D5">
    <w:pPr>
      <w:pStyle w:val="55"/>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BF0E">
    <w:pPr>
      <w:pStyle w:val="54"/>
    </w:pPr>
    <w:r>
      <w:fldChar w:fldCharType="begin"/>
    </w:r>
    <w:r>
      <w:instrText xml:space="preserve">PAGE   \* MERGEFORMAT \* MERGEFORMAT</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BD9C">
    <w:pPr>
      <w:pStyle w:val="55"/>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3DF8">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63633">
    <w:pPr>
      <w:pStyle w:val="65"/>
    </w:pPr>
    <w:r>
      <w:fldChar w:fldCharType="begin"/>
    </w:r>
    <w:r>
      <w:instrText xml:space="preserve">STYLEREF  标准文件_文件编号 \* MERGEFORMAT</w:instrText>
    </w:r>
    <w:r>
      <w:fldChar w:fldCharType="separate"/>
    </w:r>
    <w:r>
      <w:t>DB 11/T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03F9">
    <w:pPr>
      <w:pStyle w:val="64"/>
    </w:pPr>
    <w:r>
      <w:fldChar w:fldCharType="begin"/>
    </w:r>
    <w:r>
      <w:instrText xml:space="preserve">STYLEREF  标准文件_文件编号  \* MERGEFORMAT</w:instrText>
    </w:r>
    <w:r>
      <w:fldChar w:fldCharType="separate"/>
    </w:r>
    <w:r>
      <w:t>DB 11/T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A054">
    <w:pPr>
      <w:pStyle w:val="65"/>
    </w:pPr>
    <w:r>
      <w:fldChar w:fldCharType="begin"/>
    </w:r>
    <w:r>
      <w:instrText xml:space="preserve">STYLEREF  标准文件_文件编号 \* MERGEFORMAT</w:instrText>
    </w:r>
    <w:r>
      <w:fldChar w:fldCharType="separate"/>
    </w:r>
    <w:r>
      <w:t>DB 11/T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D6F2">
    <w:pPr>
      <w:pStyle w:val="64"/>
    </w:pPr>
    <w:r>
      <w:fldChar w:fldCharType="begin"/>
    </w:r>
    <w:r>
      <w:instrText xml:space="preserve">STYLEREF  标准文件_文件编号  \* MERGEFORMAT</w:instrText>
    </w:r>
    <w:r>
      <w:fldChar w:fldCharType="separate"/>
    </w:r>
    <w:r>
      <w:t>DB 11/T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2D2E">
    <w:pPr>
      <w:pStyle w:val="65"/>
    </w:pPr>
    <w:r>
      <w:fldChar w:fldCharType="begin"/>
    </w:r>
    <w:r>
      <w:instrText xml:space="preserve">STYLEREF  标准文件_文件编号 \* MERGEFORMAT</w:instrText>
    </w:r>
    <w:r>
      <w:fldChar w:fldCharType="separate"/>
    </w:r>
    <w:r>
      <w:t>DB 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C44A">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E267">
    <w:pPr>
      <w:pStyle w:val="64"/>
    </w:pPr>
    <w:r>
      <w:fldChar w:fldCharType="begin"/>
    </w:r>
    <w:r>
      <w:instrText xml:space="preserve">STYLEREF  标准文件_文件编号  \* MERGEFORMAT</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3AD9">
    <w:pPr>
      <w:pStyle w:val="65"/>
    </w:pPr>
    <w:r>
      <w:fldChar w:fldCharType="begin"/>
    </w:r>
    <w:r>
      <w:instrText xml:space="preserve">STYLEREF  标准文件_文件编号 \* MERGEFORMAT</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4BCA">
    <w:pPr>
      <w:pStyle w:val="64"/>
    </w:pPr>
    <w:r>
      <w:fldChar w:fldCharType="begin"/>
    </w:r>
    <w:r>
      <w:instrText xml:space="preserve">STYLEREF  标准文件_文件编号  \* MERGEFORMAT</w:instrText>
    </w:r>
    <w:r>
      <w:fldChar w:fldCharType="separate"/>
    </w:r>
    <w:r>
      <w:t>DB 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246A">
    <w:pPr>
      <w:pStyle w:val="65"/>
    </w:pPr>
    <w:r>
      <w:fldChar w:fldCharType="begin"/>
    </w:r>
    <w:r>
      <w:instrText xml:space="preserve">STYLEREF  标准文件_文件编号 \* MERGEFORMAT</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25B3">
    <w:pPr>
      <w:pStyle w:val="64"/>
    </w:pPr>
    <w:r>
      <w:fldChar w:fldCharType="begin"/>
    </w:r>
    <w:r>
      <w:instrText xml:space="preserve">STYLEREF  标准文件_文件编号  \* MERGEFORMAT</w:instrText>
    </w:r>
    <w:r>
      <w:fldChar w:fldCharType="separate"/>
    </w:r>
    <w:r>
      <w:t>DB 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4FBD">
    <w:pPr>
      <w:pStyle w:val="65"/>
    </w:pPr>
    <w:r>
      <w:fldChar w:fldCharType="begin"/>
    </w:r>
    <w:r>
      <w:instrText xml:space="preserve">STYLEREF  标准文件_文件编号 \* MERGEFORMAT</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8BCE">
    <w:pPr>
      <w:pStyle w:val="64"/>
    </w:pPr>
    <w:r>
      <w:fldChar w:fldCharType="begin"/>
    </w:r>
    <w:r>
      <w:instrText xml:space="preserve">STYLEREF  标准文件_文件编号  \* MERGEFORMAT</w:instrText>
    </w:r>
    <w:r>
      <w:fldChar w:fldCharType="separate"/>
    </w:r>
    <w: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18CC"/>
    <w:multiLevelType w:val="multilevel"/>
    <w:tmpl w:val="003518CC"/>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9C45CF9"/>
    <w:multiLevelType w:val="multilevel"/>
    <w:tmpl w:val="09C45CF9"/>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
    <w:nsid w:val="0A6E4941"/>
    <w:multiLevelType w:val="multilevel"/>
    <w:tmpl w:val="0A6E494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A8A0540"/>
    <w:multiLevelType w:val="multilevel"/>
    <w:tmpl w:val="0A8A0540"/>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15B7468A"/>
    <w:multiLevelType w:val="multilevel"/>
    <w:tmpl w:val="15B7468A"/>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5C273C3"/>
    <w:multiLevelType w:val="multilevel"/>
    <w:tmpl w:val="15C273C3"/>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16156A33"/>
    <w:multiLevelType w:val="multilevel"/>
    <w:tmpl w:val="16156A3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61D09D3"/>
    <w:multiLevelType w:val="multilevel"/>
    <w:tmpl w:val="161D09D3"/>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191A76"/>
    <w:multiLevelType w:val="multilevel"/>
    <w:tmpl w:val="1C191A76"/>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1C4F499A"/>
    <w:multiLevelType w:val="multilevel"/>
    <w:tmpl w:val="1C4F499A"/>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1C5B7434"/>
    <w:multiLevelType w:val="multilevel"/>
    <w:tmpl w:val="1C5B7434"/>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2269"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1CD607B7"/>
    <w:multiLevelType w:val="multilevel"/>
    <w:tmpl w:val="1CD607B7"/>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2">
    <w:nsid w:val="1DB445E7"/>
    <w:multiLevelType w:val="multilevel"/>
    <w:tmpl w:val="1DB445E7"/>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E0F64E6"/>
    <w:multiLevelType w:val="multilevel"/>
    <w:tmpl w:val="1E0F64E6"/>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014A24"/>
    <w:multiLevelType w:val="multilevel"/>
    <w:tmpl w:val="22014A24"/>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i w:val="0"/>
        <w:strike w:val="0"/>
        <w:dstrike w:val="0"/>
        <w:color w:val="000000"/>
        <w:spacing w:val="0"/>
        <w:kern w:val="0"/>
        <w:sz w:val="21"/>
        <w:u w:val="none"/>
        <w:vertAlign w:val="baseline"/>
      </w:rPr>
    </w:lvl>
    <w:lvl w:ilvl="3" w:tentative="0">
      <w:start w:val="1"/>
      <w:numFmt w:val="decimal"/>
      <w:pStyle w:val="68"/>
      <w:suff w:val="nothing"/>
      <w:lvlText w:val="%1%2.%3.%4　"/>
      <w:lvlJc w:val="left"/>
      <w:pPr>
        <w:ind w:left="28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D681A56"/>
    <w:multiLevelType w:val="multilevel"/>
    <w:tmpl w:val="2D681A56"/>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6">
    <w:nsid w:val="2E0954F5"/>
    <w:multiLevelType w:val="multilevel"/>
    <w:tmpl w:val="2E0954F5"/>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2E896CE7"/>
    <w:multiLevelType w:val="multilevel"/>
    <w:tmpl w:val="2E896CE7"/>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3FB56CF"/>
    <w:multiLevelType w:val="multilevel"/>
    <w:tmpl w:val="33FB56CF"/>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44343942"/>
    <w:multiLevelType w:val="multilevel"/>
    <w:tmpl w:val="44343942"/>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4A2F3DEC"/>
    <w:multiLevelType w:val="multilevel"/>
    <w:tmpl w:val="4A2F3DEC"/>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4C0C2019"/>
    <w:multiLevelType w:val="multilevel"/>
    <w:tmpl w:val="4C0C201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D53311B"/>
    <w:multiLevelType w:val="multilevel"/>
    <w:tmpl w:val="4D53311B"/>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3">
    <w:nsid w:val="4DBE462C"/>
    <w:multiLevelType w:val="multilevel"/>
    <w:tmpl w:val="4DBE462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52665552"/>
    <w:multiLevelType w:val="multilevel"/>
    <w:tmpl w:val="52665552"/>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562E6777"/>
    <w:multiLevelType w:val="multilevel"/>
    <w:tmpl w:val="562E6777"/>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8F33A94"/>
    <w:multiLevelType w:val="multilevel"/>
    <w:tmpl w:val="58F33A94"/>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0CC323D"/>
    <w:multiLevelType w:val="multilevel"/>
    <w:tmpl w:val="60CC323D"/>
    <w:lvl w:ilvl="0" w:tentative="0">
      <w:start w:val="1"/>
      <w:numFmt w:val="lowerLetter"/>
      <w:pStyle w:val="104"/>
      <w:lvlText w:val="%1"/>
      <w:lvlJc w:val="left"/>
      <w:pPr>
        <w:tabs>
          <w:tab w:val="left" w:pos="539"/>
        </w:tabs>
        <w:ind w:left="539" w:hanging="119"/>
      </w:pPr>
      <w:rPr>
        <w:rFonts w:hint="eastAsia"/>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4ED1C61"/>
    <w:multiLevelType w:val="multilevel"/>
    <w:tmpl w:val="64ED1C61"/>
    <w:lvl w:ilvl="0" w:tentative="0">
      <w:start w:val="1"/>
      <w:numFmt w:val="upperLetter"/>
      <w:pStyle w:val="79"/>
      <w:suff w:val="nothing"/>
      <w:lvlText w:val="附录%1"/>
      <w:lvlJc w:val="left"/>
      <w:pPr>
        <w:ind w:left="4111"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AF92F01"/>
    <w:multiLevelType w:val="multilevel"/>
    <w:tmpl w:val="6AF92F01"/>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6C472A7D"/>
    <w:multiLevelType w:val="multilevel"/>
    <w:tmpl w:val="6C472A7D"/>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08F7D20"/>
    <w:multiLevelType w:val="multilevel"/>
    <w:tmpl w:val="708F7D20"/>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753C15"/>
    <w:multiLevelType w:val="multilevel"/>
    <w:tmpl w:val="7D753C15"/>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28"/>
  </w:num>
  <w:num w:numId="5">
    <w:abstractNumId w:val="10"/>
  </w:num>
  <w:num w:numId="6">
    <w:abstractNumId w:val="4"/>
  </w:num>
  <w:num w:numId="7">
    <w:abstractNumId w:val="5"/>
  </w:num>
  <w:num w:numId="8">
    <w:abstractNumId w:val="25"/>
  </w:num>
  <w:num w:numId="9">
    <w:abstractNumId w:val="12"/>
  </w:num>
  <w:num w:numId="10">
    <w:abstractNumId w:val="15"/>
  </w:num>
  <w:num w:numId="11">
    <w:abstractNumId w:val="7"/>
  </w:num>
  <w:num w:numId="12">
    <w:abstractNumId w:val="27"/>
  </w:num>
  <w:num w:numId="13">
    <w:abstractNumId w:val="30"/>
  </w:num>
  <w:num w:numId="14">
    <w:abstractNumId w:val="21"/>
  </w:num>
  <w:num w:numId="15">
    <w:abstractNumId w:val="16"/>
  </w:num>
  <w:num w:numId="16">
    <w:abstractNumId w:val="18"/>
  </w:num>
  <w:num w:numId="17">
    <w:abstractNumId w:val="19"/>
  </w:num>
  <w:num w:numId="18">
    <w:abstractNumId w:val="29"/>
  </w:num>
  <w:num w:numId="19">
    <w:abstractNumId w:val="0"/>
  </w:num>
  <w:num w:numId="20">
    <w:abstractNumId w:val="17"/>
  </w:num>
  <w:num w:numId="21">
    <w:abstractNumId w:val="32"/>
  </w:num>
  <w:num w:numId="22">
    <w:abstractNumId w:val="24"/>
  </w:num>
  <w:num w:numId="23">
    <w:abstractNumId w:val="22"/>
  </w:num>
  <w:num w:numId="24">
    <w:abstractNumId w:val="31"/>
  </w:num>
  <w:num w:numId="25">
    <w:abstractNumId w:val="8"/>
  </w:num>
  <w:num w:numId="26">
    <w:abstractNumId w:val="9"/>
  </w:num>
  <w:num w:numId="27">
    <w:abstractNumId w:val="20"/>
  </w:num>
  <w:num w:numId="28">
    <w:abstractNumId w:val="3"/>
  </w:num>
  <w:num w:numId="29">
    <w:abstractNumId w:val="1"/>
  </w:num>
  <w:num w:numId="30">
    <w:abstractNumId w:val="2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WM3MmJhNjlhZjI0NjgwMDJlMTNmNmY4MGExNTgifQ=="/>
  </w:docVars>
  <w:rsids>
    <w:rsidRoot w:val="00672B8C"/>
    <w:rsid w:val="00002457"/>
    <w:rsid w:val="00012AED"/>
    <w:rsid w:val="00024748"/>
    <w:rsid w:val="000304A0"/>
    <w:rsid w:val="000310B6"/>
    <w:rsid w:val="000359FC"/>
    <w:rsid w:val="00040014"/>
    <w:rsid w:val="0004119F"/>
    <w:rsid w:val="0004122B"/>
    <w:rsid w:val="00053658"/>
    <w:rsid w:val="0007146C"/>
    <w:rsid w:val="000815FD"/>
    <w:rsid w:val="00081BC1"/>
    <w:rsid w:val="00085453"/>
    <w:rsid w:val="000963E5"/>
    <w:rsid w:val="000A32E4"/>
    <w:rsid w:val="000C56D5"/>
    <w:rsid w:val="000C6BBD"/>
    <w:rsid w:val="00107ADE"/>
    <w:rsid w:val="001235B7"/>
    <w:rsid w:val="001272FA"/>
    <w:rsid w:val="001359E2"/>
    <w:rsid w:val="00136AB6"/>
    <w:rsid w:val="00175D3D"/>
    <w:rsid w:val="00177AB4"/>
    <w:rsid w:val="001945B4"/>
    <w:rsid w:val="00222769"/>
    <w:rsid w:val="00230CAA"/>
    <w:rsid w:val="00265C54"/>
    <w:rsid w:val="002832A1"/>
    <w:rsid w:val="00290FF3"/>
    <w:rsid w:val="00291589"/>
    <w:rsid w:val="002925ED"/>
    <w:rsid w:val="002A1675"/>
    <w:rsid w:val="002C689A"/>
    <w:rsid w:val="002E6C37"/>
    <w:rsid w:val="002F05E9"/>
    <w:rsid w:val="00307FAD"/>
    <w:rsid w:val="00311522"/>
    <w:rsid w:val="0032749D"/>
    <w:rsid w:val="00372802"/>
    <w:rsid w:val="00390E5B"/>
    <w:rsid w:val="003A4B57"/>
    <w:rsid w:val="003B5D1D"/>
    <w:rsid w:val="003D3F5F"/>
    <w:rsid w:val="00410AF7"/>
    <w:rsid w:val="00413FF8"/>
    <w:rsid w:val="004318BD"/>
    <w:rsid w:val="00455EBB"/>
    <w:rsid w:val="0046542F"/>
    <w:rsid w:val="00482A80"/>
    <w:rsid w:val="0052008D"/>
    <w:rsid w:val="005302DD"/>
    <w:rsid w:val="00530F8C"/>
    <w:rsid w:val="00532E2D"/>
    <w:rsid w:val="00550F2D"/>
    <w:rsid w:val="005535F0"/>
    <w:rsid w:val="0056054E"/>
    <w:rsid w:val="005627FB"/>
    <w:rsid w:val="00575CD8"/>
    <w:rsid w:val="00582704"/>
    <w:rsid w:val="005849A5"/>
    <w:rsid w:val="00585345"/>
    <w:rsid w:val="00597250"/>
    <w:rsid w:val="00597595"/>
    <w:rsid w:val="005A35B0"/>
    <w:rsid w:val="005B5BC3"/>
    <w:rsid w:val="005B6CE0"/>
    <w:rsid w:val="005B7072"/>
    <w:rsid w:val="005B74DD"/>
    <w:rsid w:val="005B7D6A"/>
    <w:rsid w:val="005C53DD"/>
    <w:rsid w:val="005F0287"/>
    <w:rsid w:val="005F02E5"/>
    <w:rsid w:val="006026DD"/>
    <w:rsid w:val="006125AF"/>
    <w:rsid w:val="006157C7"/>
    <w:rsid w:val="00625D38"/>
    <w:rsid w:val="00630097"/>
    <w:rsid w:val="00633432"/>
    <w:rsid w:val="00672B8C"/>
    <w:rsid w:val="00680A39"/>
    <w:rsid w:val="00684025"/>
    <w:rsid w:val="006C2648"/>
    <w:rsid w:val="007020C1"/>
    <w:rsid w:val="00714789"/>
    <w:rsid w:val="00740FF5"/>
    <w:rsid w:val="00752450"/>
    <w:rsid w:val="00755687"/>
    <w:rsid w:val="007569E0"/>
    <w:rsid w:val="00771882"/>
    <w:rsid w:val="007721F6"/>
    <w:rsid w:val="008349B6"/>
    <w:rsid w:val="008369B1"/>
    <w:rsid w:val="0084065A"/>
    <w:rsid w:val="008624D2"/>
    <w:rsid w:val="00870411"/>
    <w:rsid w:val="0087068C"/>
    <w:rsid w:val="00896F0E"/>
    <w:rsid w:val="008B4775"/>
    <w:rsid w:val="008B5B09"/>
    <w:rsid w:val="008C108F"/>
    <w:rsid w:val="008D2B50"/>
    <w:rsid w:val="008D44D2"/>
    <w:rsid w:val="008D4E7A"/>
    <w:rsid w:val="00902B6C"/>
    <w:rsid w:val="00905477"/>
    <w:rsid w:val="00906358"/>
    <w:rsid w:val="009146F3"/>
    <w:rsid w:val="0091497E"/>
    <w:rsid w:val="00944705"/>
    <w:rsid w:val="009534B4"/>
    <w:rsid w:val="00954FE5"/>
    <w:rsid w:val="009830ED"/>
    <w:rsid w:val="00996EFA"/>
    <w:rsid w:val="009B04D8"/>
    <w:rsid w:val="009C210D"/>
    <w:rsid w:val="009C711D"/>
    <w:rsid w:val="00A110DB"/>
    <w:rsid w:val="00A35966"/>
    <w:rsid w:val="00A50032"/>
    <w:rsid w:val="00AB3C06"/>
    <w:rsid w:val="00AC39CE"/>
    <w:rsid w:val="00AE0925"/>
    <w:rsid w:val="00B03559"/>
    <w:rsid w:val="00B20A08"/>
    <w:rsid w:val="00B37555"/>
    <w:rsid w:val="00B73C20"/>
    <w:rsid w:val="00B74F0E"/>
    <w:rsid w:val="00B84692"/>
    <w:rsid w:val="00B8782D"/>
    <w:rsid w:val="00B95229"/>
    <w:rsid w:val="00B97BC7"/>
    <w:rsid w:val="00BC6D12"/>
    <w:rsid w:val="00BD01C3"/>
    <w:rsid w:val="00BE0853"/>
    <w:rsid w:val="00BE7EE7"/>
    <w:rsid w:val="00C0076E"/>
    <w:rsid w:val="00C0304F"/>
    <w:rsid w:val="00C1587E"/>
    <w:rsid w:val="00C35EDD"/>
    <w:rsid w:val="00C4125B"/>
    <w:rsid w:val="00C45876"/>
    <w:rsid w:val="00C602ED"/>
    <w:rsid w:val="00C65738"/>
    <w:rsid w:val="00C83227"/>
    <w:rsid w:val="00C86240"/>
    <w:rsid w:val="00C915CE"/>
    <w:rsid w:val="00C94C5D"/>
    <w:rsid w:val="00CA588C"/>
    <w:rsid w:val="00CA7429"/>
    <w:rsid w:val="00CB4728"/>
    <w:rsid w:val="00CD2579"/>
    <w:rsid w:val="00CD7312"/>
    <w:rsid w:val="00CE2D6A"/>
    <w:rsid w:val="00CF479B"/>
    <w:rsid w:val="00CF5D40"/>
    <w:rsid w:val="00D03663"/>
    <w:rsid w:val="00D320C0"/>
    <w:rsid w:val="00D330BE"/>
    <w:rsid w:val="00D51BA5"/>
    <w:rsid w:val="00D52F49"/>
    <w:rsid w:val="00D537C5"/>
    <w:rsid w:val="00D61BEF"/>
    <w:rsid w:val="00D66F90"/>
    <w:rsid w:val="00D760F8"/>
    <w:rsid w:val="00D877A8"/>
    <w:rsid w:val="00DC0BED"/>
    <w:rsid w:val="00DC5064"/>
    <w:rsid w:val="00E00D99"/>
    <w:rsid w:val="00E07501"/>
    <w:rsid w:val="00E30E18"/>
    <w:rsid w:val="00E35F65"/>
    <w:rsid w:val="00E45D60"/>
    <w:rsid w:val="00E72329"/>
    <w:rsid w:val="00EA0412"/>
    <w:rsid w:val="00EA63F7"/>
    <w:rsid w:val="00F05326"/>
    <w:rsid w:val="00F06B97"/>
    <w:rsid w:val="00F16CB8"/>
    <w:rsid w:val="00F2205D"/>
    <w:rsid w:val="00F654F9"/>
    <w:rsid w:val="00F829A2"/>
    <w:rsid w:val="00F961C3"/>
    <w:rsid w:val="00FA5576"/>
    <w:rsid w:val="00FA60C0"/>
    <w:rsid w:val="00FB2F29"/>
    <w:rsid w:val="00FC5852"/>
    <w:rsid w:val="00FC5EB1"/>
    <w:rsid w:val="00FE5F63"/>
    <w:rsid w:val="00FF4D6E"/>
    <w:rsid w:val="0A535096"/>
    <w:rsid w:val="15DF2FAE"/>
    <w:rsid w:val="28744212"/>
    <w:rsid w:val="7A1F2914"/>
    <w:rsid w:val="7BFD7C2B"/>
    <w:rsid w:val="BFBF63A1"/>
    <w:rsid w:val="CD5EF1EF"/>
    <w:rsid w:val="D7EF2F8D"/>
    <w:rsid w:val="FEFF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unhideWhenUsed="0" w:uiPriority="99"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en-US"/>
    </w:rPr>
  </w:style>
  <w:style w:type="paragraph" w:styleId="2">
    <w:name w:val="heading 1"/>
    <w:basedOn w:val="1"/>
    <w:next w:val="1"/>
    <w:link w:val="37"/>
    <w:qFormat/>
    <w:uiPriority w:val="0"/>
    <w:pPr>
      <w:keepNext/>
      <w:keepLines/>
      <w:spacing w:before="340" w:after="330" w:line="578" w:lineRule="auto"/>
      <w:outlineLvl w:val="0"/>
    </w:pPr>
    <w:rPr>
      <w:b/>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sz w:val="32"/>
      <w:szCs w:val="32"/>
    </w:rPr>
  </w:style>
  <w:style w:type="paragraph" w:styleId="4">
    <w:name w:val="heading 3"/>
    <w:basedOn w:val="1"/>
    <w:next w:val="1"/>
    <w:link w:val="39"/>
    <w:qFormat/>
    <w:uiPriority w:val="0"/>
    <w:pPr>
      <w:keepNext/>
      <w:keepLines/>
      <w:spacing w:before="260" w:after="260" w:line="416" w:lineRule="auto"/>
      <w:outlineLvl w:val="2"/>
    </w:pPr>
    <w:rPr>
      <w:b/>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qFormat/>
    <w:uiPriority w:val="39"/>
    <w:pPr>
      <w:ind w:left="839"/>
    </w:pPr>
    <w:rPr>
      <w:rFonts w:ascii="宋体"/>
    </w:rPr>
  </w:style>
  <w:style w:type="paragraph" w:styleId="16">
    <w:name w:val="toc 3"/>
    <w:basedOn w:val="1"/>
    <w:next w:val="1"/>
    <w:qFormat/>
    <w:uiPriority w:val="39"/>
    <w:pPr>
      <w:spacing w:line="300" w:lineRule="exact"/>
      <w:ind w:left="420"/>
    </w:pPr>
    <w:rPr>
      <w:rFonts w:ascii="宋体"/>
    </w:rPr>
  </w:style>
  <w:style w:type="paragraph" w:styleId="17">
    <w:name w:val="Balloon Text"/>
    <w:basedOn w:val="1"/>
    <w:link w:val="48"/>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qFormat/>
    <w:uiPriority w:val="39"/>
    <w:rPr>
      <w:rFonts w:ascii="宋体"/>
    </w:rPr>
  </w:style>
  <w:style w:type="paragraph" w:styleId="21">
    <w:name w:val="toc 4"/>
    <w:basedOn w:val="1"/>
    <w:next w:val="1"/>
    <w:qFormat/>
    <w:uiPriority w:val="39"/>
    <w:pPr>
      <w:tabs>
        <w:tab w:val="right" w:leader="dot" w:pos="9344"/>
      </w:tabs>
      <w:spacing w:line="300" w:lineRule="exact"/>
      <w:ind w:left="629"/>
    </w:pPr>
    <w:rPr>
      <w:rFonts w:ascii="宋体"/>
    </w:rPr>
  </w:style>
  <w:style w:type="paragraph" w:styleId="22">
    <w:name w:val="footnote text"/>
    <w:basedOn w:val="1"/>
    <w:next w:val="1"/>
    <w:link w:val="102"/>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qFormat/>
    <w:uiPriority w:val="39"/>
    <w:pPr>
      <w:spacing w:line="300" w:lineRule="exact"/>
      <w:ind w:left="1049"/>
    </w:pPr>
    <w:rPr>
      <w:rFonts w:ascii="宋体"/>
    </w:rPr>
  </w:style>
  <w:style w:type="paragraph" w:styleId="24">
    <w:name w:val="table of figures"/>
    <w:basedOn w:val="1"/>
    <w:next w:val="1"/>
    <w:qFormat/>
    <w:uiPriority w:val="0"/>
    <w:pPr>
      <w:adjustRightInd/>
      <w:spacing w:line="240" w:lineRule="auto"/>
      <w:jc w:val="left"/>
    </w:pPr>
    <w:rPr>
      <w:szCs w:val="24"/>
    </w:rPr>
  </w:style>
  <w:style w:type="paragraph" w:styleId="25">
    <w:name w:val="toc 2"/>
    <w:basedOn w:val="1"/>
    <w:next w:val="1"/>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rPr>
  </w:style>
  <w:style w:type="character" w:styleId="32">
    <w:name w:val="page number"/>
    <w:qFormat/>
    <w:uiPriority w:val="0"/>
    <w:rPr>
      <w:rFonts w:ascii="宋体" w:hAnsi="Times New Roman" w:eastAsia="宋体"/>
      <w:sz w:val="18"/>
    </w:rPr>
  </w:style>
  <w:style w:type="character" w:styleId="33">
    <w:name w:val="Emphasis"/>
    <w:qFormat/>
    <w:uiPriority w:val="20"/>
    <w:rPr>
      <w:i/>
    </w:rPr>
  </w:style>
  <w:style w:type="character" w:styleId="34">
    <w:name w:val="Hyperlink"/>
    <w:qFormat/>
    <w:uiPriority w:val="99"/>
    <w:rPr>
      <w:rFonts w:ascii="宋体" w:hAnsi="Times New Roman" w:eastAsia="宋体"/>
      <w:color w:val="auto"/>
      <w:spacing w:val="0"/>
      <w:w w:val="10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kern w:val="44"/>
      <w:sz w:val="44"/>
      <w:szCs w:val="44"/>
    </w:rPr>
  </w:style>
  <w:style w:type="character" w:customStyle="1" w:styleId="38">
    <w:name w:val="标题 2 Char"/>
    <w:link w:val="3"/>
    <w:qFormat/>
    <w:uiPriority w:val="0"/>
    <w:rPr>
      <w:rFonts w:ascii="Arial" w:hAnsi="Arial" w:eastAsia="黑体" w:cs="Times New Roman"/>
      <w:b/>
      <w:sz w:val="32"/>
      <w:szCs w:val="32"/>
    </w:rPr>
  </w:style>
  <w:style w:type="character" w:customStyle="1" w:styleId="39">
    <w:name w:val="标题 3 Char"/>
    <w:link w:val="4"/>
    <w:qFormat/>
    <w:uiPriority w:val="0"/>
    <w:rPr>
      <w:rFonts w:ascii="Times New Roman" w:hAnsi="Times New Roman" w:eastAsia="宋体" w:cs="Times New Roman"/>
      <w:b/>
      <w:sz w:val="32"/>
      <w:szCs w:val="32"/>
    </w:rPr>
  </w:style>
  <w:style w:type="character" w:customStyle="1" w:styleId="40">
    <w:name w:val="标题 4 Char"/>
    <w:link w:val="5"/>
    <w:qFormat/>
    <w:uiPriority w:val="0"/>
    <w:rPr>
      <w:rFonts w:ascii="Arial" w:hAnsi="Arial" w:eastAsia="黑体" w:cs="Times New Roman"/>
      <w:b/>
      <w:sz w:val="28"/>
      <w:szCs w:val="28"/>
    </w:rPr>
  </w:style>
  <w:style w:type="character" w:customStyle="1" w:styleId="41">
    <w:name w:val="标题 5 Char"/>
    <w:link w:val="6"/>
    <w:qFormat/>
    <w:uiPriority w:val="0"/>
    <w:rPr>
      <w:rFonts w:ascii="Times New Roman" w:hAnsi="Times New Roman" w:eastAsia="宋体" w:cs="Times New Roman"/>
      <w:b/>
      <w:sz w:val="28"/>
      <w:szCs w:val="28"/>
    </w:rPr>
  </w:style>
  <w:style w:type="character" w:customStyle="1" w:styleId="42">
    <w:name w:val="标题 6 Char"/>
    <w:link w:val="7"/>
    <w:qFormat/>
    <w:uiPriority w:val="0"/>
    <w:rPr>
      <w:rFonts w:ascii="Arial" w:hAnsi="Arial" w:eastAsia="黑体" w:cs="Times New Roman"/>
      <w:b/>
      <w:sz w:val="24"/>
      <w:szCs w:val="24"/>
    </w:rPr>
  </w:style>
  <w:style w:type="character" w:customStyle="1" w:styleId="43">
    <w:name w:val="标题 7 Char"/>
    <w:link w:val="8"/>
    <w:qFormat/>
    <w:uiPriority w:val="0"/>
    <w:rPr>
      <w:rFonts w:ascii="Times New Roman" w:hAnsi="Times New Roman" w:eastAsia="宋体" w:cs="Times New Roman"/>
      <w:b/>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qFormat/>
    <w:uiPriority w:val="99"/>
    <w:rPr>
      <w:sz w:val="18"/>
      <w:szCs w:val="18"/>
    </w:rPr>
  </w:style>
  <w:style w:type="paragraph" w:styleId="49">
    <w:name w:val="Quote"/>
    <w:basedOn w:val="1"/>
    <w:next w:val="1"/>
    <w:link w:val="50"/>
    <w:qFormat/>
    <w:uiPriority w:val="29"/>
    <w:rPr>
      <w:i/>
      <w:color w:val="000000"/>
    </w:rPr>
  </w:style>
  <w:style w:type="character" w:customStyle="1" w:styleId="50">
    <w:name w:val="引用 Char"/>
    <w:link w:val="49"/>
    <w:qFormat/>
    <w:uiPriority w:val="29"/>
    <w:rPr>
      <w:i/>
      <w:color w:val="000000"/>
    </w:rPr>
  </w:style>
  <w:style w:type="character" w:customStyle="1" w:styleId="51">
    <w:name w:val="标题 Char"/>
    <w:link w:val="26"/>
    <w:qFormat/>
    <w:uiPriority w:val="0"/>
    <w:rPr>
      <w:rFonts w:ascii="Arial" w:hAnsi="Arial" w:eastAsia="宋体" w:cs="Arial"/>
      <w:b/>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szCs w:val="21"/>
      <w:lang w:val="en-US" w:eastAsia="zh-CN" w:bidi="en-US"/>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both"/>
    </w:pPr>
    <w:rPr>
      <w:rFonts w:ascii="宋体" w:hAnsi="Times New Roman" w:eastAsia="宋体" w:cs="Times New Roman"/>
      <w:b/>
      <w:w w:val="148"/>
      <w:sz w:val="52"/>
      <w:szCs w:val="21"/>
      <w:lang w:val="en-US" w:eastAsia="zh-CN" w:bidi="en-US"/>
    </w:rPr>
  </w:style>
  <w:style w:type="paragraph" w:customStyle="1" w:styleId="54">
    <w:name w:val="标准文件_页脚偶数页"/>
    <w:qFormat/>
    <w:uiPriority w:val="0"/>
    <w:pPr>
      <w:ind w:left="198"/>
    </w:pPr>
    <w:rPr>
      <w:rFonts w:ascii="宋体" w:hAnsi="Times New Roman" w:eastAsia="宋体" w:cs="Times New Roman"/>
      <w:sz w:val="18"/>
      <w:szCs w:val="21"/>
      <w:lang w:val="en-US" w:eastAsia="zh-CN" w:bidi="en-US"/>
    </w:rPr>
  </w:style>
  <w:style w:type="paragraph" w:customStyle="1" w:styleId="55">
    <w:name w:val="标准文件_页脚奇数页"/>
    <w:qFormat/>
    <w:uiPriority w:val="0"/>
    <w:pPr>
      <w:ind w:right="227"/>
      <w:jc w:val="right"/>
    </w:pPr>
    <w:rPr>
      <w:rFonts w:ascii="宋体" w:hAnsi="Times New Roman" w:eastAsia="宋体" w:cs="Times New Roman"/>
      <w:sz w:val="18"/>
      <w:szCs w:val="21"/>
      <w:lang w:val="en-US" w:eastAsia="zh-CN" w:bidi="en-US"/>
    </w:rPr>
  </w:style>
  <w:style w:type="paragraph" w:customStyle="1" w:styleId="56">
    <w:name w:val="标准书眉一"/>
    <w:qFormat/>
    <w:uiPriority w:val="0"/>
    <w:pPr>
      <w:jc w:val="both"/>
    </w:pPr>
    <w:rPr>
      <w:rFonts w:ascii="Times New Roman" w:hAnsi="Times New Roman" w:eastAsia="宋体" w:cs="Times New Roman"/>
      <w:sz w:val="21"/>
      <w:szCs w:val="21"/>
      <w:lang w:val="en-US" w:eastAsia="zh-CN" w:bidi="en-US"/>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szCs w:val="21"/>
      <w:lang w:val="en-US" w:eastAsia="zh-CN" w:bidi="en-US"/>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szCs w:val="21"/>
      <w:lang w:val="en-US" w:eastAsia="zh-CN" w:bidi="en-US"/>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sz w:val="21"/>
      <w:szCs w:val="21"/>
      <w:lang w:val="en-US" w:eastAsia="zh-CN" w:bidi="en-US"/>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szCs w:val="21"/>
      <w:lang w:val="en-US" w:eastAsia="zh-CN" w:bidi="en-US"/>
    </w:rPr>
  </w:style>
  <w:style w:type="character" w:customStyle="1" w:styleId="69">
    <w:name w:val="标准文件_发布"/>
    <w:qFormat/>
    <w:uiPriority w:val="0"/>
    <w:rPr>
      <w:rFonts w:ascii="黑体" w:eastAsia="黑体"/>
      <w:spacing w:val="0"/>
      <w:w w:val="100"/>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szCs w:val="21"/>
      <w:lang w:val="en-US" w:eastAsia="zh-CN" w:bidi="en-US"/>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pPr>
    <w:rPr>
      <w:rFonts w:ascii="黑体" w:hAnsi="Times New Roman" w:eastAsia="黑体" w:cs="Times New Roman"/>
      <w:kern w:val="20"/>
      <w:sz w:val="21"/>
      <w:szCs w:val="21"/>
      <w:lang w:val="en-US" w:eastAsia="zh-CN" w:bidi="en-US"/>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0"/>
      <w:sz w:val="21"/>
      <w:szCs w:val="21"/>
      <w:lang w:val="en-US" w:eastAsia="zh-CN" w:bidi="en-US"/>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0"/>
      <w:sz w:val="21"/>
      <w:szCs w:val="21"/>
      <w:lang w:val="en-US" w:eastAsia="zh-CN" w:bidi="en-US"/>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0"/>
      <w:sz w:val="21"/>
      <w:szCs w:val="21"/>
      <w:lang w:val="en-US" w:eastAsia="zh-CN" w:bidi="en-US"/>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szCs w:val="21"/>
      <w:lang w:val="en-US" w:eastAsia="zh-CN" w:bidi="en-US"/>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0"/>
      <w:sz w:val="21"/>
      <w:szCs w:val="21"/>
      <w:lang w:val="en-US" w:eastAsia="zh-CN" w:bidi="en-US"/>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szCs w:val="21"/>
      <w:lang w:val="en-US" w:eastAsia="zh-CN" w:bidi="en-US"/>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outlineLvl w:val="1"/>
    </w:pPr>
    <w:rPr>
      <w:rFonts w:ascii="黑体" w:hAnsi="Times New Roman" w:eastAsia="黑体" w:cs="Times New Roman"/>
      <w:kern w:val="20"/>
      <w:sz w:val="21"/>
      <w:szCs w:val="21"/>
      <w:lang w:val="en-US" w:eastAsia="zh-CN" w:bidi="en-US"/>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szCs w:val="21"/>
      <w:lang w:val="en-US" w:eastAsia="zh-CN" w:bidi="en-US"/>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szCs w:val="21"/>
      <w:lang w:val="en-US" w:eastAsia="zh-CN" w:bidi="en-US"/>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szCs w:val="21"/>
      <w:lang w:val="en-US" w:eastAsia="zh-CN" w:bidi="en-US"/>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szCs w:val="21"/>
      <w:lang w:val="en-US" w:eastAsia="zh-CN" w:bidi="en-US"/>
    </w:rPr>
  </w:style>
  <w:style w:type="character" w:customStyle="1" w:styleId="102">
    <w:name w:val="脚注文本 Char"/>
    <w:link w:val="22"/>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szCs w:val="21"/>
      <w:lang w:val="en-US" w:eastAsia="zh-CN" w:bidi="en-US"/>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szCs w:val="21"/>
      <w:lang w:val="en-US" w:eastAsia="zh-CN" w:bidi="en-US"/>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szCs w:val="21"/>
      <w:lang w:val="en-US" w:eastAsia="zh-CN" w:bidi="en-US"/>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tabs>
        <w:tab w:val="left" w:pos="851"/>
        <w:tab w:val="left" w:pos="1276"/>
      </w:tabs>
      <w:jc w:val="both"/>
    </w:pPr>
    <w:rPr>
      <w:rFonts w:ascii="宋体" w:hAnsi="Times New Roman" w:eastAsia="宋体" w:cs="Times New Roman"/>
      <w:sz w:val="21"/>
      <w:szCs w:val="21"/>
      <w:lang w:val="en-US" w:eastAsia="zh-CN" w:bidi="en-US"/>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szCs w:val="21"/>
      <w:lang w:val="en-US" w:eastAsia="zh-CN" w:bidi="en-US"/>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szCs w:val="21"/>
      <w:lang w:val="en-US" w:eastAsia="zh-CN" w:bidi="en-US"/>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szCs w:val="21"/>
      <w:lang w:val="en-US" w:eastAsia="zh-CN" w:bidi="en-US"/>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szCs w:val="21"/>
      <w:lang w:val="en-US" w:eastAsia="zh-CN" w:bidi="en-US"/>
    </w:rPr>
  </w:style>
  <w:style w:type="paragraph" w:customStyle="1" w:styleId="120">
    <w:name w:val="标准文件_编号列项（三级）"/>
    <w:qFormat/>
    <w:uiPriority w:val="0"/>
    <w:pPr>
      <w:tabs>
        <w:tab w:val="left" w:pos="851"/>
      </w:tabs>
    </w:pPr>
    <w:rPr>
      <w:rFonts w:ascii="宋体" w:hAnsi="Times New Roman" w:eastAsia="宋体" w:cs="Times New Roman"/>
      <w:sz w:val="21"/>
      <w:szCs w:val="21"/>
      <w:lang w:val="en-US" w:eastAsia="zh-CN" w:bidi="en-US"/>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szCs w:val="21"/>
      <w:lang w:val="en-US" w:eastAsia="zh-CN" w:bidi="en-US"/>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szCs w:val="21"/>
      <w:lang w:val="en-US" w:eastAsia="zh-CN" w:bidi="en-US"/>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pPr>
    <w:rPr>
      <w:rFonts w:ascii="黑体" w:hAnsi="Times New Roman" w:eastAsia="黑体" w:cs="Times New Roman"/>
      <w:sz w:val="52"/>
      <w:szCs w:val="21"/>
      <w:lang w:val="en-US" w:eastAsia="zh-CN" w:bidi="en-US"/>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szCs w:val="21"/>
      <w:lang w:val="en-US" w:eastAsia="zh-CN" w:bidi="en-US"/>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szCs w:val="21"/>
      <w:lang w:val="en-US" w:eastAsia="zh-CN" w:bidi="en-US"/>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szCs w:val="21"/>
      <w:lang w:val="en-US" w:eastAsia="zh-CN" w:bidi="en-US"/>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szCs w:val="21"/>
      <w:lang w:val="en-US" w:eastAsia="zh-CN" w:bidi="en-US"/>
    </w:rPr>
  </w:style>
  <w:style w:type="paragraph" w:customStyle="1" w:styleId="130">
    <w:name w:val="封面正文"/>
    <w:qFormat/>
    <w:uiPriority w:val="0"/>
    <w:pPr>
      <w:jc w:val="both"/>
    </w:pPr>
    <w:rPr>
      <w:rFonts w:ascii="Times New Roman" w:hAnsi="Times New Roman" w:eastAsia="宋体" w:cs="Times New Roman"/>
      <w:sz w:val="21"/>
      <w:szCs w:val="21"/>
      <w:lang w:val="en-US" w:eastAsia="zh-CN" w:bidi="en-US"/>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outlineLvl w:val="3"/>
    </w:pPr>
    <w:rPr>
      <w:rFonts w:ascii="宋体" w:hAnsi="宋体"/>
      <w:kern w:val="20"/>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outlineLvl w:val="1"/>
    </w:pPr>
    <w:rPr>
      <w:rFonts w:ascii="黑体" w:hAnsi="Times New Roman" w:eastAsia="黑体" w:cs="Times New Roman"/>
      <w:kern w:val="20"/>
      <w:sz w:val="21"/>
      <w:szCs w:val="21"/>
      <w:lang w:val="en-US" w:eastAsia="zh-CN" w:bidi="en-US"/>
    </w:rPr>
  </w:style>
  <w:style w:type="paragraph" w:customStyle="1" w:styleId="135">
    <w:name w:val="标准文件_一级项"/>
    <w:qFormat/>
    <w:uiPriority w:val="0"/>
    <w:pPr>
      <w:numPr>
        <w:ilvl w:val="0"/>
        <w:numId w:val="20"/>
      </w:numPr>
    </w:pPr>
    <w:rPr>
      <w:rFonts w:ascii="宋体" w:hAnsi="Times New Roman" w:eastAsia="宋体" w:cs="Times New Roman"/>
      <w:sz w:val="21"/>
      <w:szCs w:val="21"/>
      <w:lang w:val="en-US" w:eastAsia="zh-CN" w:bidi="en-US"/>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szCs w:val="21"/>
      <w:lang w:val="en-US" w:eastAsia="zh-CN" w:bidi="en-US"/>
    </w:rPr>
  </w:style>
  <w:style w:type="paragraph" w:customStyle="1" w:styleId="142">
    <w:name w:val="列项——"/>
    <w:qFormat/>
    <w:uiPriority w:val="0"/>
    <w:pPr>
      <w:widowControl w:val="0"/>
      <w:numPr>
        <w:ilvl w:val="0"/>
        <w:numId w:val="21"/>
      </w:numPr>
      <w:jc w:val="both"/>
    </w:pPr>
    <w:rPr>
      <w:rFonts w:ascii="宋体" w:hAnsi="宋体" w:eastAsia="宋体" w:cs="Times New Roman"/>
      <w:sz w:val="21"/>
      <w:szCs w:val="21"/>
      <w:lang w:val="en-US" w:eastAsia="zh-CN" w:bidi="en-US"/>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szCs w:val="21"/>
      <w:lang w:val="en-US" w:eastAsia="zh-CN" w:bidi="en-US"/>
    </w:rPr>
  </w:style>
  <w:style w:type="paragraph" w:customStyle="1" w:styleId="145">
    <w:name w:val="目录 21"/>
    <w:basedOn w:val="1"/>
    <w:next w:val="1"/>
    <w:qFormat/>
    <w:uiPriority w:val="0"/>
    <w:pPr>
      <w:adjustRightInd/>
      <w:spacing w:line="240" w:lineRule="auto"/>
      <w:jc w:val="left"/>
    </w:pPr>
  </w:style>
  <w:style w:type="paragraph" w:customStyle="1" w:styleId="146">
    <w:name w:val="目录 31"/>
    <w:basedOn w:val="1"/>
    <w:next w:val="1"/>
    <w:qFormat/>
    <w:uiPriority w:val="0"/>
    <w:pPr>
      <w:spacing w:line="240" w:lineRule="auto"/>
    </w:pPr>
    <w:rPr>
      <w:rFonts w:ascii="宋体" w:hAnsi="宋体"/>
    </w:rPr>
  </w:style>
  <w:style w:type="paragraph" w:customStyle="1" w:styleId="147">
    <w:name w:val="目录 41"/>
    <w:basedOn w:val="1"/>
    <w:next w:val="1"/>
    <w:qFormat/>
    <w:uiPriority w:val="0"/>
    <w:pPr>
      <w:adjustRightInd/>
      <w:spacing w:line="240" w:lineRule="auto"/>
      <w:jc w:val="left"/>
    </w:pPr>
  </w:style>
  <w:style w:type="paragraph" w:customStyle="1" w:styleId="148">
    <w:name w:val="目录 51"/>
    <w:basedOn w:val="1"/>
    <w:next w:val="1"/>
    <w:qFormat/>
    <w:uiPriority w:val="0"/>
    <w:pPr>
      <w:spacing w:line="240" w:lineRule="auto"/>
    </w:pPr>
    <w:rPr>
      <w:rFonts w:ascii="宋体" w:hAnsi="宋体"/>
    </w:rPr>
  </w:style>
  <w:style w:type="paragraph" w:customStyle="1" w:styleId="149">
    <w:name w:val="目录 61"/>
    <w:basedOn w:val="1"/>
    <w:next w:val="1"/>
    <w:qFormat/>
    <w:uiPriority w:val="0"/>
    <w:pPr>
      <w:adjustRightInd/>
      <w:spacing w:line="240" w:lineRule="auto"/>
      <w:jc w:val="left"/>
    </w:pPr>
  </w:style>
  <w:style w:type="paragraph" w:customStyle="1" w:styleId="150">
    <w:name w:val="目录 71"/>
    <w:basedOn w:val="149"/>
    <w:qFormat/>
    <w:uiPriority w:val="0"/>
    <w:pPr>
      <w:ind w:left="1260"/>
    </w:pPr>
  </w:style>
  <w:style w:type="paragraph" w:customStyle="1" w:styleId="151">
    <w:name w:val="目录 81"/>
    <w:basedOn w:val="150"/>
    <w:qFormat/>
    <w:uiPriority w:val="0"/>
    <w:pPr>
      <w:ind w:left="1470"/>
    </w:pPr>
  </w:style>
  <w:style w:type="paragraph" w:customStyle="1" w:styleId="152">
    <w:name w:val="目录 91"/>
    <w:basedOn w:val="151"/>
    <w:qFormat/>
    <w:uiPriority w:val="0"/>
    <w:pPr>
      <w:ind w:left="1680"/>
    </w:pPr>
  </w:style>
  <w:style w:type="paragraph" w:customStyle="1" w:styleId="153">
    <w:name w:val="其他标准称谓"/>
    <w:qFormat/>
    <w:uiPriority w:val="0"/>
    <w:pPr>
      <w:spacing w:line="0" w:lineRule="atLeast"/>
      <w:jc w:val="both"/>
    </w:pPr>
    <w:rPr>
      <w:rFonts w:ascii="黑体" w:hAnsi="宋体" w:eastAsia="黑体" w:cs="Times New Roman"/>
      <w:sz w:val="52"/>
      <w:szCs w:val="21"/>
      <w:lang w:val="en-US" w:eastAsia="zh-CN" w:bidi="en-US"/>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szCs w:val="21"/>
      <w:lang w:val="en-US" w:eastAsia="zh-CN" w:bidi="en-US"/>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pPr>
    <w:rPr>
      <w:rFonts w:ascii="Times New Roman" w:hAnsi="Times New Roman" w:eastAsia="黑体" w:cs="Times New Roman"/>
      <w:sz w:val="21"/>
      <w:szCs w:val="21"/>
      <w:lang w:val="en-US" w:eastAsia="zh-CN" w:bidi="en-US"/>
    </w:rPr>
  </w:style>
  <w:style w:type="paragraph" w:customStyle="1" w:styleId="160">
    <w:name w:val="无标题条"/>
    <w:next w:val="59"/>
    <w:qFormat/>
    <w:uiPriority w:val="0"/>
    <w:pPr>
      <w:jc w:val="both"/>
    </w:pPr>
    <w:rPr>
      <w:rFonts w:ascii="宋体" w:hAnsi="宋体" w:eastAsia="宋体" w:cs="Times New Roman"/>
      <w:sz w:val="21"/>
      <w:szCs w:val="21"/>
      <w:lang w:val="en-US" w:eastAsia="zh-CN" w:bidi="en-US"/>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szCs w:val="21"/>
      <w:lang w:val="en-US" w:eastAsia="zh-CN" w:bidi="en-US"/>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szCs w:val="21"/>
      <w:lang w:val="en-US" w:eastAsia="zh-CN" w:bidi="en-US"/>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tabs>
        <w:tab w:val="left" w:pos="851"/>
      </w:tabs>
      <w:jc w:val="both"/>
    </w:pPr>
    <w:rPr>
      <w:rFonts w:ascii="宋体" w:hAnsi="Times New Roman" w:eastAsia="宋体" w:cs="Times New Roman"/>
      <w:sz w:val="21"/>
      <w:szCs w:val="21"/>
      <w:lang w:val="en-US" w:eastAsia="zh-CN" w:bidi="en-US"/>
    </w:rPr>
  </w:style>
  <w:style w:type="paragraph" w:customStyle="1" w:styleId="178">
    <w:name w:val="标准文件_索引字母"/>
    <w:next w:val="59"/>
    <w:qFormat/>
    <w:uiPriority w:val="0"/>
    <w:pPr>
      <w:jc w:val="center"/>
    </w:pPr>
    <w:rPr>
      <w:rFonts w:ascii="宋体" w:hAnsi="宋体" w:eastAsia="Times New Roman" w:cs="Times New Roman"/>
      <w:b/>
      <w:kern w:val="2"/>
      <w:sz w:val="21"/>
      <w:szCs w:val="21"/>
      <w:lang w:val="en-US" w:eastAsia="zh-CN" w:bidi="en-US"/>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szCs w:val="21"/>
      <w:lang w:val="en-US" w:eastAsia="zh-CN" w:bidi="en-US"/>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en-US"/>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en-US"/>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en-US"/>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en-US"/>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szCs w:val="21"/>
      <w:lang w:val="en-US" w:eastAsia="zh-CN" w:bidi="en-US"/>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sz w:val="2"/>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en-US"/>
    </w:rPr>
  </w:style>
  <w:style w:type="character" w:customStyle="1" w:styleId="232">
    <w:name w:val="发布"/>
    <w:basedOn w:val="30"/>
    <w:qFormat/>
    <w:uiPriority w:val="0"/>
    <w:rPr>
      <w:rFonts w:ascii="黑体" w:eastAsia="黑体"/>
      <w:spacing w:val="85"/>
      <w:w w:val="100"/>
      <w:sz w:val="28"/>
      <w:szCs w:val="28"/>
    </w:rPr>
  </w:style>
  <w:style w:type="paragraph" w:customStyle="1" w:styleId="233">
    <w:name w:val="修订1"/>
    <w:qFormat/>
    <w:uiPriority w:val="99"/>
    <w:rPr>
      <w:rFonts w:ascii="Calibri" w:hAnsi="Calibri" w:eastAsia="宋体" w:cs="Times New Roman"/>
      <w:kern w:val="2"/>
      <w:sz w:val="21"/>
      <w:szCs w:val="21"/>
      <w:lang w:val="en-US" w:eastAsia="zh-CN" w:bidi="en-US"/>
    </w:rPr>
  </w:style>
  <w:style w:type="character" w:customStyle="1" w:styleId="234">
    <w:name w:val="批注文字 Char"/>
    <w:basedOn w:val="30"/>
    <w:link w:val="13"/>
    <w:semiHidden/>
    <w:qFormat/>
    <w:uiPriority w:val="99"/>
    <w:rPr>
      <w:kern w:val="2"/>
    </w:rPr>
  </w:style>
  <w:style w:type="character" w:customStyle="1" w:styleId="235">
    <w:name w:val="批注主题 Char"/>
    <w:basedOn w:val="234"/>
    <w:link w:val="27"/>
    <w:semiHidden/>
    <w:qFormat/>
    <w:uiPriority w:val="99"/>
    <w:rPr>
      <w:b/>
      <w:bCs/>
      <w:kern w:val="2"/>
    </w:rPr>
  </w:style>
  <w:style w:type="paragraph" w:customStyle="1" w:styleId="236">
    <w:name w:val="修订2"/>
    <w:hidden/>
    <w:unhideWhenUsed/>
    <w:qFormat/>
    <w:uiPriority w:val="99"/>
    <w:rPr>
      <w:rFonts w:ascii="Calibri" w:hAnsi="Calibri" w:eastAsia="宋体" w:cs="Times New Roman"/>
      <w:kern w:val="2"/>
      <w:sz w:val="21"/>
      <w:szCs w:val="21"/>
      <w:lang w:val="en-US" w:eastAsia="zh-CN"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emf"/><Relationship Id="rId35" Type="http://schemas.openxmlformats.org/officeDocument/2006/relationships/package" Target="embeddings/Microsoft_Visio___1.vsdx"/><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5765</Words>
  <Characters>6249</Characters>
  <Lines>63</Lines>
  <Paragraphs>17</Paragraphs>
  <TotalTime>179</TotalTime>
  <ScaleCrop>false</ScaleCrop>
  <LinksUpToDate>false</LinksUpToDate>
  <CharactersWithSpaces>6484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2024-08-01T23:38:00Z</dcterms:created>
  <dc:creator>满洋</dc:creator>
  <cp:lastModifiedBy>赵旭</cp:lastModifiedBy>
  <cp:lastPrinted>2024-08-02T23:13:00Z</cp:lastPrinted>
  <dcterms:modified xsi:type="dcterms:W3CDTF">2024-12-12T07:56:32Z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869755D91B5E40218A3367BCA50E12B2_12</vt:lpwstr>
  </property>
</Properties>
</file>