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0B8AE">
      <w:pPr>
        <w:jc w:val="center"/>
        <w:rPr>
          <w:rFonts w:ascii="华文中宋" w:hAnsi="华文中宋" w:eastAsia="华文中宋"/>
          <w:sz w:val="40"/>
          <w:szCs w:val="40"/>
        </w:rPr>
      </w:pPr>
    </w:p>
    <w:p w14:paraId="03A8679F">
      <w:pPr>
        <w:jc w:val="center"/>
        <w:rPr>
          <w:rFonts w:ascii="华文中宋" w:hAnsi="华文中宋" w:eastAsia="华文中宋"/>
          <w:sz w:val="40"/>
          <w:szCs w:val="40"/>
        </w:rPr>
      </w:pPr>
    </w:p>
    <w:p w14:paraId="73CB01B7">
      <w:pPr>
        <w:jc w:val="center"/>
        <w:rPr>
          <w:rFonts w:ascii="华文中宋" w:hAnsi="华文中宋" w:eastAsia="华文中宋"/>
          <w:sz w:val="40"/>
          <w:szCs w:val="40"/>
        </w:rPr>
      </w:pPr>
    </w:p>
    <w:p w14:paraId="34588AF6">
      <w:pPr>
        <w:jc w:val="center"/>
        <w:rPr>
          <w:rFonts w:ascii="华文中宋" w:hAnsi="华文中宋" w:eastAsia="华文中宋"/>
          <w:sz w:val="40"/>
          <w:szCs w:val="40"/>
        </w:rPr>
      </w:pPr>
    </w:p>
    <w:p w14:paraId="6E70B2D0">
      <w:pPr>
        <w:spacing w:line="360" w:lineRule="auto"/>
        <w:jc w:val="center"/>
        <w:rPr>
          <w:rFonts w:ascii="黑体" w:hAnsi="黑体" w:eastAsia="黑体"/>
          <w:b/>
          <w:bCs/>
          <w:sz w:val="48"/>
          <w:szCs w:val="52"/>
        </w:rPr>
      </w:pPr>
      <w:r>
        <w:rPr>
          <w:rFonts w:hint="eastAsia" w:ascii="黑体" w:hAnsi="黑体" w:eastAsia="黑体"/>
          <w:b/>
          <w:bCs/>
          <w:sz w:val="48"/>
          <w:szCs w:val="52"/>
        </w:rPr>
        <w:t>《裸地遥感监测技术指南（征求意见稿）</w:t>
      </w:r>
    </w:p>
    <w:p w14:paraId="38E0EE25">
      <w:pPr>
        <w:spacing w:line="360" w:lineRule="auto"/>
        <w:jc w:val="center"/>
        <w:rPr>
          <w:rFonts w:ascii="黑体" w:hAnsi="黑体" w:eastAsia="黑体"/>
          <w:b/>
          <w:bCs/>
          <w:sz w:val="48"/>
          <w:szCs w:val="52"/>
        </w:rPr>
      </w:pPr>
      <w:r>
        <w:rPr>
          <w:rFonts w:hint="eastAsia" w:ascii="黑体" w:hAnsi="黑体" w:eastAsia="黑体"/>
          <w:b/>
          <w:bCs/>
          <w:sz w:val="48"/>
          <w:szCs w:val="52"/>
        </w:rPr>
        <w:t>》</w:t>
      </w:r>
    </w:p>
    <w:p w14:paraId="3E84448A">
      <w:pPr>
        <w:spacing w:line="360" w:lineRule="auto"/>
        <w:jc w:val="center"/>
        <w:rPr>
          <w:rFonts w:ascii="黑体" w:hAnsi="黑体" w:eastAsia="黑体"/>
          <w:b/>
          <w:bCs/>
          <w:sz w:val="48"/>
          <w:szCs w:val="52"/>
        </w:rPr>
      </w:pPr>
    </w:p>
    <w:p w14:paraId="31FBC346">
      <w:pPr>
        <w:spacing w:line="360" w:lineRule="auto"/>
        <w:jc w:val="center"/>
        <w:rPr>
          <w:rFonts w:ascii="黑体" w:hAnsi="黑体" w:eastAsia="黑体"/>
          <w:b/>
          <w:bCs/>
          <w:sz w:val="48"/>
          <w:szCs w:val="52"/>
        </w:rPr>
      </w:pPr>
      <w:r>
        <w:rPr>
          <w:rFonts w:hint="eastAsia" w:ascii="黑体" w:hAnsi="黑体" w:eastAsia="黑体"/>
          <w:b/>
          <w:bCs/>
          <w:sz w:val="48"/>
          <w:szCs w:val="52"/>
        </w:rPr>
        <w:t>编制说明</w:t>
      </w:r>
    </w:p>
    <w:p w14:paraId="6B5A4FC3">
      <w:pPr>
        <w:widowControl/>
        <w:jc w:val="left"/>
        <w:rPr>
          <w:sz w:val="32"/>
        </w:rPr>
      </w:pPr>
    </w:p>
    <w:p w14:paraId="41AFAB1C">
      <w:pPr>
        <w:widowControl/>
        <w:jc w:val="left"/>
        <w:rPr>
          <w:sz w:val="32"/>
        </w:rPr>
      </w:pPr>
    </w:p>
    <w:p w14:paraId="248A787E">
      <w:pPr>
        <w:widowControl/>
        <w:jc w:val="left"/>
        <w:rPr>
          <w:sz w:val="32"/>
        </w:rPr>
      </w:pPr>
    </w:p>
    <w:p w14:paraId="65A5E9C4">
      <w:pPr>
        <w:widowControl/>
        <w:jc w:val="left"/>
        <w:rPr>
          <w:sz w:val="32"/>
        </w:rPr>
      </w:pPr>
    </w:p>
    <w:p w14:paraId="1C860B42">
      <w:pPr>
        <w:widowControl/>
        <w:jc w:val="left"/>
        <w:rPr>
          <w:sz w:val="32"/>
        </w:rPr>
      </w:pPr>
    </w:p>
    <w:p w14:paraId="3F48A85D">
      <w:pPr>
        <w:widowControl/>
        <w:jc w:val="left"/>
        <w:rPr>
          <w:sz w:val="32"/>
        </w:rPr>
      </w:pPr>
    </w:p>
    <w:p w14:paraId="70FF0F8C">
      <w:pPr>
        <w:widowControl/>
        <w:jc w:val="left"/>
        <w:rPr>
          <w:sz w:val="32"/>
        </w:rPr>
      </w:pPr>
    </w:p>
    <w:p w14:paraId="55A56C2B">
      <w:pPr>
        <w:widowControl/>
        <w:jc w:val="left"/>
        <w:rPr>
          <w:sz w:val="32"/>
        </w:rPr>
      </w:pPr>
    </w:p>
    <w:p w14:paraId="66095D87">
      <w:pPr>
        <w:widowControl/>
        <w:jc w:val="left"/>
        <w:rPr>
          <w:sz w:val="32"/>
        </w:rPr>
      </w:pPr>
    </w:p>
    <w:p w14:paraId="0D002AB2">
      <w:pPr>
        <w:spacing w:line="360" w:lineRule="auto"/>
        <w:jc w:val="center"/>
        <w:rPr>
          <w:rFonts w:ascii="仿宋" w:hAnsi="仿宋" w:eastAsia="仿宋"/>
          <w:b/>
          <w:bCs/>
          <w:sz w:val="32"/>
          <w:szCs w:val="36"/>
        </w:rPr>
      </w:pPr>
      <w:r>
        <w:rPr>
          <w:rFonts w:hint="eastAsia" w:ascii="仿宋" w:hAnsi="仿宋" w:eastAsia="仿宋"/>
          <w:b/>
          <w:bCs/>
          <w:sz w:val="32"/>
          <w:szCs w:val="36"/>
        </w:rPr>
        <w:t>《裸地遥感监测技术指南》</w:t>
      </w:r>
    </w:p>
    <w:p w14:paraId="67D45B49">
      <w:pPr>
        <w:spacing w:line="360" w:lineRule="auto"/>
        <w:jc w:val="center"/>
        <w:rPr>
          <w:rFonts w:ascii="仿宋" w:hAnsi="仿宋" w:eastAsia="仿宋"/>
          <w:b/>
          <w:bCs/>
          <w:sz w:val="32"/>
          <w:szCs w:val="36"/>
        </w:rPr>
      </w:pPr>
      <w:r>
        <w:rPr>
          <w:rFonts w:hint="eastAsia" w:ascii="仿宋" w:hAnsi="仿宋" w:eastAsia="仿宋"/>
          <w:b/>
          <w:bCs/>
          <w:sz w:val="32"/>
          <w:szCs w:val="36"/>
        </w:rPr>
        <w:t>编制组</w:t>
      </w:r>
    </w:p>
    <w:p w14:paraId="593346D4">
      <w:pPr>
        <w:jc w:val="center"/>
      </w:pPr>
      <w:r>
        <w:rPr>
          <w:rFonts w:hint="eastAsia" w:ascii="仿宋" w:hAnsi="仿宋" w:eastAsia="仿宋"/>
          <w:b/>
          <w:bCs/>
          <w:sz w:val="32"/>
          <w:szCs w:val="36"/>
        </w:rPr>
        <w:t>二〇二四年11月</w:t>
      </w:r>
    </w:p>
    <w:p w14:paraId="0BB47F98">
      <w:pPr>
        <w:widowControl/>
        <w:jc w:val="center"/>
        <w:rPr>
          <w:sz w:val="32"/>
        </w:rPr>
      </w:pPr>
    </w:p>
    <w:p w14:paraId="57C7EEE7">
      <w:pPr>
        <w:widowControl/>
        <w:jc w:val="left"/>
        <w:rPr>
          <w:sz w:val="32"/>
        </w:rPr>
      </w:pPr>
      <w:r>
        <w:rPr>
          <w:sz w:val="32"/>
        </w:rPr>
        <w:br w:type="page"/>
      </w:r>
    </w:p>
    <w:p w14:paraId="1076BA5F">
      <w:pPr>
        <w:widowControl/>
        <w:jc w:val="left"/>
        <w:rPr>
          <w:rFonts w:ascii="黑体" w:hAnsi="黑体" w:eastAsia="黑体"/>
          <w:sz w:val="32"/>
          <w:szCs w:val="36"/>
        </w:rPr>
      </w:pPr>
      <w:r>
        <w:rPr>
          <w:rFonts w:hint="eastAsia" w:ascii="黑体" w:hAnsi="黑体" w:eastAsia="黑体"/>
          <w:sz w:val="32"/>
          <w:szCs w:val="36"/>
        </w:rPr>
        <w:t>项目名称：裸地遥感监测技术指南</w:t>
      </w:r>
    </w:p>
    <w:p w14:paraId="4067118C">
      <w:pPr>
        <w:widowControl/>
        <w:jc w:val="left"/>
        <w:rPr>
          <w:rFonts w:ascii="黑体" w:hAnsi="黑体" w:eastAsia="黑体"/>
          <w:sz w:val="32"/>
          <w:szCs w:val="36"/>
        </w:rPr>
      </w:pPr>
      <w:r>
        <w:rPr>
          <w:rFonts w:hint="eastAsia" w:ascii="黑体" w:hAnsi="黑体" w:eastAsia="黑体"/>
          <w:sz w:val="32"/>
          <w:szCs w:val="36"/>
        </w:rPr>
        <w:t>项目统一编号：20241064</w:t>
      </w:r>
    </w:p>
    <w:p w14:paraId="213D5F58">
      <w:pPr>
        <w:widowControl/>
        <w:jc w:val="left"/>
        <w:rPr>
          <w:rFonts w:ascii="黑体" w:hAnsi="黑体" w:eastAsia="黑体"/>
          <w:sz w:val="32"/>
          <w:szCs w:val="36"/>
        </w:rPr>
      </w:pPr>
      <w:r>
        <w:rPr>
          <w:rFonts w:hint="eastAsia" w:ascii="黑体" w:hAnsi="黑体" w:eastAsia="黑体"/>
          <w:sz w:val="32"/>
          <w:szCs w:val="36"/>
        </w:rPr>
        <w:t>承担单位：北京市生态环境监测中心</w:t>
      </w:r>
    </w:p>
    <w:p w14:paraId="332532B3">
      <w:pPr>
        <w:rPr>
          <w:sz w:val="32"/>
        </w:rPr>
      </w:pPr>
      <w:r>
        <w:rPr>
          <w:sz w:val="32"/>
        </w:rPr>
        <w:br w:type="page"/>
      </w:r>
    </w:p>
    <w:p w14:paraId="7962B3C2">
      <w:pPr>
        <w:spacing w:line="360" w:lineRule="auto"/>
        <w:ind w:firstLine="640"/>
        <w:jc w:val="center"/>
        <w:rPr>
          <w:rFonts w:ascii="黑体" w:hAnsi="黑体" w:eastAsia="黑体"/>
          <w:sz w:val="32"/>
          <w:szCs w:val="36"/>
        </w:rPr>
      </w:pPr>
      <w:r>
        <w:rPr>
          <w:rFonts w:hint="eastAsia" w:ascii="华文中宋" w:hAnsi="华文中宋" w:eastAsia="华文中宋"/>
          <w:sz w:val="44"/>
          <w:szCs w:val="44"/>
        </w:rPr>
        <w:t>《裸地遥感监测技术指南》北京市地方标准编制说明</w:t>
      </w:r>
    </w:p>
    <w:p w14:paraId="304F6442">
      <w:pPr>
        <w:numPr>
          <w:ilvl w:val="0"/>
          <w:numId w:val="8"/>
        </w:numPr>
        <w:ind w:left="0" w:firstLine="640" w:firstLineChars="200"/>
        <w:rPr>
          <w:rFonts w:ascii="仿宋_GB2312" w:eastAsia="仿宋_GB2312"/>
          <w:sz w:val="32"/>
          <w:szCs w:val="20"/>
        </w:rPr>
      </w:pPr>
      <w:bookmarkStart w:id="0" w:name="_Toc155990900"/>
      <w:r>
        <w:rPr>
          <w:rFonts w:hint="eastAsia" w:ascii="仿宋_GB2312" w:eastAsia="仿宋_GB2312"/>
          <w:sz w:val="32"/>
          <w:szCs w:val="20"/>
        </w:rPr>
        <w:t>任务来源，起草单位，协作单位，主要起草人。</w:t>
      </w:r>
    </w:p>
    <w:p w14:paraId="2F2DBC2C">
      <w:pPr>
        <w:ind w:firstLine="560" w:firstLineChars="200"/>
        <w:rPr>
          <w:rFonts w:ascii="仿宋_GB2312" w:eastAsia="仿宋_GB2312"/>
          <w:sz w:val="28"/>
          <w:szCs w:val="28"/>
        </w:rPr>
      </w:pPr>
      <w:r>
        <w:rPr>
          <w:rFonts w:hint="eastAsia" w:ascii="仿宋_GB2312" w:eastAsia="仿宋_GB2312"/>
          <w:sz w:val="28"/>
          <w:szCs w:val="28"/>
        </w:rPr>
        <w:t>1.1 任务来源</w:t>
      </w:r>
      <w:bookmarkEnd w:id="0"/>
    </w:p>
    <w:p w14:paraId="0AE7199B">
      <w:pPr>
        <w:pStyle w:val="27"/>
        <w:widowControl/>
        <w:spacing w:line="360" w:lineRule="auto"/>
        <w:ind w:firstLine="480"/>
        <w:rPr>
          <w:rFonts w:ascii="仿宋_GB2312" w:eastAsia="仿宋_GB2312"/>
          <w:sz w:val="24"/>
        </w:rPr>
      </w:pPr>
      <w:bookmarkStart w:id="1" w:name="_Toc155990901"/>
      <w:r>
        <w:rPr>
          <w:rFonts w:hint="eastAsia" w:ascii="仿宋_GB2312" w:eastAsia="仿宋_GB2312"/>
          <w:sz w:val="24"/>
        </w:rPr>
        <w:t>开展裸地的精细化监管，实施扬尘精细化管控是深入打好蓝天保卫战，支撑大气污染防治再续北京奇迹的重点任务之一。2023年8月，北京市市委书记尹力在北京市生态环境保护大会第一次全体会议上明确指出，“要高标准打好污染防治攻坚战，强化施工、道路、裸地‘三尘’共治，加强区域联防联控”。2024年7月，中共北京市委、北京市人民政府发布《关于全面建设美丽北京加快推进人与自然和谐共生的现代化的实施意见》，更是将裸地的治理作为支撑深入打好蓝天保卫战的任务之一，提出“强化扬尘精细管控，因地制宜基本实现裸地动态清零。”</w:t>
      </w:r>
    </w:p>
    <w:p w14:paraId="0AD5CDEB">
      <w:pPr>
        <w:pStyle w:val="27"/>
        <w:widowControl/>
        <w:spacing w:line="360" w:lineRule="auto"/>
        <w:ind w:firstLine="480"/>
        <w:rPr>
          <w:rFonts w:ascii="仿宋_GB2312" w:eastAsia="仿宋_GB2312"/>
          <w:sz w:val="24"/>
        </w:rPr>
      </w:pPr>
      <w:r>
        <w:rPr>
          <w:rFonts w:hint="eastAsia" w:ascii="仿宋_GB2312" w:eastAsia="仿宋_GB2312"/>
          <w:sz w:val="24"/>
        </w:rPr>
        <w:t>提升扬尘监管水平是促进北京空气质量持续改善的关键措施。2013年以来，面对人民群众对北京空气质量改善的殷殷期待，北京以超常规措施开展大气污染治理，以十年时间实现了发达国家二十年的治理成效，创造了“北京奇迹”。随着治理进程的推进，北京大气污染的生活化、面源化特征愈发突出，一季度扬尘污染频发已经成为北京空气质量持续改善面临的关键问题，为此北京连续两年实施“扬尘百日攻坚行动”，通过对施工、道路、裸地的精细化、系统化、规范化管理，有效遏制扬尘污染带来的影响。</w:t>
      </w:r>
    </w:p>
    <w:p w14:paraId="7ADBD140">
      <w:pPr>
        <w:pStyle w:val="27"/>
        <w:widowControl/>
        <w:spacing w:line="360" w:lineRule="auto"/>
        <w:ind w:firstLine="480"/>
        <w:rPr>
          <w:rFonts w:ascii="仿宋_GB2312" w:eastAsia="仿宋_GB2312"/>
          <w:sz w:val="24"/>
        </w:rPr>
      </w:pPr>
      <w:r>
        <w:rPr>
          <w:rFonts w:hint="eastAsia" w:ascii="仿宋_GB2312" w:eastAsia="仿宋_GB2312"/>
          <w:sz w:val="24"/>
        </w:rPr>
        <w:t>监测是监管的基石。目前，北京市通过高分辨率卫星遥感监测与地面调查相结合的方式，已经实现了对裸地类型、分布、面积、扬尘管控措施的动态监测，建立了3万余块裸地图斑的台账，并与各区生态环境部门两级联动，形成“市级遥感监测发现问题、区级现场落实督促整改”的监管模式，及时发现并解决裸地扬尘管控不到位的问题，为北京裸地扬尘的监管提供技术支撑。为了持续提供高水平的技术支撑，实现“裸地动态清零”的目标，必须尽快制定符合北京裸地扬尘特征和管理需求的标准规范，制定标准化的监测流程、产出高质量的监测数据。</w:t>
      </w:r>
    </w:p>
    <w:p w14:paraId="4A0BCFCE">
      <w:pPr>
        <w:pStyle w:val="27"/>
        <w:widowControl/>
        <w:spacing w:line="360" w:lineRule="auto"/>
        <w:ind w:firstLine="480"/>
        <w:rPr>
          <w:rFonts w:ascii="仿宋_GB2312" w:eastAsia="仿宋_GB2312"/>
          <w:sz w:val="24"/>
        </w:rPr>
      </w:pPr>
      <w:r>
        <w:rPr>
          <w:rFonts w:hint="eastAsia" w:ascii="仿宋_GB2312" w:eastAsia="仿宋_GB2312"/>
          <w:sz w:val="24"/>
        </w:rPr>
        <w:t>为贯彻《中华人民共和国环境保护法》、《中华人民共和国大气污染防治法》和《北京市大气污染防治条例》等法律法规，经北京市生态环境局申请，北京市市场监督管理局批准并将本文件列入《2024年北京市地方标准制修订项目计划（第一批）》，项目名称为《裸地遥感监测技术指南》，项目编号20241064。</w:t>
      </w:r>
    </w:p>
    <w:p w14:paraId="10F8ABF8">
      <w:pPr>
        <w:ind w:firstLine="560" w:firstLineChars="200"/>
        <w:rPr>
          <w:rFonts w:ascii="仿宋_GB2312" w:eastAsia="仿宋_GB2312"/>
          <w:sz w:val="28"/>
          <w:szCs w:val="28"/>
        </w:rPr>
      </w:pPr>
      <w:r>
        <w:rPr>
          <w:rFonts w:hint="eastAsia" w:ascii="仿宋_GB2312" w:eastAsia="仿宋_GB2312"/>
          <w:sz w:val="28"/>
          <w:szCs w:val="28"/>
        </w:rPr>
        <w:t>1.2 起草单位和主要起草人</w:t>
      </w:r>
      <w:bookmarkEnd w:id="1"/>
    </w:p>
    <w:p w14:paraId="6FF3901D">
      <w:pPr>
        <w:pStyle w:val="27"/>
        <w:widowControl/>
        <w:spacing w:line="360" w:lineRule="auto"/>
        <w:ind w:firstLine="480"/>
        <w:rPr>
          <w:rFonts w:ascii="仿宋_GB2312" w:eastAsia="仿宋_GB2312"/>
          <w:sz w:val="24"/>
        </w:rPr>
      </w:pPr>
      <w:bookmarkStart w:id="2" w:name="_Toc155990902"/>
      <w:r>
        <w:rPr>
          <w:rFonts w:hint="eastAsia" w:ascii="仿宋_GB2312" w:eastAsia="仿宋_GB2312"/>
          <w:sz w:val="24"/>
        </w:rPr>
        <w:t>标准编制单位是北京市生态环境监测中心。该单位是国家生态环境监测一级站，是“北京市大气颗粒物监测重点实验室”依托单位，监测技术研究实力雄厚，监测工作经验丰富。拥有2007年以来长时间序列的高分辨率遥感影像，2018年开始月度化开展裸地遥感监测工作，积累了丰富的技术资料和工作经验。</w:t>
      </w:r>
    </w:p>
    <w:p w14:paraId="5F41F6CB">
      <w:pPr>
        <w:pStyle w:val="27"/>
        <w:widowControl/>
        <w:spacing w:line="360" w:lineRule="auto"/>
        <w:ind w:firstLine="480"/>
        <w:rPr>
          <w:rFonts w:ascii="仿宋_GB2312" w:eastAsia="仿宋_GB2312"/>
          <w:sz w:val="24"/>
        </w:rPr>
      </w:pPr>
      <w:r>
        <w:rPr>
          <w:rFonts w:hint="eastAsia" w:ascii="仿宋_GB2312" w:eastAsia="仿宋_GB2312"/>
          <w:sz w:val="24"/>
        </w:rPr>
        <w:t>标准由北京市生态环境局归口并组织实施。</w:t>
      </w:r>
    </w:p>
    <w:p w14:paraId="3CD8F5DE">
      <w:pPr>
        <w:numPr>
          <w:ilvl w:val="0"/>
          <w:numId w:val="8"/>
        </w:numPr>
        <w:ind w:left="0" w:firstLine="640" w:firstLineChars="200"/>
        <w:rPr>
          <w:rFonts w:ascii="仿宋_GB2312" w:eastAsia="仿宋_GB2312"/>
          <w:sz w:val="32"/>
          <w:szCs w:val="20"/>
        </w:rPr>
      </w:pPr>
      <w:r>
        <w:rPr>
          <w:rFonts w:hint="eastAsia" w:ascii="仿宋_GB2312" w:eastAsia="仿宋_GB2312"/>
          <w:sz w:val="32"/>
          <w:szCs w:val="20"/>
        </w:rPr>
        <w:t>制定标准的必要性和意义</w:t>
      </w:r>
      <w:bookmarkEnd w:id="2"/>
    </w:p>
    <w:p w14:paraId="5D8AD94C">
      <w:pPr>
        <w:ind w:firstLine="560" w:firstLineChars="200"/>
        <w:rPr>
          <w:rFonts w:ascii="仿宋_GB2312" w:eastAsia="仿宋_GB2312"/>
          <w:sz w:val="28"/>
          <w:szCs w:val="28"/>
        </w:rPr>
      </w:pPr>
      <w:bookmarkStart w:id="3" w:name="_Toc4100"/>
      <w:bookmarkStart w:id="4" w:name="_Toc131516431"/>
      <w:bookmarkStart w:id="5" w:name="_Toc155990903"/>
      <w:bookmarkStart w:id="6" w:name="_Toc26452"/>
      <w:bookmarkStart w:id="7" w:name="_Toc490729005"/>
      <w:bookmarkStart w:id="8" w:name="_Toc103617111"/>
      <w:r>
        <w:rPr>
          <w:rFonts w:hint="eastAsia" w:ascii="仿宋_GB2312" w:eastAsia="仿宋_GB2312"/>
          <w:sz w:val="28"/>
          <w:szCs w:val="28"/>
        </w:rPr>
        <w:t>2.1 是落实国家及北京政策对扬尘污染防治的部署要求</w:t>
      </w:r>
      <w:bookmarkEnd w:id="3"/>
      <w:bookmarkEnd w:id="4"/>
      <w:bookmarkEnd w:id="5"/>
      <w:bookmarkEnd w:id="6"/>
    </w:p>
    <w:p w14:paraId="50BCB6B4">
      <w:pPr>
        <w:pStyle w:val="27"/>
        <w:widowControl/>
        <w:spacing w:line="360" w:lineRule="auto"/>
        <w:ind w:firstLine="480"/>
        <w:rPr>
          <w:rFonts w:ascii="仿宋_GB2312" w:eastAsia="仿宋_GB2312"/>
          <w:sz w:val="24"/>
        </w:rPr>
      </w:pPr>
      <w:r>
        <w:rPr>
          <w:rFonts w:hint="eastAsia" w:ascii="仿宋_GB2312" w:eastAsia="仿宋_GB2312"/>
          <w:sz w:val="24"/>
        </w:rPr>
        <w:t>扬尘源是影响北京空气质量的重要污染源之一，国家及北京高度重视扬尘污染治理工作。2013年9月国务院印发《大气污染防治行动计划》，明确提出综合整治城市扬尘，并将扬尘管控纳入重污染天气应急预案。2016年7月</w:t>
      </w:r>
      <w:r>
        <w:rPr>
          <w:rFonts w:hint="eastAsia" w:ascii="仿宋_GB2312" w:eastAsia="仿宋_GB2312"/>
          <w:sz w:val="24"/>
          <w:highlight w:val="none"/>
        </w:rPr>
        <w:t>行动计划</w:t>
      </w:r>
      <w:r>
        <w:rPr>
          <w:rFonts w:hint="eastAsia" w:ascii="仿宋_GB2312" w:eastAsia="仿宋_GB2312"/>
          <w:sz w:val="24"/>
        </w:rPr>
        <w:t>实施情况中期评估</w:t>
      </w:r>
      <w:r>
        <w:rPr>
          <w:rFonts w:hint="eastAsia" w:ascii="仿宋_GB2312" w:eastAsia="仿宋_GB2312"/>
          <w:sz w:val="24"/>
          <w:lang w:eastAsia="zh-CN"/>
        </w:rPr>
        <w:t>结果</w:t>
      </w:r>
      <w:r>
        <w:rPr>
          <w:rFonts w:hint="eastAsia" w:ascii="仿宋_GB2312" w:eastAsia="仿宋_GB2312"/>
          <w:sz w:val="24"/>
        </w:rPr>
        <w:t>指出，扬尘综合整治措施是对PM2.5浓度下降贡献最为显著的措施之一，并进一步提出严控扬尘污染以实现北京市空气质量长效改善。2018年，国务院先后发布《关于全面加强生态环境保护坚决打好污染防治攻坚战的意见》、《打赢蓝天保卫战三年行动计划》，北京市委、市政府贯彻落实中央要求、结合本市实际，印发了《关于全面加强生态环境保护坚决打好北京市污染防治攻坚战的意见》，将“打好扬尘污染管控战”作为打赢蓝天保卫战的四大战略之一，聚焦扬尘等重点防治领域制定行动计划。《意见》中明确提出要整治面源扬尘，应用卫星遥感等手段，按月监控裸地和拆迁地块的分布、整治情况。要求各区采取生物覆盖、绿化、硬化等措施及时整治裸地、拆迁地块的扬尘污染，整治完成比例位于全市后10位的乡镇（街道），由市环保部门按月予以通报。本标准将为各级生态环境主管部门履行责任提供技术途径，将国家及北京相关政策对裸地扬尘污染防治的要求落到实处。</w:t>
      </w:r>
    </w:p>
    <w:p w14:paraId="1EA372CC">
      <w:pPr>
        <w:ind w:firstLine="560" w:firstLineChars="200"/>
        <w:rPr>
          <w:rFonts w:ascii="仿宋_GB2312" w:eastAsia="仿宋_GB2312"/>
          <w:sz w:val="28"/>
          <w:szCs w:val="28"/>
        </w:rPr>
      </w:pPr>
      <w:bookmarkStart w:id="9" w:name="_Toc11146"/>
      <w:bookmarkStart w:id="10" w:name="_Toc11831"/>
      <w:bookmarkStart w:id="11" w:name="_Toc131516432"/>
      <w:bookmarkStart w:id="12" w:name="_Toc155990904"/>
      <w:r>
        <w:rPr>
          <w:rFonts w:hint="eastAsia" w:ascii="仿宋_GB2312" w:eastAsia="仿宋_GB2312"/>
          <w:sz w:val="28"/>
          <w:szCs w:val="28"/>
        </w:rPr>
        <w:t>2.2 是建立清单式管理方式、提升监管效能的迫切需求</w:t>
      </w:r>
      <w:bookmarkEnd w:id="9"/>
      <w:bookmarkEnd w:id="10"/>
      <w:bookmarkEnd w:id="11"/>
      <w:bookmarkEnd w:id="12"/>
    </w:p>
    <w:p w14:paraId="7ADF68AC">
      <w:pPr>
        <w:pStyle w:val="27"/>
        <w:widowControl/>
        <w:spacing w:line="360" w:lineRule="auto"/>
        <w:ind w:firstLine="480"/>
        <w:rPr>
          <w:rFonts w:ascii="仿宋_GB2312" w:eastAsia="仿宋_GB2312"/>
          <w:sz w:val="24"/>
        </w:rPr>
      </w:pPr>
      <w:bookmarkStart w:id="13" w:name="_Toc24682"/>
      <w:bookmarkStart w:id="14" w:name="_Toc30439"/>
      <w:bookmarkStart w:id="15" w:name="_Toc131516433"/>
      <w:bookmarkStart w:id="16" w:name="_Toc155990905"/>
      <w:r>
        <w:rPr>
          <w:rFonts w:hint="eastAsia" w:ascii="仿宋_GB2312" w:eastAsia="仿宋_GB2312"/>
          <w:sz w:val="24"/>
        </w:rPr>
        <w:t>裸地的遥感监测为实现裸地扬尘源的全面远程监控提供了技术路径。裸地扬尘源存在分布广泛、变化快、管控难度大、问题易反复的特征，依靠人工巡查方式，持续投入人力物力，亦只能维持约1%的覆盖率，无法实现对裸地扬尘源的全面、及时、精准管控。遥感卫星影像数据具有覆盖范围广、时效性高、更新频率快、波段信息丰富等诸多优势，能快速准确地获取裸地分布信息，了解其类型、所处施工阶段、动态变化，全面建立裸地的台账清单并高频次动态更新，支撑全视野开展裸地的监管。此外，通过遥感监测可以获取扬尘覆盖措施落实情况，为生态环境主管部门提供扬尘管控措施落实不到位的问题线索，辅助精准执法，促进问题整改到位，提升执法和管理的针对性和时效性。建立规范化、标准化的裸地遥感监测技术规范，可以支撑裸地形成清单式管理方式，提升裸地扬尘源监管效能的迫切需求。</w:t>
      </w:r>
    </w:p>
    <w:p w14:paraId="23272FDE">
      <w:pPr>
        <w:pStyle w:val="3"/>
        <w:numPr>
          <w:ilvl w:val="0"/>
          <w:numId w:val="0"/>
        </w:numPr>
        <w:spacing w:before="0" w:after="0" w:line="416" w:lineRule="auto"/>
        <w:ind w:firstLine="560" w:firstLineChars="200"/>
        <w:rPr>
          <w:rFonts w:ascii="仿宋_GB2312"/>
          <w:b w:val="0"/>
          <w:bCs w:val="0"/>
          <w:sz w:val="32"/>
          <w:szCs w:val="20"/>
        </w:rPr>
      </w:pPr>
      <w:r>
        <w:rPr>
          <w:rFonts w:hint="eastAsia" w:ascii="仿宋_GB2312"/>
          <w:b w:val="0"/>
          <w:bCs w:val="0"/>
          <w:szCs w:val="28"/>
        </w:rPr>
        <w:t>2.3 是强化遥感技术应用、促进监测手段现代化的技术需求</w:t>
      </w:r>
      <w:bookmarkEnd w:id="13"/>
      <w:bookmarkEnd w:id="14"/>
      <w:bookmarkEnd w:id="15"/>
      <w:bookmarkEnd w:id="16"/>
    </w:p>
    <w:p w14:paraId="753B2CC6">
      <w:pPr>
        <w:pStyle w:val="27"/>
        <w:widowControl/>
        <w:spacing w:line="360" w:lineRule="auto"/>
        <w:ind w:firstLine="480"/>
        <w:rPr>
          <w:rFonts w:ascii="仿宋_GB2312" w:eastAsia="仿宋_GB2312"/>
          <w:sz w:val="24"/>
        </w:rPr>
      </w:pPr>
      <w:r>
        <w:rPr>
          <w:rFonts w:hint="eastAsia" w:ascii="仿宋_GB2312" w:eastAsia="仿宋_GB2312"/>
          <w:sz w:val="24"/>
        </w:rPr>
        <w:t>北京市于2018年开始开展裸地遥感月度监测关键技术研究，经过多年探索，北京市裸地遥感监测已进入业务化运行阶段，需要固化研究成果，保证裸地遥感监测结果的可比性、持续性和可靠性。当前扬尘监管处于生态环境部门牵头、住建、园林、水务等行业主管部门参与，区级、街道乡镇级具体监管的多元主体共治格局，裸地监测数据在数据来源规范性、技术方法统一性、技术指标完备性上缺乏统一的监测技术规范，容易造成裸地监测成果不兼容、利用率低的问题。建立裸地遥感监测技术规范，有利于固化裸地遥感监测技术成果，强化遥感监测技术应用，更高质量地服务于北京市扬尘精细化管控需求。</w:t>
      </w:r>
    </w:p>
    <w:p w14:paraId="24A6B10C">
      <w:pPr>
        <w:pStyle w:val="27"/>
        <w:widowControl/>
        <w:spacing w:line="360" w:lineRule="auto"/>
        <w:ind w:firstLine="480"/>
        <w:rPr>
          <w:rFonts w:ascii="仿宋_GB2312" w:eastAsia="仿宋_GB2312"/>
          <w:sz w:val="24"/>
        </w:rPr>
      </w:pPr>
      <w:r>
        <w:rPr>
          <w:rFonts w:hint="eastAsia" w:ascii="仿宋_GB2312" w:eastAsia="仿宋_GB2312"/>
          <w:sz w:val="24"/>
        </w:rPr>
        <w:t>本指南将指导北京市各级行业主管和生态环境监测部门，利用遥感监测技术开展裸地监测，加强裸地日常监管和风险管理，助力高效落实《中华人民共和国大气污染防治法》和《北京市大气污染防治条例》要求。</w:t>
      </w:r>
    </w:p>
    <w:p w14:paraId="16D13100">
      <w:pPr>
        <w:numPr>
          <w:ilvl w:val="0"/>
          <w:numId w:val="8"/>
        </w:numPr>
        <w:ind w:left="0" w:firstLine="640" w:firstLineChars="200"/>
        <w:rPr>
          <w:rFonts w:ascii="仿宋_GB2312" w:eastAsia="仿宋_GB2312"/>
          <w:sz w:val="32"/>
          <w:szCs w:val="20"/>
        </w:rPr>
      </w:pPr>
      <w:r>
        <w:rPr>
          <w:rFonts w:hint="eastAsia" w:ascii="仿宋_GB2312" w:eastAsia="仿宋_GB2312"/>
          <w:sz w:val="32"/>
          <w:szCs w:val="20"/>
        </w:rPr>
        <w:t>适用对象基本情况。</w:t>
      </w:r>
    </w:p>
    <w:p w14:paraId="4B8A9387">
      <w:pPr>
        <w:spacing w:line="360" w:lineRule="auto"/>
        <w:ind w:firstLine="480" w:firstLineChars="200"/>
        <w:rPr>
          <w:rFonts w:ascii="仿宋_GB2312" w:eastAsia="仿宋_GB2312"/>
          <w:sz w:val="24"/>
        </w:rPr>
      </w:pPr>
      <w:r>
        <w:rPr>
          <w:rFonts w:hint="eastAsia" w:ascii="仿宋_GB2312" w:eastAsia="仿宋_GB2312"/>
          <w:sz w:val="24"/>
        </w:rPr>
        <w:t>本指南适用于规范化裸地的遥感监测工作，规定了裸地遥感监测的工作程序、监测资料准备、遥感监测方法、质量控制与精度评估、监测成果、裸地整治率评价等内容。目前北京市每个月对裸地分布情况开展遥感监测，对裸地的类型、施工阶段、变化状态、覆盖情况进行解译，结果用于对乡镇裸地扬尘管控情况的评价。2024年裸地图斑数量22000余块</w:t>
      </w:r>
      <w:r>
        <w:rPr>
          <w:rFonts w:hint="eastAsia" w:ascii="仿宋_GB2312" w:eastAsia="仿宋_GB2312"/>
          <w:sz w:val="24"/>
          <w:lang w:eastAsia="zh-CN"/>
        </w:rPr>
        <w:t>，</w:t>
      </w:r>
      <w:r>
        <w:rPr>
          <w:rFonts w:hint="eastAsia" w:ascii="仿宋_GB2312" w:eastAsia="仿宋_GB2312"/>
          <w:sz w:val="24"/>
        </w:rPr>
        <w:t>全年监测未管控裸地平均面积为4</w:t>
      </w:r>
      <w:r>
        <w:rPr>
          <w:rFonts w:ascii="仿宋_GB2312" w:eastAsia="仿宋_GB2312"/>
          <w:sz w:val="24"/>
        </w:rPr>
        <w:t>1.0</w:t>
      </w:r>
      <w:r>
        <w:rPr>
          <w:rFonts w:hint="eastAsia" w:ascii="仿宋_GB2312" w:eastAsia="仿宋_GB2312"/>
          <w:sz w:val="24"/>
        </w:rPr>
        <w:t>平方公里，处于五年来最低水平</w:t>
      </w:r>
      <w:r>
        <w:rPr>
          <w:rFonts w:hint="eastAsia" w:ascii="仿宋_GB2312" w:eastAsia="仿宋_GB2312"/>
          <w:sz w:val="24"/>
          <w:lang w:eastAsia="zh-CN"/>
        </w:rPr>
        <w:t>，</w:t>
      </w:r>
      <w:r>
        <w:rPr>
          <w:rFonts w:hint="eastAsia" w:ascii="仿宋_GB2312" w:eastAsia="仿宋_GB2312"/>
          <w:sz w:val="24"/>
        </w:rPr>
        <w:t>平均管控率7</w:t>
      </w:r>
      <w:r>
        <w:rPr>
          <w:rFonts w:ascii="仿宋_GB2312" w:eastAsia="仿宋_GB2312"/>
          <w:sz w:val="24"/>
        </w:rPr>
        <w:t>5.7%</w:t>
      </w:r>
      <w:r>
        <w:rPr>
          <w:rFonts w:hint="eastAsia" w:ascii="仿宋_GB2312" w:eastAsia="仿宋_GB2312"/>
          <w:sz w:val="24"/>
          <w:lang w:eastAsia="zh-CN"/>
        </w:rPr>
        <w:t>。</w:t>
      </w:r>
      <w:r>
        <w:rPr>
          <w:rFonts w:hint="eastAsia" w:ascii="仿宋_GB2312" w:eastAsia="仿宋_GB2312"/>
          <w:sz w:val="24"/>
        </w:rPr>
        <w:t>各区皆有裸地分布，房山区、昌平区、大兴区裸地分别较多。本指南对裸地遥感监测的对象进行了定义、对监测方法提出了相应的技术要求；对监测的裸地类型、施工阶段、变化状态、覆盖情况等指标进行了特征说明；对质量控制和经度评估提出了要求；规范了评价方法和评价等级。对北京市及各区开展裸地遥感监测工作提出了技术指导作用。</w:t>
      </w:r>
    </w:p>
    <w:bookmarkEnd w:id="7"/>
    <w:bookmarkEnd w:id="8"/>
    <w:p w14:paraId="00689748">
      <w:pPr>
        <w:numPr>
          <w:ilvl w:val="0"/>
          <w:numId w:val="8"/>
        </w:numPr>
        <w:ind w:left="0" w:firstLine="640" w:firstLineChars="200"/>
        <w:rPr>
          <w:rFonts w:ascii="仿宋_GB2312" w:eastAsia="仿宋_GB2312"/>
          <w:sz w:val="32"/>
          <w:szCs w:val="20"/>
        </w:rPr>
      </w:pPr>
      <w:bookmarkStart w:id="17" w:name="_Toc103617113"/>
      <w:bookmarkStart w:id="18" w:name="_Toc155990907"/>
      <w:r>
        <w:rPr>
          <w:rFonts w:hint="eastAsia" w:ascii="仿宋_GB2312" w:eastAsia="仿宋_GB2312"/>
          <w:sz w:val="32"/>
          <w:szCs w:val="20"/>
        </w:rPr>
        <w:t>主要起草过程。</w:t>
      </w:r>
    </w:p>
    <w:p w14:paraId="051E0CB5">
      <w:pPr>
        <w:pStyle w:val="27"/>
        <w:widowControl/>
        <w:spacing w:line="360" w:lineRule="auto"/>
        <w:ind w:firstLine="480"/>
        <w:rPr>
          <w:rFonts w:ascii="仿宋_GB2312" w:eastAsia="仿宋_GB2312"/>
          <w:sz w:val="24"/>
        </w:rPr>
      </w:pPr>
      <w:r>
        <w:rPr>
          <w:rFonts w:hint="eastAsia" w:ascii="仿宋_GB2312" w:eastAsia="仿宋_GB2312"/>
          <w:sz w:val="24"/>
        </w:rPr>
        <w:t>2023年申报阶段，基于已经开展的业务工作完成了标准初稿的编制。申报为一类标准。</w:t>
      </w:r>
    </w:p>
    <w:p w14:paraId="629F3C2F">
      <w:pPr>
        <w:pStyle w:val="27"/>
        <w:widowControl/>
        <w:spacing w:line="360" w:lineRule="auto"/>
        <w:ind w:firstLine="480"/>
        <w:rPr>
          <w:rFonts w:ascii="仿宋_GB2312" w:eastAsia="仿宋_GB2312"/>
          <w:sz w:val="24"/>
        </w:rPr>
      </w:pPr>
      <w:r>
        <w:rPr>
          <w:rFonts w:hint="eastAsia" w:ascii="仿宋_GB2312" w:eastAsia="仿宋_GB2312"/>
          <w:sz w:val="24"/>
        </w:rPr>
        <w:t>2024年1月，《裸地遥感监测技术指南》标准编制组正式成立，并启动标准编制工作，明确标准编制的工作计划和人员安排。</w:t>
      </w:r>
    </w:p>
    <w:p w14:paraId="6AC2BA05">
      <w:pPr>
        <w:pStyle w:val="27"/>
        <w:widowControl/>
        <w:spacing w:line="360" w:lineRule="auto"/>
        <w:ind w:firstLine="480"/>
        <w:rPr>
          <w:rFonts w:ascii="仿宋_GB2312" w:eastAsia="仿宋_GB2312"/>
          <w:sz w:val="24"/>
        </w:rPr>
      </w:pPr>
      <w:r>
        <w:rPr>
          <w:rFonts w:hint="eastAsia" w:ascii="仿宋_GB2312" w:eastAsia="仿宋_GB2312"/>
          <w:sz w:val="24"/>
        </w:rPr>
        <w:t>2024年1月-4月，编制组开展需求调研，修改完成标准文本与编制说明的专家咨询稿。</w:t>
      </w:r>
    </w:p>
    <w:p w14:paraId="5142618A">
      <w:pPr>
        <w:pStyle w:val="27"/>
        <w:widowControl/>
        <w:spacing w:line="360" w:lineRule="auto"/>
        <w:ind w:firstLine="480"/>
        <w:rPr>
          <w:rFonts w:ascii="仿宋_GB2312" w:eastAsia="仿宋_GB2312"/>
          <w:sz w:val="24"/>
        </w:rPr>
      </w:pPr>
      <w:r>
        <w:rPr>
          <w:rFonts w:hint="eastAsia" w:ascii="仿宋_GB2312" w:eastAsia="仿宋_GB2312"/>
          <w:sz w:val="24"/>
        </w:rPr>
        <w:t>2024年5月，北京市生态环境监测中心以函审的方式，邀请了北京市标准化研究院、中国科学院空天信息创新研究院、生态环境部卫星环境应用中心、首都师范大学、北京市测绘设计研究院、中国环境科学研究院、二十一世纪空间技术应用股份有限公司的7位标准制定领域和生态环境行业专家提出修改意见。</w:t>
      </w:r>
    </w:p>
    <w:p w14:paraId="7A5411F9">
      <w:pPr>
        <w:pStyle w:val="27"/>
        <w:widowControl/>
        <w:spacing w:line="360" w:lineRule="auto"/>
        <w:ind w:firstLine="480"/>
        <w:rPr>
          <w:rFonts w:ascii="仿宋_GB2312" w:eastAsia="仿宋_GB2312"/>
          <w:sz w:val="24"/>
        </w:rPr>
      </w:pPr>
      <w:r>
        <w:rPr>
          <w:rFonts w:hint="eastAsia" w:ascii="仿宋_GB2312" w:eastAsia="仿宋_GB2312"/>
          <w:sz w:val="24"/>
        </w:rPr>
        <w:t>2024年5月-8月，编制组就专家提出的意见和建议进行了修改，形成标准文本和编制说明的征求意见稿。</w:t>
      </w:r>
    </w:p>
    <w:bookmarkEnd w:id="17"/>
    <w:bookmarkEnd w:id="18"/>
    <w:p w14:paraId="7CB3C666">
      <w:pPr>
        <w:numPr>
          <w:ilvl w:val="0"/>
          <w:numId w:val="8"/>
        </w:numPr>
        <w:ind w:left="0" w:firstLine="640" w:firstLineChars="200"/>
        <w:rPr>
          <w:rFonts w:ascii="仿宋_GB2312" w:eastAsia="仿宋_GB2312"/>
          <w:sz w:val="32"/>
          <w:szCs w:val="20"/>
        </w:rPr>
      </w:pPr>
      <w:bookmarkStart w:id="19" w:name="_Toc103617114"/>
      <w:bookmarkStart w:id="20" w:name="_Toc155990908"/>
      <w:r>
        <w:rPr>
          <w:rFonts w:hint="eastAsia" w:ascii="仿宋_GB2312" w:eastAsia="仿宋_GB2312"/>
          <w:sz w:val="32"/>
          <w:szCs w:val="20"/>
        </w:rPr>
        <w:t>制定标准的原则和依据，与现行法律、法规、标准的关系，与国内外同类标准水平的对比情况。</w:t>
      </w:r>
    </w:p>
    <w:p w14:paraId="79B45B4F">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5.1 编制原则</w:t>
      </w:r>
      <w:bookmarkEnd w:id="19"/>
      <w:bookmarkEnd w:id="20"/>
    </w:p>
    <w:p w14:paraId="0A1273E6">
      <w:pPr>
        <w:pStyle w:val="3"/>
        <w:numPr>
          <w:ilvl w:val="0"/>
          <w:numId w:val="0"/>
        </w:numPr>
        <w:spacing w:before="0" w:after="0" w:line="360" w:lineRule="auto"/>
        <w:ind w:firstLine="560" w:firstLineChars="200"/>
        <w:rPr>
          <w:rFonts w:ascii="仿宋_GB2312"/>
          <w:b w:val="0"/>
          <w:bCs w:val="0"/>
          <w:szCs w:val="28"/>
        </w:rPr>
      </w:pPr>
      <w:bookmarkStart w:id="21" w:name="_Toc17235"/>
      <w:bookmarkStart w:id="22" w:name="_Toc131516445"/>
      <w:bookmarkStart w:id="23" w:name="_Toc13427"/>
      <w:r>
        <w:rPr>
          <w:rFonts w:hint="eastAsia" w:ascii="仿宋_GB2312"/>
          <w:b w:val="0"/>
          <w:bCs w:val="0"/>
          <w:szCs w:val="28"/>
        </w:rPr>
        <w:t>5.1.1衔接相关法律法规</w:t>
      </w:r>
      <w:bookmarkEnd w:id="21"/>
      <w:bookmarkEnd w:id="22"/>
      <w:bookmarkEnd w:id="23"/>
    </w:p>
    <w:p w14:paraId="318CE4B4">
      <w:pPr>
        <w:spacing w:line="360" w:lineRule="auto"/>
        <w:ind w:firstLine="480" w:firstLineChars="200"/>
        <w:rPr>
          <w:rFonts w:ascii="仿宋_GB2312" w:eastAsia="仿宋_GB2312"/>
          <w:sz w:val="24"/>
        </w:rPr>
      </w:pPr>
      <w:r>
        <w:rPr>
          <w:rFonts w:hint="eastAsia" w:ascii="仿宋_GB2312" w:eastAsia="仿宋_GB2312"/>
          <w:sz w:val="24"/>
        </w:rPr>
        <w:t>以国家和北京市现行生态环境相关法律、法规、政策和规划中扬尘污染防治的相关要求为依据，符合各项法规要求，与现行相关标准协调衔接，满足环境监督管理要求。</w:t>
      </w:r>
    </w:p>
    <w:p w14:paraId="30D69E5A">
      <w:pPr>
        <w:pStyle w:val="3"/>
        <w:numPr>
          <w:ilvl w:val="0"/>
          <w:numId w:val="0"/>
        </w:numPr>
        <w:spacing w:before="0" w:after="0" w:line="416" w:lineRule="auto"/>
        <w:ind w:firstLine="560" w:firstLineChars="200"/>
        <w:rPr>
          <w:rFonts w:ascii="仿宋_GB2312"/>
          <w:b w:val="0"/>
          <w:bCs w:val="0"/>
          <w:szCs w:val="28"/>
        </w:rPr>
      </w:pPr>
      <w:bookmarkStart w:id="24" w:name="_Toc16964"/>
      <w:bookmarkStart w:id="25" w:name="_Toc28247"/>
      <w:bookmarkStart w:id="26" w:name="_Toc131516446"/>
      <w:r>
        <w:rPr>
          <w:rFonts w:hint="eastAsia" w:ascii="仿宋_GB2312"/>
          <w:b w:val="0"/>
          <w:bCs w:val="0"/>
          <w:szCs w:val="28"/>
        </w:rPr>
        <w:t>5.1.2科学性、可行性和系统性</w:t>
      </w:r>
      <w:bookmarkEnd w:id="24"/>
      <w:bookmarkEnd w:id="25"/>
      <w:bookmarkEnd w:id="26"/>
    </w:p>
    <w:p w14:paraId="678DAAC5">
      <w:pPr>
        <w:spacing w:line="360" w:lineRule="auto"/>
        <w:ind w:firstLine="480" w:firstLineChars="200"/>
        <w:rPr>
          <w:rFonts w:ascii="仿宋_GB2312" w:eastAsia="仿宋_GB2312"/>
          <w:sz w:val="24"/>
        </w:rPr>
      </w:pPr>
      <w:bookmarkStart w:id="27" w:name="_Toc26145"/>
      <w:bookmarkStart w:id="28" w:name="_Toc131516447"/>
      <w:bookmarkStart w:id="29" w:name="_Toc23033"/>
      <w:r>
        <w:rPr>
          <w:rFonts w:hint="eastAsia" w:ascii="仿宋_GB2312" w:eastAsia="仿宋_GB2312"/>
          <w:sz w:val="24"/>
        </w:rPr>
        <w:t>全面调研国内外裸地遥感监测技术，充分借鉴北京市及其他省市已有的裸地遥感监测技术水平，基于北京市现有裸地遥感监测现状，制定裸地遥感监测技术指南，形成裸地遥感监测工作程序、监测材料准备、遥感监测方法、质量控制与精度评估、整治情况评价等技术要求。</w:t>
      </w:r>
    </w:p>
    <w:p w14:paraId="0D28CCF9">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5.1.3促进空气质量持续改善</w:t>
      </w:r>
      <w:bookmarkEnd w:id="27"/>
      <w:bookmarkEnd w:id="28"/>
      <w:bookmarkEnd w:id="29"/>
    </w:p>
    <w:p w14:paraId="5A13AE76">
      <w:pPr>
        <w:spacing w:line="360" w:lineRule="auto"/>
        <w:ind w:firstLine="480" w:firstLineChars="200"/>
        <w:rPr>
          <w:rFonts w:ascii="仿宋_GB2312" w:eastAsia="仿宋_GB2312"/>
          <w:sz w:val="24"/>
        </w:rPr>
      </w:pPr>
      <w:r>
        <w:rPr>
          <w:rFonts w:hint="eastAsia" w:ascii="仿宋_GB2312" w:eastAsia="仿宋_GB2312"/>
          <w:sz w:val="24"/>
        </w:rPr>
        <w:t>以减少未管控裸地为目标，以公众对蓝天常在的需求为导向，明确扬尘污染管理需求，提高扬尘监管水平。</w:t>
      </w:r>
    </w:p>
    <w:p w14:paraId="6F20933D">
      <w:pPr>
        <w:pStyle w:val="3"/>
        <w:numPr>
          <w:ilvl w:val="0"/>
          <w:numId w:val="0"/>
        </w:numPr>
        <w:spacing w:before="0" w:after="0" w:line="360" w:lineRule="auto"/>
        <w:ind w:firstLine="560" w:firstLineChars="200"/>
        <w:rPr>
          <w:rFonts w:ascii="仿宋_GB2312"/>
          <w:b w:val="0"/>
          <w:bCs w:val="0"/>
          <w:szCs w:val="28"/>
        </w:rPr>
      </w:pPr>
      <w:bookmarkStart w:id="30" w:name="_Toc155990909"/>
      <w:r>
        <w:rPr>
          <w:rFonts w:hint="eastAsia" w:ascii="仿宋_GB2312"/>
          <w:b w:val="0"/>
          <w:bCs w:val="0"/>
          <w:szCs w:val="28"/>
        </w:rPr>
        <w:t>5.2 制定依据</w:t>
      </w:r>
      <w:bookmarkEnd w:id="30"/>
    </w:p>
    <w:p w14:paraId="1E7CADD9">
      <w:pPr>
        <w:spacing w:line="360" w:lineRule="auto"/>
        <w:ind w:firstLine="480" w:firstLineChars="200"/>
        <w:rPr>
          <w:rFonts w:ascii="仿宋_GB2312" w:eastAsia="仿宋_GB2312"/>
          <w:sz w:val="24"/>
        </w:rPr>
      </w:pPr>
      <w:bookmarkStart w:id="31" w:name="_Toc31566"/>
      <w:bookmarkStart w:id="32" w:name="_Toc131516449"/>
      <w:bookmarkStart w:id="33" w:name="_Toc22723"/>
      <w:r>
        <w:rPr>
          <w:rFonts w:hint="eastAsia" w:ascii="仿宋_GB2312" w:eastAsia="仿宋_GB2312"/>
          <w:sz w:val="24"/>
        </w:rPr>
        <w:t>依据以下法律法规和政策文件，结合北京市裸地遥感监测业务化运行体系和经验编制本指南。</w:t>
      </w:r>
    </w:p>
    <w:bookmarkEnd w:id="31"/>
    <w:bookmarkEnd w:id="32"/>
    <w:bookmarkEnd w:id="33"/>
    <w:p w14:paraId="7F13D56D">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5.2.1中华人民共和国环境保护法</w:t>
      </w:r>
    </w:p>
    <w:p w14:paraId="21C16BB4">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rPr>
        <w:t>《中华人民共和国环境保护法》第十八条要求对环境状况开展调查及评价。</w:t>
      </w:r>
    </w:p>
    <w:p w14:paraId="5CAFDCE3">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第十八条 省级以上人民政府应当组织有关部门或者委托专业机构，对环境状况进行调查、评价，建立环境资源承载能力监测评价机制。</w:t>
      </w:r>
    </w:p>
    <w:p w14:paraId="2B56862F">
      <w:pPr>
        <w:pStyle w:val="3"/>
        <w:numPr>
          <w:ilvl w:val="0"/>
          <w:numId w:val="0"/>
        </w:numPr>
        <w:spacing w:before="0" w:after="0" w:line="360" w:lineRule="auto"/>
        <w:ind w:firstLine="560" w:firstLineChars="200"/>
        <w:rPr>
          <w:rFonts w:ascii="仿宋_GB2312"/>
          <w:b w:val="0"/>
          <w:bCs w:val="0"/>
          <w:szCs w:val="28"/>
        </w:rPr>
      </w:pPr>
      <w:bookmarkStart w:id="34" w:name="_Toc131516450"/>
      <w:bookmarkStart w:id="35" w:name="_Toc1059"/>
      <w:bookmarkStart w:id="36" w:name="_Toc20696"/>
      <w:r>
        <w:rPr>
          <w:rFonts w:hint="eastAsia" w:ascii="仿宋_GB2312"/>
          <w:b w:val="0"/>
          <w:bCs w:val="0"/>
          <w:szCs w:val="28"/>
        </w:rPr>
        <w:t>5.2.2中华人民共和国大气污染防治法</w:t>
      </w:r>
      <w:bookmarkEnd w:id="34"/>
      <w:bookmarkEnd w:id="35"/>
      <w:bookmarkEnd w:id="36"/>
    </w:p>
    <w:p w14:paraId="09B545B0">
      <w:pPr>
        <w:spacing w:line="360" w:lineRule="auto"/>
        <w:ind w:firstLine="482" w:firstLineChars="200"/>
        <w:rPr>
          <w:rFonts w:ascii="仿宋_GB2312" w:eastAsia="仿宋_GB2312"/>
          <w:b/>
          <w:bCs/>
          <w:sz w:val="24"/>
        </w:rPr>
      </w:pPr>
      <w:r>
        <w:rPr>
          <w:rFonts w:hint="eastAsia" w:ascii="仿宋_GB2312" w:eastAsia="仿宋_GB2312"/>
          <w:b/>
          <w:bCs/>
          <w:sz w:val="24"/>
        </w:rPr>
        <w:t>《中华人民共和国大气污染防治法》第六十八条、第六十九条和第七十一条明确了裸地扬尘防治的具体措施。</w:t>
      </w:r>
    </w:p>
    <w:p w14:paraId="37379C80">
      <w:pPr>
        <w:pStyle w:val="27"/>
        <w:widowControl/>
        <w:spacing w:line="360" w:lineRule="auto"/>
        <w:ind w:firstLine="480"/>
        <w:rPr>
          <w:sz w:val="24"/>
        </w:rPr>
      </w:pPr>
      <w:r>
        <w:rPr>
          <w:rFonts w:hint="eastAsia"/>
          <w:sz w:val="24"/>
        </w:rPr>
        <w:t>第六十八条 地方各级人民政府应当加强对建设施工和运输的管理，保持道路清洁，控制料堆和渣土堆放，扩大绿地、水面、湿地和地面铺装面积，防治扬尘污染。</w:t>
      </w:r>
    </w:p>
    <w:p w14:paraId="09BD0403">
      <w:pPr>
        <w:pStyle w:val="27"/>
        <w:widowControl/>
        <w:spacing w:line="360" w:lineRule="auto"/>
        <w:ind w:firstLine="480"/>
        <w:rPr>
          <w:sz w:val="24"/>
        </w:rPr>
      </w:pPr>
      <w:r>
        <w:rPr>
          <w:rFonts w:hint="eastAsia"/>
          <w:sz w:val="24"/>
        </w:rPr>
        <w:t>第六十九条 暂时不能开工的建设用地，建设单位应当对裸露地面进行覆盖；超过三个月的，应当进行绿化、铺装或者遮盖。</w:t>
      </w:r>
    </w:p>
    <w:p w14:paraId="6A4DB1E0">
      <w:pPr>
        <w:pStyle w:val="27"/>
        <w:widowControl/>
        <w:spacing w:line="360" w:lineRule="auto"/>
        <w:ind w:firstLine="480"/>
        <w:rPr>
          <w:rFonts w:ascii="仿宋_GB2312" w:eastAsia="仿宋_GB2312"/>
          <w:sz w:val="32"/>
        </w:rPr>
      </w:pPr>
      <w:r>
        <w:rPr>
          <w:rFonts w:hint="eastAsia"/>
          <w:sz w:val="24"/>
        </w:rPr>
        <w:t>第七十一条 市政河道以及河道沿线、公共用地的裸露地面以及其他城镇裸露地面，有关部门应当按照规划组织实施绿化或者透水铺装。</w:t>
      </w:r>
    </w:p>
    <w:p w14:paraId="6097B8C4">
      <w:pPr>
        <w:pStyle w:val="3"/>
        <w:numPr>
          <w:ilvl w:val="0"/>
          <w:numId w:val="0"/>
        </w:numPr>
        <w:spacing w:before="0" w:after="0" w:line="360" w:lineRule="auto"/>
        <w:ind w:firstLine="560" w:firstLineChars="200"/>
        <w:rPr>
          <w:rFonts w:ascii="仿宋_GB2312"/>
          <w:b w:val="0"/>
          <w:bCs w:val="0"/>
          <w:szCs w:val="28"/>
        </w:rPr>
      </w:pPr>
      <w:bookmarkStart w:id="37" w:name="_Toc14571"/>
      <w:bookmarkStart w:id="38" w:name="_Toc131516451"/>
      <w:bookmarkStart w:id="39" w:name="_Toc30927"/>
      <w:r>
        <w:rPr>
          <w:rFonts w:hint="eastAsia" w:ascii="仿宋_GB2312"/>
          <w:b w:val="0"/>
          <w:bCs w:val="0"/>
          <w:szCs w:val="28"/>
        </w:rPr>
        <w:t>5.2.3北京市大气污染防治条例</w:t>
      </w:r>
      <w:bookmarkEnd w:id="37"/>
      <w:bookmarkEnd w:id="38"/>
      <w:bookmarkEnd w:id="39"/>
    </w:p>
    <w:p w14:paraId="70946030">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rPr>
        <w:t>《北京市大气污染防治条例》第八十六条明确了裸露地面绿化或铺装的具体要求。</w:t>
      </w:r>
    </w:p>
    <w:p w14:paraId="5FCF03AE">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第八十六条 裸露地面应当按照下列规定进行绿化或者铺装：（一）待开发的建设用地，建设单位负责对裸露地面进行覆盖；超过三个月的，应当进行临时绿化或铺装；（二）市政道路及河道沿线、公共绿地的裸露地面，分别由交通、水务、园林绿化行政主管部门组织按照规划进行绿化或者铺装；（三）其他裸露地面由使用权人或者管理单位负责进行绿化或者铺装，并采取防尘措施。农业行政主管部门应当鼓励对裸露农田采取生物覆盖、留茬免耕等措施，防治扬尘污染。</w:t>
      </w:r>
    </w:p>
    <w:p w14:paraId="4D8F6E0A">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5.2.4关于全面建设美丽北京加快推进人与自然和谐共生的现代化的实施意见</w:t>
      </w:r>
    </w:p>
    <w:p w14:paraId="3ED649F9">
      <w:pPr>
        <w:spacing w:line="360" w:lineRule="auto"/>
        <w:ind w:firstLine="530" w:firstLineChars="220"/>
        <w:rPr>
          <w:rFonts w:ascii="仿宋_GB2312" w:hAnsi="仿宋_GB2312" w:eastAsia="仿宋_GB2312" w:cs="仿宋_GB2312"/>
          <w:b/>
          <w:bCs/>
          <w:sz w:val="24"/>
        </w:rPr>
      </w:pPr>
      <w:r>
        <w:rPr>
          <w:rFonts w:hint="eastAsia" w:ascii="仿宋_GB2312" w:hAnsi="仿宋_GB2312" w:eastAsia="仿宋_GB2312" w:cs="仿宋_GB2312"/>
          <w:b/>
          <w:bCs/>
          <w:sz w:val="24"/>
        </w:rPr>
        <w:t>《关于全面建设美丽北京加快推进人与自然和谐共生的现代化的实施意见》要求对基本实现裸地动态清零。</w:t>
      </w:r>
    </w:p>
    <w:p w14:paraId="5C44A1EC">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强化扬尘精细管控，推广施工工地基坑气膜等新技术，提升各类道路清扫保洁水平，因地制宜基本实现裸地动态清零。</w:t>
      </w:r>
    </w:p>
    <w:p w14:paraId="49B8AA32">
      <w:pPr>
        <w:pStyle w:val="3"/>
        <w:numPr>
          <w:ilvl w:val="0"/>
          <w:numId w:val="0"/>
        </w:numPr>
        <w:spacing w:before="0" w:after="0" w:line="360" w:lineRule="auto"/>
        <w:ind w:firstLine="560" w:firstLineChars="200"/>
        <w:rPr>
          <w:rFonts w:ascii="仿宋_GB2312"/>
          <w:b w:val="0"/>
          <w:bCs w:val="0"/>
          <w:szCs w:val="28"/>
        </w:rPr>
      </w:pPr>
      <w:bookmarkStart w:id="40" w:name="_Toc13612"/>
      <w:bookmarkStart w:id="41" w:name="_Toc131516452"/>
      <w:bookmarkStart w:id="42" w:name="_Toc951"/>
      <w:r>
        <w:rPr>
          <w:rFonts w:hint="eastAsia" w:ascii="仿宋_GB2312"/>
          <w:b w:val="0"/>
          <w:bCs w:val="0"/>
          <w:szCs w:val="28"/>
        </w:rPr>
        <w:t>5.2.5北京市“十四五”时期生态环境保护规划</w:t>
      </w:r>
    </w:p>
    <w:bookmarkEnd w:id="40"/>
    <w:bookmarkEnd w:id="41"/>
    <w:bookmarkEnd w:id="42"/>
    <w:p w14:paraId="07CBC7FD">
      <w:pPr>
        <w:spacing w:line="360" w:lineRule="auto"/>
        <w:ind w:firstLine="530" w:firstLineChars="220"/>
        <w:rPr>
          <w:rFonts w:ascii="仿宋_GB2312" w:hAnsi="仿宋_GB2312" w:eastAsia="仿宋_GB2312" w:cs="仿宋_GB2312"/>
          <w:b/>
          <w:bCs/>
          <w:sz w:val="24"/>
        </w:rPr>
      </w:pPr>
      <w:r>
        <w:rPr>
          <w:rFonts w:hint="eastAsia" w:ascii="仿宋_GB2312" w:hAnsi="仿宋_GB2312" w:eastAsia="仿宋_GB2312" w:cs="仿宋_GB2312"/>
          <w:b/>
          <w:bCs/>
          <w:sz w:val="24"/>
        </w:rPr>
        <w:t>《北京市“十四五”时期生态环境保护规划》要求对裸地扬尘实施分类治理。</w:t>
      </w:r>
    </w:p>
    <w:p w14:paraId="150DE07F">
      <w:pPr>
        <w:spacing w:line="360" w:lineRule="auto"/>
        <w:ind w:firstLine="480" w:firstLineChars="200"/>
        <w:rPr>
          <w:rFonts w:ascii="仿宋_GB2312" w:hAnsi="仿宋_GB2312" w:eastAsia="仿宋_GB2312" w:cs="仿宋_GB2312"/>
          <w:sz w:val="24"/>
        </w:rPr>
      </w:pPr>
      <w:bookmarkStart w:id="43" w:name="_Toc69"/>
      <w:bookmarkStart w:id="44" w:name="_Toc5962"/>
      <w:bookmarkStart w:id="45" w:name="_Toc131516453"/>
      <w:r>
        <w:rPr>
          <w:rFonts w:hint="eastAsia" w:ascii="仿宋_GB2312" w:hAnsi="仿宋_GB2312" w:eastAsia="仿宋_GB2312" w:cs="仿宋_GB2312"/>
          <w:sz w:val="24"/>
        </w:rPr>
        <w:t>分类治理裸地扬尘。按照宜农则农、宜林则林、宜绿则绿、宜覆则覆的原则，分类施策整治裸地扬尘。</w:t>
      </w:r>
    </w:p>
    <w:p w14:paraId="19688F6A">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5.2.6京津冀及周边地区、汾渭平原2023-2024年秋冬季大气污染综合治理攻坚方案（环大气〔2023〕73号）</w:t>
      </w:r>
    </w:p>
    <w:p w14:paraId="06C7D315">
      <w:pPr>
        <w:spacing w:line="360" w:lineRule="auto"/>
        <w:ind w:firstLine="530" w:firstLineChars="220"/>
        <w:rPr>
          <w:rFonts w:ascii="仿宋_GB2312" w:hAnsi="仿宋_GB2312" w:eastAsia="仿宋_GB2312" w:cs="仿宋_GB2312"/>
          <w:b/>
          <w:bCs/>
          <w:sz w:val="24"/>
        </w:rPr>
      </w:pPr>
      <w:r>
        <w:rPr>
          <w:rFonts w:hint="eastAsia" w:ascii="仿宋_GB2312" w:hAnsi="仿宋_GB2312" w:eastAsia="仿宋_GB2312" w:cs="仿宋_GB2312"/>
          <w:b/>
          <w:bCs/>
          <w:sz w:val="24"/>
        </w:rPr>
        <w:t>2023年12月，生态环境部等部门联合印发《京津冀及周边地区、汾渭平原2023-2024年秋冬季大气污染综合治理攻坚方案》（环大气〔2023〕73号），要求着力提升大气面源管理水平，强化扬尘综合管控。</w:t>
      </w:r>
    </w:p>
    <w:p w14:paraId="1790F586">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对城市连片裸露地面、易产尘堆放场所以及废旧厂区等进行排 查建档并采取围挡、苫盖、洒扫或绿化、硬化等抑尘措施。</w:t>
      </w:r>
    </w:p>
    <w:p w14:paraId="16463A30">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5.2.</w:t>
      </w:r>
      <w:r>
        <w:rPr>
          <w:rFonts w:ascii="仿宋_GB2312"/>
          <w:b w:val="0"/>
          <w:bCs w:val="0"/>
          <w:szCs w:val="28"/>
        </w:rPr>
        <w:t>7</w:t>
      </w:r>
      <w:r>
        <w:rPr>
          <w:rFonts w:hint="eastAsia" w:ascii="仿宋_GB2312"/>
          <w:b w:val="0"/>
          <w:bCs w:val="0"/>
          <w:szCs w:val="28"/>
        </w:rPr>
        <w:t>推进美丽北京建设 持续深入打好污染防治攻坚战2024年行动计划</w:t>
      </w:r>
    </w:p>
    <w:p w14:paraId="7714CF1F">
      <w:pPr>
        <w:spacing w:line="360" w:lineRule="auto"/>
        <w:ind w:firstLine="482" w:firstLineChars="200"/>
        <w:rPr>
          <w:rFonts w:ascii="仿宋_GB2312" w:eastAsia="仿宋_GB2312"/>
          <w:b/>
          <w:bCs/>
          <w:sz w:val="24"/>
        </w:rPr>
      </w:pPr>
      <w:r>
        <w:rPr>
          <w:rFonts w:hint="eastAsia" w:ascii="仿宋_GB2312" w:eastAsia="仿宋_GB2312"/>
          <w:b/>
          <w:bCs/>
          <w:sz w:val="24"/>
        </w:rPr>
        <w:t>《蓝天保卫战2</w:t>
      </w:r>
      <w:r>
        <w:rPr>
          <w:rFonts w:ascii="仿宋_GB2312" w:eastAsia="仿宋_GB2312"/>
          <w:b/>
          <w:bCs/>
          <w:sz w:val="24"/>
        </w:rPr>
        <w:t>024</w:t>
      </w:r>
      <w:r>
        <w:rPr>
          <w:rFonts w:hint="eastAsia" w:ascii="仿宋_GB2312" w:eastAsia="仿宋_GB2312"/>
          <w:b/>
          <w:bCs/>
          <w:sz w:val="24"/>
        </w:rPr>
        <w:t>年行动计划》中要求提升城市环境精细化管控水平，完善扬尘管控工作机制。</w:t>
      </w:r>
    </w:p>
    <w:p w14:paraId="43C2B697">
      <w:pPr>
        <w:spacing w:line="360" w:lineRule="auto"/>
        <w:ind w:firstLine="480" w:firstLineChars="200"/>
        <w:rPr>
          <w:rFonts w:ascii="仿宋_GB2312" w:eastAsia="仿宋_GB2312"/>
          <w:sz w:val="24"/>
          <w:szCs w:val="24"/>
        </w:rPr>
      </w:pPr>
      <w:r>
        <w:rPr>
          <w:rFonts w:hint="eastAsia" w:ascii="仿宋_GB2312" w:eastAsia="仿宋_GB2312"/>
          <w:sz w:val="24"/>
        </w:rPr>
        <w:t>加强对各区和建筑集团公司扬尘管控情况评价、通报，督促落实施工扬尘管控措施，确保扬尘不出工地。</w:t>
      </w:r>
    </w:p>
    <w:bookmarkEnd w:id="43"/>
    <w:bookmarkEnd w:id="44"/>
    <w:bookmarkEnd w:id="45"/>
    <w:p w14:paraId="46134C6C">
      <w:pPr>
        <w:pStyle w:val="3"/>
        <w:numPr>
          <w:ilvl w:val="0"/>
          <w:numId w:val="0"/>
        </w:numPr>
        <w:spacing w:before="0" w:after="0" w:line="360" w:lineRule="auto"/>
        <w:ind w:firstLine="560" w:firstLineChars="200"/>
        <w:rPr>
          <w:rFonts w:ascii="仿宋_GB2312"/>
          <w:b w:val="0"/>
          <w:bCs w:val="0"/>
          <w:szCs w:val="28"/>
        </w:rPr>
      </w:pPr>
      <w:bookmarkStart w:id="46" w:name="_Toc155990910"/>
      <w:r>
        <w:rPr>
          <w:rFonts w:hint="eastAsia" w:ascii="仿宋_GB2312"/>
          <w:b w:val="0"/>
          <w:bCs w:val="0"/>
          <w:szCs w:val="28"/>
        </w:rPr>
        <w:t>5.3 与现行法律、法规、标准的关系</w:t>
      </w:r>
      <w:bookmarkEnd w:id="46"/>
    </w:p>
    <w:p w14:paraId="30B10773">
      <w:pPr>
        <w:spacing w:line="360" w:lineRule="auto"/>
        <w:ind w:firstLine="560" w:firstLineChars="200"/>
        <w:outlineLvl w:val="2"/>
        <w:rPr>
          <w:rFonts w:ascii="仿宋_GB2312" w:eastAsia="仿宋_GB2312"/>
          <w:sz w:val="28"/>
          <w:szCs w:val="28"/>
        </w:rPr>
      </w:pPr>
      <w:bookmarkStart w:id="47" w:name="_Toc103617125"/>
      <w:bookmarkStart w:id="48" w:name="_Toc155990911"/>
      <w:r>
        <w:rPr>
          <w:rFonts w:hint="eastAsia" w:ascii="仿宋_GB2312" w:eastAsia="仿宋_GB2312"/>
          <w:sz w:val="28"/>
          <w:szCs w:val="28"/>
        </w:rPr>
        <w:t>5.3.1与现行法律、法规的关系</w:t>
      </w:r>
    </w:p>
    <w:p w14:paraId="00F334CA">
      <w:pPr>
        <w:spacing w:line="360" w:lineRule="auto"/>
        <w:ind w:firstLine="480" w:firstLineChars="200"/>
        <w:rPr>
          <w:rFonts w:ascii="仿宋_GB2312" w:hAnsi="仿宋_GB2312" w:eastAsia="仿宋_GB2312" w:cs="仿宋_GB2312"/>
          <w:sz w:val="24"/>
          <w:szCs w:val="21"/>
          <w:highlight w:val="yellow"/>
        </w:rPr>
      </w:pPr>
      <w:r>
        <w:rPr>
          <w:rFonts w:hint="eastAsia" w:ascii="仿宋_GB2312" w:hAnsi="仿宋_GB2312" w:eastAsia="仿宋_GB2312" w:cs="仿宋_GB2312"/>
          <w:sz w:val="24"/>
          <w:szCs w:val="21"/>
        </w:rPr>
        <w:t>本指南是依据《中华人民共和国环境保护法》（2014年修订）、《中华人民共和国大气污染防治法》（2018年修正）和《北京市大气污染防治条例》（2018年修正）等大气污染法律法规的相关条款制定的地方推荐性标准，有效衔接《空气质量持续改善行动计划》（国发〔2023〕24号）和《</w:t>
      </w:r>
      <w:r>
        <w:rPr>
          <w:rFonts w:hint="eastAsia" w:ascii="仿宋_GB2312" w:hAnsi="仿宋_GB2312" w:eastAsia="仿宋_GB2312" w:cs="仿宋_GB2312"/>
          <w:sz w:val="24"/>
        </w:rPr>
        <w:t>北京市“十四五”时期生态环境保护规划</w:t>
      </w:r>
      <w:r>
        <w:rPr>
          <w:rFonts w:hint="eastAsia" w:ascii="仿宋_GB2312" w:hAnsi="仿宋_GB2312" w:eastAsia="仿宋_GB2312" w:cs="仿宋_GB2312"/>
          <w:sz w:val="24"/>
          <w:szCs w:val="21"/>
        </w:rPr>
        <w:t>》（京政发〔2021〕35号），用于规范裸地遥感监测的技术要求，提高裸地遥感监测质量，服务于大气环境管理和保护。</w:t>
      </w:r>
    </w:p>
    <w:p w14:paraId="61FA3D63">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5.3.2与现行标准的关系</w:t>
      </w:r>
    </w:p>
    <w:p w14:paraId="47983C05">
      <w:pPr>
        <w:pStyle w:val="27"/>
        <w:numPr>
          <w:ilvl w:val="0"/>
          <w:numId w:val="9"/>
        </w:numPr>
        <w:spacing w:line="360" w:lineRule="auto"/>
        <w:ind w:firstLineChars="0"/>
        <w:rPr>
          <w:rFonts w:ascii="仿宋_GB2312" w:hAnsi="仿宋_GB2312" w:eastAsia="仿宋_GB2312" w:cs="仿宋_GB2312"/>
          <w:sz w:val="24"/>
          <w:szCs w:val="21"/>
        </w:rPr>
      </w:pPr>
      <w:r>
        <w:rPr>
          <w:rFonts w:hint="eastAsia" w:ascii="仿宋_GB2312" w:hAnsi="仿宋_GB2312" w:eastAsia="仿宋_GB2312" w:cs="仿宋_GB2312"/>
          <w:sz w:val="24"/>
          <w:szCs w:val="21"/>
        </w:rPr>
        <w:t>裸地扬尘相关标准</w:t>
      </w:r>
    </w:p>
    <w:p w14:paraId="7F484782">
      <w:pPr>
        <w:spacing w:line="360" w:lineRule="auto"/>
        <w:ind w:firstLine="480" w:firstLineChars="200"/>
        <w:rPr>
          <w:rFonts w:ascii="仿宋_GB2312" w:hAnsi="仿宋_GB2312" w:eastAsia="仿宋_GB2312" w:cs="仿宋_GB2312"/>
          <w:sz w:val="24"/>
          <w:szCs w:val="21"/>
          <w:highlight w:val="yellow"/>
        </w:rPr>
      </w:pPr>
      <w:r>
        <w:rPr>
          <w:rFonts w:hint="eastAsia" w:ascii="仿宋_GB2312" w:hAnsi="仿宋_GB2312" w:eastAsia="仿宋_GB2312" w:cs="仿宋_GB2312"/>
          <w:sz w:val="24"/>
          <w:szCs w:val="21"/>
        </w:rPr>
        <w:t>《防治城市扬尘污染技术规范》（HJ/T 393-2007），原国家环保总局发布，规定了防治裸地等各类城市扬尘污染的基本原则和措施，并建议建设基于GIS 的城市扬尘管理系统。《</w:t>
      </w:r>
      <w:r>
        <w:rPr>
          <w:rFonts w:hint="eastAsia" w:ascii="仿宋_GB2312" w:hAnsi="仿宋_GB2312" w:eastAsia="仿宋_GB2312" w:cs="仿宋_GB2312"/>
          <w:sz w:val="24"/>
        </w:rPr>
        <w:t>建筑施工裸地遥感监测技术导则</w:t>
      </w:r>
      <w:r>
        <w:rPr>
          <w:rFonts w:hint="eastAsia" w:ascii="仿宋_GB2312" w:hAnsi="仿宋_GB2312" w:eastAsia="仿宋_GB2312" w:cs="仿宋_GB2312"/>
          <w:sz w:val="24"/>
          <w:szCs w:val="21"/>
        </w:rPr>
        <w:t>》（T/CECS 995-2022），</w:t>
      </w:r>
      <w:r>
        <w:rPr>
          <w:rFonts w:hint="eastAsia" w:ascii="仿宋_GB2312" w:hAnsi="仿宋_GB2312" w:eastAsia="仿宋_GB2312" w:cs="仿宋_GB2312"/>
          <w:sz w:val="24"/>
        </w:rPr>
        <w:t>中国工程建设标准化协会标准印发</w:t>
      </w:r>
      <w:r>
        <w:rPr>
          <w:rFonts w:hint="eastAsia" w:ascii="仿宋_GB2312" w:hAnsi="仿宋_GB2312" w:eastAsia="仿宋_GB2312" w:cs="仿宋_GB2312"/>
          <w:sz w:val="24"/>
          <w:szCs w:val="21"/>
        </w:rPr>
        <w:t>，规定了建筑施工裸地遥感监测的指标体系、技术流程以及外业调查流程与精度评估。</w:t>
      </w:r>
    </w:p>
    <w:p w14:paraId="51BC950B">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是对上述标准在北京市进行本地化应用的延伸扩展，既参考了裸地遥感监测的技术流程、指标体系等要求，又扩大了监测对象范围、增加了评价指标，实现了对裸地的高效、快速、连续、动态监测和有效监管。</w:t>
      </w:r>
    </w:p>
    <w:p w14:paraId="21E866B8">
      <w:pPr>
        <w:pStyle w:val="27"/>
        <w:numPr>
          <w:ilvl w:val="0"/>
          <w:numId w:val="9"/>
        </w:numPr>
        <w:spacing w:line="360" w:lineRule="auto"/>
        <w:ind w:firstLineChars="0"/>
        <w:rPr>
          <w:rFonts w:ascii="仿宋_GB2312" w:hAnsi="仿宋_GB2312" w:eastAsia="仿宋_GB2312" w:cs="仿宋_GB2312"/>
          <w:sz w:val="24"/>
          <w:szCs w:val="21"/>
        </w:rPr>
      </w:pPr>
      <w:r>
        <w:rPr>
          <w:rFonts w:hint="eastAsia" w:ascii="仿宋_GB2312" w:hAnsi="仿宋_GB2312" w:eastAsia="仿宋_GB2312" w:cs="仿宋_GB2312"/>
          <w:sz w:val="24"/>
          <w:szCs w:val="21"/>
        </w:rPr>
        <w:t>遥感应用相关标准</w:t>
      </w:r>
    </w:p>
    <w:p w14:paraId="4365975A">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《建筑施工裸地遥感监测技术导则》（T/CECS 995—2022）、《重点建设用地土壤污染遥感监测技术规范》（DB11/T 2217-2024）、《入河（海）排污口排查整治无人机遥感解译技术规范》（HJ 1234—2021）、《矿产资源开发遥感监测技术规范》（DZ/T 0266—2014）、《土地利用动态遥感监测规程》（TD/T 1010-2015）等标准在卫星和航空遥感解译和现场调查技术方面以及在监测成果应用方面，为本指南提供了参考案例。</w:t>
      </w:r>
    </w:p>
    <w:p w14:paraId="57201900">
      <w:pPr>
        <w:pStyle w:val="27"/>
        <w:numPr>
          <w:ilvl w:val="0"/>
          <w:numId w:val="9"/>
        </w:numPr>
        <w:spacing w:line="360" w:lineRule="auto"/>
        <w:ind w:firstLineChars="0"/>
        <w:rPr>
          <w:rFonts w:ascii="仿宋_GB2312" w:hAnsi="仿宋_GB2312" w:eastAsia="仿宋_GB2312" w:cs="仿宋_GB2312"/>
          <w:sz w:val="24"/>
          <w:szCs w:val="21"/>
        </w:rPr>
      </w:pPr>
      <w:r>
        <w:rPr>
          <w:rFonts w:hint="eastAsia" w:ascii="仿宋_GB2312" w:hAnsi="仿宋_GB2312" w:eastAsia="仿宋_GB2312" w:cs="仿宋_GB2312"/>
          <w:sz w:val="24"/>
          <w:szCs w:val="21"/>
        </w:rPr>
        <w:t>遥感质量相关标准</w:t>
      </w:r>
    </w:p>
    <w:p w14:paraId="33CCF09F">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本指南采用《数字测绘成果质量要求》（GB/T 17941—2008）、《数字测绘成果质量检查与验收》（GB/T 18316—2008）、《测绘成果质量检查与验收》（GB/T 24356）、《国家基本比例尺地图1:5000 1:10000正射影像地图》（GB/T 33182—2016）、《数字正射影像质量检验技术规程》（CH/T 1027—2012）评价遥感影像及遥感解译的技术参数和质量。</w:t>
      </w:r>
    </w:p>
    <w:p w14:paraId="35AEB88E">
      <w:pPr>
        <w:pStyle w:val="3"/>
        <w:numPr>
          <w:ilvl w:val="0"/>
          <w:numId w:val="0"/>
        </w:numPr>
        <w:spacing w:before="0" w:after="0" w:line="360" w:lineRule="auto"/>
        <w:ind w:firstLine="560" w:firstLineChars="200"/>
        <w:rPr>
          <w:rFonts w:ascii="仿宋_GB2312"/>
          <w:b w:val="0"/>
          <w:bCs w:val="0"/>
          <w:szCs w:val="28"/>
        </w:rPr>
      </w:pPr>
      <w:r>
        <w:rPr>
          <w:rFonts w:hint="eastAsia" w:ascii="仿宋_GB2312"/>
          <w:b w:val="0"/>
          <w:bCs w:val="0"/>
          <w:szCs w:val="28"/>
        </w:rPr>
        <w:t>5.4 与国内外同类标准的对比情况</w:t>
      </w:r>
    </w:p>
    <w:p w14:paraId="54A892B2">
      <w:pPr>
        <w:pStyle w:val="3"/>
        <w:numPr>
          <w:ilvl w:val="0"/>
          <w:numId w:val="0"/>
        </w:numPr>
        <w:spacing w:before="0" w:after="0" w:line="360" w:lineRule="auto"/>
        <w:ind w:firstLine="560" w:firstLineChars="200"/>
        <w:rPr>
          <w:rFonts w:ascii="仿宋_GB2312"/>
          <w:b w:val="0"/>
          <w:bCs w:val="0"/>
          <w:szCs w:val="28"/>
        </w:rPr>
      </w:pPr>
      <w:bookmarkStart w:id="49" w:name="_Toc155990926"/>
      <w:r>
        <w:rPr>
          <w:rFonts w:hint="eastAsia" w:ascii="仿宋_GB2312"/>
          <w:b w:val="0"/>
          <w:bCs w:val="0"/>
          <w:szCs w:val="28"/>
        </w:rPr>
        <w:t>5.4.1 国内同类标准</w:t>
      </w:r>
      <w:bookmarkEnd w:id="49"/>
    </w:p>
    <w:p w14:paraId="1DECC55E">
      <w:pPr>
        <w:pStyle w:val="27"/>
        <w:widowControl/>
        <w:spacing w:line="360" w:lineRule="auto"/>
        <w:ind w:firstLine="480"/>
        <w:rPr>
          <w:rFonts w:ascii="仿宋_GB2312" w:hAnsi="仿宋_GB2312" w:eastAsia="仿宋_GB2312" w:cs="仿宋_GB2312"/>
          <w:kern w:val="0"/>
          <w:sz w:val="24"/>
        </w:rPr>
      </w:pPr>
      <w:r>
        <w:rPr>
          <w:rFonts w:hint="eastAsia" w:ascii="仿宋_GB2312" w:hAnsi="仿宋_GB2312" w:eastAsia="仿宋_GB2312" w:cs="仿宋_GB2312"/>
          <w:kern w:val="0"/>
          <w:sz w:val="24"/>
        </w:rPr>
        <w:t>近年来，随着遥感技术的兴起，遥感技术逐步应用到了生态环境监测中，为生态环境监管提供数据支撑。2021年生态环境部将发布了《自然保护地人类活动遥感监测技术规范》（HJ1156-2021），规定了自然保护地人类活动遥感监测的主要内容、技术流程、方法及技术要求等。2022年生态环境部发布了《入河（海）排污口排查整治无人机遥感解译技术规范》（HJ 1234—2021）指导和规范各地开展入河（海）排污口排查工作。同年，中国工程建设标准化协会发布了《建筑施工裸地遥感监测技术导则》（T/CECS995- 2022）规范了建筑施工裸地遥感监测的技术要求。2024年北京市发布《重点建设用地土壤污染遥感监测技术规范》（DB11/T 2217—2024）规定了重点建设用地土壤污染遥感监测工作程序、遥感解译、现场调查、关注度级别判定、监测成果以及质量控制等技术要求。</w:t>
      </w:r>
    </w:p>
    <w:p w14:paraId="55BFCAC4">
      <w:pPr>
        <w:pStyle w:val="3"/>
        <w:numPr>
          <w:ilvl w:val="0"/>
          <w:numId w:val="0"/>
        </w:numPr>
        <w:spacing w:before="0" w:after="0" w:line="360" w:lineRule="auto"/>
        <w:ind w:firstLine="560" w:firstLineChars="200"/>
        <w:rPr>
          <w:rFonts w:ascii="仿宋_GB2312"/>
          <w:b w:val="0"/>
          <w:bCs w:val="0"/>
          <w:szCs w:val="28"/>
        </w:rPr>
      </w:pPr>
      <w:bookmarkStart w:id="50" w:name="_Toc155990927"/>
      <w:r>
        <w:rPr>
          <w:rFonts w:hint="eastAsia" w:ascii="仿宋_GB2312"/>
          <w:b w:val="0"/>
          <w:bCs w:val="0"/>
          <w:szCs w:val="28"/>
        </w:rPr>
        <w:t>5.4.2国外同类标准</w:t>
      </w:r>
      <w:bookmarkEnd w:id="50"/>
    </w:p>
    <w:p w14:paraId="1F721CF1">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rPr>
        <w:t>未查到</w:t>
      </w:r>
      <w:r>
        <w:rPr>
          <w:rFonts w:hint="eastAsia" w:ascii="仿宋_GB2312" w:hAnsi="仿宋_GB2312" w:eastAsia="仿宋_GB2312" w:cs="仿宋_GB2312"/>
          <w:sz w:val="24"/>
          <w:szCs w:val="21"/>
        </w:rPr>
        <w:t>遥感技术应用于裸地监测相关标准。</w:t>
      </w:r>
    </w:p>
    <w:p w14:paraId="519DDF57">
      <w:pPr>
        <w:pStyle w:val="3"/>
        <w:numPr>
          <w:ilvl w:val="0"/>
          <w:numId w:val="0"/>
        </w:numPr>
        <w:spacing w:before="0" w:after="0" w:line="360" w:lineRule="auto"/>
        <w:ind w:firstLine="560" w:firstLineChars="200"/>
        <w:rPr>
          <w:rFonts w:ascii="仿宋_GB2312"/>
          <w:b w:val="0"/>
          <w:bCs w:val="0"/>
          <w:szCs w:val="28"/>
        </w:rPr>
      </w:pPr>
      <w:bookmarkStart w:id="51" w:name="_Toc155990928"/>
      <w:r>
        <w:rPr>
          <w:rFonts w:hint="eastAsia" w:ascii="仿宋_GB2312"/>
          <w:b w:val="0"/>
          <w:bCs w:val="0"/>
          <w:szCs w:val="28"/>
        </w:rPr>
        <w:t>5.4.3本指南与国内外同类标准的对比</w:t>
      </w:r>
      <w:bookmarkEnd w:id="51"/>
    </w:p>
    <w:p w14:paraId="343C3C77">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本指南与上述4个标准的比较见表1。本指南在适用范围、调查对象、数据资料准备和调查指标方面存在较明显的差异。</w:t>
      </w:r>
    </w:p>
    <w:p w14:paraId="1FBF3E32">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sz w:val="24"/>
          <w:szCs w:val="21"/>
        </w:rPr>
        <w:t>适用范围：</w:t>
      </w:r>
      <w:r>
        <w:rPr>
          <w:rFonts w:hint="eastAsia" w:ascii="仿宋_GB2312" w:hAnsi="仿宋_GB2312" w:eastAsia="仿宋_GB2312" w:cs="仿宋_GB2312"/>
          <w:sz w:val="24"/>
          <w:szCs w:val="21"/>
        </w:rPr>
        <w:t>本指南适用于北京市裸地的遥感监测和整治率评价，T/CECS995适用于全国建筑施工裸地遥感监测。两个文件适用区域不同，本指南更专注于裸地遥感技术在北京市本地化应用方面。DB11/T 2217适用于北京市，但仅用于重点建设用地土壤污染的遥感监测和结果评价。HJ 1234则适用于全国入河（海）排污口遥感监测。</w:t>
      </w:r>
    </w:p>
    <w:p w14:paraId="2875D921">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sz w:val="24"/>
          <w:szCs w:val="21"/>
        </w:rPr>
        <w:t>目的任务：</w:t>
      </w:r>
      <w:r>
        <w:rPr>
          <w:rFonts w:hint="eastAsia" w:ascii="仿宋_GB2312" w:hAnsi="仿宋_GB2312" w:eastAsia="仿宋_GB2312" w:cs="仿宋_GB2312"/>
          <w:bCs/>
          <w:sz w:val="24"/>
          <w:szCs w:val="21"/>
        </w:rPr>
        <w:t>本指南</w:t>
      </w:r>
      <w:r>
        <w:rPr>
          <w:rFonts w:hint="eastAsia" w:ascii="仿宋_GB2312" w:hAnsi="仿宋_GB2312" w:eastAsia="仿宋_GB2312" w:cs="仿宋_GB2312"/>
          <w:sz w:val="24"/>
          <w:szCs w:val="21"/>
        </w:rPr>
        <w:t>的制定是为了动态监测裸地及变化情况，并对裸地的整治率进行评价。T/CECS995仅为了动态监管裸地，无评价方面的相关要求。DB11/T 2217的制定是服务于土壤污染动态监测与分级管理。HJ 1234-2021的制定是为了规范化入河排污口的排查。</w:t>
      </w:r>
    </w:p>
    <w:p w14:paraId="53515139">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sz w:val="24"/>
          <w:szCs w:val="21"/>
        </w:rPr>
        <w:t>监测/调查对象：</w:t>
      </w:r>
      <w:r>
        <w:rPr>
          <w:rFonts w:hint="eastAsia" w:ascii="仿宋_GB2312" w:hAnsi="仿宋_GB2312" w:eastAsia="仿宋_GB2312" w:cs="仿宋_GB2312"/>
          <w:sz w:val="24"/>
          <w:szCs w:val="21"/>
        </w:rPr>
        <w:t>本指南的监测对象为裸地，不仅包括工程施工类型的裸地，如房屋建筑、交通建设、绿化工地、水务工地、拆迁工地。还包括场站类的裸地，如建筑垃圾消纳场、混凝土搅拌站。此外，还包括未利用裸地、沙荒地。T/CECS995仅包括建筑施工裸地，本指南的监测对象覆盖范围更广。DB11/T 2217的监测对象为制造业、采矿业等在产和关停退出原址用地。HJ 1234-2021的监测对象为入河（海）排污口。</w:t>
      </w:r>
    </w:p>
    <w:p w14:paraId="53EC87C4">
      <w:pPr>
        <w:spacing w:line="360" w:lineRule="auto"/>
        <w:ind w:firstLine="482" w:firstLineChars="200"/>
        <w:rPr>
          <w:rFonts w:ascii="仿宋_GB2312" w:hAnsi="仿宋_GB2312" w:eastAsia="仿宋_GB2312" w:cs="仿宋_GB2312"/>
          <w:bCs/>
          <w:sz w:val="24"/>
        </w:rPr>
      </w:pPr>
      <w:r>
        <w:rPr>
          <w:rFonts w:hint="eastAsia" w:ascii="仿宋_GB2312" w:hAnsi="仿宋_GB2312" w:eastAsia="仿宋_GB2312" w:cs="仿宋_GB2312"/>
          <w:b/>
          <w:sz w:val="24"/>
          <w:szCs w:val="21"/>
        </w:rPr>
        <w:t>监测/调查手段</w:t>
      </w:r>
      <w:r>
        <w:rPr>
          <w:rFonts w:hint="eastAsia" w:ascii="仿宋_GB2312" w:hAnsi="仿宋_GB2312" w:eastAsia="仿宋_GB2312" w:cs="仿宋_GB2312"/>
          <w:sz w:val="24"/>
          <w:szCs w:val="21"/>
        </w:rPr>
        <w:t>：本指南建议采用遥感监测和外业核查相结合的方式，使监测结果的准确度更高。与DB11/T 2217、</w:t>
      </w:r>
      <w:r>
        <w:rPr>
          <w:rFonts w:hint="eastAsia" w:ascii="仿宋_GB2312" w:hAnsi="仿宋_GB2312" w:eastAsia="仿宋_GB2312" w:cs="仿宋_GB2312"/>
          <w:bCs/>
          <w:sz w:val="24"/>
        </w:rPr>
        <w:t>HJ 1234</w:t>
      </w:r>
      <w:r>
        <w:rPr>
          <w:rFonts w:hint="eastAsia" w:ascii="仿宋_GB2312" w:hAnsi="仿宋_GB2312" w:eastAsia="仿宋_GB2312" w:cs="仿宋_GB2312"/>
          <w:sz w:val="24"/>
          <w:szCs w:val="21"/>
        </w:rPr>
        <w:t>、T/CECS995</w:t>
      </w:r>
      <w:r>
        <w:rPr>
          <w:rFonts w:hint="eastAsia" w:ascii="仿宋_GB2312" w:hAnsi="仿宋_GB2312" w:eastAsia="仿宋_GB2312" w:cs="仿宋_GB2312"/>
          <w:bCs/>
          <w:sz w:val="24"/>
        </w:rPr>
        <w:t>监测</w:t>
      </w:r>
      <w:r>
        <w:rPr>
          <w:rFonts w:hint="eastAsia" w:ascii="仿宋_GB2312" w:hAnsi="仿宋_GB2312" w:eastAsia="仿宋_GB2312" w:cs="仿宋_GB2312"/>
          <w:sz w:val="24"/>
          <w:szCs w:val="21"/>
        </w:rPr>
        <w:t>手段有相似性。本指南和DB11/T 2217、T/CECS995聚焦使用卫星遥感技术而</w:t>
      </w:r>
      <w:r>
        <w:rPr>
          <w:rFonts w:hint="eastAsia" w:ascii="仿宋_GB2312" w:hAnsi="仿宋_GB2312" w:eastAsia="仿宋_GB2312" w:cs="仿宋_GB2312"/>
          <w:bCs/>
          <w:sz w:val="24"/>
        </w:rPr>
        <w:t>HJ 1234更专注于使用无人机。</w:t>
      </w:r>
    </w:p>
    <w:p w14:paraId="78E31785">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sz w:val="24"/>
          <w:szCs w:val="21"/>
        </w:rPr>
        <w:t>评价/评价指标</w:t>
      </w:r>
      <w:r>
        <w:rPr>
          <w:rFonts w:hint="eastAsia" w:ascii="仿宋_GB2312" w:hAnsi="仿宋_GB2312" w:eastAsia="仿宋_GB2312" w:cs="仿宋_GB2312"/>
          <w:sz w:val="24"/>
          <w:szCs w:val="21"/>
        </w:rPr>
        <w:t>：本指南中的监测指标包括了裸地的类型、施工阶段、动态变化状态，这与T/CECS995有相似之处，区别在于本指南还设定了整治率评价方法和评价等级。在监测的基础上进行了评价，更有应用价值。</w:t>
      </w:r>
      <w:r>
        <w:rPr>
          <w:rFonts w:hint="eastAsia" w:ascii="仿宋_GB2312" w:hAnsi="仿宋_GB2312" w:eastAsia="仿宋_GB2312" w:cs="仿宋_GB2312"/>
          <w:bCs/>
          <w:sz w:val="24"/>
        </w:rPr>
        <w:t>HJ 1234也仅设定了监测指标，无评价指标。DB11/T 2217也设定了评价指标，为关注度评价指标。</w:t>
      </w:r>
    </w:p>
    <w:p w14:paraId="22FD840D">
      <w:pPr>
        <w:spacing w:line="360" w:lineRule="auto"/>
        <w:ind w:firstLine="482" w:firstLineChars="200"/>
        <w:rPr>
          <w:rFonts w:ascii="仿宋_GB2312" w:hAnsi="仿宋_GB2312" w:eastAsia="仿宋_GB2312" w:cs="仿宋_GB2312"/>
          <w:sz w:val="24"/>
          <w:szCs w:val="21"/>
        </w:rPr>
        <w:sectPr>
          <w:headerReference r:id="rId3" w:type="default"/>
          <w:footerReference r:id="rId4" w:type="default"/>
          <w:pgSz w:w="11906" w:h="16838"/>
          <w:pgMar w:top="1440" w:right="1803" w:bottom="1440" w:left="1803" w:header="851" w:footer="992" w:gutter="0"/>
          <w:cols w:space="0" w:num="1"/>
          <w:docGrid w:type="lines" w:linePitch="319" w:charSpace="0"/>
        </w:sectPr>
      </w:pPr>
      <w:r>
        <w:rPr>
          <w:rFonts w:hint="eastAsia" w:ascii="仿宋_GB2312" w:hAnsi="仿宋_GB2312" w:eastAsia="仿宋_GB2312" w:cs="仿宋_GB2312"/>
          <w:b/>
          <w:bCs/>
          <w:sz w:val="24"/>
        </w:rPr>
        <w:t>成果应用：</w:t>
      </w:r>
      <w:r>
        <w:rPr>
          <w:rFonts w:hint="eastAsia" w:ascii="仿宋_GB2312" w:hAnsi="仿宋_GB2312" w:eastAsia="仿宋_GB2312" w:cs="仿宋_GB2312"/>
          <w:bCs/>
          <w:sz w:val="24"/>
        </w:rPr>
        <w:t>本</w:t>
      </w:r>
      <w:r>
        <w:rPr>
          <w:rFonts w:hint="eastAsia" w:ascii="仿宋_GB2312" w:hAnsi="仿宋_GB2312" w:eastAsia="仿宋_GB2312" w:cs="仿宋_GB2312"/>
          <w:sz w:val="24"/>
          <w:szCs w:val="21"/>
        </w:rPr>
        <w:t>指南强调了整治率评价，方便衔接管理政策和应用于裸地整治水平的日常管控。DB11/T 2217强调了关注度判定，用于衔接土壤污染管理政策和应用于重点建设用地的日常监管。</w:t>
      </w:r>
    </w:p>
    <w:p w14:paraId="3764369C">
      <w:pPr>
        <w:spacing w:line="360" w:lineRule="auto"/>
        <w:jc w:val="center"/>
        <w:rPr>
          <w:rFonts w:eastAsia="仿宋_GB2312"/>
          <w:b/>
          <w:bCs/>
          <w:sz w:val="30"/>
          <w:szCs w:val="30"/>
        </w:rPr>
      </w:pPr>
      <w:r>
        <w:rPr>
          <w:rFonts w:hint="eastAsia" w:ascii="黑体" w:eastAsia="黑体"/>
          <w:kern w:val="0"/>
          <w:szCs w:val="20"/>
        </w:rPr>
        <w:t>表</w:t>
      </w:r>
      <w:r>
        <w:rPr>
          <w:rFonts w:ascii="黑体" w:eastAsia="黑体"/>
          <w:kern w:val="0"/>
          <w:szCs w:val="20"/>
        </w:rPr>
        <w:t>1</w:t>
      </w:r>
      <w:r>
        <w:rPr>
          <w:rFonts w:hint="eastAsia" w:ascii="黑体" w:eastAsia="黑体"/>
          <w:kern w:val="0"/>
          <w:szCs w:val="20"/>
        </w:rPr>
        <w:t xml:space="preserve"> 本指南与国内外相关标准的对比</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41"/>
        <w:gridCol w:w="2015"/>
        <w:gridCol w:w="2017"/>
        <w:gridCol w:w="2414"/>
      </w:tblGrid>
      <w:tr w14:paraId="1B65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26" w:type="pct"/>
            <w:vAlign w:val="center"/>
          </w:tcPr>
          <w:p w14:paraId="6BF11442">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对比指标</w:t>
            </w:r>
          </w:p>
        </w:tc>
        <w:tc>
          <w:tcPr>
            <w:tcW w:w="787" w:type="pct"/>
            <w:vAlign w:val="center"/>
          </w:tcPr>
          <w:p w14:paraId="18DF5CD9">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本指南</w:t>
            </w:r>
          </w:p>
        </w:tc>
        <w:tc>
          <w:tcPr>
            <w:tcW w:w="1183" w:type="pct"/>
            <w:vAlign w:val="center"/>
          </w:tcPr>
          <w:p w14:paraId="2C4B1459">
            <w:pPr>
              <w:jc w:val="center"/>
              <w:rPr>
                <w:rFonts w:cs="仿宋_GB2312" w:asciiTheme="minorEastAsia" w:hAnsiTheme="minorEastAsia" w:eastAsiaTheme="minorEastAsia"/>
                <w:b/>
                <w:bCs/>
                <w:sz w:val="22"/>
              </w:rPr>
            </w:pPr>
            <w:r>
              <w:rPr>
                <w:rFonts w:cs="仿宋_GB2312" w:asciiTheme="minorEastAsia" w:hAnsiTheme="minorEastAsia" w:eastAsiaTheme="minorEastAsia"/>
                <w:b/>
                <w:bCs/>
                <w:sz w:val="22"/>
              </w:rPr>
              <w:t>DB11/T 2217</w:t>
            </w:r>
          </w:p>
        </w:tc>
        <w:tc>
          <w:tcPr>
            <w:tcW w:w="1184" w:type="pct"/>
            <w:vAlign w:val="center"/>
          </w:tcPr>
          <w:p w14:paraId="4FE119CF">
            <w:pPr>
              <w:jc w:val="center"/>
              <w:rPr>
                <w:rFonts w:cs="仿宋_GB2312" w:asciiTheme="minorEastAsia" w:hAnsiTheme="minorEastAsia" w:eastAsiaTheme="minorEastAsia"/>
                <w:b/>
                <w:bCs/>
                <w:sz w:val="22"/>
              </w:rPr>
            </w:pPr>
            <w:r>
              <w:rPr>
                <w:rFonts w:cs="仿宋_GB2312" w:asciiTheme="minorEastAsia" w:hAnsiTheme="minorEastAsia" w:eastAsiaTheme="minorEastAsia"/>
                <w:b/>
                <w:bCs/>
                <w:sz w:val="22"/>
              </w:rPr>
              <w:t>HJ 1234</w:t>
            </w:r>
          </w:p>
        </w:tc>
        <w:tc>
          <w:tcPr>
            <w:tcW w:w="1417" w:type="pct"/>
            <w:vAlign w:val="center"/>
          </w:tcPr>
          <w:p w14:paraId="60E98277">
            <w:pPr>
              <w:jc w:val="center"/>
              <w:rPr>
                <w:rFonts w:cs="仿宋_GB2312" w:asciiTheme="minorEastAsia" w:hAnsiTheme="minorEastAsia" w:eastAsiaTheme="minorEastAsia"/>
                <w:b/>
                <w:bCs/>
                <w:sz w:val="22"/>
              </w:rPr>
            </w:pPr>
            <w:r>
              <w:rPr>
                <w:rFonts w:cs="仿宋_GB2312" w:asciiTheme="minorEastAsia" w:hAnsiTheme="minorEastAsia" w:eastAsiaTheme="minorEastAsia"/>
                <w:b/>
                <w:bCs/>
                <w:sz w:val="22"/>
              </w:rPr>
              <w:t>T/CECS995</w:t>
            </w:r>
          </w:p>
        </w:tc>
      </w:tr>
      <w:tr w14:paraId="3C65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26" w:type="pct"/>
            <w:vAlign w:val="center"/>
          </w:tcPr>
          <w:p w14:paraId="6574D7C6">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适用范围</w:t>
            </w:r>
          </w:p>
        </w:tc>
        <w:tc>
          <w:tcPr>
            <w:tcW w:w="787" w:type="pct"/>
            <w:vAlign w:val="center"/>
          </w:tcPr>
          <w:p w14:paraId="51196D08">
            <w:pPr>
              <w:rPr>
                <w:rFonts w:cs="仿宋_GB2312" w:asciiTheme="minorEastAsia" w:hAnsiTheme="minorEastAsia" w:eastAsiaTheme="minorEastAsia"/>
                <w:sz w:val="22"/>
              </w:rPr>
            </w:pPr>
            <w:r>
              <w:rPr>
                <w:rFonts w:hint="eastAsia" w:cs="仿宋_GB2312" w:asciiTheme="minorEastAsia" w:hAnsiTheme="minorEastAsia" w:eastAsiaTheme="minorEastAsia"/>
                <w:sz w:val="22"/>
              </w:rPr>
              <w:t>北京市裸地</w:t>
            </w:r>
          </w:p>
        </w:tc>
        <w:tc>
          <w:tcPr>
            <w:tcW w:w="1183" w:type="pct"/>
            <w:vAlign w:val="center"/>
          </w:tcPr>
          <w:p w14:paraId="6F353E82">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sz w:val="22"/>
              </w:rPr>
              <w:t>重点建设用地</w:t>
            </w:r>
          </w:p>
        </w:tc>
        <w:tc>
          <w:tcPr>
            <w:tcW w:w="1184" w:type="pct"/>
            <w:vAlign w:val="center"/>
          </w:tcPr>
          <w:p w14:paraId="6348A281">
            <w:pPr>
              <w:rPr>
                <w:rFonts w:cs="仿宋_GB2312" w:asciiTheme="minorEastAsia" w:hAnsiTheme="minorEastAsia" w:eastAsiaTheme="minorEastAsia"/>
                <w:sz w:val="22"/>
              </w:rPr>
            </w:pPr>
            <w:r>
              <w:rPr>
                <w:rFonts w:hint="eastAsia" w:cs="仿宋_GB2312" w:asciiTheme="minorEastAsia" w:hAnsiTheme="minorEastAsia" w:eastAsiaTheme="minorEastAsia"/>
                <w:sz w:val="22"/>
              </w:rPr>
              <w:t>入河（海）排污口</w:t>
            </w:r>
          </w:p>
        </w:tc>
        <w:tc>
          <w:tcPr>
            <w:tcW w:w="1417" w:type="pct"/>
            <w:vAlign w:val="center"/>
          </w:tcPr>
          <w:p w14:paraId="18157F57">
            <w:pPr>
              <w:rPr>
                <w:rFonts w:cs="仿宋_GB2312" w:asciiTheme="minorEastAsia" w:hAnsiTheme="minorEastAsia" w:eastAsiaTheme="minorEastAsia"/>
                <w:sz w:val="22"/>
              </w:rPr>
            </w:pPr>
            <w:r>
              <w:rPr>
                <w:rFonts w:hint="eastAsia" w:cs="仿宋_GB2312" w:asciiTheme="minorEastAsia" w:hAnsiTheme="minorEastAsia" w:eastAsiaTheme="minorEastAsia"/>
                <w:sz w:val="22"/>
              </w:rPr>
              <w:t>全国各地建筑施工裸地</w:t>
            </w:r>
          </w:p>
        </w:tc>
      </w:tr>
      <w:tr w14:paraId="5FA6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pct"/>
            <w:vAlign w:val="center"/>
          </w:tcPr>
          <w:p w14:paraId="4400A318">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目的任务</w:t>
            </w:r>
          </w:p>
        </w:tc>
        <w:tc>
          <w:tcPr>
            <w:tcW w:w="787" w:type="pct"/>
            <w:vAlign w:val="center"/>
          </w:tcPr>
          <w:p w14:paraId="26C7FA17">
            <w:pPr>
              <w:rPr>
                <w:rFonts w:cs="仿宋_GB2312" w:asciiTheme="minorEastAsia" w:hAnsiTheme="minorEastAsia" w:eastAsiaTheme="minorEastAsia"/>
                <w:sz w:val="22"/>
              </w:rPr>
            </w:pPr>
            <w:r>
              <w:rPr>
                <w:rFonts w:hint="eastAsia" w:cs="仿宋_GB2312" w:asciiTheme="minorEastAsia" w:hAnsiTheme="minorEastAsia" w:eastAsiaTheme="minorEastAsia"/>
                <w:sz w:val="22"/>
              </w:rPr>
              <w:t>裸地监测、</w:t>
            </w:r>
            <w:r>
              <w:rPr>
                <w:rFonts w:hint="eastAsia" w:cs="仿宋_GB2312" w:asciiTheme="minorEastAsia" w:hAnsiTheme="minorEastAsia" w:eastAsiaTheme="minorEastAsia"/>
                <w:b/>
                <w:bCs/>
                <w:sz w:val="22"/>
              </w:rPr>
              <w:t>整治率评价</w:t>
            </w:r>
          </w:p>
        </w:tc>
        <w:tc>
          <w:tcPr>
            <w:tcW w:w="1183" w:type="pct"/>
            <w:vAlign w:val="center"/>
          </w:tcPr>
          <w:p w14:paraId="04570357">
            <w:pPr>
              <w:rPr>
                <w:rFonts w:cs="仿宋_GB2312" w:asciiTheme="minorEastAsia" w:hAnsiTheme="minorEastAsia" w:eastAsiaTheme="minorEastAsia"/>
                <w:sz w:val="22"/>
              </w:rPr>
            </w:pPr>
            <w:r>
              <w:rPr>
                <w:rFonts w:hint="eastAsia" w:cs="仿宋_GB2312" w:asciiTheme="minorEastAsia" w:hAnsiTheme="minorEastAsia" w:eastAsiaTheme="minorEastAsia"/>
                <w:sz w:val="22"/>
              </w:rPr>
              <w:t>土壤污染动态监测与分级管理</w:t>
            </w:r>
          </w:p>
        </w:tc>
        <w:tc>
          <w:tcPr>
            <w:tcW w:w="1184" w:type="pct"/>
            <w:vAlign w:val="center"/>
          </w:tcPr>
          <w:p w14:paraId="0BDC7ADF">
            <w:pPr>
              <w:rPr>
                <w:rFonts w:cs="仿宋_GB2312" w:asciiTheme="minorEastAsia" w:hAnsiTheme="minorEastAsia" w:eastAsiaTheme="minorEastAsia"/>
                <w:sz w:val="22"/>
              </w:rPr>
            </w:pPr>
            <w:r>
              <w:rPr>
                <w:rFonts w:hint="eastAsia" w:cs="仿宋_GB2312" w:asciiTheme="minorEastAsia" w:hAnsiTheme="minorEastAsia" w:eastAsiaTheme="minorEastAsia"/>
                <w:sz w:val="22"/>
              </w:rPr>
              <w:t>排查工作</w:t>
            </w:r>
          </w:p>
        </w:tc>
        <w:tc>
          <w:tcPr>
            <w:tcW w:w="1417" w:type="pct"/>
            <w:vAlign w:val="center"/>
          </w:tcPr>
          <w:p w14:paraId="250FE2F7">
            <w:pPr>
              <w:rPr>
                <w:rFonts w:cs="仿宋_GB2312" w:asciiTheme="minorEastAsia" w:hAnsiTheme="minorEastAsia" w:eastAsiaTheme="minorEastAsia"/>
                <w:sz w:val="22"/>
              </w:rPr>
            </w:pPr>
            <w:r>
              <w:rPr>
                <w:rFonts w:hint="eastAsia" w:cs="仿宋_GB2312" w:asciiTheme="minorEastAsia" w:hAnsiTheme="minorEastAsia" w:eastAsiaTheme="minorEastAsia"/>
                <w:sz w:val="22"/>
              </w:rPr>
              <w:t>建筑施工裸地监测</w:t>
            </w:r>
          </w:p>
        </w:tc>
      </w:tr>
      <w:tr w14:paraId="564D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26" w:type="pct"/>
            <w:vAlign w:val="center"/>
          </w:tcPr>
          <w:p w14:paraId="6DB226A9">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监测/调查对象</w:t>
            </w:r>
          </w:p>
        </w:tc>
        <w:tc>
          <w:tcPr>
            <w:tcW w:w="787" w:type="pct"/>
            <w:vAlign w:val="center"/>
          </w:tcPr>
          <w:p w14:paraId="4FC2F5FC">
            <w:pPr>
              <w:rPr>
                <w:rFonts w:cs="仿宋_GB2312" w:asciiTheme="minorEastAsia" w:hAnsiTheme="minorEastAsia" w:eastAsiaTheme="minorEastAsia"/>
                <w:sz w:val="22"/>
              </w:rPr>
            </w:pPr>
            <w:r>
              <w:rPr>
                <w:rFonts w:hint="eastAsia" w:cs="仿宋_GB2312" w:asciiTheme="minorEastAsia" w:hAnsiTheme="minorEastAsia" w:eastAsiaTheme="minorEastAsia"/>
                <w:sz w:val="22"/>
              </w:rPr>
              <w:t>房屋建筑、交通建设、绿化工地、水务工地、拆迁工地、</w:t>
            </w:r>
            <w:r>
              <w:rPr>
                <w:rFonts w:hint="eastAsia" w:cs="宋体"/>
                <w:b/>
                <w:bCs/>
                <w:color w:val="000000"/>
                <w:szCs w:val="21"/>
              </w:rPr>
              <w:t>建筑垃圾消纳场、混凝土搅拌站、</w:t>
            </w:r>
            <w:r>
              <w:rPr>
                <w:rFonts w:hint="eastAsia" w:ascii="宋体" w:cs="宋体"/>
                <w:b/>
                <w:bCs/>
                <w:color w:val="000000"/>
                <w:szCs w:val="21"/>
              </w:rPr>
              <w:t>未利用裸地、沙荒地</w:t>
            </w:r>
            <w:r>
              <w:rPr>
                <w:rFonts w:hint="eastAsia" w:cs="仿宋_GB2312" w:asciiTheme="minorEastAsia" w:hAnsiTheme="minorEastAsia" w:eastAsiaTheme="minorEastAsia"/>
                <w:sz w:val="22"/>
              </w:rPr>
              <w:t>等裸露地面</w:t>
            </w:r>
          </w:p>
        </w:tc>
        <w:tc>
          <w:tcPr>
            <w:tcW w:w="1183" w:type="pct"/>
            <w:vAlign w:val="center"/>
          </w:tcPr>
          <w:p w14:paraId="71FA8FDF">
            <w:pPr>
              <w:rPr>
                <w:rFonts w:cs="仿宋_GB2312" w:asciiTheme="minorEastAsia" w:hAnsiTheme="minorEastAsia" w:eastAsiaTheme="minorEastAsia"/>
                <w:sz w:val="22"/>
              </w:rPr>
            </w:pPr>
            <w:r>
              <w:rPr>
                <w:rFonts w:hint="eastAsia" w:cs="仿宋_GB2312" w:asciiTheme="minorEastAsia" w:hAnsiTheme="minorEastAsia" w:eastAsiaTheme="minorEastAsia"/>
                <w:sz w:val="22"/>
              </w:rPr>
              <w:t>制造业、采矿业等在产和关停退出原址用地</w:t>
            </w:r>
          </w:p>
        </w:tc>
        <w:tc>
          <w:tcPr>
            <w:tcW w:w="1184" w:type="pct"/>
            <w:vAlign w:val="center"/>
          </w:tcPr>
          <w:p w14:paraId="57626F6E">
            <w:pPr>
              <w:rPr>
                <w:rFonts w:cs="仿宋_GB2312" w:asciiTheme="minorEastAsia" w:hAnsiTheme="minorEastAsia" w:eastAsiaTheme="minorEastAsia"/>
                <w:sz w:val="22"/>
              </w:rPr>
            </w:pPr>
            <w:r>
              <w:rPr>
                <w:rFonts w:hint="eastAsia" w:cs="仿宋_GB2312" w:asciiTheme="minorEastAsia" w:hAnsiTheme="minorEastAsia" w:eastAsiaTheme="minorEastAsia"/>
                <w:sz w:val="22"/>
              </w:rPr>
              <w:t>直接或通过管道、沟、渠等排污通道向环境水体排放污水的口门</w:t>
            </w:r>
          </w:p>
        </w:tc>
        <w:tc>
          <w:tcPr>
            <w:tcW w:w="1417" w:type="pct"/>
            <w:vAlign w:val="center"/>
          </w:tcPr>
          <w:p w14:paraId="01C01846">
            <w:pPr>
              <w:rPr>
                <w:rFonts w:cs="仿宋_GB2312" w:asciiTheme="minorEastAsia" w:hAnsiTheme="minorEastAsia" w:eastAsiaTheme="minorEastAsia"/>
                <w:sz w:val="22"/>
              </w:rPr>
            </w:pPr>
            <w:r>
              <w:rPr>
                <w:rFonts w:hint="eastAsia" w:cs="仿宋_GB2312" w:asciiTheme="minorEastAsia" w:hAnsiTheme="minorEastAsia" w:eastAsiaTheme="minorEastAsia"/>
                <w:sz w:val="22"/>
              </w:rPr>
              <w:t>房屋建筑、交通建设、绿化工地、水务工地、拆迁工地等施工过程中的裸露地面</w:t>
            </w:r>
          </w:p>
        </w:tc>
      </w:tr>
      <w:tr w14:paraId="5321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26" w:type="pct"/>
            <w:vAlign w:val="center"/>
          </w:tcPr>
          <w:p w14:paraId="64E583F5">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监测/调查手段</w:t>
            </w:r>
          </w:p>
        </w:tc>
        <w:tc>
          <w:tcPr>
            <w:tcW w:w="787" w:type="pct"/>
            <w:vAlign w:val="center"/>
          </w:tcPr>
          <w:p w14:paraId="12863E80">
            <w:pPr>
              <w:rPr>
                <w:rFonts w:cs="仿宋_GB2312" w:asciiTheme="minorEastAsia" w:hAnsiTheme="minorEastAsia" w:eastAsiaTheme="minorEastAsia"/>
                <w:sz w:val="22"/>
              </w:rPr>
            </w:pPr>
            <w:r>
              <w:rPr>
                <w:rFonts w:hint="eastAsia" w:cs="仿宋_GB2312" w:asciiTheme="minorEastAsia" w:hAnsiTheme="minorEastAsia" w:eastAsiaTheme="minorEastAsia"/>
                <w:b/>
                <w:sz w:val="22"/>
              </w:rPr>
              <w:t>遥感监测</w:t>
            </w:r>
            <w:r>
              <w:rPr>
                <w:rFonts w:hint="eastAsia" w:cs="仿宋_GB2312" w:asciiTheme="minorEastAsia" w:hAnsiTheme="minorEastAsia" w:eastAsiaTheme="minorEastAsia"/>
                <w:sz w:val="22"/>
              </w:rPr>
              <w:t>、外业核查</w:t>
            </w:r>
          </w:p>
        </w:tc>
        <w:tc>
          <w:tcPr>
            <w:tcW w:w="1183" w:type="pct"/>
            <w:vAlign w:val="center"/>
          </w:tcPr>
          <w:p w14:paraId="506CEA9E">
            <w:pPr>
              <w:rPr>
                <w:rFonts w:cs="仿宋_GB2312" w:asciiTheme="minorEastAsia" w:hAnsiTheme="minorEastAsia" w:eastAsiaTheme="minorEastAsia"/>
                <w:b/>
                <w:sz w:val="22"/>
              </w:rPr>
            </w:pPr>
            <w:r>
              <w:rPr>
                <w:rFonts w:hint="eastAsia" w:cs="仿宋_GB2312" w:asciiTheme="minorEastAsia" w:hAnsiTheme="minorEastAsia" w:eastAsiaTheme="minorEastAsia"/>
                <w:sz w:val="22"/>
              </w:rPr>
              <w:t>现场调查、</w:t>
            </w:r>
            <w:r>
              <w:rPr>
                <w:rFonts w:hint="eastAsia" w:cs="仿宋_GB2312" w:asciiTheme="minorEastAsia" w:hAnsiTheme="minorEastAsia" w:eastAsiaTheme="minorEastAsia"/>
                <w:b/>
                <w:sz w:val="22"/>
              </w:rPr>
              <w:t>遥感监测</w:t>
            </w:r>
          </w:p>
        </w:tc>
        <w:tc>
          <w:tcPr>
            <w:tcW w:w="1184" w:type="pct"/>
            <w:vAlign w:val="center"/>
          </w:tcPr>
          <w:p w14:paraId="3C5B65F5">
            <w:pPr>
              <w:rPr>
                <w:rFonts w:cs="仿宋_GB2312" w:asciiTheme="minorEastAsia" w:hAnsiTheme="minorEastAsia" w:eastAsiaTheme="minorEastAsia"/>
                <w:b/>
                <w:sz w:val="22"/>
              </w:rPr>
            </w:pPr>
            <w:r>
              <w:rPr>
                <w:rFonts w:hint="eastAsia" w:cs="仿宋_GB2312" w:asciiTheme="minorEastAsia" w:hAnsiTheme="minorEastAsia" w:eastAsiaTheme="minorEastAsia"/>
                <w:bCs/>
                <w:sz w:val="22"/>
              </w:rPr>
              <w:t>实地调查、</w:t>
            </w:r>
            <w:r>
              <w:rPr>
                <w:rFonts w:hint="eastAsia" w:cs="仿宋_GB2312" w:asciiTheme="minorEastAsia" w:hAnsiTheme="minorEastAsia" w:eastAsiaTheme="minorEastAsia"/>
                <w:b/>
                <w:sz w:val="22"/>
              </w:rPr>
              <w:t>无人机航测</w:t>
            </w:r>
          </w:p>
        </w:tc>
        <w:tc>
          <w:tcPr>
            <w:tcW w:w="1417" w:type="pct"/>
            <w:vAlign w:val="center"/>
          </w:tcPr>
          <w:p w14:paraId="1906EB6C">
            <w:pPr>
              <w:rPr>
                <w:rFonts w:cs="仿宋_GB2312" w:asciiTheme="minorEastAsia" w:hAnsiTheme="minorEastAsia" w:eastAsiaTheme="minorEastAsia"/>
                <w:sz w:val="22"/>
              </w:rPr>
            </w:pPr>
            <w:r>
              <w:rPr>
                <w:rFonts w:hint="eastAsia" w:cs="仿宋_GB2312" w:asciiTheme="minorEastAsia" w:hAnsiTheme="minorEastAsia" w:eastAsiaTheme="minorEastAsia"/>
                <w:b/>
                <w:sz w:val="22"/>
              </w:rPr>
              <w:t>遥感监测</w:t>
            </w:r>
            <w:r>
              <w:rPr>
                <w:rFonts w:hint="eastAsia" w:cs="仿宋_GB2312" w:asciiTheme="minorEastAsia" w:hAnsiTheme="minorEastAsia" w:eastAsiaTheme="minorEastAsia"/>
                <w:sz w:val="22"/>
              </w:rPr>
              <w:t>、外业调查</w:t>
            </w:r>
          </w:p>
        </w:tc>
      </w:tr>
      <w:tr w14:paraId="36C7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426" w:type="pct"/>
            <w:vAlign w:val="center"/>
          </w:tcPr>
          <w:p w14:paraId="12115292">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监测/调查指标</w:t>
            </w:r>
          </w:p>
        </w:tc>
        <w:tc>
          <w:tcPr>
            <w:tcW w:w="787" w:type="pct"/>
            <w:vAlign w:val="center"/>
          </w:tcPr>
          <w:p w14:paraId="7CBD6691">
            <w:pPr>
              <w:rPr>
                <w:rFonts w:cs="仿宋_GB2312" w:asciiTheme="minorEastAsia" w:hAnsiTheme="minorEastAsia"/>
                <w:sz w:val="22"/>
              </w:rPr>
            </w:pPr>
            <w:r>
              <w:rPr>
                <w:rFonts w:hint="eastAsia" w:ascii="宋体" w:hAnsi="宋体" w:cs="宋体"/>
              </w:rPr>
              <w:t>裸地的类型、施工阶段、动态变化状态</w:t>
            </w:r>
          </w:p>
        </w:tc>
        <w:tc>
          <w:tcPr>
            <w:tcW w:w="1183" w:type="pct"/>
            <w:vAlign w:val="center"/>
          </w:tcPr>
          <w:p w14:paraId="7E16A9AD">
            <w:pPr>
              <w:rPr>
                <w:rFonts w:ascii="宋体" w:hAnsi="宋体" w:cs="宋体"/>
              </w:rPr>
            </w:pPr>
            <w:r>
              <w:rPr>
                <w:rFonts w:hint="eastAsia" w:cs="仿宋_GB2312" w:asciiTheme="minorEastAsia" w:hAnsiTheme="minorEastAsia" w:eastAsiaTheme="minorEastAsia"/>
                <w:sz w:val="22"/>
              </w:rPr>
              <w:t>拆除活动、施工活动</w:t>
            </w:r>
            <w:r>
              <w:rPr>
                <w:rFonts w:cs="仿宋_GB2312" w:asciiTheme="minorEastAsia" w:hAnsiTheme="minorEastAsia" w:eastAsiaTheme="minorEastAsia"/>
                <w:sz w:val="22"/>
              </w:rPr>
              <w:t>-修复工程、施工活动-开发建设、新改扩建活动及其他人类活动</w:t>
            </w:r>
          </w:p>
        </w:tc>
        <w:tc>
          <w:tcPr>
            <w:tcW w:w="1184" w:type="pct"/>
            <w:vAlign w:val="center"/>
          </w:tcPr>
          <w:p w14:paraId="10B8B007">
            <w:pPr>
              <w:rPr>
                <w:rFonts w:cs="仿宋_GB2312" w:asciiTheme="minorEastAsia" w:hAnsiTheme="minorEastAsia" w:eastAsiaTheme="minorEastAsia"/>
                <w:sz w:val="22"/>
              </w:rPr>
            </w:pPr>
            <w:r>
              <w:rPr>
                <w:rFonts w:hint="eastAsia" w:cs="仿宋_GB2312" w:asciiTheme="minorEastAsia" w:hAnsiTheme="minorEastAsia" w:eastAsiaTheme="minorEastAsia"/>
                <w:sz w:val="22"/>
              </w:rPr>
              <w:t>工矿企业排污口，规模化水产养殖排污口，规模化畜禽养殖排污口，农村生活污水散排污口，大中型灌溉区排口，城镇污水处理厂排污口，工矿企业、工业及其他各类园区雨洪排口</w:t>
            </w:r>
          </w:p>
        </w:tc>
        <w:tc>
          <w:tcPr>
            <w:tcW w:w="1417" w:type="pct"/>
            <w:vAlign w:val="center"/>
          </w:tcPr>
          <w:p w14:paraId="30573B94">
            <w:pPr>
              <w:rPr>
                <w:rFonts w:cs="仿宋_GB2312" w:asciiTheme="minorEastAsia" w:hAnsiTheme="minorEastAsia" w:eastAsiaTheme="minorEastAsia"/>
                <w:sz w:val="22"/>
              </w:rPr>
            </w:pPr>
            <w:r>
              <w:rPr>
                <w:rFonts w:hint="eastAsia" w:ascii="宋体" w:hAnsi="宋体" w:cs="宋体"/>
              </w:rPr>
              <w:t>裸地的类型、施工阶段、动态变化状态和苫盖比例。</w:t>
            </w:r>
          </w:p>
        </w:tc>
      </w:tr>
      <w:tr w14:paraId="4021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26" w:type="pct"/>
            <w:vAlign w:val="center"/>
          </w:tcPr>
          <w:p w14:paraId="7EAE8A6B">
            <w:pPr>
              <w:jc w:val="center"/>
              <w:rPr>
                <w:rFonts w:cs="仿宋_GB2312" w:asciiTheme="minorEastAsia" w:hAnsiTheme="minorEastAsia" w:eastAsiaTheme="minorEastAsia"/>
                <w:b/>
                <w:bCs/>
                <w:sz w:val="22"/>
              </w:rPr>
            </w:pPr>
            <w:r>
              <w:rPr>
                <w:rFonts w:hint="eastAsia" w:cs="仿宋_GB2312" w:asciiTheme="minorEastAsia" w:hAnsiTheme="minorEastAsia" w:eastAsiaTheme="minorEastAsia"/>
                <w:b/>
                <w:bCs/>
                <w:sz w:val="22"/>
              </w:rPr>
              <w:t>成果应用</w:t>
            </w:r>
          </w:p>
        </w:tc>
        <w:tc>
          <w:tcPr>
            <w:tcW w:w="787" w:type="pct"/>
            <w:vAlign w:val="center"/>
          </w:tcPr>
          <w:p w14:paraId="0E286693">
            <w:pPr>
              <w:rPr>
                <w:rFonts w:cs="仿宋_GB2312" w:asciiTheme="minorEastAsia" w:hAnsiTheme="minorEastAsia" w:eastAsiaTheme="minorEastAsia"/>
                <w:sz w:val="22"/>
              </w:rPr>
            </w:pPr>
            <w:r>
              <w:rPr>
                <w:rFonts w:hint="eastAsia" w:cs="仿宋_GB2312" w:asciiTheme="minorEastAsia" w:hAnsiTheme="minorEastAsia" w:eastAsiaTheme="minorEastAsia"/>
                <w:b/>
                <w:bCs/>
                <w:sz w:val="22"/>
              </w:rPr>
              <w:t>整治率评价</w:t>
            </w:r>
          </w:p>
        </w:tc>
        <w:tc>
          <w:tcPr>
            <w:tcW w:w="1183" w:type="pct"/>
            <w:vAlign w:val="center"/>
          </w:tcPr>
          <w:p w14:paraId="472E273F">
            <w:pPr>
              <w:rPr>
                <w:rFonts w:cs="仿宋_GB2312" w:asciiTheme="minorEastAsia" w:hAnsiTheme="minorEastAsia" w:eastAsiaTheme="minorEastAsia"/>
                <w:sz w:val="22"/>
              </w:rPr>
            </w:pPr>
            <w:r>
              <w:rPr>
                <w:rFonts w:hint="eastAsia" w:cs="仿宋_GB2312" w:asciiTheme="minorEastAsia" w:hAnsiTheme="minorEastAsia" w:eastAsiaTheme="minorEastAsia"/>
                <w:sz w:val="22"/>
              </w:rPr>
              <w:t>关注度判定</w:t>
            </w:r>
          </w:p>
        </w:tc>
        <w:tc>
          <w:tcPr>
            <w:tcW w:w="1184" w:type="pct"/>
            <w:vAlign w:val="center"/>
          </w:tcPr>
          <w:p w14:paraId="7066CBB1">
            <w:pPr>
              <w:rPr>
                <w:rFonts w:cs="仿宋_GB2312" w:asciiTheme="minorEastAsia" w:hAnsiTheme="minorEastAsia" w:eastAsiaTheme="minorEastAsia"/>
                <w:sz w:val="22"/>
              </w:rPr>
            </w:pPr>
            <w:r>
              <w:rPr>
                <w:rFonts w:hint="eastAsia" w:cs="仿宋_GB2312" w:asciiTheme="minorEastAsia" w:hAnsiTheme="minorEastAsia" w:eastAsiaTheme="minorEastAsia"/>
                <w:sz w:val="22"/>
              </w:rPr>
              <w:t>--</w:t>
            </w:r>
          </w:p>
        </w:tc>
        <w:tc>
          <w:tcPr>
            <w:tcW w:w="1417" w:type="pct"/>
            <w:vAlign w:val="center"/>
          </w:tcPr>
          <w:p w14:paraId="5961FE77">
            <w:pPr>
              <w:rPr>
                <w:rFonts w:cs="仿宋_GB2312" w:asciiTheme="minorEastAsia" w:hAnsiTheme="minorEastAsia" w:eastAsiaTheme="minorEastAsia"/>
                <w:sz w:val="22"/>
              </w:rPr>
            </w:pPr>
            <w:r>
              <w:rPr>
                <w:rFonts w:hint="eastAsia" w:cs="仿宋_GB2312" w:asciiTheme="minorEastAsia" w:hAnsiTheme="minorEastAsia" w:eastAsiaTheme="minorEastAsia"/>
                <w:sz w:val="22"/>
              </w:rPr>
              <w:t>--</w:t>
            </w:r>
          </w:p>
        </w:tc>
      </w:tr>
      <w:bookmarkEnd w:id="47"/>
      <w:bookmarkEnd w:id="48"/>
    </w:tbl>
    <w:p w14:paraId="28A21C54">
      <w:pPr>
        <w:numPr>
          <w:ilvl w:val="0"/>
          <w:numId w:val="8"/>
        </w:numPr>
        <w:ind w:left="0" w:firstLine="640" w:firstLineChars="200"/>
        <w:rPr>
          <w:rFonts w:ascii="仿宋_GB2312" w:eastAsia="仿宋_GB2312"/>
          <w:sz w:val="32"/>
          <w:szCs w:val="20"/>
        </w:rPr>
      </w:pPr>
      <w:bookmarkStart w:id="52" w:name="_Toc155990912"/>
      <w:bookmarkStart w:id="53" w:name="_Toc103617126"/>
      <w:r>
        <w:rPr>
          <w:rFonts w:hint="eastAsia" w:ascii="仿宋_GB2312" w:eastAsia="仿宋_GB2312"/>
          <w:sz w:val="32"/>
          <w:szCs w:val="20"/>
        </w:rPr>
        <w:t>主要条款及条款编制依据的说明，主要技术指标、参数、实验验证的论述。</w:t>
      </w:r>
    </w:p>
    <w:p w14:paraId="48866007">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6.1 文件内容框架</w:t>
      </w:r>
      <w:bookmarkEnd w:id="52"/>
      <w:bookmarkEnd w:id="53"/>
    </w:p>
    <w:p w14:paraId="5EF028FB">
      <w:pPr>
        <w:spacing w:line="360" w:lineRule="auto"/>
        <w:ind w:firstLine="480" w:firstLineChars="200"/>
        <w:rPr>
          <w:rFonts w:ascii="仿宋_GB2312" w:hAnsi="仿宋_GB2312" w:eastAsia="仿宋_GB2312" w:cs="仿宋_GB2312"/>
          <w:sz w:val="24"/>
          <w:szCs w:val="21"/>
        </w:rPr>
      </w:pPr>
      <w:bookmarkStart w:id="54" w:name="_Toc155990913"/>
      <w:bookmarkStart w:id="55" w:name="_Toc103617127"/>
      <w:r>
        <w:rPr>
          <w:rFonts w:hint="eastAsia" w:ascii="仿宋_GB2312" w:hAnsi="仿宋_GB2312" w:eastAsia="仿宋_GB2312" w:cs="仿宋_GB2312"/>
          <w:sz w:val="24"/>
          <w:szCs w:val="21"/>
        </w:rPr>
        <w:t>本标准包括范围、规范性引用文件、术语和定义、工作程序、监测资料准备、遥感监测方法、质量控制与精度评估、整治率评价、附录共九部分。</w:t>
      </w:r>
    </w:p>
    <w:p w14:paraId="2B5D208F">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（1）范围</w:t>
      </w:r>
      <w:r>
        <w:rPr>
          <w:rFonts w:hint="eastAsia" w:ascii="仿宋_GB2312" w:hAnsi="仿宋_GB2312" w:eastAsia="仿宋_GB2312" w:cs="仿宋_GB2312"/>
          <w:sz w:val="24"/>
          <w:szCs w:val="21"/>
        </w:rPr>
        <w:t>：本标准的主要内容和适用范围。</w:t>
      </w:r>
    </w:p>
    <w:p w14:paraId="1B2A07BF">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（2）规范性引用文件</w:t>
      </w:r>
      <w:r>
        <w:rPr>
          <w:rFonts w:hint="eastAsia" w:ascii="仿宋_GB2312" w:hAnsi="仿宋_GB2312" w:eastAsia="仿宋_GB2312" w:cs="仿宋_GB2312"/>
          <w:sz w:val="24"/>
          <w:szCs w:val="21"/>
        </w:rPr>
        <w:t>：本标准中引用的标准。</w:t>
      </w:r>
    </w:p>
    <w:p w14:paraId="3BF13079">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（3）术语和定义</w:t>
      </w:r>
      <w:r>
        <w:rPr>
          <w:rFonts w:hint="eastAsia" w:ascii="仿宋_GB2312" w:hAnsi="仿宋_GB2312" w:eastAsia="仿宋_GB2312" w:cs="仿宋_GB2312"/>
          <w:sz w:val="24"/>
          <w:szCs w:val="21"/>
        </w:rPr>
        <w:t>：本标准中关键词的解释。</w:t>
      </w:r>
    </w:p>
    <w:p w14:paraId="5D1DDD52">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（4）工作程序</w:t>
      </w:r>
      <w:r>
        <w:rPr>
          <w:rFonts w:hint="eastAsia" w:ascii="仿宋_GB2312" w:hAnsi="仿宋_GB2312" w:eastAsia="仿宋_GB2312" w:cs="仿宋_GB2312"/>
          <w:sz w:val="24"/>
          <w:szCs w:val="21"/>
        </w:rPr>
        <w:t>：本标准中裸地遥感监测需要遵循的工作程序。</w:t>
      </w:r>
    </w:p>
    <w:p w14:paraId="48A784DE">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（5）监测资料准备</w:t>
      </w:r>
      <w:r>
        <w:rPr>
          <w:rFonts w:hint="eastAsia" w:ascii="仿宋_GB2312" w:hAnsi="仿宋_GB2312" w:eastAsia="仿宋_GB2312" w:cs="仿宋_GB2312"/>
          <w:sz w:val="24"/>
          <w:szCs w:val="21"/>
        </w:rPr>
        <w:t>：本标准中开展裸地遥感监测需要准备的资料要求，包括对遥感影像及工程/场站台账的要求。</w:t>
      </w:r>
    </w:p>
    <w:p w14:paraId="0E96F595">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（6）遥感监测方法</w:t>
      </w:r>
      <w:r>
        <w:rPr>
          <w:rFonts w:hint="eastAsia" w:ascii="仿宋_GB2312" w:hAnsi="仿宋_GB2312" w:eastAsia="仿宋_GB2312" w:cs="仿宋_GB2312"/>
          <w:sz w:val="24"/>
          <w:szCs w:val="21"/>
        </w:rPr>
        <w:t>：本标准中对监测对象、监测方法、监测指标的要求。</w:t>
      </w:r>
    </w:p>
    <w:p w14:paraId="179A85A3">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（7）质量控制与精度评估</w:t>
      </w:r>
      <w:r>
        <w:rPr>
          <w:rFonts w:hint="eastAsia" w:ascii="仿宋_GB2312" w:hAnsi="仿宋_GB2312" w:eastAsia="仿宋_GB2312" w:cs="仿宋_GB2312"/>
          <w:sz w:val="24"/>
          <w:szCs w:val="21"/>
        </w:rPr>
        <w:t>：本标准中对监测成果、内业检查、外业核查和精度评估的要求。</w:t>
      </w:r>
    </w:p>
    <w:p w14:paraId="4CE74EC7">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（8）裸地整治率评价</w:t>
      </w:r>
      <w:r>
        <w:rPr>
          <w:rFonts w:hint="eastAsia" w:ascii="仿宋_GB2312" w:hAnsi="仿宋_GB2312" w:eastAsia="仿宋_GB2312" w:cs="仿宋_GB2312"/>
          <w:sz w:val="24"/>
          <w:szCs w:val="21"/>
        </w:rPr>
        <w:t>：本标准中对裸地整治率计算方法、评价指标的要求。</w:t>
      </w:r>
    </w:p>
    <w:p w14:paraId="7303CF56">
      <w:pPr>
        <w:spacing w:line="360" w:lineRule="auto"/>
        <w:ind w:firstLine="482" w:firstLineChars="200"/>
        <w:rPr>
          <w:rFonts w:ascii="仿宋_GB2312" w:hAnsi="仿宋_GB2312" w:eastAsia="仿宋_GB2312" w:cs="仿宋_GB2312"/>
          <w:sz w:val="24"/>
          <w:szCs w:val="21"/>
        </w:rPr>
      </w:pPr>
      <w:r>
        <w:rPr>
          <w:rFonts w:hint="eastAsia" w:ascii="仿宋_GB2312" w:hAnsi="仿宋_GB2312" w:eastAsia="仿宋_GB2312" w:cs="仿宋_GB2312"/>
          <w:b/>
          <w:bCs/>
          <w:sz w:val="24"/>
          <w:szCs w:val="21"/>
        </w:rPr>
        <w:t>（9）附录：</w:t>
      </w:r>
      <w:r>
        <w:rPr>
          <w:rFonts w:hint="eastAsia" w:ascii="仿宋_GB2312" w:hAnsi="仿宋_GB2312" w:eastAsia="仿宋_GB2312" w:cs="仿宋_GB2312"/>
          <w:sz w:val="24"/>
          <w:szCs w:val="21"/>
        </w:rPr>
        <w:t>本标准中涉及</w:t>
      </w:r>
      <w:bookmarkStart w:id="79" w:name="_GoBack"/>
      <w:bookmarkEnd w:id="79"/>
      <w:r>
        <w:rPr>
          <w:rFonts w:hint="eastAsia" w:ascii="仿宋_GB2312" w:hAnsi="仿宋_GB2312" w:eastAsia="仿宋_GB2312" w:cs="仿宋_GB2312"/>
          <w:sz w:val="24"/>
          <w:szCs w:val="21"/>
        </w:rPr>
        <w:t>的资料性附录。</w:t>
      </w:r>
    </w:p>
    <w:p w14:paraId="1BCFD867">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6.2 范围</w:t>
      </w:r>
      <w:bookmarkEnd w:id="54"/>
      <w:bookmarkEnd w:id="55"/>
    </w:p>
    <w:p w14:paraId="2C89085F">
      <w:pPr>
        <w:spacing w:line="360" w:lineRule="auto"/>
        <w:ind w:firstLine="480" w:firstLineChars="200"/>
        <w:rPr>
          <w:rFonts w:ascii="仿宋_GB2312" w:hAnsi="仿宋_GB2312" w:eastAsia="仿宋_GB2312" w:cs="仿宋_GB2312"/>
          <w:sz w:val="24"/>
          <w:szCs w:val="21"/>
        </w:rPr>
      </w:pPr>
      <w:bookmarkStart w:id="56" w:name="_Toc155990914"/>
      <w:r>
        <w:rPr>
          <w:rFonts w:hint="eastAsia" w:ascii="仿宋_GB2312" w:hAnsi="仿宋_GB2312" w:eastAsia="仿宋_GB2312" w:cs="仿宋_GB2312"/>
          <w:sz w:val="24"/>
          <w:szCs w:val="21"/>
        </w:rPr>
        <w:t>本标准规定了裸地遥感监测的工作程序、监测资料准备、遥感监测方法、质量控制与精度评估、整治率评价等内容。</w:t>
      </w:r>
    </w:p>
    <w:p w14:paraId="5C246F74">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本标准适用于大气扬尘源裸地的遥感监测，不适用于敏感管控区域及农用地裸地。</w:t>
      </w:r>
    </w:p>
    <w:tbl>
      <w:tblPr>
        <w:tblStyle w:val="17"/>
        <w:tblpPr w:leftFromText="180" w:rightFromText="180" w:vertAnchor="text" w:horzAnchor="page" w:tblpX="1462" w:tblpY="22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5"/>
        <w:gridCol w:w="5905"/>
      </w:tblGrid>
      <w:tr w14:paraId="55CD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2395" w:type="dxa"/>
          </w:tcPr>
          <w:p w14:paraId="508EEC4F">
            <w:pPr>
              <w:pStyle w:val="14"/>
              <w:widowControl w:val="0"/>
              <w:ind w:firstLine="840" w:firstLineChars="400"/>
              <w:rPr>
                <w:rFonts w:ascii="Times New Roman"/>
                <w:szCs w:val="21"/>
              </w:rPr>
            </w:pPr>
            <w:r>
              <w:rPr>
                <w:rFonts w:ascii="Times New Roman"/>
                <w:szCs w:val="21"/>
              </w:rPr>
              <w:t>GB/T 17941</w:t>
            </w:r>
          </w:p>
        </w:tc>
        <w:tc>
          <w:tcPr>
            <w:tcW w:w="5905" w:type="dxa"/>
          </w:tcPr>
          <w:p w14:paraId="2CA71C62">
            <w:pPr>
              <w:pStyle w:val="2"/>
              <w:shd w:val="clear" w:color="auto" w:fill="FFFFFF"/>
              <w:wordWrap w:val="0"/>
              <w:spacing w:before="0" w:after="0" w:line="240" w:lineRule="auto"/>
              <w:ind w:firstLine="420" w:firstLineChars="200"/>
              <w:outlineLvl w:val="0"/>
              <w:rPr>
                <w:rFonts w:eastAsia="宋体"/>
                <w:bCs w:val="0"/>
                <w:kern w:val="0"/>
                <w:sz w:val="21"/>
                <w:szCs w:val="21"/>
              </w:rPr>
            </w:pPr>
            <w:r>
              <w:rPr>
                <w:rFonts w:hint="eastAsia" w:eastAsia="宋体"/>
                <w:sz w:val="21"/>
                <w:szCs w:val="21"/>
              </w:rPr>
              <w:t>数字测绘成果质量要求标准</w:t>
            </w:r>
          </w:p>
        </w:tc>
      </w:tr>
      <w:tr w14:paraId="1691C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2395" w:type="dxa"/>
          </w:tcPr>
          <w:p w14:paraId="2217AFAA">
            <w:pPr>
              <w:pStyle w:val="14"/>
              <w:widowControl w:val="0"/>
              <w:ind w:firstLine="840" w:firstLineChars="400"/>
              <w:rPr>
                <w:rFonts w:ascii="Times New Roman"/>
                <w:szCs w:val="21"/>
              </w:rPr>
            </w:pPr>
            <w:r>
              <w:rPr>
                <w:rFonts w:ascii="Times New Roman"/>
                <w:szCs w:val="21"/>
              </w:rPr>
              <w:t>GB/T 33182</w:t>
            </w:r>
          </w:p>
        </w:tc>
        <w:tc>
          <w:tcPr>
            <w:tcW w:w="5905" w:type="dxa"/>
          </w:tcPr>
          <w:p w14:paraId="127CB1B8">
            <w:pPr>
              <w:pStyle w:val="2"/>
              <w:shd w:val="clear" w:color="auto" w:fill="FFFFFF"/>
              <w:wordWrap w:val="0"/>
              <w:spacing w:before="0" w:after="0" w:line="240" w:lineRule="auto"/>
              <w:ind w:firstLine="420" w:firstLineChars="200"/>
              <w:outlineLvl w:val="0"/>
              <w:rPr>
                <w:rFonts w:eastAsia="宋体"/>
                <w:bCs w:val="0"/>
                <w:kern w:val="0"/>
                <w:sz w:val="21"/>
                <w:szCs w:val="21"/>
              </w:rPr>
            </w:pPr>
            <w:r>
              <w:rPr>
                <w:rFonts w:hint="eastAsia" w:eastAsia="宋体"/>
                <w:sz w:val="21"/>
                <w:szCs w:val="21"/>
              </w:rPr>
              <w:t>国家基本比例尺地图</w:t>
            </w:r>
            <w:r>
              <w:rPr>
                <w:rFonts w:eastAsia="宋体"/>
                <w:sz w:val="21"/>
                <w:szCs w:val="21"/>
              </w:rPr>
              <w:t xml:space="preserve"> 1</w:t>
            </w:r>
            <w:r>
              <w:rPr>
                <w:rFonts w:hint="eastAsia" w:eastAsia="宋体"/>
                <w:sz w:val="21"/>
                <w:szCs w:val="21"/>
              </w:rPr>
              <w:t>：</w:t>
            </w:r>
            <w:r>
              <w:rPr>
                <w:rFonts w:eastAsia="宋体"/>
                <w:sz w:val="21"/>
                <w:szCs w:val="21"/>
              </w:rPr>
              <w:t>5 000  1</w:t>
            </w:r>
            <w:r>
              <w:rPr>
                <w:rFonts w:hint="eastAsia" w:eastAsia="宋体"/>
                <w:sz w:val="21"/>
                <w:szCs w:val="21"/>
              </w:rPr>
              <w:t>：</w:t>
            </w:r>
            <w:r>
              <w:rPr>
                <w:rFonts w:eastAsia="宋体"/>
                <w:sz w:val="21"/>
                <w:szCs w:val="21"/>
              </w:rPr>
              <w:t>10 000</w:t>
            </w:r>
            <w:r>
              <w:rPr>
                <w:rFonts w:hint="eastAsia" w:eastAsia="宋体"/>
                <w:sz w:val="21"/>
                <w:szCs w:val="21"/>
              </w:rPr>
              <w:t>正射影像地图</w:t>
            </w:r>
          </w:p>
        </w:tc>
      </w:tr>
      <w:tr w14:paraId="625F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2395" w:type="dxa"/>
          </w:tcPr>
          <w:p w14:paraId="5FF39AC9">
            <w:pPr>
              <w:pStyle w:val="14"/>
              <w:widowControl w:val="0"/>
              <w:ind w:firstLine="840" w:firstLineChars="400"/>
              <w:rPr>
                <w:rFonts w:ascii="Times New Roman"/>
                <w:szCs w:val="21"/>
              </w:rPr>
            </w:pPr>
            <w:r>
              <w:rPr>
                <w:rFonts w:ascii="Times New Roman"/>
                <w:szCs w:val="21"/>
              </w:rPr>
              <w:t>CH/T 1027</w:t>
            </w:r>
          </w:p>
        </w:tc>
        <w:tc>
          <w:tcPr>
            <w:tcW w:w="5905" w:type="dxa"/>
          </w:tcPr>
          <w:p w14:paraId="2589343F">
            <w:pPr>
              <w:pStyle w:val="2"/>
              <w:shd w:val="clear" w:color="auto" w:fill="FFFFFF"/>
              <w:wordWrap w:val="0"/>
              <w:spacing w:before="0" w:after="0" w:line="240" w:lineRule="auto"/>
              <w:ind w:firstLine="420" w:firstLineChars="200"/>
              <w:outlineLvl w:val="0"/>
              <w:rPr>
                <w:rFonts w:eastAsia="宋体"/>
                <w:sz w:val="21"/>
                <w:szCs w:val="21"/>
              </w:rPr>
            </w:pPr>
            <w:r>
              <w:rPr>
                <w:rFonts w:hint="eastAsia" w:eastAsia="宋体"/>
                <w:sz w:val="21"/>
                <w:szCs w:val="21"/>
              </w:rPr>
              <w:t>数字正射影像图质量检验技术规程</w:t>
            </w:r>
          </w:p>
        </w:tc>
      </w:tr>
    </w:tbl>
    <w:p w14:paraId="42342B38">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6.3 规范性引用文件</w:t>
      </w:r>
      <w:bookmarkEnd w:id="56"/>
    </w:p>
    <w:p w14:paraId="1A4E215D">
      <w:pPr>
        <w:spacing w:line="360" w:lineRule="auto"/>
        <w:ind w:firstLine="480" w:firstLineChars="200"/>
        <w:rPr>
          <w:rFonts w:ascii="仿宋_GB2312" w:hAnsi="仿宋_GB2312" w:eastAsia="仿宋_GB2312" w:cs="仿宋_GB2312"/>
          <w:sz w:val="24"/>
          <w:szCs w:val="21"/>
        </w:rPr>
      </w:pPr>
      <w:bookmarkStart w:id="57" w:name="_Toc155990915"/>
      <w:r>
        <w:rPr>
          <w:rFonts w:hint="eastAsia" w:ascii="仿宋_GB2312" w:hAnsi="仿宋_GB2312" w:eastAsia="仿宋_GB2312" w:cs="仿宋_GB2312"/>
          <w:sz w:val="24"/>
          <w:szCs w:val="21"/>
        </w:rPr>
        <w:t>本指南“裸地”定义，引用《土地利用现状分类》（GB/T 21010）和《生态环境状况评价技术规范》HJ192中相关定义。</w:t>
      </w:r>
    </w:p>
    <w:p w14:paraId="017606DD">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本指南“图斑”定义，引用《生态保护红线监管技术规范数据质量控制（试行）》（HJ 1145）中相关定义。</w:t>
      </w:r>
    </w:p>
    <w:p w14:paraId="43CFD7D5">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本指南“数字正射影像图”定义，引用《摄影测量与遥感术语》（GB/T 14950）中相关定义。</w:t>
      </w:r>
    </w:p>
    <w:p w14:paraId="6CDAF592">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本指南“5.1.5”，应按《国家基本比例尺地图 1_5 000 1_10 000正射影像地图》（GB/T 33182）中数字正射影像质量的规定执行。</w:t>
      </w:r>
    </w:p>
    <w:p w14:paraId="4912D825">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本指南“5.1.6”，数字正射影像质量检验的基本要求、工作流程、检验方法和质量评定方法应按《数字正射影像图质量检验技术规程》（CH/T 1027）的规定执行。</w:t>
      </w:r>
    </w:p>
    <w:p w14:paraId="59503670">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本指南“7.2.1”和“7.3.1”，样本的选取应参照《测绘成果质量检查与验收》GB/T 24356执行。</w:t>
      </w:r>
    </w:p>
    <w:p w14:paraId="23F04E7D">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本指南“7.2.2”，遥感监测内业检查内容包括空间参考系、位置精度、属性精度、完整性、逻辑一致性、标准质量等内容，按照《数字测绘成果质量要求标准》GB/T 17941的规定执行。</w:t>
      </w:r>
    </w:p>
    <w:p w14:paraId="7CB6A767">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6.4 术语及定义</w:t>
      </w:r>
      <w:bookmarkEnd w:id="57"/>
    </w:p>
    <w:p w14:paraId="6242D266">
      <w:pPr>
        <w:spacing w:line="360" w:lineRule="auto"/>
        <w:ind w:firstLine="560" w:firstLineChars="200"/>
        <w:outlineLvl w:val="2"/>
        <w:rPr>
          <w:rFonts w:ascii="仿宋_GB2312" w:eastAsia="仿宋_GB2312"/>
          <w:sz w:val="28"/>
          <w:szCs w:val="28"/>
        </w:rPr>
      </w:pPr>
      <w:bookmarkStart w:id="58" w:name="_Toc155990916"/>
      <w:r>
        <w:rPr>
          <w:rFonts w:hint="eastAsia" w:ascii="仿宋_GB2312" w:eastAsia="仿宋_GB2312"/>
          <w:sz w:val="28"/>
          <w:szCs w:val="28"/>
        </w:rPr>
        <w:t>6.4.1 裸地 bare land</w:t>
      </w:r>
    </w:p>
    <w:p w14:paraId="6311B223">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《土地利用现状分类》（GB/T 21010-2007）中裸地的概念为：指表层为土质，基本无植被覆盖的土地；或表层为岩石、石砾，其覆盖面积≥70%的土地。该定义中“表层为土质”的定义符合本指南裸地的概念，因此参考使用。《生态环境状况评价技术规范》（HJ192-2015）中裸土地的概念为：地表土质覆盖，植被覆盖度在 5 %以下的土地。本指南参考了该标准中对植被覆盖的定义。参考上述定义，本指南形成了对裸地的定义为表层为土质，植被覆盖度在5%以下的土地。除此之外，本指南中定义的裸地按是否铺装或被基坑气膜等材料覆盖，可分为覆盖裸地和未覆盖裸地。</w:t>
      </w:r>
    </w:p>
    <w:p w14:paraId="7D1416EE">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6.4.2 矢量化 vectorization</w:t>
      </w:r>
    </w:p>
    <w:p w14:paraId="76A09224">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本指南矢量化定义为形成矢量数据的过程。矢量数据通过点、线、矩形、多边形等元素来定位和描述图形。</w:t>
      </w:r>
    </w:p>
    <w:p w14:paraId="567492AE">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6.4.3 图斑 patch</w:t>
      </w:r>
    </w:p>
    <w:p w14:paraId="2ECEDC42">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本指南图斑的定义参考HJ1145定义为遥感影像上以某地类为主的地块，以及被行政界线、地表覆盖类型界线或线状地物分割的地块所对应的矢量数据。</w:t>
      </w:r>
    </w:p>
    <w:p w14:paraId="47FFCCB7">
      <w:pPr>
        <w:spacing w:line="360" w:lineRule="auto"/>
        <w:ind w:firstLine="560" w:firstLineChars="200"/>
        <w:outlineLvl w:val="2"/>
        <w:rPr>
          <w:rFonts w:ascii="仿宋_GB2312" w:eastAsia="仿宋_GB2312"/>
          <w:sz w:val="28"/>
          <w:szCs w:val="28"/>
        </w:rPr>
      </w:pPr>
      <w:bookmarkStart w:id="59" w:name="_Toc9562"/>
      <w:bookmarkStart w:id="60" w:name="_Toc23965"/>
      <w:bookmarkStart w:id="61" w:name="_Toc131516461"/>
      <w:r>
        <w:rPr>
          <w:rFonts w:hint="eastAsia" w:ascii="仿宋_GB2312" w:eastAsia="仿宋_GB2312"/>
          <w:sz w:val="28"/>
          <w:szCs w:val="28"/>
        </w:rPr>
        <w:t xml:space="preserve">6.4.4数字正射影像 digital orthophoto </w:t>
      </w:r>
      <w:bookmarkEnd w:id="59"/>
      <w:bookmarkEnd w:id="60"/>
      <w:bookmarkEnd w:id="61"/>
      <w:r>
        <w:rPr>
          <w:rFonts w:hint="eastAsia" w:ascii="仿宋_GB2312" w:eastAsia="仿宋_GB2312"/>
          <w:sz w:val="28"/>
          <w:szCs w:val="28"/>
        </w:rPr>
        <w:t>image</w:t>
      </w:r>
    </w:p>
    <w:p w14:paraId="08003E9C">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 xml:space="preserve">《摄影测量与遥感术语》（GB/T 14950—2009）中“数字正射影像图”的定义是“经过正射投影改正的影像数据集。”。本指南引用了此定义。 </w:t>
      </w:r>
    </w:p>
    <w:p w14:paraId="3BE14BD4">
      <w:pPr>
        <w:spacing w:line="360" w:lineRule="auto"/>
        <w:ind w:firstLine="560" w:firstLineChars="200"/>
        <w:outlineLvl w:val="2"/>
        <w:rPr>
          <w:rFonts w:ascii="仿宋_GB2312" w:eastAsia="仿宋_GB2312"/>
          <w:sz w:val="28"/>
          <w:szCs w:val="28"/>
        </w:rPr>
      </w:pPr>
      <w:bookmarkStart w:id="62" w:name="_Toc131516462"/>
      <w:bookmarkStart w:id="63" w:name="_Toc29871"/>
      <w:bookmarkStart w:id="64" w:name="_Toc25862"/>
      <w:r>
        <w:rPr>
          <w:rFonts w:hint="eastAsia" w:ascii="仿宋_GB2312" w:eastAsia="仿宋_GB2312"/>
          <w:sz w:val="28"/>
          <w:szCs w:val="28"/>
        </w:rPr>
        <w:t>6.4.5</w:t>
      </w:r>
      <w:bookmarkEnd w:id="62"/>
      <w:bookmarkEnd w:id="63"/>
      <w:bookmarkEnd w:id="64"/>
      <w:r>
        <w:rPr>
          <w:rFonts w:hint="eastAsia" w:ascii="仿宋_GB2312" w:eastAsia="仿宋_GB2312"/>
          <w:sz w:val="28"/>
          <w:szCs w:val="28"/>
        </w:rPr>
        <w:t>外业核查 field verification</w:t>
      </w:r>
    </w:p>
    <w:p w14:paraId="0F41DE07">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本指南外业核查定义为</w:t>
      </w:r>
      <w:bookmarkStart w:id="65" w:name="_Toc30652"/>
      <w:bookmarkStart w:id="66" w:name="_Toc22738"/>
      <w:bookmarkStart w:id="67" w:name="_Toc20121"/>
      <w:r>
        <w:rPr>
          <w:rFonts w:hint="eastAsia" w:ascii="仿宋_GB2312" w:hAnsi="仿宋_GB2312" w:eastAsia="仿宋_GB2312" w:cs="仿宋_GB2312"/>
          <w:sz w:val="24"/>
          <w:szCs w:val="21"/>
        </w:rPr>
        <w:t>对裸地遥感监测成果进行现场核实。</w:t>
      </w:r>
      <w:bookmarkEnd w:id="65"/>
      <w:bookmarkEnd w:id="66"/>
      <w:bookmarkEnd w:id="67"/>
    </w:p>
    <w:p w14:paraId="34208176">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6.5 工作程序</w:t>
      </w:r>
      <w:bookmarkEnd w:id="58"/>
    </w:p>
    <w:p w14:paraId="2223796A">
      <w:pPr>
        <w:spacing w:line="360" w:lineRule="auto"/>
        <w:ind w:firstLine="480" w:firstLineChars="200"/>
        <w:rPr>
          <w:rFonts w:ascii="仿宋_GB2312" w:hAnsi="仿宋_GB2312" w:eastAsia="仿宋_GB2312" w:cs="仿宋_GB2312"/>
          <w:sz w:val="24"/>
          <w:szCs w:val="21"/>
        </w:rPr>
      </w:pPr>
      <w:bookmarkStart w:id="68" w:name="_Toc155990917"/>
      <w:r>
        <w:rPr>
          <w:rFonts w:hint="eastAsia" w:ascii="仿宋_GB2312" w:hAnsi="仿宋_GB2312" w:eastAsia="仿宋_GB2312" w:cs="仿宋_GB2312"/>
          <w:sz w:val="24"/>
          <w:szCs w:val="21"/>
        </w:rPr>
        <w:t>裸地遥感监测需要遵循规范性、可操作性、先进性与经济技术可行性的原则，保证监测结果的可靠、可比和准确。</w:t>
      </w:r>
    </w:p>
    <w:p w14:paraId="4C424D72">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裸地遥感监测应结合行业主管部门的工程（场站）信息，采用卫星遥感监测技术开展，并通过内外业核查，进行精度验证，主要工作程序包括：</w:t>
      </w:r>
    </w:p>
    <w:p w14:paraId="1CDADEBD">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1)监测资料准备：准备全面覆盖监测区域的数字正射影像图，获取监测区域工地（场站）行业主管部门的施工许可/工商注册等信息；</w:t>
      </w:r>
    </w:p>
    <w:p w14:paraId="539EC725">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2)裸地遥感监测：开展裸地的遥感监测，监测指标包括裸地的边界、类型、面积、动态变化等，工程类裸地还应开展施工阶段监测；</w:t>
      </w:r>
    </w:p>
    <w:p w14:paraId="75981719">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3)成果质量控制：对裸地遥感监测结果进行内业检查、外业核查，评估遥感监测精度，把控成果质量；</w:t>
      </w:r>
    </w:p>
    <w:p w14:paraId="6F06CFD7">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4)整治情况评价：核算监测区域整治率，进行整治情况评价。</w:t>
      </w:r>
    </w:p>
    <w:p w14:paraId="48C221E1">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 xml:space="preserve">6.6 </w:t>
      </w:r>
      <w:bookmarkEnd w:id="68"/>
      <w:r>
        <w:rPr>
          <w:rFonts w:hint="eastAsia" w:ascii="仿宋_GB2312" w:eastAsia="仿宋_GB2312"/>
          <w:sz w:val="28"/>
          <w:szCs w:val="28"/>
        </w:rPr>
        <w:t>监测资料准备</w:t>
      </w:r>
    </w:p>
    <w:p w14:paraId="11789BC5">
      <w:pPr>
        <w:spacing w:line="360" w:lineRule="auto"/>
        <w:ind w:firstLine="560" w:firstLineChars="200"/>
        <w:outlineLvl w:val="2"/>
        <w:rPr>
          <w:rFonts w:ascii="仿宋_GB2312" w:eastAsia="仿宋_GB2312"/>
          <w:sz w:val="28"/>
          <w:szCs w:val="28"/>
        </w:rPr>
      </w:pPr>
      <w:bookmarkStart w:id="69" w:name="_Toc131516471"/>
      <w:bookmarkStart w:id="70" w:name="_Toc32537"/>
      <w:r>
        <w:rPr>
          <w:rFonts w:hint="eastAsia" w:ascii="仿宋_GB2312" w:eastAsia="仿宋_GB2312"/>
          <w:sz w:val="28"/>
          <w:szCs w:val="28"/>
        </w:rPr>
        <w:t>6.6.1</w:t>
      </w:r>
      <w:bookmarkEnd w:id="69"/>
      <w:bookmarkEnd w:id="70"/>
      <w:r>
        <w:rPr>
          <w:rFonts w:hint="eastAsia" w:ascii="仿宋_GB2312" w:eastAsia="仿宋_GB2312"/>
          <w:sz w:val="28"/>
          <w:szCs w:val="28"/>
        </w:rPr>
        <w:t>遥感影像要求</w:t>
      </w:r>
    </w:p>
    <w:p w14:paraId="1A797909">
      <w:pPr>
        <w:spacing w:line="360" w:lineRule="auto"/>
        <w:ind w:firstLine="480" w:firstLineChars="200"/>
        <w:rPr>
          <w:rFonts w:ascii="仿宋_GB2312" w:hAnsi="仿宋_GB2312" w:eastAsia="仿宋_GB2312" w:cs="仿宋_GB2312"/>
          <w:sz w:val="24"/>
          <w:szCs w:val="21"/>
        </w:rPr>
      </w:pPr>
      <w:bookmarkStart w:id="71" w:name="_Toc27429"/>
      <w:bookmarkStart w:id="72" w:name="_Toc131516473"/>
      <w:r>
        <w:rPr>
          <w:rFonts w:hint="eastAsia" w:ascii="仿宋_GB2312" w:hAnsi="仿宋_GB2312" w:eastAsia="仿宋_GB2312" w:cs="仿宋_GB2312"/>
          <w:sz w:val="24"/>
          <w:szCs w:val="21"/>
        </w:rPr>
        <w:t>高质量的遥感影像是遥感解译高质量结果的先决条件，本标准规定遥感影像需采用数字正射影像，数字正射影像的质量应符合《国家基本比例尺地图 1:5 000 1:10 000正射影像地图》（GB/T 33182）的规定，数字正射影像质量检验的基本要求、工作流程、检验方法和质量评定方法应按《数字正射影像质量检验技术规程》（CH/T 1027）的规定执行。</w:t>
      </w:r>
    </w:p>
    <w:bookmarkEnd w:id="71"/>
    <w:bookmarkEnd w:id="72"/>
    <w:p w14:paraId="20C4117B">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6.6.2工程（场站）台账要求</w:t>
      </w:r>
    </w:p>
    <w:p w14:paraId="590A8CED">
      <w:pPr>
        <w:spacing w:line="360" w:lineRule="auto"/>
        <w:ind w:firstLine="480" w:firstLineChars="200"/>
        <w:rPr>
          <w:sz w:val="24"/>
        </w:rPr>
      </w:pPr>
      <w:r>
        <w:rPr>
          <w:rFonts w:hint="eastAsia" w:ascii="仿宋_GB2312" w:hAnsi="仿宋_GB2312" w:eastAsia="仿宋_GB2312" w:cs="仿宋_GB2312"/>
          <w:sz w:val="24"/>
          <w:szCs w:val="21"/>
        </w:rPr>
        <w:t>为保障解译工程（场站）类裸地时，有辅助资料可了解工程（场站）名称、类型、位置、边界范围等详情，定位工程（场站）位置。在开展解译工作前，需要收集各行业施工许可信息了解各行业工地基本详情。对于建筑垃圾消纳场和混凝土搅拌站，需要收集工商注册信息了解场站基本详情，用于形成工地场站矢量化台账。辅助该矢量化台账，解译工地场站边界范围内裸地。</w:t>
      </w:r>
    </w:p>
    <w:p w14:paraId="6142104A">
      <w:pPr>
        <w:spacing w:line="360" w:lineRule="auto"/>
        <w:ind w:firstLine="560" w:firstLineChars="200"/>
        <w:outlineLvl w:val="2"/>
        <w:rPr>
          <w:rFonts w:ascii="仿宋_GB2312" w:eastAsia="仿宋_GB2312"/>
          <w:sz w:val="28"/>
          <w:szCs w:val="28"/>
        </w:rPr>
      </w:pPr>
      <w:bookmarkStart w:id="73" w:name="_Toc155990918"/>
      <w:r>
        <w:rPr>
          <w:rFonts w:hint="eastAsia" w:ascii="仿宋_GB2312" w:eastAsia="仿宋_GB2312"/>
          <w:sz w:val="28"/>
          <w:szCs w:val="28"/>
        </w:rPr>
        <w:t xml:space="preserve">6.7 </w:t>
      </w:r>
      <w:bookmarkEnd w:id="73"/>
      <w:r>
        <w:rPr>
          <w:rFonts w:hint="eastAsia" w:ascii="仿宋_GB2312" w:eastAsia="仿宋_GB2312"/>
          <w:sz w:val="28"/>
          <w:szCs w:val="28"/>
        </w:rPr>
        <w:t>遥感监测方法</w:t>
      </w:r>
    </w:p>
    <w:p w14:paraId="4F5C4232">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6.7.1监测对象</w:t>
      </w:r>
    </w:p>
    <w:p w14:paraId="5012A3F9">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本指南中裸地遥感监测的对象不仅包括因施工建设活动形成的裸地，还包括建筑垃圾消纳场及混凝土搅拌站内的未硬化地面、露天存放的裸露土堆以及自然裸露的地表。本指南的监测对象不包括矿山开采、高压电站等敏感区域周边裸地以及复耕地、裸露农田等农用地裸地。</w:t>
      </w:r>
    </w:p>
    <w:p w14:paraId="41FF0236">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6.7.2监测方法及要求</w:t>
      </w:r>
    </w:p>
    <w:p w14:paraId="1FCEFB43">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裸地遥感监测应基于遥感影像，沿裸地的影像纹理边缘解译，形成裸地图斑。图斑监测一般要求参照生态保护红线监管技术规范疑似生态破坏问题图斑遥感识别（试行）（HJ 1337—2023）中相关要求。该标准中要求“工业开发建设、能源开发建设、矿产资源开发类型的疑似人为活动变化图斑，提取面积不小于200m</w:t>
      </w:r>
      <w:r>
        <w:rPr>
          <w:rFonts w:hint="eastAsia" w:ascii="仿宋_GB2312" w:hAnsi="仿宋_GB2312" w:eastAsia="仿宋_GB2312" w:cs="仿宋_GB2312"/>
          <w:sz w:val="24"/>
          <w:szCs w:val="21"/>
          <w:vertAlign w:val="superscript"/>
        </w:rPr>
        <w:t>2</w:t>
      </w:r>
      <w:r>
        <w:rPr>
          <w:rFonts w:hint="eastAsia" w:ascii="仿宋_GB2312" w:hAnsi="仿宋_GB2312" w:eastAsia="仿宋_GB2312" w:cs="仿宋_GB2312"/>
          <w:sz w:val="24"/>
          <w:szCs w:val="21"/>
        </w:rPr>
        <w:t>；旅游开发建设、居民点建设、养殖开发和其他开发建设类型的疑似人为活动变化图斑，提取面积不小于400m</w:t>
      </w:r>
      <w:r>
        <w:rPr>
          <w:rFonts w:hint="eastAsia" w:ascii="仿宋_GB2312" w:hAnsi="仿宋_GB2312" w:eastAsia="仿宋_GB2312" w:cs="仿宋_GB2312"/>
          <w:sz w:val="24"/>
          <w:szCs w:val="21"/>
          <w:vertAlign w:val="superscript"/>
        </w:rPr>
        <w:t>2</w:t>
      </w:r>
      <w:r>
        <w:rPr>
          <w:rFonts w:hint="eastAsia" w:ascii="仿宋_GB2312" w:hAnsi="仿宋_GB2312" w:eastAsia="仿宋_GB2312" w:cs="仿宋_GB2312"/>
          <w:sz w:val="24"/>
          <w:szCs w:val="21"/>
        </w:rPr>
        <w:t>；其他道路、水渠、输电线路等线性类型的疑似人为活动变化图斑，提取宽带不小于6m。”本指南参考上述标准，设定图斑监测要求为线性图斑短边宽度宜大于6m，非线形图斑最小上图图斑面积宜大于200m</w:t>
      </w:r>
      <w:r>
        <w:rPr>
          <w:rFonts w:hint="eastAsia" w:ascii="仿宋_GB2312" w:hAnsi="仿宋_GB2312" w:eastAsia="仿宋_GB2312" w:cs="仿宋_GB2312"/>
          <w:sz w:val="24"/>
          <w:szCs w:val="21"/>
          <w:vertAlign w:val="superscript"/>
        </w:rPr>
        <w:t>2</w:t>
      </w:r>
      <w:r>
        <w:rPr>
          <w:rFonts w:hint="eastAsia" w:ascii="仿宋_GB2312" w:hAnsi="仿宋_GB2312" w:eastAsia="仿宋_GB2312" w:cs="仿宋_GB2312"/>
          <w:sz w:val="24"/>
          <w:szCs w:val="21"/>
        </w:rPr>
        <w:t>。本指南要求图斑矢量与对应遥感影像套合精度应优于2个像元。图斑边界与影像中裸地位置匹配误差应在2个像元以内。该条文参照《生态保护红线监管技术规范疑似生态破坏问题图斑遥感识别（试行）》HJ 1337—2023。</w:t>
      </w:r>
    </w:p>
    <w:p w14:paraId="69095666">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每个裸地图斑应具有唯一代码，代码编制要求如下：</w:t>
      </w:r>
    </w:p>
    <w:p w14:paraId="791870F3">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裸地编码宜采取“行政区/乡镇（街道）全称拼音首字母大写-基本编号-分支编号”的形式。行政区/乡镇（街道）全称拼音首字母大写和基本编号是代码必有项，分支编号仅在存在图斑切割情况下使用。</w:t>
      </w:r>
    </w:p>
    <w:p w14:paraId="6E6F66DF">
      <w:pPr>
        <w:pStyle w:val="73"/>
        <w:numPr>
          <w:ilvl w:val="0"/>
          <w:numId w:val="10"/>
        </w:numPr>
        <w:spacing w:before="0" w:beforeLines="0" w:after="0" w:afterLines="0" w:line="360" w:lineRule="auto"/>
        <w:ind w:left="0" w:firstLine="480" w:firstLineChars="200"/>
        <w:outlineLvl w:val="9"/>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全市尺度开展监测时宜使用行政区全称拼音首字母大写，区级尺度开展监测时宜使用乡镇（街道）全称拼音首字母大写，如不同乡镇的全称拼音首字母大写相同时，可采用街道乡镇全称拼音代替首字母大写的方式。</w:t>
      </w:r>
    </w:p>
    <w:p w14:paraId="723DD089">
      <w:pPr>
        <w:pStyle w:val="73"/>
        <w:numPr>
          <w:ilvl w:val="0"/>
          <w:numId w:val="10"/>
        </w:numPr>
        <w:spacing w:beforeLines="0" w:afterLines="0" w:line="360" w:lineRule="auto"/>
        <w:ind w:left="0" w:firstLine="480" w:firstLineChars="200"/>
        <w:outlineLvl w:val="9"/>
        <w:rPr>
          <w:rFonts w:ascii="仿宋_GB2312" w:hAnsi="仿宋_GB2312" w:eastAsia="仿宋_GB2312" w:cs="仿宋_GB2312"/>
          <w:sz w:val="24"/>
          <w:szCs w:val="24"/>
        </w:rPr>
      </w:pPr>
      <w:r>
        <w:rPr>
          <w:rFonts w:hint="eastAsia" w:ascii="仿宋_GB2312" w:hAnsi="仿宋_GB2312" w:eastAsia="仿宋_GB2312" w:cs="仿宋_GB2312"/>
          <w:kern w:val="2"/>
          <w:sz w:val="24"/>
          <w:szCs w:val="24"/>
        </w:rPr>
        <w:t>基本编号从1开始，依次顺延使用自然数对图斑进行编号。</w:t>
      </w:r>
      <w:r>
        <w:rPr>
          <w:rFonts w:hint="eastAsia" w:ascii="仿宋_GB2312" w:hAnsi="仿宋_GB2312" w:eastAsia="仿宋_GB2312" w:cs="仿宋_GB2312"/>
          <w:sz w:val="24"/>
          <w:szCs w:val="24"/>
        </w:rPr>
        <w:t>例如顺义区第一个编号为SY-1。</w:t>
      </w:r>
    </w:p>
    <w:p w14:paraId="791D73A6">
      <w:pPr>
        <w:pStyle w:val="73"/>
        <w:numPr>
          <w:ilvl w:val="0"/>
          <w:numId w:val="10"/>
        </w:numPr>
        <w:spacing w:before="0" w:beforeLines="0" w:after="0" w:afterLines="0" w:line="360" w:lineRule="auto"/>
        <w:ind w:left="0" w:firstLine="480" w:firstLineChars="200"/>
        <w:outlineLvl w:val="9"/>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新增裸地图斑应确定是否为当年内退出后又复出的裸地图斑，如是则依旧使用之前的编号，如不是则根据本区最大值往后顺延编号。（如上个月顺义区最大为SY-100，则本期新增且不是复发的编号从SY-101开始编）</w:t>
      </w:r>
    </w:p>
    <w:p w14:paraId="6F932AE9">
      <w:pPr>
        <w:pStyle w:val="73"/>
        <w:numPr>
          <w:ilvl w:val="0"/>
          <w:numId w:val="10"/>
        </w:numPr>
        <w:spacing w:before="0" w:beforeLines="0" w:after="0" w:afterLines="0" w:line="360" w:lineRule="auto"/>
        <w:ind w:left="0" w:firstLine="480" w:firstLineChars="200"/>
        <w:outlineLvl w:val="9"/>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出现一个图斑切割后形成多个小图斑的情况时，切割后面积最大的部分保留原始编号，形成的小图斑按从上到下，从左到右的依次形成分支编号。分支编号从1开始，依次顺延使用自然数进行编号。例如SY-1-1、SY-1-2……见下图。</w:t>
      </w:r>
    </w:p>
    <w:p w14:paraId="3C1DCA51">
      <w:pPr>
        <w:pStyle w:val="14"/>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工程（场站）类裸地监测要求如下：</w:t>
      </w:r>
    </w:p>
    <w:p w14:paraId="24884CB1">
      <w:pPr>
        <w:pStyle w:val="14"/>
        <w:numPr>
          <w:ilvl w:val="0"/>
          <w:numId w:val="11"/>
        </w:num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工程（场站）类裸地应基于涵盖注册信息的台帐开展遥感监测，依托经纬度定位位置，监测工地（场站）边界矢量。</w:t>
      </w:r>
    </w:p>
    <w:p w14:paraId="374D4739">
      <w:pPr>
        <w:pStyle w:val="14"/>
        <w:numPr>
          <w:ilvl w:val="0"/>
          <w:numId w:val="11"/>
        </w:num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台账内的工程（场站），应在其边界内开展裸地遥感监测。台账外存在施工痕迹的裸地，应先监测其施工范围，后对范围内裸地进行遥感监测；</w:t>
      </w:r>
    </w:p>
    <w:p w14:paraId="3EE8F190">
      <w:pPr>
        <w:pStyle w:val="14"/>
        <w:numPr>
          <w:ilvl w:val="0"/>
          <w:numId w:val="11"/>
        </w:num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工程（场站）类裸地遥感监测应符合上述编码要求的规定；</w:t>
      </w:r>
    </w:p>
    <w:p w14:paraId="3883801B">
      <w:pPr>
        <w:pStyle w:val="14"/>
        <w:numPr>
          <w:ilvl w:val="0"/>
          <w:numId w:val="11"/>
        </w:numPr>
        <w:spacing w:line="360" w:lineRule="auto"/>
        <w:ind w:firstLine="480"/>
        <w:rPr>
          <w:rFonts w:ascii="Times New Roman"/>
          <w:sz w:val="24"/>
          <w:szCs w:val="24"/>
        </w:rPr>
      </w:pPr>
      <w:r>
        <w:rPr>
          <w:rFonts w:hint="eastAsia" w:ascii="仿宋_GB2312" w:hAnsi="仿宋_GB2312" w:eastAsia="仿宋_GB2312" w:cs="仿宋_GB2312"/>
          <w:sz w:val="24"/>
          <w:szCs w:val="24"/>
        </w:rPr>
        <w:t>工程（场站）类裸地应将台账信息挂接到监测图斑中。</w:t>
      </w:r>
    </w:p>
    <w:p w14:paraId="70C818CA">
      <w:pPr>
        <w:spacing w:line="360" w:lineRule="auto"/>
        <w:ind w:firstLine="420" w:firstLineChars="200"/>
        <w:jc w:val="center"/>
        <w:rPr>
          <w:sz w:val="24"/>
        </w:rPr>
      </w:pPr>
      <w:r>
        <w:rPr>
          <w:szCs w:val="21"/>
        </w:rPr>
        <w:drawing>
          <wp:inline distT="0" distB="0" distL="0" distR="0">
            <wp:extent cx="3105785" cy="1304925"/>
            <wp:effectExtent l="0" t="0" r="317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3105785" cy="1304925"/>
                    </a:xfrm>
                    <a:prstGeom prst="rect">
                      <a:avLst/>
                    </a:prstGeom>
                  </pic:spPr>
                </pic:pic>
              </a:graphicData>
            </a:graphic>
          </wp:inline>
        </w:drawing>
      </w:r>
    </w:p>
    <w:p w14:paraId="77706BE7">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6.7.3监测指标</w:t>
      </w:r>
    </w:p>
    <w:p w14:paraId="4F786B93">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高分辨率遥感影像可客观、清晰、大范围空间连续的展现地表覆盖情况。通过形状、颜色、纹理等特征可对裸地的类型、施工阶段、动态变化状态和分类进行解译。监测指标应包含裸地的行政区划归属、类型、施工阶段、动态变化状态、面积、经纬度等。裸地类型应根据裸地图斑在遥感影像上所呈的行业特征、结合工程（场站）台账信息综合研判后进行监测。</w:t>
      </w:r>
    </w:p>
    <w:p w14:paraId="630C3049">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经过多年来裸地遥感解译经验，将裸地类型划分了3个一级类和9个二级类的裸地类型分类体系，各类型典型裸地图斑如下表所属。</w:t>
      </w:r>
    </w:p>
    <w:p w14:paraId="7379DB17">
      <w:pPr>
        <w:spacing w:line="360" w:lineRule="auto"/>
        <w:ind w:firstLine="480" w:firstLineChars="200"/>
        <w:jc w:val="center"/>
        <w:rPr>
          <w:sz w:val="24"/>
        </w:rPr>
      </w:pPr>
      <w:r>
        <w:rPr>
          <w:rFonts w:hint="eastAsia"/>
          <w:sz w:val="24"/>
        </w:rPr>
        <w:t>表2 裸地类型及典型图斑</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986"/>
        <w:gridCol w:w="5554"/>
      </w:tblGrid>
      <w:tr w14:paraId="7A27B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tcBorders>
              <w:bottom w:val="single" w:color="auto" w:sz="8" w:space="0"/>
            </w:tcBorders>
            <w:vAlign w:val="center"/>
          </w:tcPr>
          <w:p w14:paraId="47454F3B">
            <w:pPr>
              <w:snapToGrid w:val="0"/>
              <w:jc w:val="center"/>
              <w:rPr>
                <w:rFonts w:cs="宋体"/>
                <w:b/>
                <w:bCs/>
                <w:szCs w:val="21"/>
              </w:rPr>
            </w:pPr>
            <w:r>
              <w:rPr>
                <w:rFonts w:hint="eastAsia" w:cs="宋体"/>
                <w:b/>
                <w:bCs/>
                <w:szCs w:val="21"/>
              </w:rPr>
              <w:t>一级分类</w:t>
            </w:r>
          </w:p>
        </w:tc>
        <w:tc>
          <w:tcPr>
            <w:tcW w:w="1166" w:type="pct"/>
            <w:tcBorders>
              <w:bottom w:val="single" w:color="auto" w:sz="8" w:space="0"/>
            </w:tcBorders>
            <w:vAlign w:val="center"/>
          </w:tcPr>
          <w:p w14:paraId="132B7731">
            <w:pPr>
              <w:snapToGrid w:val="0"/>
              <w:jc w:val="center"/>
              <w:rPr>
                <w:rFonts w:cs="宋体"/>
                <w:b/>
                <w:bCs/>
                <w:color w:val="000000"/>
                <w:szCs w:val="21"/>
              </w:rPr>
            </w:pPr>
            <w:r>
              <w:rPr>
                <w:rFonts w:hint="eastAsia" w:cs="宋体"/>
                <w:b/>
                <w:bCs/>
                <w:color w:val="000000"/>
                <w:szCs w:val="21"/>
              </w:rPr>
              <w:t>二级分类</w:t>
            </w:r>
          </w:p>
        </w:tc>
        <w:tc>
          <w:tcPr>
            <w:tcW w:w="3261" w:type="pct"/>
            <w:tcBorders>
              <w:bottom w:val="single" w:color="auto" w:sz="8" w:space="0"/>
            </w:tcBorders>
            <w:vAlign w:val="center"/>
          </w:tcPr>
          <w:p w14:paraId="13038A65">
            <w:pPr>
              <w:snapToGrid w:val="0"/>
              <w:jc w:val="center"/>
              <w:rPr>
                <w:rFonts w:cs="宋体"/>
                <w:b/>
                <w:bCs/>
                <w:szCs w:val="21"/>
              </w:rPr>
            </w:pPr>
            <w:r>
              <w:rPr>
                <w:rFonts w:hint="eastAsia" w:cs="宋体"/>
                <w:b/>
                <w:bCs/>
                <w:color w:val="000000"/>
                <w:szCs w:val="21"/>
              </w:rPr>
              <w:t>典型图斑</w:t>
            </w:r>
          </w:p>
        </w:tc>
      </w:tr>
      <w:tr w14:paraId="3E07C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restart"/>
            <w:tcBorders>
              <w:top w:val="single" w:color="auto" w:sz="8" w:space="0"/>
            </w:tcBorders>
            <w:vAlign w:val="center"/>
          </w:tcPr>
          <w:p w14:paraId="1DD6C2FE">
            <w:pPr>
              <w:snapToGrid w:val="0"/>
              <w:jc w:val="center"/>
              <w:rPr>
                <w:rFonts w:cs="宋体"/>
                <w:color w:val="000000"/>
                <w:szCs w:val="21"/>
              </w:rPr>
            </w:pPr>
            <w:r>
              <w:rPr>
                <w:rFonts w:hint="eastAsia" w:ascii="宋体" w:cs="宋体"/>
                <w:color w:val="000000"/>
                <w:szCs w:val="21"/>
              </w:rPr>
              <w:t>工程类</w:t>
            </w:r>
          </w:p>
        </w:tc>
        <w:tc>
          <w:tcPr>
            <w:tcW w:w="1166" w:type="pct"/>
            <w:tcBorders>
              <w:top w:val="single" w:color="auto" w:sz="8" w:space="0"/>
            </w:tcBorders>
            <w:vAlign w:val="center"/>
          </w:tcPr>
          <w:p w14:paraId="023F4B1D">
            <w:pPr>
              <w:snapToGrid w:val="0"/>
              <w:jc w:val="center"/>
              <w:rPr>
                <w:rFonts w:cs="宋体"/>
                <w:szCs w:val="21"/>
              </w:rPr>
            </w:pPr>
            <w:r>
              <w:rPr>
                <w:rFonts w:hint="eastAsia" w:cs="宋体"/>
                <w:color w:val="000000"/>
                <w:szCs w:val="21"/>
              </w:rPr>
              <w:t>房建市政工程裸地</w:t>
            </w:r>
          </w:p>
        </w:tc>
        <w:tc>
          <w:tcPr>
            <w:tcW w:w="3261" w:type="pct"/>
            <w:tcBorders>
              <w:top w:val="single" w:color="auto" w:sz="8" w:space="0"/>
            </w:tcBorders>
            <w:vAlign w:val="center"/>
          </w:tcPr>
          <w:p w14:paraId="7944194D">
            <w:pPr>
              <w:snapToGrid w:val="0"/>
              <w:jc w:val="center"/>
              <w:rPr>
                <w:rFonts w:cs="宋体"/>
                <w:szCs w:val="21"/>
              </w:rPr>
            </w:pPr>
            <w:r>
              <w:rPr>
                <w:rFonts w:hint="eastAsia" w:cs="宋体"/>
                <w:szCs w:val="21"/>
              </w:rPr>
              <w:drawing>
                <wp:inline distT="0" distB="0" distL="114300" distR="114300">
                  <wp:extent cx="1543685" cy="1166495"/>
                  <wp:effectExtent l="0" t="0" r="10795" b="6985"/>
                  <wp:docPr id="1" name="图片 1" descr="171427579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4275793487"/>
                          <pic:cNvPicPr>
                            <a:picLocks noChangeAspect="1"/>
                          </pic:cNvPicPr>
                        </pic:nvPicPr>
                        <pic:blipFill>
                          <a:blip r:embed="rId9"/>
                          <a:stretch>
                            <a:fillRect/>
                          </a:stretch>
                        </pic:blipFill>
                        <pic:spPr>
                          <a:xfrm>
                            <a:off x="0" y="0"/>
                            <a:ext cx="1543685" cy="1166495"/>
                          </a:xfrm>
                          <a:prstGeom prst="rect">
                            <a:avLst/>
                          </a:prstGeom>
                        </pic:spPr>
                      </pic:pic>
                    </a:graphicData>
                  </a:graphic>
                </wp:inline>
              </w:drawing>
            </w:r>
          </w:p>
        </w:tc>
      </w:tr>
      <w:tr w14:paraId="48511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6B7A5B1E">
            <w:pPr>
              <w:snapToGrid w:val="0"/>
              <w:jc w:val="center"/>
              <w:rPr>
                <w:rFonts w:cs="宋体"/>
                <w:color w:val="000000"/>
                <w:szCs w:val="21"/>
              </w:rPr>
            </w:pPr>
          </w:p>
        </w:tc>
        <w:tc>
          <w:tcPr>
            <w:tcW w:w="1166" w:type="pct"/>
            <w:vAlign w:val="center"/>
          </w:tcPr>
          <w:p w14:paraId="507A8F52">
            <w:pPr>
              <w:snapToGrid w:val="0"/>
              <w:jc w:val="center"/>
              <w:rPr>
                <w:rFonts w:cs="宋体"/>
                <w:szCs w:val="21"/>
              </w:rPr>
            </w:pPr>
            <w:r>
              <w:rPr>
                <w:rFonts w:hint="eastAsia" w:cs="宋体"/>
                <w:color w:val="000000"/>
                <w:szCs w:val="21"/>
              </w:rPr>
              <w:t>交通工程裸地</w:t>
            </w:r>
          </w:p>
        </w:tc>
        <w:tc>
          <w:tcPr>
            <w:tcW w:w="3261" w:type="pct"/>
            <w:vAlign w:val="center"/>
          </w:tcPr>
          <w:p w14:paraId="1A003070">
            <w:pPr>
              <w:snapToGrid w:val="0"/>
              <w:jc w:val="center"/>
              <w:rPr>
                <w:rFonts w:cs="宋体"/>
                <w:szCs w:val="21"/>
              </w:rPr>
            </w:pPr>
            <w:r>
              <w:rPr>
                <w:rFonts w:hint="eastAsia" w:cs="宋体"/>
                <w:szCs w:val="21"/>
              </w:rPr>
              <w:drawing>
                <wp:inline distT="0" distB="0" distL="114300" distR="114300">
                  <wp:extent cx="1569085" cy="1689100"/>
                  <wp:effectExtent l="0" t="0" r="635" b="2540"/>
                  <wp:docPr id="2" name="图片 2" descr="171427585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4275852168"/>
                          <pic:cNvPicPr>
                            <a:picLocks noChangeAspect="1"/>
                          </pic:cNvPicPr>
                        </pic:nvPicPr>
                        <pic:blipFill>
                          <a:blip r:embed="rId10"/>
                          <a:stretch>
                            <a:fillRect/>
                          </a:stretch>
                        </pic:blipFill>
                        <pic:spPr>
                          <a:xfrm>
                            <a:off x="0" y="0"/>
                            <a:ext cx="1569085" cy="1689100"/>
                          </a:xfrm>
                          <a:prstGeom prst="rect">
                            <a:avLst/>
                          </a:prstGeom>
                        </pic:spPr>
                      </pic:pic>
                    </a:graphicData>
                  </a:graphic>
                </wp:inline>
              </w:drawing>
            </w:r>
          </w:p>
        </w:tc>
      </w:tr>
      <w:tr w14:paraId="31C6A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74B22042">
            <w:pPr>
              <w:snapToGrid w:val="0"/>
              <w:jc w:val="center"/>
              <w:rPr>
                <w:rFonts w:cs="宋体"/>
                <w:color w:val="000000"/>
                <w:szCs w:val="21"/>
              </w:rPr>
            </w:pPr>
          </w:p>
        </w:tc>
        <w:tc>
          <w:tcPr>
            <w:tcW w:w="1166" w:type="pct"/>
            <w:vAlign w:val="center"/>
          </w:tcPr>
          <w:p w14:paraId="726A9509">
            <w:pPr>
              <w:snapToGrid w:val="0"/>
              <w:jc w:val="center"/>
              <w:rPr>
                <w:rFonts w:cs="宋体"/>
                <w:szCs w:val="21"/>
              </w:rPr>
            </w:pPr>
            <w:r>
              <w:rPr>
                <w:rFonts w:hint="eastAsia" w:cs="宋体"/>
                <w:color w:val="000000"/>
                <w:szCs w:val="21"/>
              </w:rPr>
              <w:t>水务工程裸地</w:t>
            </w:r>
          </w:p>
        </w:tc>
        <w:tc>
          <w:tcPr>
            <w:tcW w:w="3261" w:type="pct"/>
            <w:vAlign w:val="center"/>
          </w:tcPr>
          <w:p w14:paraId="413245C4">
            <w:pPr>
              <w:snapToGrid w:val="0"/>
              <w:jc w:val="center"/>
              <w:rPr>
                <w:rFonts w:cs="宋体"/>
                <w:szCs w:val="21"/>
              </w:rPr>
            </w:pPr>
            <w:r>
              <w:drawing>
                <wp:inline distT="0" distB="0" distL="114300" distR="114300">
                  <wp:extent cx="1549400" cy="949960"/>
                  <wp:effectExtent l="0" t="0" r="508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1549400" cy="949960"/>
                          </a:xfrm>
                          <a:prstGeom prst="rect">
                            <a:avLst/>
                          </a:prstGeom>
                          <a:noFill/>
                          <a:ln>
                            <a:noFill/>
                          </a:ln>
                        </pic:spPr>
                      </pic:pic>
                    </a:graphicData>
                  </a:graphic>
                </wp:inline>
              </w:drawing>
            </w:r>
          </w:p>
        </w:tc>
      </w:tr>
      <w:tr w14:paraId="1F051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12F6A61C">
            <w:pPr>
              <w:snapToGrid w:val="0"/>
              <w:jc w:val="center"/>
              <w:rPr>
                <w:rFonts w:cs="宋体"/>
                <w:color w:val="000000"/>
                <w:szCs w:val="21"/>
              </w:rPr>
            </w:pPr>
          </w:p>
        </w:tc>
        <w:tc>
          <w:tcPr>
            <w:tcW w:w="1166" w:type="pct"/>
            <w:vAlign w:val="center"/>
          </w:tcPr>
          <w:p w14:paraId="736230A0">
            <w:pPr>
              <w:snapToGrid w:val="0"/>
              <w:jc w:val="center"/>
              <w:rPr>
                <w:rFonts w:cs="宋体"/>
                <w:szCs w:val="21"/>
              </w:rPr>
            </w:pPr>
            <w:r>
              <w:rPr>
                <w:rFonts w:hint="eastAsia" w:cs="宋体"/>
                <w:color w:val="000000"/>
                <w:szCs w:val="21"/>
              </w:rPr>
              <w:t>园林绿化工程裸地</w:t>
            </w:r>
          </w:p>
        </w:tc>
        <w:tc>
          <w:tcPr>
            <w:tcW w:w="3261" w:type="pct"/>
            <w:vAlign w:val="center"/>
          </w:tcPr>
          <w:p w14:paraId="4430FF4C">
            <w:pPr>
              <w:snapToGrid w:val="0"/>
              <w:jc w:val="center"/>
              <w:rPr>
                <w:rFonts w:cs="宋体"/>
                <w:szCs w:val="21"/>
              </w:rPr>
            </w:pPr>
            <w:r>
              <w:rPr>
                <w:rFonts w:hint="eastAsia" w:cs="宋体"/>
                <w:szCs w:val="21"/>
              </w:rPr>
              <w:drawing>
                <wp:inline distT="0" distB="0" distL="114300" distR="114300">
                  <wp:extent cx="1930400" cy="631825"/>
                  <wp:effectExtent l="0" t="0" r="5080" b="8255"/>
                  <wp:docPr id="4" name="图片 4" descr="171427597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4275978340"/>
                          <pic:cNvPicPr>
                            <a:picLocks noChangeAspect="1"/>
                          </pic:cNvPicPr>
                        </pic:nvPicPr>
                        <pic:blipFill>
                          <a:blip r:embed="rId12"/>
                          <a:stretch>
                            <a:fillRect/>
                          </a:stretch>
                        </pic:blipFill>
                        <pic:spPr>
                          <a:xfrm>
                            <a:off x="0" y="0"/>
                            <a:ext cx="1930400" cy="631825"/>
                          </a:xfrm>
                          <a:prstGeom prst="rect">
                            <a:avLst/>
                          </a:prstGeom>
                        </pic:spPr>
                      </pic:pic>
                    </a:graphicData>
                  </a:graphic>
                </wp:inline>
              </w:drawing>
            </w:r>
          </w:p>
        </w:tc>
      </w:tr>
      <w:tr w14:paraId="2C636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05241E8D">
            <w:pPr>
              <w:snapToGrid w:val="0"/>
              <w:jc w:val="center"/>
              <w:rPr>
                <w:rFonts w:cs="宋体"/>
                <w:color w:val="000000"/>
                <w:szCs w:val="21"/>
              </w:rPr>
            </w:pPr>
          </w:p>
        </w:tc>
        <w:tc>
          <w:tcPr>
            <w:tcW w:w="1166" w:type="pct"/>
            <w:vAlign w:val="center"/>
          </w:tcPr>
          <w:p w14:paraId="025428B5">
            <w:pPr>
              <w:snapToGrid w:val="0"/>
              <w:jc w:val="center"/>
              <w:rPr>
                <w:rFonts w:cs="宋体"/>
                <w:color w:val="000000"/>
                <w:szCs w:val="21"/>
              </w:rPr>
            </w:pPr>
            <w:r>
              <w:rPr>
                <w:rFonts w:hint="eastAsia" w:cs="宋体"/>
                <w:color w:val="000000"/>
                <w:szCs w:val="21"/>
              </w:rPr>
              <w:t>拆迁裸地</w:t>
            </w:r>
          </w:p>
        </w:tc>
        <w:tc>
          <w:tcPr>
            <w:tcW w:w="3261" w:type="pct"/>
            <w:vAlign w:val="center"/>
          </w:tcPr>
          <w:p w14:paraId="5BD3B89B">
            <w:pPr>
              <w:snapToGrid w:val="0"/>
              <w:jc w:val="center"/>
              <w:rPr>
                <w:rFonts w:cs="宋体"/>
                <w:color w:val="000000"/>
                <w:szCs w:val="21"/>
              </w:rPr>
            </w:pPr>
            <w:r>
              <w:rPr>
                <w:rFonts w:hint="eastAsia" w:cs="宋体"/>
                <w:color w:val="000000"/>
                <w:szCs w:val="21"/>
              </w:rPr>
              <w:drawing>
                <wp:inline distT="0" distB="0" distL="114300" distR="114300">
                  <wp:extent cx="982980" cy="1120140"/>
                  <wp:effectExtent l="0" t="0" r="7620" b="7620"/>
                  <wp:docPr id="5" name="图片 5" descr="17142760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4276015951"/>
                          <pic:cNvPicPr>
                            <a:picLocks noChangeAspect="1"/>
                          </pic:cNvPicPr>
                        </pic:nvPicPr>
                        <pic:blipFill>
                          <a:blip r:embed="rId13"/>
                          <a:stretch>
                            <a:fillRect/>
                          </a:stretch>
                        </pic:blipFill>
                        <pic:spPr>
                          <a:xfrm>
                            <a:off x="0" y="0"/>
                            <a:ext cx="982980" cy="1120140"/>
                          </a:xfrm>
                          <a:prstGeom prst="rect">
                            <a:avLst/>
                          </a:prstGeom>
                        </pic:spPr>
                      </pic:pic>
                    </a:graphicData>
                  </a:graphic>
                </wp:inline>
              </w:drawing>
            </w:r>
          </w:p>
        </w:tc>
      </w:tr>
      <w:tr w14:paraId="62DCF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14:paraId="47785266">
            <w:pPr>
              <w:snapToGrid w:val="0"/>
              <w:jc w:val="center"/>
              <w:rPr>
                <w:rFonts w:cs="宋体"/>
                <w:color w:val="000000"/>
                <w:szCs w:val="21"/>
              </w:rPr>
            </w:pPr>
            <w:r>
              <w:rPr>
                <w:rFonts w:hint="eastAsia" w:cs="宋体"/>
                <w:color w:val="000000"/>
                <w:szCs w:val="21"/>
              </w:rPr>
              <w:t>场站类</w:t>
            </w:r>
          </w:p>
        </w:tc>
        <w:tc>
          <w:tcPr>
            <w:tcW w:w="1166" w:type="pct"/>
            <w:vAlign w:val="center"/>
          </w:tcPr>
          <w:p w14:paraId="6746E969">
            <w:pPr>
              <w:snapToGrid w:val="0"/>
              <w:jc w:val="center"/>
              <w:rPr>
                <w:rFonts w:cs="宋体"/>
                <w:color w:val="000000"/>
                <w:szCs w:val="21"/>
              </w:rPr>
            </w:pPr>
            <w:r>
              <w:rPr>
                <w:rFonts w:hint="eastAsia" w:cs="宋体"/>
                <w:color w:val="000000"/>
                <w:szCs w:val="21"/>
              </w:rPr>
              <w:t>建筑垃圾消纳场裸地</w:t>
            </w:r>
          </w:p>
        </w:tc>
        <w:tc>
          <w:tcPr>
            <w:tcW w:w="3261" w:type="pct"/>
            <w:vAlign w:val="center"/>
          </w:tcPr>
          <w:p w14:paraId="3D029599">
            <w:pPr>
              <w:snapToGrid w:val="0"/>
              <w:jc w:val="center"/>
              <w:rPr>
                <w:rFonts w:cs="宋体"/>
                <w:color w:val="000000"/>
                <w:szCs w:val="21"/>
              </w:rPr>
            </w:pPr>
            <w:r>
              <w:rPr>
                <w:rFonts w:hint="eastAsia" w:cs="宋体"/>
                <w:color w:val="000000"/>
                <w:szCs w:val="21"/>
              </w:rPr>
              <w:drawing>
                <wp:inline distT="0" distB="0" distL="114300" distR="114300">
                  <wp:extent cx="1136650" cy="755650"/>
                  <wp:effectExtent l="0" t="0" r="6350" b="6350"/>
                  <wp:docPr id="6" name="图片 6" descr="17142760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4276039970"/>
                          <pic:cNvPicPr>
                            <a:picLocks noChangeAspect="1"/>
                          </pic:cNvPicPr>
                        </pic:nvPicPr>
                        <pic:blipFill>
                          <a:blip r:embed="rId14"/>
                          <a:stretch>
                            <a:fillRect/>
                          </a:stretch>
                        </pic:blipFill>
                        <pic:spPr>
                          <a:xfrm>
                            <a:off x="0" y="0"/>
                            <a:ext cx="1136650" cy="755650"/>
                          </a:xfrm>
                          <a:prstGeom prst="rect">
                            <a:avLst/>
                          </a:prstGeom>
                        </pic:spPr>
                      </pic:pic>
                    </a:graphicData>
                  </a:graphic>
                </wp:inline>
              </w:drawing>
            </w:r>
          </w:p>
        </w:tc>
      </w:tr>
      <w:tr w14:paraId="5F7FF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24B8643B">
            <w:pPr>
              <w:snapToGrid w:val="0"/>
              <w:jc w:val="center"/>
              <w:rPr>
                <w:rFonts w:cs="宋体"/>
                <w:color w:val="000000"/>
                <w:szCs w:val="21"/>
              </w:rPr>
            </w:pPr>
          </w:p>
        </w:tc>
        <w:tc>
          <w:tcPr>
            <w:tcW w:w="1166" w:type="pct"/>
            <w:vAlign w:val="center"/>
          </w:tcPr>
          <w:p w14:paraId="7AD73BCC">
            <w:pPr>
              <w:snapToGrid w:val="0"/>
              <w:jc w:val="center"/>
              <w:rPr>
                <w:rFonts w:cs="宋体"/>
                <w:color w:val="000000"/>
                <w:szCs w:val="21"/>
              </w:rPr>
            </w:pPr>
            <w:r>
              <w:rPr>
                <w:rFonts w:hint="eastAsia" w:cs="宋体"/>
                <w:color w:val="000000"/>
                <w:szCs w:val="21"/>
              </w:rPr>
              <w:t>混凝土搅拌站裸地</w:t>
            </w:r>
          </w:p>
        </w:tc>
        <w:tc>
          <w:tcPr>
            <w:tcW w:w="3261" w:type="pct"/>
            <w:vAlign w:val="center"/>
          </w:tcPr>
          <w:p w14:paraId="02F0DED2">
            <w:pPr>
              <w:snapToGrid w:val="0"/>
              <w:jc w:val="center"/>
              <w:rPr>
                <w:rFonts w:cs="宋体"/>
                <w:color w:val="000000"/>
                <w:szCs w:val="21"/>
              </w:rPr>
            </w:pPr>
            <w:r>
              <w:rPr>
                <w:rFonts w:hint="eastAsia" w:cs="宋体"/>
                <w:color w:val="000000"/>
                <w:szCs w:val="21"/>
              </w:rPr>
              <w:drawing>
                <wp:inline distT="0" distB="0" distL="114300" distR="114300">
                  <wp:extent cx="1146810" cy="911225"/>
                  <wp:effectExtent l="0" t="0" r="11430" b="3175"/>
                  <wp:docPr id="7" name="图片 7" descr="171427622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4276226708"/>
                          <pic:cNvPicPr>
                            <a:picLocks noChangeAspect="1"/>
                          </pic:cNvPicPr>
                        </pic:nvPicPr>
                        <pic:blipFill>
                          <a:blip r:embed="rId15"/>
                          <a:stretch>
                            <a:fillRect/>
                          </a:stretch>
                        </pic:blipFill>
                        <pic:spPr>
                          <a:xfrm>
                            <a:off x="0" y="0"/>
                            <a:ext cx="1146810" cy="911225"/>
                          </a:xfrm>
                          <a:prstGeom prst="rect">
                            <a:avLst/>
                          </a:prstGeom>
                        </pic:spPr>
                      </pic:pic>
                    </a:graphicData>
                  </a:graphic>
                </wp:inline>
              </w:drawing>
            </w:r>
          </w:p>
        </w:tc>
      </w:tr>
      <w:tr w14:paraId="613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14:paraId="3DF02E36">
            <w:pPr>
              <w:snapToGrid w:val="0"/>
              <w:jc w:val="center"/>
              <w:rPr>
                <w:rFonts w:ascii="宋体" w:cs="宋体"/>
                <w:color w:val="000000"/>
                <w:szCs w:val="21"/>
              </w:rPr>
            </w:pPr>
            <w:r>
              <w:rPr>
                <w:rFonts w:hint="eastAsia" w:ascii="宋体" w:cs="宋体"/>
                <w:color w:val="000000"/>
                <w:szCs w:val="21"/>
              </w:rPr>
              <w:t>其他类</w:t>
            </w:r>
          </w:p>
        </w:tc>
        <w:tc>
          <w:tcPr>
            <w:tcW w:w="1166" w:type="pct"/>
            <w:vAlign w:val="center"/>
          </w:tcPr>
          <w:p w14:paraId="7379EA66">
            <w:pPr>
              <w:snapToGrid w:val="0"/>
              <w:jc w:val="center"/>
              <w:rPr>
                <w:rFonts w:ascii="宋体" w:cs="宋体"/>
                <w:color w:val="000000"/>
                <w:szCs w:val="21"/>
              </w:rPr>
            </w:pPr>
            <w:r>
              <w:rPr>
                <w:rFonts w:hint="eastAsia" w:ascii="宋体" w:cs="宋体"/>
                <w:color w:val="000000"/>
                <w:szCs w:val="21"/>
              </w:rPr>
              <w:t>未利用裸地</w:t>
            </w:r>
          </w:p>
        </w:tc>
        <w:tc>
          <w:tcPr>
            <w:tcW w:w="3261" w:type="pct"/>
            <w:vAlign w:val="center"/>
          </w:tcPr>
          <w:p w14:paraId="1F9F951C">
            <w:pPr>
              <w:snapToGrid w:val="0"/>
              <w:jc w:val="center"/>
              <w:rPr>
                <w:rFonts w:ascii="宋体" w:cs="宋体"/>
                <w:color w:val="000000"/>
                <w:szCs w:val="21"/>
              </w:rPr>
            </w:pPr>
            <w:r>
              <w:rPr>
                <w:rFonts w:hint="eastAsia" w:ascii="宋体" w:cs="宋体"/>
                <w:color w:val="000000"/>
                <w:szCs w:val="21"/>
              </w:rPr>
              <w:drawing>
                <wp:inline distT="0" distB="0" distL="114300" distR="114300">
                  <wp:extent cx="1129030" cy="748665"/>
                  <wp:effectExtent l="0" t="0" r="13970" b="13335"/>
                  <wp:docPr id="8" name="图片 8" descr="171427625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4276255513"/>
                          <pic:cNvPicPr>
                            <a:picLocks noChangeAspect="1"/>
                          </pic:cNvPicPr>
                        </pic:nvPicPr>
                        <pic:blipFill>
                          <a:blip r:embed="rId16"/>
                          <a:stretch>
                            <a:fillRect/>
                          </a:stretch>
                        </pic:blipFill>
                        <pic:spPr>
                          <a:xfrm>
                            <a:off x="0" y="0"/>
                            <a:ext cx="1129030" cy="748665"/>
                          </a:xfrm>
                          <a:prstGeom prst="rect">
                            <a:avLst/>
                          </a:prstGeom>
                        </pic:spPr>
                      </pic:pic>
                    </a:graphicData>
                  </a:graphic>
                </wp:inline>
              </w:drawing>
            </w:r>
          </w:p>
        </w:tc>
      </w:tr>
      <w:tr w14:paraId="500F3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1D88839D">
            <w:pPr>
              <w:snapToGrid w:val="0"/>
              <w:jc w:val="center"/>
              <w:rPr>
                <w:rFonts w:ascii="宋体" w:cs="宋体"/>
                <w:color w:val="000000"/>
                <w:szCs w:val="21"/>
              </w:rPr>
            </w:pPr>
          </w:p>
        </w:tc>
        <w:tc>
          <w:tcPr>
            <w:tcW w:w="1166" w:type="pct"/>
            <w:vAlign w:val="center"/>
          </w:tcPr>
          <w:p w14:paraId="218CA300">
            <w:pPr>
              <w:snapToGrid w:val="0"/>
              <w:jc w:val="center"/>
              <w:rPr>
                <w:rFonts w:cs="宋体"/>
                <w:color w:val="000000"/>
                <w:szCs w:val="21"/>
              </w:rPr>
            </w:pPr>
            <w:r>
              <w:rPr>
                <w:rFonts w:hint="eastAsia" w:ascii="宋体" w:cs="宋体"/>
                <w:color w:val="000000"/>
                <w:szCs w:val="21"/>
              </w:rPr>
              <w:t>沙荒裸地</w:t>
            </w:r>
          </w:p>
        </w:tc>
        <w:tc>
          <w:tcPr>
            <w:tcW w:w="3261" w:type="pct"/>
            <w:vAlign w:val="center"/>
          </w:tcPr>
          <w:p w14:paraId="084260E1">
            <w:pPr>
              <w:snapToGrid w:val="0"/>
              <w:jc w:val="center"/>
              <w:rPr>
                <w:rFonts w:ascii="宋体" w:cs="宋体"/>
                <w:color w:val="000000"/>
                <w:szCs w:val="21"/>
              </w:rPr>
            </w:pPr>
            <w:r>
              <w:rPr>
                <w:rFonts w:hint="eastAsia" w:ascii="宋体" w:cs="宋体"/>
                <w:color w:val="000000"/>
                <w:szCs w:val="21"/>
              </w:rPr>
              <w:drawing>
                <wp:inline distT="0" distB="0" distL="114300" distR="114300">
                  <wp:extent cx="1168400" cy="765810"/>
                  <wp:effectExtent l="0" t="0" r="5080" b="11430"/>
                  <wp:docPr id="9" name="图片 9" descr="17142763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4276318532"/>
                          <pic:cNvPicPr>
                            <a:picLocks noChangeAspect="1"/>
                          </pic:cNvPicPr>
                        </pic:nvPicPr>
                        <pic:blipFill>
                          <a:blip r:embed="rId17"/>
                          <a:stretch>
                            <a:fillRect/>
                          </a:stretch>
                        </pic:blipFill>
                        <pic:spPr>
                          <a:xfrm>
                            <a:off x="0" y="0"/>
                            <a:ext cx="1168400" cy="765810"/>
                          </a:xfrm>
                          <a:prstGeom prst="rect">
                            <a:avLst/>
                          </a:prstGeom>
                        </pic:spPr>
                      </pic:pic>
                    </a:graphicData>
                  </a:graphic>
                </wp:inline>
              </w:drawing>
            </w:r>
          </w:p>
        </w:tc>
      </w:tr>
    </w:tbl>
    <w:p w14:paraId="64EBBE53">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结合遥感影像上的纹理、色彩特征，施工类裸地按照施工阶段，可分为5个阶段。5个阶段在遥感影像上皆存在明显的特征，易于开展分类提取。各施工阶段类型解译特征应符合表2的规定。</w:t>
      </w:r>
    </w:p>
    <w:p w14:paraId="5645EA0B">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1、土石方阶段：土石方工程是土木工程中，对土石方的开挖、运输、填筑、压实等主要施工过程的总称。这一阶段主要包括人工平整场地、机械平整场地、填缺、挖余、填余等工序。该阶段的设定参考了《土方与爆破工程施工及验收规范》（GB 50201），该标准可以明确土石方阶段所涵盖的施工内容和要点。</w:t>
      </w:r>
    </w:p>
    <w:p w14:paraId="15D4B0AF">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2、主体施工阶段：主体施工阶段通常指建筑物的主体结构施工，包括框架结构、装配式结构、拱壳结构等的施工。该阶段的设定参考了《建筑结构荷载规范》（GB 50009）、《混凝土结构设计规范》（GB 50010）等标准。</w:t>
      </w:r>
    </w:p>
    <w:p w14:paraId="7520F511">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3、主体完工未绿化阶段：这一阶段指的是主体结构施工完成后，但尚未进行绿化工作的阶段。此时建筑物的基本结构已经完成，但周边环境尚未进行绿化和美化。该阶段的设定参考了《城市绿化条例》、《城市绿地设计规范》等。</w:t>
      </w:r>
    </w:p>
    <w:p w14:paraId="20CB6703">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4、拆迁阶段：指将原有建筑物、构筑物或其他设施拆除，为新的建设项目创造条件的阶段。</w:t>
      </w:r>
    </w:p>
    <w:p w14:paraId="61B4427F">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5、其他阶段：</w:t>
      </w:r>
    </w:p>
    <w:p w14:paraId="47DB6345">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根据具体工程项目的不同，还可能存在其他施工阶段，如装修阶段、设备安装阶段等。这些阶段的术语和规范会根据具体工程类型和需求而有所不同。</w:t>
      </w:r>
    </w:p>
    <w:p w14:paraId="3DE623CF">
      <w:pPr>
        <w:spacing w:line="360" w:lineRule="auto"/>
        <w:ind w:firstLine="480" w:firstLineChars="200"/>
        <w:jc w:val="center"/>
        <w:rPr>
          <w:sz w:val="24"/>
        </w:rPr>
      </w:pPr>
      <w:r>
        <w:rPr>
          <w:rFonts w:hint="eastAsia"/>
          <w:sz w:val="24"/>
        </w:rPr>
        <w:t>表3 裸地类型及典型图斑</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5518"/>
      </w:tblGrid>
      <w:tr w14:paraId="69479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bottom w:val="single" w:color="auto" w:sz="8" w:space="0"/>
            </w:tcBorders>
            <w:vAlign w:val="center"/>
          </w:tcPr>
          <w:p w14:paraId="75EC1B81">
            <w:pPr>
              <w:snapToGrid w:val="0"/>
              <w:jc w:val="center"/>
              <w:rPr>
                <w:rFonts w:cs="宋体"/>
                <w:b/>
                <w:bCs/>
                <w:szCs w:val="21"/>
              </w:rPr>
            </w:pPr>
            <w:r>
              <w:rPr>
                <w:rFonts w:hint="eastAsia" w:cs="宋体"/>
                <w:b/>
                <w:bCs/>
                <w:color w:val="000000"/>
                <w:szCs w:val="21"/>
              </w:rPr>
              <w:t>施工阶段类型</w:t>
            </w:r>
          </w:p>
        </w:tc>
        <w:tc>
          <w:tcPr>
            <w:tcW w:w="3240" w:type="pct"/>
            <w:tcBorders>
              <w:bottom w:val="single" w:color="auto" w:sz="8" w:space="0"/>
            </w:tcBorders>
            <w:vAlign w:val="center"/>
          </w:tcPr>
          <w:p w14:paraId="1B3124D7">
            <w:pPr>
              <w:snapToGrid w:val="0"/>
              <w:jc w:val="center"/>
              <w:rPr>
                <w:rFonts w:cs="宋体"/>
                <w:b/>
                <w:bCs/>
                <w:szCs w:val="21"/>
              </w:rPr>
            </w:pPr>
            <w:r>
              <w:rPr>
                <w:rFonts w:hint="eastAsia" w:cs="宋体"/>
                <w:b/>
                <w:bCs/>
                <w:color w:val="000000"/>
                <w:szCs w:val="21"/>
              </w:rPr>
              <w:t>典型图斑</w:t>
            </w:r>
          </w:p>
        </w:tc>
      </w:tr>
      <w:tr w14:paraId="5764A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8" w:space="0"/>
            </w:tcBorders>
            <w:vAlign w:val="center"/>
          </w:tcPr>
          <w:p w14:paraId="7A9E17B2">
            <w:pPr>
              <w:snapToGrid w:val="0"/>
              <w:jc w:val="center"/>
              <w:rPr>
                <w:rFonts w:cs="宋体"/>
                <w:szCs w:val="21"/>
              </w:rPr>
            </w:pPr>
            <w:r>
              <w:rPr>
                <w:rFonts w:hint="eastAsia" w:cs="宋体"/>
                <w:color w:val="000000"/>
                <w:szCs w:val="21"/>
              </w:rPr>
              <w:t>土石方阶段</w:t>
            </w:r>
          </w:p>
        </w:tc>
        <w:tc>
          <w:tcPr>
            <w:tcW w:w="3240" w:type="pct"/>
            <w:tcBorders>
              <w:top w:val="single" w:color="auto" w:sz="8" w:space="0"/>
            </w:tcBorders>
            <w:vAlign w:val="center"/>
          </w:tcPr>
          <w:p w14:paraId="6913A58E">
            <w:pPr>
              <w:snapToGrid w:val="0"/>
              <w:jc w:val="center"/>
              <w:rPr>
                <w:rFonts w:cs="宋体"/>
                <w:szCs w:val="21"/>
              </w:rPr>
            </w:pPr>
            <w:r>
              <w:rPr>
                <w:rFonts w:hint="eastAsia" w:cs="宋体"/>
                <w:szCs w:val="21"/>
              </w:rPr>
              <w:drawing>
                <wp:inline distT="0" distB="0" distL="114300" distR="114300">
                  <wp:extent cx="1226820" cy="1287780"/>
                  <wp:effectExtent l="0" t="0" r="7620" b="7620"/>
                  <wp:docPr id="11" name="图片 11" descr="17142830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4283090138"/>
                          <pic:cNvPicPr>
                            <a:picLocks noChangeAspect="1"/>
                          </pic:cNvPicPr>
                        </pic:nvPicPr>
                        <pic:blipFill>
                          <a:blip r:embed="rId18"/>
                          <a:stretch>
                            <a:fillRect/>
                          </a:stretch>
                        </pic:blipFill>
                        <pic:spPr>
                          <a:xfrm>
                            <a:off x="0" y="0"/>
                            <a:ext cx="1226820" cy="1287780"/>
                          </a:xfrm>
                          <a:prstGeom prst="rect">
                            <a:avLst/>
                          </a:prstGeom>
                        </pic:spPr>
                      </pic:pic>
                    </a:graphicData>
                  </a:graphic>
                </wp:inline>
              </w:drawing>
            </w:r>
          </w:p>
        </w:tc>
      </w:tr>
      <w:tr w14:paraId="4DCE6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1DF198BE">
            <w:pPr>
              <w:snapToGrid w:val="0"/>
              <w:jc w:val="center"/>
              <w:rPr>
                <w:rFonts w:cs="宋体"/>
                <w:szCs w:val="21"/>
              </w:rPr>
            </w:pPr>
            <w:r>
              <w:rPr>
                <w:rFonts w:hint="eastAsia" w:cs="宋体"/>
                <w:color w:val="000000"/>
                <w:szCs w:val="21"/>
              </w:rPr>
              <w:t>主体施工阶段</w:t>
            </w:r>
          </w:p>
        </w:tc>
        <w:tc>
          <w:tcPr>
            <w:tcW w:w="3240" w:type="pct"/>
            <w:vAlign w:val="center"/>
          </w:tcPr>
          <w:p w14:paraId="6807427A">
            <w:pPr>
              <w:snapToGrid w:val="0"/>
              <w:jc w:val="center"/>
              <w:rPr>
                <w:rFonts w:cs="宋体"/>
                <w:szCs w:val="21"/>
              </w:rPr>
            </w:pPr>
            <w:r>
              <w:rPr>
                <w:rFonts w:hint="eastAsia" w:cs="宋体"/>
                <w:szCs w:val="21"/>
              </w:rPr>
              <w:drawing>
                <wp:inline distT="0" distB="0" distL="114300" distR="114300">
                  <wp:extent cx="1211580" cy="1287780"/>
                  <wp:effectExtent l="0" t="0" r="7620" b="7620"/>
                  <wp:docPr id="12" name="图片 12" descr="17142830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4283090144"/>
                          <pic:cNvPicPr>
                            <a:picLocks noChangeAspect="1"/>
                          </pic:cNvPicPr>
                        </pic:nvPicPr>
                        <pic:blipFill>
                          <a:blip r:embed="rId19"/>
                          <a:stretch>
                            <a:fillRect/>
                          </a:stretch>
                        </pic:blipFill>
                        <pic:spPr>
                          <a:xfrm>
                            <a:off x="0" y="0"/>
                            <a:ext cx="1211580" cy="1287780"/>
                          </a:xfrm>
                          <a:prstGeom prst="rect">
                            <a:avLst/>
                          </a:prstGeom>
                        </pic:spPr>
                      </pic:pic>
                    </a:graphicData>
                  </a:graphic>
                </wp:inline>
              </w:drawing>
            </w:r>
          </w:p>
        </w:tc>
      </w:tr>
      <w:tr w14:paraId="1C4C0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27D94B9C">
            <w:pPr>
              <w:snapToGrid w:val="0"/>
              <w:jc w:val="center"/>
              <w:rPr>
                <w:rFonts w:cs="宋体"/>
                <w:szCs w:val="21"/>
              </w:rPr>
            </w:pPr>
            <w:r>
              <w:rPr>
                <w:rFonts w:hint="eastAsia" w:cs="宋体"/>
                <w:color w:val="000000"/>
                <w:szCs w:val="21"/>
              </w:rPr>
              <w:t>主体完工未绿化阶段</w:t>
            </w:r>
          </w:p>
        </w:tc>
        <w:tc>
          <w:tcPr>
            <w:tcW w:w="3240" w:type="pct"/>
            <w:vAlign w:val="center"/>
          </w:tcPr>
          <w:p w14:paraId="2CD81537">
            <w:pPr>
              <w:snapToGrid w:val="0"/>
              <w:jc w:val="center"/>
              <w:rPr>
                <w:rFonts w:cs="宋体"/>
                <w:szCs w:val="21"/>
              </w:rPr>
            </w:pPr>
            <w:r>
              <w:rPr>
                <w:rFonts w:hint="eastAsia" w:cs="宋体"/>
                <w:szCs w:val="21"/>
              </w:rPr>
              <w:drawing>
                <wp:inline distT="0" distB="0" distL="114300" distR="114300">
                  <wp:extent cx="1226820" cy="1295400"/>
                  <wp:effectExtent l="0" t="0" r="7620" b="0"/>
                  <wp:docPr id="13" name="图片 13" descr="171428309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4283090148"/>
                          <pic:cNvPicPr>
                            <a:picLocks noChangeAspect="1"/>
                          </pic:cNvPicPr>
                        </pic:nvPicPr>
                        <pic:blipFill>
                          <a:blip r:embed="rId20"/>
                          <a:stretch>
                            <a:fillRect/>
                          </a:stretch>
                        </pic:blipFill>
                        <pic:spPr>
                          <a:xfrm>
                            <a:off x="0" y="0"/>
                            <a:ext cx="1226820" cy="1295400"/>
                          </a:xfrm>
                          <a:prstGeom prst="rect">
                            <a:avLst/>
                          </a:prstGeom>
                        </pic:spPr>
                      </pic:pic>
                    </a:graphicData>
                  </a:graphic>
                </wp:inline>
              </w:drawing>
            </w:r>
          </w:p>
        </w:tc>
      </w:tr>
      <w:tr w14:paraId="43187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0C618946">
            <w:pPr>
              <w:snapToGrid w:val="0"/>
              <w:jc w:val="center"/>
              <w:rPr>
                <w:rFonts w:cs="宋体"/>
                <w:szCs w:val="21"/>
              </w:rPr>
            </w:pPr>
            <w:r>
              <w:rPr>
                <w:rFonts w:hint="eastAsia" w:cs="宋体"/>
                <w:color w:val="000000"/>
                <w:szCs w:val="21"/>
              </w:rPr>
              <w:t>拆迁阶段</w:t>
            </w:r>
          </w:p>
        </w:tc>
        <w:tc>
          <w:tcPr>
            <w:tcW w:w="3240" w:type="pct"/>
            <w:vAlign w:val="center"/>
          </w:tcPr>
          <w:p w14:paraId="3DB161F4">
            <w:pPr>
              <w:snapToGrid w:val="0"/>
              <w:jc w:val="center"/>
              <w:rPr>
                <w:rFonts w:cs="宋体"/>
                <w:szCs w:val="21"/>
              </w:rPr>
            </w:pPr>
            <w:r>
              <w:rPr>
                <w:rFonts w:hint="eastAsia" w:cs="宋体"/>
                <w:szCs w:val="21"/>
              </w:rPr>
              <w:drawing>
                <wp:inline distT="0" distB="0" distL="114300" distR="114300">
                  <wp:extent cx="1211580" cy="1272540"/>
                  <wp:effectExtent l="0" t="0" r="7620" b="7620"/>
                  <wp:docPr id="10" name="图片 10" descr="171428309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4283090134"/>
                          <pic:cNvPicPr>
                            <a:picLocks noChangeAspect="1"/>
                          </pic:cNvPicPr>
                        </pic:nvPicPr>
                        <pic:blipFill>
                          <a:blip r:embed="rId21"/>
                          <a:stretch>
                            <a:fillRect/>
                          </a:stretch>
                        </pic:blipFill>
                        <pic:spPr>
                          <a:xfrm>
                            <a:off x="0" y="0"/>
                            <a:ext cx="1211580" cy="1272540"/>
                          </a:xfrm>
                          <a:prstGeom prst="rect">
                            <a:avLst/>
                          </a:prstGeom>
                        </pic:spPr>
                      </pic:pic>
                    </a:graphicData>
                  </a:graphic>
                </wp:inline>
              </w:drawing>
            </w:r>
          </w:p>
        </w:tc>
      </w:tr>
      <w:tr w14:paraId="3D67C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bottom w:val="single" w:color="auto" w:sz="8" w:space="0"/>
            </w:tcBorders>
            <w:vAlign w:val="center"/>
          </w:tcPr>
          <w:p w14:paraId="3EC041ED">
            <w:pPr>
              <w:snapToGrid w:val="0"/>
              <w:jc w:val="center"/>
              <w:rPr>
                <w:rFonts w:cs="宋体"/>
                <w:szCs w:val="21"/>
              </w:rPr>
            </w:pPr>
            <w:r>
              <w:rPr>
                <w:rFonts w:hint="eastAsia" w:cs="宋体"/>
                <w:color w:val="000000"/>
                <w:szCs w:val="21"/>
              </w:rPr>
              <w:t>其他阶段</w:t>
            </w:r>
          </w:p>
        </w:tc>
        <w:tc>
          <w:tcPr>
            <w:tcW w:w="3240" w:type="pct"/>
            <w:tcBorders>
              <w:bottom w:val="single" w:color="auto" w:sz="8" w:space="0"/>
            </w:tcBorders>
            <w:vAlign w:val="center"/>
          </w:tcPr>
          <w:p w14:paraId="529EEA18">
            <w:pPr>
              <w:snapToGrid w:val="0"/>
              <w:jc w:val="center"/>
              <w:rPr>
                <w:rFonts w:cs="宋体"/>
                <w:szCs w:val="21"/>
              </w:rPr>
            </w:pPr>
            <w:r>
              <w:rPr>
                <w:rFonts w:hint="eastAsia" w:cs="宋体"/>
                <w:szCs w:val="21"/>
              </w:rPr>
              <w:drawing>
                <wp:inline distT="0" distB="0" distL="114300" distR="114300">
                  <wp:extent cx="1181100" cy="1272540"/>
                  <wp:effectExtent l="0" t="0" r="7620" b="7620"/>
                  <wp:docPr id="14" name="图片 14" descr="17142830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4283090151"/>
                          <pic:cNvPicPr>
                            <a:picLocks noChangeAspect="1"/>
                          </pic:cNvPicPr>
                        </pic:nvPicPr>
                        <pic:blipFill>
                          <a:blip r:embed="rId22"/>
                          <a:stretch>
                            <a:fillRect/>
                          </a:stretch>
                        </pic:blipFill>
                        <pic:spPr>
                          <a:xfrm>
                            <a:off x="0" y="0"/>
                            <a:ext cx="1181100" cy="1272540"/>
                          </a:xfrm>
                          <a:prstGeom prst="rect">
                            <a:avLst/>
                          </a:prstGeom>
                        </pic:spPr>
                      </pic:pic>
                    </a:graphicData>
                  </a:graphic>
                </wp:inline>
              </w:drawing>
            </w:r>
          </w:p>
        </w:tc>
      </w:tr>
    </w:tbl>
    <w:p w14:paraId="3CB9BA69">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结合裸地图斑在遥感影像前后时相上的变化特征，可对裸地动态变化开展监测。裸地动态变化状态可分为6类，分别为新增、扩大、延续、缩减、退出、绿化。各动态变化解译特征应符合表3的规定。</w:t>
      </w:r>
    </w:p>
    <w:p w14:paraId="4B753756">
      <w:pPr>
        <w:spacing w:line="360" w:lineRule="auto"/>
        <w:ind w:firstLine="480" w:firstLineChars="200"/>
        <w:jc w:val="center"/>
        <w:rPr>
          <w:sz w:val="24"/>
        </w:rPr>
      </w:pPr>
      <w:r>
        <w:rPr>
          <w:rFonts w:hint="eastAsia"/>
          <w:sz w:val="24"/>
        </w:rPr>
        <w:t>表4 裸地动态变化及典型图斑</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5518"/>
      </w:tblGrid>
      <w:tr w14:paraId="367D6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bottom w:val="single" w:color="auto" w:sz="8" w:space="0"/>
            </w:tcBorders>
            <w:vAlign w:val="center"/>
          </w:tcPr>
          <w:p w14:paraId="56DB8726">
            <w:pPr>
              <w:snapToGrid w:val="0"/>
              <w:jc w:val="center"/>
              <w:rPr>
                <w:rFonts w:cs="宋体"/>
                <w:b/>
                <w:bCs/>
                <w:szCs w:val="21"/>
              </w:rPr>
            </w:pPr>
            <w:r>
              <w:rPr>
                <w:rFonts w:hint="eastAsia" w:cs="宋体"/>
                <w:b/>
                <w:bCs/>
                <w:color w:val="000000"/>
                <w:szCs w:val="21"/>
              </w:rPr>
              <w:t>裸地动态变化状态</w:t>
            </w:r>
          </w:p>
        </w:tc>
        <w:tc>
          <w:tcPr>
            <w:tcW w:w="3240" w:type="pct"/>
            <w:tcBorders>
              <w:bottom w:val="single" w:color="auto" w:sz="8" w:space="0"/>
            </w:tcBorders>
            <w:vAlign w:val="center"/>
          </w:tcPr>
          <w:p w14:paraId="743E09EF">
            <w:pPr>
              <w:snapToGrid w:val="0"/>
              <w:jc w:val="center"/>
              <w:rPr>
                <w:rFonts w:cs="宋体"/>
                <w:b/>
                <w:bCs/>
                <w:szCs w:val="21"/>
              </w:rPr>
            </w:pPr>
            <w:r>
              <w:rPr>
                <w:rFonts w:hint="eastAsia" w:cs="宋体"/>
                <w:b/>
                <w:bCs/>
                <w:color w:val="000000"/>
                <w:szCs w:val="21"/>
              </w:rPr>
              <w:t>典型图斑（前时相，后时相）</w:t>
            </w:r>
          </w:p>
        </w:tc>
      </w:tr>
      <w:tr w14:paraId="27EBB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top w:val="single" w:color="auto" w:sz="8" w:space="0"/>
            </w:tcBorders>
            <w:vAlign w:val="center"/>
          </w:tcPr>
          <w:p w14:paraId="70515E4E">
            <w:pPr>
              <w:snapToGrid w:val="0"/>
              <w:jc w:val="center"/>
              <w:rPr>
                <w:rFonts w:cs="宋体"/>
                <w:szCs w:val="21"/>
              </w:rPr>
            </w:pPr>
            <w:r>
              <w:rPr>
                <w:rFonts w:hint="eastAsia"/>
                <w:sz w:val="24"/>
              </w:rPr>
              <w:t>新增</w:t>
            </w:r>
          </w:p>
        </w:tc>
        <w:tc>
          <w:tcPr>
            <w:tcW w:w="3240" w:type="pct"/>
            <w:tcBorders>
              <w:top w:val="single" w:color="auto" w:sz="8" w:space="0"/>
            </w:tcBorders>
            <w:vAlign w:val="center"/>
          </w:tcPr>
          <w:p w14:paraId="4766652E">
            <w:pPr>
              <w:snapToGrid w:val="0"/>
              <w:jc w:val="center"/>
              <w:rPr>
                <w:rFonts w:cs="宋体"/>
                <w:szCs w:val="21"/>
              </w:rPr>
            </w:pPr>
            <w:r>
              <w:rPr>
                <w:rFonts w:hint="eastAsia" w:cs="宋体"/>
                <w:szCs w:val="21"/>
              </w:rPr>
              <w:drawing>
                <wp:inline distT="0" distB="0" distL="114300" distR="114300">
                  <wp:extent cx="1483360" cy="1256665"/>
                  <wp:effectExtent l="0" t="0" r="10160" b="8255"/>
                  <wp:docPr id="21" name="图片 21" descr="171435822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4358221606"/>
                          <pic:cNvPicPr>
                            <a:picLocks noChangeAspect="1"/>
                          </pic:cNvPicPr>
                        </pic:nvPicPr>
                        <pic:blipFill>
                          <a:blip r:embed="rId23"/>
                          <a:stretch>
                            <a:fillRect/>
                          </a:stretch>
                        </pic:blipFill>
                        <pic:spPr>
                          <a:xfrm>
                            <a:off x="0" y="0"/>
                            <a:ext cx="1483360" cy="1256665"/>
                          </a:xfrm>
                          <a:prstGeom prst="rect">
                            <a:avLst/>
                          </a:prstGeom>
                        </pic:spPr>
                      </pic:pic>
                    </a:graphicData>
                  </a:graphic>
                </wp:inline>
              </w:drawing>
            </w:r>
            <w:r>
              <w:rPr>
                <w:rFonts w:hint="eastAsia" w:cs="宋体"/>
                <w:szCs w:val="21"/>
              </w:rPr>
              <w:drawing>
                <wp:inline distT="0" distB="0" distL="114300" distR="114300">
                  <wp:extent cx="1405890" cy="1257935"/>
                  <wp:effectExtent l="0" t="0" r="11430" b="6985"/>
                  <wp:docPr id="22" name="图片 22" descr="17143582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4358229190"/>
                          <pic:cNvPicPr>
                            <a:picLocks noChangeAspect="1"/>
                          </pic:cNvPicPr>
                        </pic:nvPicPr>
                        <pic:blipFill>
                          <a:blip r:embed="rId24"/>
                          <a:stretch>
                            <a:fillRect/>
                          </a:stretch>
                        </pic:blipFill>
                        <pic:spPr>
                          <a:xfrm>
                            <a:off x="0" y="0"/>
                            <a:ext cx="1405890" cy="1257935"/>
                          </a:xfrm>
                          <a:prstGeom prst="rect">
                            <a:avLst/>
                          </a:prstGeom>
                        </pic:spPr>
                      </pic:pic>
                    </a:graphicData>
                  </a:graphic>
                </wp:inline>
              </w:drawing>
            </w:r>
          </w:p>
        </w:tc>
      </w:tr>
      <w:tr w14:paraId="6E48D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526F3A4F">
            <w:pPr>
              <w:snapToGrid w:val="0"/>
              <w:jc w:val="center"/>
              <w:rPr>
                <w:rFonts w:cs="宋体"/>
                <w:szCs w:val="21"/>
              </w:rPr>
            </w:pPr>
            <w:r>
              <w:rPr>
                <w:rFonts w:hint="eastAsia"/>
                <w:sz w:val="24"/>
              </w:rPr>
              <w:t>扩大</w:t>
            </w:r>
          </w:p>
        </w:tc>
        <w:tc>
          <w:tcPr>
            <w:tcW w:w="3240" w:type="pct"/>
            <w:vAlign w:val="center"/>
          </w:tcPr>
          <w:p w14:paraId="4A4322C8">
            <w:pPr>
              <w:snapToGrid w:val="0"/>
              <w:jc w:val="center"/>
              <w:rPr>
                <w:rFonts w:cs="宋体"/>
                <w:szCs w:val="21"/>
              </w:rPr>
            </w:pPr>
            <w:r>
              <w:rPr>
                <w:rFonts w:hint="eastAsia" w:cs="宋体"/>
                <w:szCs w:val="21"/>
              </w:rPr>
              <w:drawing>
                <wp:inline distT="0" distB="0" distL="114300" distR="114300">
                  <wp:extent cx="1499235" cy="1299845"/>
                  <wp:effectExtent l="0" t="0" r="9525" b="10795"/>
                  <wp:docPr id="23" name="图片 23" descr="17143584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4358427851"/>
                          <pic:cNvPicPr>
                            <a:picLocks noChangeAspect="1"/>
                          </pic:cNvPicPr>
                        </pic:nvPicPr>
                        <pic:blipFill>
                          <a:blip r:embed="rId25"/>
                          <a:stretch>
                            <a:fillRect/>
                          </a:stretch>
                        </pic:blipFill>
                        <pic:spPr>
                          <a:xfrm>
                            <a:off x="0" y="0"/>
                            <a:ext cx="1499235" cy="1299845"/>
                          </a:xfrm>
                          <a:prstGeom prst="rect">
                            <a:avLst/>
                          </a:prstGeom>
                        </pic:spPr>
                      </pic:pic>
                    </a:graphicData>
                  </a:graphic>
                </wp:inline>
              </w:drawing>
            </w:r>
            <w:r>
              <w:rPr>
                <w:rFonts w:hint="eastAsia" w:cs="宋体"/>
                <w:szCs w:val="21"/>
              </w:rPr>
              <w:drawing>
                <wp:inline distT="0" distB="0" distL="114300" distR="114300">
                  <wp:extent cx="1496695" cy="1299210"/>
                  <wp:effectExtent l="0" t="0" r="12065" b="11430"/>
                  <wp:docPr id="24" name="图片 24" descr="171435847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4358477122"/>
                          <pic:cNvPicPr>
                            <a:picLocks noChangeAspect="1"/>
                          </pic:cNvPicPr>
                        </pic:nvPicPr>
                        <pic:blipFill>
                          <a:blip r:embed="rId26"/>
                          <a:stretch>
                            <a:fillRect/>
                          </a:stretch>
                        </pic:blipFill>
                        <pic:spPr>
                          <a:xfrm>
                            <a:off x="0" y="0"/>
                            <a:ext cx="1496695" cy="1299210"/>
                          </a:xfrm>
                          <a:prstGeom prst="rect">
                            <a:avLst/>
                          </a:prstGeom>
                        </pic:spPr>
                      </pic:pic>
                    </a:graphicData>
                  </a:graphic>
                </wp:inline>
              </w:drawing>
            </w:r>
          </w:p>
        </w:tc>
      </w:tr>
      <w:tr w14:paraId="57234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35F03744">
            <w:pPr>
              <w:snapToGrid w:val="0"/>
              <w:jc w:val="center"/>
              <w:rPr>
                <w:rFonts w:cs="宋体"/>
                <w:szCs w:val="21"/>
              </w:rPr>
            </w:pPr>
            <w:r>
              <w:rPr>
                <w:rFonts w:hint="eastAsia"/>
                <w:sz w:val="24"/>
              </w:rPr>
              <w:t>延续</w:t>
            </w:r>
          </w:p>
        </w:tc>
        <w:tc>
          <w:tcPr>
            <w:tcW w:w="3240" w:type="pct"/>
            <w:vAlign w:val="center"/>
          </w:tcPr>
          <w:p w14:paraId="3799194A">
            <w:pPr>
              <w:snapToGrid w:val="0"/>
              <w:jc w:val="center"/>
              <w:rPr>
                <w:rFonts w:cs="宋体"/>
                <w:szCs w:val="21"/>
              </w:rPr>
            </w:pPr>
            <w:r>
              <w:rPr>
                <w:rFonts w:hint="eastAsia" w:cs="宋体"/>
                <w:szCs w:val="21"/>
              </w:rPr>
              <w:drawing>
                <wp:inline distT="0" distB="0" distL="114300" distR="114300">
                  <wp:extent cx="1482725" cy="1006475"/>
                  <wp:effectExtent l="0" t="0" r="10795" b="14605"/>
                  <wp:docPr id="25" name="图片 25" descr="171435855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4358558619"/>
                          <pic:cNvPicPr>
                            <a:picLocks noChangeAspect="1"/>
                          </pic:cNvPicPr>
                        </pic:nvPicPr>
                        <pic:blipFill>
                          <a:blip r:embed="rId27"/>
                          <a:stretch>
                            <a:fillRect/>
                          </a:stretch>
                        </pic:blipFill>
                        <pic:spPr>
                          <a:xfrm>
                            <a:off x="0" y="0"/>
                            <a:ext cx="1482725" cy="1006475"/>
                          </a:xfrm>
                          <a:prstGeom prst="rect">
                            <a:avLst/>
                          </a:prstGeom>
                        </pic:spPr>
                      </pic:pic>
                    </a:graphicData>
                  </a:graphic>
                </wp:inline>
              </w:drawing>
            </w:r>
            <w:r>
              <w:rPr>
                <w:rFonts w:hint="eastAsia" w:cs="宋体"/>
                <w:szCs w:val="21"/>
              </w:rPr>
              <w:drawing>
                <wp:inline distT="0" distB="0" distL="114300" distR="114300">
                  <wp:extent cx="1536700" cy="1010285"/>
                  <wp:effectExtent l="0" t="0" r="2540" b="10795"/>
                  <wp:docPr id="26" name="图片 26" descr="171435857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4358576667"/>
                          <pic:cNvPicPr>
                            <a:picLocks noChangeAspect="1"/>
                          </pic:cNvPicPr>
                        </pic:nvPicPr>
                        <pic:blipFill>
                          <a:blip r:embed="rId28"/>
                          <a:stretch>
                            <a:fillRect/>
                          </a:stretch>
                        </pic:blipFill>
                        <pic:spPr>
                          <a:xfrm>
                            <a:off x="0" y="0"/>
                            <a:ext cx="1536700" cy="1010285"/>
                          </a:xfrm>
                          <a:prstGeom prst="rect">
                            <a:avLst/>
                          </a:prstGeom>
                        </pic:spPr>
                      </pic:pic>
                    </a:graphicData>
                  </a:graphic>
                </wp:inline>
              </w:drawing>
            </w:r>
          </w:p>
        </w:tc>
      </w:tr>
      <w:tr w14:paraId="59D60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vAlign w:val="center"/>
          </w:tcPr>
          <w:p w14:paraId="191B853A">
            <w:pPr>
              <w:snapToGrid w:val="0"/>
              <w:jc w:val="center"/>
              <w:rPr>
                <w:rFonts w:cs="宋体"/>
                <w:szCs w:val="21"/>
              </w:rPr>
            </w:pPr>
            <w:r>
              <w:rPr>
                <w:rFonts w:hint="eastAsia"/>
                <w:sz w:val="24"/>
              </w:rPr>
              <w:t>缩减</w:t>
            </w:r>
          </w:p>
        </w:tc>
        <w:tc>
          <w:tcPr>
            <w:tcW w:w="3240" w:type="pct"/>
            <w:vAlign w:val="center"/>
          </w:tcPr>
          <w:p w14:paraId="160D2D10">
            <w:pPr>
              <w:snapToGrid w:val="0"/>
              <w:jc w:val="center"/>
              <w:rPr>
                <w:rFonts w:cs="宋体"/>
                <w:szCs w:val="21"/>
              </w:rPr>
            </w:pPr>
            <w:r>
              <w:rPr>
                <w:rFonts w:hint="eastAsia" w:cs="宋体"/>
                <w:szCs w:val="21"/>
              </w:rPr>
              <w:drawing>
                <wp:inline distT="0" distB="0" distL="114300" distR="114300">
                  <wp:extent cx="1476375" cy="1252855"/>
                  <wp:effectExtent l="0" t="0" r="1905" b="12065"/>
                  <wp:docPr id="27" name="图片 27" descr="171435906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4359062336"/>
                          <pic:cNvPicPr>
                            <a:picLocks noChangeAspect="1"/>
                          </pic:cNvPicPr>
                        </pic:nvPicPr>
                        <pic:blipFill>
                          <a:blip r:embed="rId29"/>
                          <a:stretch>
                            <a:fillRect/>
                          </a:stretch>
                        </pic:blipFill>
                        <pic:spPr>
                          <a:xfrm>
                            <a:off x="0" y="0"/>
                            <a:ext cx="1476375" cy="1252855"/>
                          </a:xfrm>
                          <a:prstGeom prst="rect">
                            <a:avLst/>
                          </a:prstGeom>
                        </pic:spPr>
                      </pic:pic>
                    </a:graphicData>
                  </a:graphic>
                </wp:inline>
              </w:drawing>
            </w:r>
            <w:r>
              <w:rPr>
                <w:rFonts w:hint="eastAsia" w:cs="宋体"/>
                <w:szCs w:val="21"/>
              </w:rPr>
              <w:drawing>
                <wp:inline distT="0" distB="0" distL="114300" distR="114300">
                  <wp:extent cx="1590040" cy="1261745"/>
                  <wp:effectExtent l="0" t="0" r="10160" b="3175"/>
                  <wp:docPr id="28" name="图片 28" descr="171435907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4359072426"/>
                          <pic:cNvPicPr>
                            <a:picLocks noChangeAspect="1"/>
                          </pic:cNvPicPr>
                        </pic:nvPicPr>
                        <pic:blipFill>
                          <a:blip r:embed="rId30"/>
                          <a:stretch>
                            <a:fillRect/>
                          </a:stretch>
                        </pic:blipFill>
                        <pic:spPr>
                          <a:xfrm>
                            <a:off x="0" y="0"/>
                            <a:ext cx="1590040" cy="1261745"/>
                          </a:xfrm>
                          <a:prstGeom prst="rect">
                            <a:avLst/>
                          </a:prstGeom>
                        </pic:spPr>
                      </pic:pic>
                    </a:graphicData>
                  </a:graphic>
                </wp:inline>
              </w:drawing>
            </w:r>
          </w:p>
        </w:tc>
      </w:tr>
      <w:tr w14:paraId="73662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bottom w:val="single" w:color="auto" w:sz="8" w:space="0"/>
            </w:tcBorders>
            <w:vAlign w:val="center"/>
          </w:tcPr>
          <w:p w14:paraId="0DEDBAC6">
            <w:pPr>
              <w:snapToGrid w:val="0"/>
              <w:jc w:val="center"/>
              <w:rPr>
                <w:sz w:val="24"/>
              </w:rPr>
            </w:pPr>
            <w:r>
              <w:rPr>
                <w:rFonts w:hint="eastAsia"/>
                <w:sz w:val="24"/>
              </w:rPr>
              <w:t>退出</w:t>
            </w:r>
          </w:p>
        </w:tc>
        <w:tc>
          <w:tcPr>
            <w:tcW w:w="3240" w:type="pct"/>
            <w:tcBorders>
              <w:bottom w:val="single" w:color="auto" w:sz="8" w:space="0"/>
            </w:tcBorders>
            <w:vAlign w:val="center"/>
          </w:tcPr>
          <w:p w14:paraId="2C561C48">
            <w:pPr>
              <w:snapToGrid w:val="0"/>
              <w:jc w:val="center"/>
              <w:rPr>
                <w:rFonts w:cs="宋体"/>
                <w:szCs w:val="21"/>
              </w:rPr>
            </w:pPr>
            <w:r>
              <w:rPr>
                <w:rFonts w:hint="eastAsia" w:cs="宋体"/>
                <w:szCs w:val="21"/>
              </w:rPr>
              <w:drawing>
                <wp:inline distT="0" distB="0" distL="114300" distR="114300">
                  <wp:extent cx="1490345" cy="1509395"/>
                  <wp:effectExtent l="0" t="0" r="3175" b="14605"/>
                  <wp:docPr id="17" name="图片 17" descr="173328920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3289201372"/>
                          <pic:cNvPicPr>
                            <a:picLocks noChangeAspect="1"/>
                          </pic:cNvPicPr>
                        </pic:nvPicPr>
                        <pic:blipFill>
                          <a:blip r:embed="rId31"/>
                          <a:stretch>
                            <a:fillRect/>
                          </a:stretch>
                        </pic:blipFill>
                        <pic:spPr>
                          <a:xfrm>
                            <a:off x="0" y="0"/>
                            <a:ext cx="1490345" cy="1509395"/>
                          </a:xfrm>
                          <a:prstGeom prst="rect">
                            <a:avLst/>
                          </a:prstGeom>
                        </pic:spPr>
                      </pic:pic>
                    </a:graphicData>
                  </a:graphic>
                </wp:inline>
              </w:drawing>
            </w:r>
            <w:r>
              <w:rPr>
                <w:rFonts w:hint="eastAsia" w:cs="宋体"/>
                <w:szCs w:val="21"/>
              </w:rPr>
              <w:drawing>
                <wp:inline distT="0" distB="0" distL="114300" distR="114300">
                  <wp:extent cx="1534160" cy="1503045"/>
                  <wp:effectExtent l="0" t="0" r="5080" b="5715"/>
                  <wp:docPr id="18" name="图片 18" descr="173328922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3289225826"/>
                          <pic:cNvPicPr>
                            <a:picLocks noChangeAspect="1"/>
                          </pic:cNvPicPr>
                        </pic:nvPicPr>
                        <pic:blipFill>
                          <a:blip r:embed="rId32"/>
                          <a:stretch>
                            <a:fillRect/>
                          </a:stretch>
                        </pic:blipFill>
                        <pic:spPr>
                          <a:xfrm>
                            <a:off x="0" y="0"/>
                            <a:ext cx="1534160" cy="1503045"/>
                          </a:xfrm>
                          <a:prstGeom prst="rect">
                            <a:avLst/>
                          </a:prstGeom>
                        </pic:spPr>
                      </pic:pic>
                    </a:graphicData>
                  </a:graphic>
                </wp:inline>
              </w:drawing>
            </w:r>
          </w:p>
        </w:tc>
      </w:tr>
      <w:tr w14:paraId="44C38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60" w:type="pct"/>
            <w:tcBorders>
              <w:bottom w:val="single" w:color="auto" w:sz="8" w:space="0"/>
            </w:tcBorders>
            <w:vAlign w:val="center"/>
          </w:tcPr>
          <w:p w14:paraId="72EED51D">
            <w:pPr>
              <w:snapToGrid w:val="0"/>
              <w:jc w:val="center"/>
              <w:rPr>
                <w:rFonts w:cs="宋体"/>
                <w:szCs w:val="21"/>
              </w:rPr>
            </w:pPr>
            <w:r>
              <w:rPr>
                <w:rFonts w:hint="eastAsia" w:cs="宋体"/>
                <w:szCs w:val="21"/>
              </w:rPr>
              <w:t>绿化</w:t>
            </w:r>
          </w:p>
        </w:tc>
        <w:tc>
          <w:tcPr>
            <w:tcW w:w="3240" w:type="pct"/>
            <w:tcBorders>
              <w:bottom w:val="single" w:color="auto" w:sz="8" w:space="0"/>
            </w:tcBorders>
            <w:vAlign w:val="center"/>
          </w:tcPr>
          <w:p w14:paraId="263A74D5">
            <w:pPr>
              <w:snapToGrid w:val="0"/>
              <w:jc w:val="center"/>
              <w:rPr>
                <w:rFonts w:cs="宋体"/>
                <w:szCs w:val="21"/>
              </w:rPr>
            </w:pPr>
            <w:r>
              <w:rPr>
                <w:rFonts w:hint="eastAsia" w:cs="宋体"/>
                <w:szCs w:val="21"/>
              </w:rPr>
              <w:drawing>
                <wp:inline distT="0" distB="0" distL="114300" distR="114300">
                  <wp:extent cx="1403350" cy="1174115"/>
                  <wp:effectExtent l="0" t="0" r="13970" b="14605"/>
                  <wp:docPr id="29" name="图片 29" descr="171435981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4359811073"/>
                          <pic:cNvPicPr>
                            <a:picLocks noChangeAspect="1"/>
                          </pic:cNvPicPr>
                        </pic:nvPicPr>
                        <pic:blipFill>
                          <a:blip r:embed="rId33"/>
                          <a:stretch>
                            <a:fillRect/>
                          </a:stretch>
                        </pic:blipFill>
                        <pic:spPr>
                          <a:xfrm>
                            <a:off x="0" y="0"/>
                            <a:ext cx="1403350" cy="1174115"/>
                          </a:xfrm>
                          <a:prstGeom prst="rect">
                            <a:avLst/>
                          </a:prstGeom>
                        </pic:spPr>
                      </pic:pic>
                    </a:graphicData>
                  </a:graphic>
                </wp:inline>
              </w:drawing>
            </w:r>
            <w:r>
              <w:rPr>
                <w:rFonts w:hint="eastAsia" w:cs="宋体"/>
                <w:szCs w:val="21"/>
              </w:rPr>
              <w:drawing>
                <wp:inline distT="0" distB="0" distL="114300" distR="114300">
                  <wp:extent cx="1431290" cy="1171575"/>
                  <wp:effectExtent l="0" t="0" r="1270" b="1905"/>
                  <wp:docPr id="30" name="图片 30" descr="17143598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4359828010"/>
                          <pic:cNvPicPr>
                            <a:picLocks noChangeAspect="1"/>
                          </pic:cNvPicPr>
                        </pic:nvPicPr>
                        <pic:blipFill>
                          <a:blip r:embed="rId34"/>
                          <a:stretch>
                            <a:fillRect/>
                          </a:stretch>
                        </pic:blipFill>
                        <pic:spPr>
                          <a:xfrm>
                            <a:off x="0" y="0"/>
                            <a:ext cx="1431290" cy="1171575"/>
                          </a:xfrm>
                          <a:prstGeom prst="rect">
                            <a:avLst/>
                          </a:prstGeom>
                        </pic:spPr>
                      </pic:pic>
                    </a:graphicData>
                  </a:graphic>
                </wp:inline>
              </w:drawing>
            </w:r>
          </w:p>
        </w:tc>
      </w:tr>
    </w:tbl>
    <w:p w14:paraId="7862402E">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6.8 质量控制与精度评估</w:t>
      </w:r>
    </w:p>
    <w:p w14:paraId="2ECD04D6">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6.8.1 监测成果</w:t>
      </w:r>
    </w:p>
    <w:p w14:paraId="0285FCFB">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裸地遥感监测成果应以矢量格式存储，属性表结构可参考附录A.2。监测成果的空间参照应采用2000国家大地坐标系，空间投影及相关参数的选取应符合以下要求：</w:t>
      </w:r>
    </w:p>
    <w:p w14:paraId="1E181801">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阿尔伯斯等积投影；</w:t>
      </w:r>
    </w:p>
    <w:p w14:paraId="12241605">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椭球体：CGCS2000椭球体；</w:t>
      </w:r>
    </w:p>
    <w:p w14:paraId="747C61C6">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中央经线：东经110°；</w:t>
      </w:r>
    </w:p>
    <w:p w14:paraId="32BBADF5">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双标准纬线：北纬25°和47°；</w:t>
      </w:r>
    </w:p>
    <w:p w14:paraId="2D8A6BC7">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投影起始纬度：12°；</w:t>
      </w:r>
    </w:p>
    <w:p w14:paraId="69D0141F">
      <w:pPr>
        <w:pStyle w:val="75"/>
        <w:spacing w:line="360" w:lineRule="auto"/>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中央经线偏差和起始点偏差：0。</w:t>
      </w:r>
    </w:p>
    <w:p w14:paraId="381F82B3">
      <w:pPr>
        <w:pStyle w:val="76"/>
        <w:adjustRightInd w:val="0"/>
        <w:snapToGrid w:val="0"/>
        <w:ind w:firstLine="480"/>
        <w:rPr>
          <w:rFonts w:ascii="仿宋_GB2312" w:hAnsi="仿宋_GB2312" w:eastAsia="仿宋_GB2312" w:cs="仿宋_GB2312"/>
        </w:rPr>
      </w:pPr>
      <w:r>
        <w:rPr>
          <w:rFonts w:hint="eastAsia" w:ascii="仿宋_GB2312" w:hAnsi="仿宋_GB2312" w:eastAsia="仿宋_GB2312" w:cs="仿宋_GB2312"/>
        </w:rPr>
        <w:t>采用2000国家大地坐标系是因为自2008年6月18日原国家测绘地理信息局发布2008年第2号公告，经国务院批准，自2008年7月1日起，正式启用2000国家大地坐标系，到2018年全面完成2000国家大地坐标系转换工作。《国土资源部 国家测绘地理信息局关于加快使用2000国家大地坐标系的通知》（国土资发〔2017〕30号）要求2018年7月1日起全面使用2000国家大地坐标系CGCS2000，国家测绘地理信息局将停止提供非2000国家大地坐标系下的测绘成果。采用阿尔伯斯等积投影是为了保持等面积特性，采用Albers等面积割圆锥投影投影类型，该投影中央经线为东经110°；双标准纬线：北纬25°和47°；投影起始纬度：12°；中央经线偏差和起始点偏差：0。</w:t>
      </w:r>
    </w:p>
    <w:p w14:paraId="4E9F2C35">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6.8.2 内业检查</w:t>
      </w:r>
    </w:p>
    <w:p w14:paraId="3C3E7DDC">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量控制贯穿裸地遥感监测、检查和外业核查整个过程，结果不符合质量规定的，需重新开展工作。监测成果在用于评价前应通过内业检查，需要按照比例对检查成果进行抽样后结合遥感影像开展内业检查。样本的选取应参照《测绘成果质量检查与验收》（GB/T 24356）执行。裸地遥感监测成果内业检查应综合考虑空间覆盖等因素对裸地监测图斑进行随机抽样，抽样比例宜大于15%。裸地遥感监测成果内业检查内容应包括空间参考系、位置精度、属性精度、完整性、逻辑一致性、标准质量等内容，成果质量按照《数字测绘成果质量要求》GB/T 17941的规定执行。遥感解译成果验收与质量评定应按 GB/T 18316 中过程检查、最终检查、验收、质量评价体系的规定执行。</w:t>
      </w:r>
    </w:p>
    <w:p w14:paraId="53CE496E">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6.8.3 外业核查</w:t>
      </w:r>
    </w:p>
    <w:p w14:paraId="2C5E624B">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经内业检查修正后的裸地遥感监测成果应抽样进行外业核查。内业判定具备不确定性的图斑应全部进行外业核查，其他图斑宜进行随机抽样，抽样比例宜大于2%。样本的选取应参照《测绘成果质量检查与验收》（GB/T 24356）执行。外业核查前应制作核查计划，确定需要外业核查的图斑位置和外业路线。设计的外业路线要符合实际情况，具备可执行性。在现场察看、走访过程中，应核实地块裸地类型、工程类裸地所处施工阶段和整治情况，并拍照记录。外业调查数据表应真实、完整填写，外业核查中发现遥感监测存在误判情况时，应以外业调查结果为依据对监测成果进行修订。对无法进入、地物影像形态与实地差异较大以及其他影像未能体现的情况，应进行现场信息记录。外业核查应如实填写外业调查数据表，表式宜符合附录A.3的规定。现场拍摄方位不少于3个，为确保照片真实，照片应标注时间、地点、经度、纬度等信息。对裸地对象应特别关注，局部放大拍摄照片，不低于1000万像素，照片上的经纬度精确到0.00001度。如果外业核查发现误判情况，应以外业调查结果为依据对裸地遥感监测成果进行修订。</w:t>
      </w:r>
    </w:p>
    <w:p w14:paraId="30F08049">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6.8.4 精度评估</w:t>
      </w:r>
    </w:p>
    <w:p w14:paraId="3DC20FC1">
      <w:pPr>
        <w:spacing w:line="360" w:lineRule="auto"/>
        <w:ind w:firstLine="480" w:firstLineChars="200"/>
        <w:rPr>
          <w:sz w:val="24"/>
        </w:rPr>
      </w:pPr>
      <w:r>
        <w:rPr>
          <w:rFonts w:hint="eastAsia" w:ascii="仿宋_GB2312" w:hAnsi="仿宋_GB2312" w:eastAsia="仿宋_GB2312" w:cs="仿宋_GB2312"/>
          <w:sz w:val="24"/>
        </w:rPr>
        <w:t>地遥感监测成果经外业修订后，应对监测结果随机抽样进行内业精度评估，抽样比例不低于15%。对于精度达不到要求的应重新对监测成果进行修订，直到达到相应的精度要求。精度评估的方法为，利用抽检发现误判的图斑数量除以抽检图斑总数得到抽样监测成果的识别准确率。图斑的准确性检验应包括边界正确性和指标属性正确性。由于监测成果用于评价各区、乡镇和工程场站的裸地的整治情况，因此需要精度比较高，准确率应在90%以上，未达到精度要求的监测成果应重新进行监测或对结果进行修正，直至达到相应的精度要求</w:t>
      </w:r>
      <w:r>
        <w:rPr>
          <w:rFonts w:hint="eastAsia"/>
          <w:sz w:val="24"/>
        </w:rPr>
        <w:t>。</w:t>
      </w:r>
    </w:p>
    <w:p w14:paraId="295EE909">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6.9 整治情况评价</w:t>
      </w:r>
    </w:p>
    <w:p w14:paraId="748B2B7E">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6.9.1　计算方法</w:t>
      </w:r>
    </w:p>
    <w:p w14:paraId="491C71C2">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监测成果过应通过计算得到监测区域的整治率。</w:t>
      </w:r>
    </w:p>
    <w:p w14:paraId="6356BB8F">
      <w:pPr>
        <w:spacing w:line="360" w:lineRule="auto"/>
        <w:ind w:firstLine="560" w:firstLineChars="200"/>
        <w:outlineLvl w:val="2"/>
        <w:rPr>
          <w:rFonts w:ascii="仿宋_GB2312" w:eastAsia="仿宋_GB2312"/>
          <w:sz w:val="28"/>
          <w:szCs w:val="28"/>
        </w:rPr>
      </w:pPr>
      <w:r>
        <w:rPr>
          <w:rFonts w:hint="eastAsia" w:ascii="仿宋_GB2312" w:eastAsia="仿宋_GB2312"/>
          <w:sz w:val="28"/>
          <w:szCs w:val="28"/>
        </w:rPr>
        <w:t>6.9.2　评价等级</w:t>
      </w:r>
    </w:p>
    <w:p w14:paraId="3300AE4A">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针对监测区域的整治率进行评价，评价等级可分为</w:t>
      </w:r>
      <w:r>
        <w:rPr>
          <w:rFonts w:ascii="仿宋_GB2312" w:hAnsi="仿宋_GB2312" w:eastAsia="仿宋_GB2312" w:cs="仿宋_GB2312"/>
          <w:sz w:val="24"/>
        </w:rPr>
        <w:t>4</w:t>
      </w:r>
      <w:r>
        <w:rPr>
          <w:rFonts w:hint="eastAsia" w:ascii="仿宋_GB2312" w:hAnsi="仿宋_GB2312" w:eastAsia="仿宋_GB2312" w:cs="仿宋_GB2312"/>
          <w:sz w:val="24"/>
        </w:rPr>
        <w:t>类。</w:t>
      </w:r>
    </w:p>
    <w:p w14:paraId="58AF7E3B">
      <w:pPr>
        <w:spacing w:line="360" w:lineRule="auto"/>
        <w:ind w:firstLine="480" w:firstLineChars="200"/>
        <w:rPr>
          <w:rFonts w:ascii="仿宋_GB2312" w:hAnsi="仿宋_GB2312" w:eastAsia="仿宋_GB2312" w:cs="仿宋_GB2312"/>
          <w:sz w:val="24"/>
        </w:rPr>
      </w:pPr>
      <w:bookmarkStart w:id="74" w:name="_Toc155990922"/>
      <w:r>
        <w:rPr>
          <w:rFonts w:hint="eastAsia" w:ascii="仿宋_GB2312" w:hAnsi="仿宋_GB2312" w:eastAsia="仿宋_GB2312" w:cs="仿宋_GB2312"/>
          <w:sz w:val="24"/>
        </w:rPr>
        <w:t>2023年7月-2024年2月对全市1941家工地开展整治率评估，对每月后30个工地开展整治率计算，进入后30的工地整治率都在50%以下。以202</w:t>
      </w:r>
      <w:r>
        <w:rPr>
          <w:rFonts w:ascii="仿宋_GB2312" w:hAnsi="仿宋_GB2312" w:eastAsia="仿宋_GB2312" w:cs="仿宋_GB2312"/>
          <w:sz w:val="24"/>
        </w:rPr>
        <w:t>4</w:t>
      </w:r>
      <w:r>
        <w:rPr>
          <w:rFonts w:hint="eastAsia" w:ascii="仿宋_GB2312" w:hAnsi="仿宋_GB2312" w:eastAsia="仿宋_GB2312" w:cs="仿宋_GB2312"/>
          <w:sz w:val="24"/>
        </w:rPr>
        <w:t>年12月工地遥感监测结果为例，对</w:t>
      </w:r>
      <w:r>
        <w:rPr>
          <w:rFonts w:ascii="仿宋_GB2312" w:hAnsi="仿宋_GB2312" w:eastAsia="仿宋_GB2312" w:cs="仿宋_GB2312"/>
          <w:sz w:val="24"/>
        </w:rPr>
        <w:t>1369</w:t>
      </w:r>
      <w:r>
        <w:rPr>
          <w:rFonts w:hint="eastAsia" w:ascii="仿宋_GB2312" w:hAnsi="仿宋_GB2312" w:eastAsia="仿宋_GB2312" w:cs="仿宋_GB2312"/>
          <w:sz w:val="24"/>
        </w:rPr>
        <w:t>家工地整治率进行评估，整治比例100%的工地占比</w:t>
      </w:r>
      <w:r>
        <w:rPr>
          <w:rFonts w:ascii="仿宋_GB2312" w:hAnsi="仿宋_GB2312" w:eastAsia="仿宋_GB2312" w:cs="仿宋_GB2312"/>
          <w:sz w:val="24"/>
        </w:rPr>
        <w:t>52</w:t>
      </w:r>
      <w:r>
        <w:rPr>
          <w:rFonts w:hint="eastAsia" w:ascii="仿宋_GB2312" w:hAnsi="仿宋_GB2312" w:eastAsia="仿宋_GB2312" w:cs="仿宋_GB2312"/>
          <w:sz w:val="24"/>
        </w:rPr>
        <w:t>%、整治率80%-100%的工地占比</w:t>
      </w:r>
      <w:r>
        <w:rPr>
          <w:rFonts w:ascii="仿宋_GB2312" w:hAnsi="仿宋_GB2312" w:eastAsia="仿宋_GB2312" w:cs="仿宋_GB2312"/>
          <w:sz w:val="24"/>
        </w:rPr>
        <w:t>28</w:t>
      </w:r>
      <w:r>
        <w:rPr>
          <w:rFonts w:hint="eastAsia" w:ascii="仿宋_GB2312" w:hAnsi="仿宋_GB2312" w:eastAsia="仿宋_GB2312" w:cs="仿宋_GB2312"/>
          <w:sz w:val="24"/>
        </w:rPr>
        <w:t>%。整治率60%-80%的工地占比6%。整治率低于60%的工地占比</w:t>
      </w:r>
      <w:r>
        <w:rPr>
          <w:rFonts w:ascii="仿宋_GB2312" w:hAnsi="仿宋_GB2312" w:eastAsia="仿宋_GB2312" w:cs="仿宋_GB2312"/>
          <w:sz w:val="24"/>
        </w:rPr>
        <w:t>5</w:t>
      </w:r>
      <w:r>
        <w:rPr>
          <w:rFonts w:hint="eastAsia" w:ascii="仿宋_GB2312" w:hAnsi="仿宋_GB2312" w:eastAsia="仿宋_GB2312" w:cs="仿宋_GB2312"/>
          <w:sz w:val="24"/>
        </w:rPr>
        <w:t>%。因此确定整治比例为1</w:t>
      </w:r>
      <w:r>
        <w:rPr>
          <w:rFonts w:ascii="仿宋_GB2312" w:hAnsi="仿宋_GB2312" w:eastAsia="仿宋_GB2312" w:cs="仿宋_GB2312"/>
          <w:sz w:val="24"/>
        </w:rPr>
        <w:t>00%</w:t>
      </w:r>
      <w:r>
        <w:rPr>
          <w:rFonts w:hint="eastAsia" w:ascii="仿宋_GB2312" w:hAnsi="仿宋_GB2312" w:eastAsia="仿宋_GB2312" w:cs="仿宋_GB2312"/>
          <w:sz w:val="24"/>
        </w:rPr>
        <w:t>的工地等级为优，8</w:t>
      </w:r>
      <w:r>
        <w:rPr>
          <w:rFonts w:ascii="仿宋_GB2312" w:hAnsi="仿宋_GB2312" w:eastAsia="仿宋_GB2312" w:cs="仿宋_GB2312"/>
          <w:sz w:val="24"/>
        </w:rPr>
        <w:t>0%-100%</w:t>
      </w:r>
      <w:r>
        <w:rPr>
          <w:rFonts w:hint="eastAsia" w:ascii="仿宋_GB2312" w:hAnsi="仿宋_GB2312" w:eastAsia="仿宋_GB2312" w:cs="仿宋_GB2312"/>
          <w:sz w:val="24"/>
        </w:rPr>
        <w:t>的工地等级为良，6</w:t>
      </w:r>
      <w:r>
        <w:rPr>
          <w:rFonts w:ascii="仿宋_GB2312" w:hAnsi="仿宋_GB2312" w:eastAsia="仿宋_GB2312" w:cs="仿宋_GB2312"/>
          <w:sz w:val="24"/>
        </w:rPr>
        <w:t>0%-80%</w:t>
      </w:r>
      <w:r>
        <w:rPr>
          <w:rFonts w:hint="eastAsia" w:ascii="仿宋_GB2312" w:hAnsi="仿宋_GB2312" w:eastAsia="仿宋_GB2312" w:cs="仿宋_GB2312"/>
          <w:sz w:val="24"/>
        </w:rPr>
        <w:t>的工地等级为中，低于6</w:t>
      </w:r>
      <w:r>
        <w:rPr>
          <w:rFonts w:ascii="仿宋_GB2312" w:hAnsi="仿宋_GB2312" w:eastAsia="仿宋_GB2312" w:cs="仿宋_GB2312"/>
          <w:sz w:val="24"/>
        </w:rPr>
        <w:t>0%</w:t>
      </w:r>
      <w:r>
        <w:rPr>
          <w:rFonts w:hint="eastAsia" w:ascii="仿宋_GB2312" w:hAnsi="仿宋_GB2312" w:eastAsia="仿宋_GB2312" w:cs="仿宋_GB2312"/>
          <w:sz w:val="24"/>
        </w:rPr>
        <w:t>的工地等级为差。</w:t>
      </w:r>
    </w:p>
    <w:p w14:paraId="5B2AFAD2">
      <w:pPr>
        <w:spacing w:line="360" w:lineRule="auto"/>
        <w:ind w:firstLine="480" w:firstLineChars="200"/>
        <w:jc w:val="center"/>
        <w:rPr>
          <w:sz w:val="24"/>
        </w:rPr>
      </w:pPr>
      <w:r>
        <w:rPr>
          <w:rFonts w:hint="eastAsia"/>
          <w:sz w:val="24"/>
        </w:rPr>
        <w:t>表</w:t>
      </w:r>
      <w:r>
        <w:rPr>
          <w:sz w:val="24"/>
        </w:rPr>
        <w:t>5</w:t>
      </w:r>
      <w:r>
        <w:rPr>
          <w:rFonts w:hint="eastAsia"/>
          <w:sz w:val="24"/>
        </w:rPr>
        <w:t xml:space="preserve"> 进入后30工地整治率情况</w:t>
      </w:r>
    </w:p>
    <w:tbl>
      <w:tblPr>
        <w:tblStyle w:val="16"/>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960"/>
        <w:gridCol w:w="960"/>
        <w:gridCol w:w="960"/>
        <w:gridCol w:w="960"/>
        <w:gridCol w:w="960"/>
        <w:gridCol w:w="960"/>
        <w:gridCol w:w="960"/>
      </w:tblGrid>
      <w:tr w14:paraId="303E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960" w:type="dxa"/>
            <w:tcBorders>
              <w:tl2br w:val="nil"/>
              <w:tr2bl w:val="nil"/>
            </w:tcBorders>
            <w:shd w:val="clear" w:color="auto" w:fill="auto"/>
            <w:noWrap/>
            <w:vAlign w:val="center"/>
          </w:tcPr>
          <w:p w14:paraId="5497AC74">
            <w:pPr>
              <w:jc w:val="center"/>
              <w:rPr>
                <w:color w:val="000000"/>
                <w:szCs w:val="21"/>
              </w:rPr>
            </w:pPr>
          </w:p>
        </w:tc>
        <w:tc>
          <w:tcPr>
            <w:tcW w:w="960" w:type="dxa"/>
            <w:tcBorders>
              <w:tl2br w:val="nil"/>
              <w:tr2bl w:val="nil"/>
            </w:tcBorders>
            <w:shd w:val="clear" w:color="auto" w:fill="auto"/>
            <w:noWrap/>
            <w:vAlign w:val="center"/>
          </w:tcPr>
          <w:p w14:paraId="65B90400">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7</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71240666">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8</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68145224">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9</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3BF755FA">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10</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5B34AEE4">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11</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3127A2DD">
            <w:pPr>
              <w:widowControl/>
              <w:jc w:val="center"/>
              <w:textAlignment w:val="center"/>
              <w:rPr>
                <w:rFonts w:eastAsia="等线"/>
                <w:b/>
                <w:bCs/>
                <w:color w:val="000000"/>
                <w:szCs w:val="21"/>
              </w:rPr>
            </w:pPr>
            <w:r>
              <w:rPr>
                <w:rFonts w:eastAsia="等线"/>
                <w:b/>
                <w:bCs/>
                <w:color w:val="000000"/>
                <w:kern w:val="0"/>
                <w:szCs w:val="21"/>
                <w:lang w:bidi="ar"/>
              </w:rPr>
              <w:t>23</w:t>
            </w:r>
            <w:r>
              <w:rPr>
                <w:rFonts w:hint="eastAsia" w:eastAsia="等线"/>
                <w:b/>
                <w:bCs/>
                <w:color w:val="000000"/>
                <w:kern w:val="0"/>
                <w:szCs w:val="21"/>
                <w:lang w:bidi="ar"/>
              </w:rPr>
              <w:t>年</w:t>
            </w:r>
            <w:r>
              <w:rPr>
                <w:rFonts w:eastAsia="等线"/>
                <w:b/>
                <w:bCs/>
                <w:color w:val="000000"/>
                <w:kern w:val="0"/>
                <w:szCs w:val="21"/>
                <w:lang w:bidi="ar"/>
              </w:rPr>
              <w:t>12</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4203A71F">
            <w:pPr>
              <w:widowControl/>
              <w:jc w:val="center"/>
              <w:textAlignment w:val="center"/>
              <w:rPr>
                <w:rFonts w:eastAsia="等线"/>
                <w:b/>
                <w:bCs/>
                <w:color w:val="000000"/>
                <w:szCs w:val="21"/>
              </w:rPr>
            </w:pPr>
            <w:r>
              <w:rPr>
                <w:rFonts w:eastAsia="等线"/>
                <w:b/>
                <w:bCs/>
                <w:color w:val="000000"/>
                <w:kern w:val="0"/>
                <w:szCs w:val="21"/>
                <w:lang w:bidi="ar"/>
              </w:rPr>
              <w:t>24</w:t>
            </w:r>
            <w:r>
              <w:rPr>
                <w:rFonts w:hint="eastAsia" w:eastAsia="等线"/>
                <w:b/>
                <w:bCs/>
                <w:color w:val="000000"/>
                <w:kern w:val="0"/>
                <w:szCs w:val="21"/>
                <w:lang w:bidi="ar"/>
              </w:rPr>
              <w:t>年</w:t>
            </w:r>
            <w:r>
              <w:rPr>
                <w:rFonts w:eastAsia="等线"/>
                <w:b/>
                <w:bCs/>
                <w:color w:val="000000"/>
                <w:kern w:val="0"/>
                <w:szCs w:val="21"/>
                <w:lang w:bidi="ar"/>
              </w:rPr>
              <w:t>1</w:t>
            </w:r>
            <w:r>
              <w:rPr>
                <w:rFonts w:hint="eastAsia" w:eastAsia="等线"/>
                <w:b/>
                <w:bCs/>
                <w:color w:val="000000"/>
                <w:kern w:val="0"/>
                <w:szCs w:val="21"/>
                <w:lang w:bidi="ar"/>
              </w:rPr>
              <w:t>月</w:t>
            </w:r>
          </w:p>
        </w:tc>
        <w:tc>
          <w:tcPr>
            <w:tcW w:w="960" w:type="dxa"/>
            <w:tcBorders>
              <w:tl2br w:val="nil"/>
              <w:tr2bl w:val="nil"/>
            </w:tcBorders>
            <w:shd w:val="clear" w:color="auto" w:fill="auto"/>
            <w:noWrap/>
            <w:vAlign w:val="center"/>
          </w:tcPr>
          <w:p w14:paraId="14370D57">
            <w:pPr>
              <w:widowControl/>
              <w:jc w:val="center"/>
              <w:textAlignment w:val="center"/>
              <w:rPr>
                <w:rFonts w:eastAsia="等线"/>
                <w:b/>
                <w:bCs/>
                <w:color w:val="000000"/>
                <w:szCs w:val="21"/>
              </w:rPr>
            </w:pPr>
            <w:r>
              <w:rPr>
                <w:rFonts w:eastAsia="等线"/>
                <w:b/>
                <w:bCs/>
                <w:color w:val="000000"/>
                <w:kern w:val="0"/>
                <w:szCs w:val="21"/>
                <w:lang w:bidi="ar"/>
              </w:rPr>
              <w:t>24</w:t>
            </w:r>
            <w:r>
              <w:rPr>
                <w:rFonts w:hint="eastAsia" w:eastAsia="等线"/>
                <w:b/>
                <w:bCs/>
                <w:color w:val="000000"/>
                <w:kern w:val="0"/>
                <w:szCs w:val="21"/>
                <w:lang w:bidi="ar"/>
              </w:rPr>
              <w:t>年</w:t>
            </w:r>
            <w:r>
              <w:rPr>
                <w:rFonts w:eastAsia="等线"/>
                <w:b/>
                <w:bCs/>
                <w:color w:val="000000"/>
                <w:kern w:val="0"/>
                <w:szCs w:val="21"/>
                <w:lang w:bidi="ar"/>
              </w:rPr>
              <w:t>2</w:t>
            </w:r>
            <w:r>
              <w:rPr>
                <w:rFonts w:hint="eastAsia" w:eastAsia="等线"/>
                <w:b/>
                <w:bCs/>
                <w:color w:val="000000"/>
                <w:kern w:val="0"/>
                <w:szCs w:val="21"/>
                <w:lang w:bidi="ar"/>
              </w:rPr>
              <w:t>月</w:t>
            </w:r>
          </w:p>
        </w:tc>
      </w:tr>
      <w:tr w14:paraId="769D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494EF0E0">
            <w:pPr>
              <w:widowControl/>
              <w:jc w:val="center"/>
              <w:textAlignment w:val="center"/>
              <w:rPr>
                <w:color w:val="000000"/>
                <w:szCs w:val="21"/>
              </w:rPr>
            </w:pPr>
            <w:r>
              <w:rPr>
                <w:color w:val="000000"/>
                <w:kern w:val="0"/>
                <w:szCs w:val="21"/>
                <w:lang w:bidi="ar"/>
              </w:rPr>
              <w:t>1</w:t>
            </w:r>
          </w:p>
        </w:tc>
        <w:tc>
          <w:tcPr>
            <w:tcW w:w="0" w:type="auto"/>
            <w:tcBorders>
              <w:tl2br w:val="nil"/>
              <w:tr2bl w:val="nil"/>
            </w:tcBorders>
            <w:shd w:val="clear" w:color="auto" w:fill="auto"/>
            <w:noWrap/>
            <w:vAlign w:val="center"/>
          </w:tcPr>
          <w:p w14:paraId="2C53B1B6">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16BBF229">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2F20E59F">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36437BDA">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36252690">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255C2739">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0EE6D1E1">
            <w:pPr>
              <w:widowControl/>
              <w:jc w:val="center"/>
              <w:textAlignment w:val="center"/>
              <w:rPr>
                <w:rFonts w:eastAsia="等线"/>
                <w:color w:val="000000"/>
                <w:szCs w:val="21"/>
              </w:rPr>
            </w:pPr>
            <w:r>
              <w:rPr>
                <w:rFonts w:eastAsia="等线"/>
                <w:color w:val="000000"/>
                <w:kern w:val="0"/>
                <w:szCs w:val="21"/>
                <w:lang w:bidi="ar"/>
              </w:rPr>
              <w:t>5%</w:t>
            </w:r>
          </w:p>
        </w:tc>
        <w:tc>
          <w:tcPr>
            <w:tcW w:w="0" w:type="auto"/>
            <w:tcBorders>
              <w:tl2br w:val="nil"/>
              <w:tr2bl w:val="nil"/>
            </w:tcBorders>
            <w:shd w:val="clear" w:color="auto" w:fill="auto"/>
            <w:noWrap/>
            <w:vAlign w:val="center"/>
          </w:tcPr>
          <w:p w14:paraId="24D6B6F1">
            <w:pPr>
              <w:widowControl/>
              <w:jc w:val="center"/>
              <w:textAlignment w:val="center"/>
              <w:rPr>
                <w:rFonts w:eastAsia="等线"/>
                <w:color w:val="000000"/>
                <w:szCs w:val="21"/>
              </w:rPr>
            </w:pPr>
            <w:r>
              <w:rPr>
                <w:rFonts w:eastAsia="等线"/>
                <w:color w:val="000000"/>
                <w:kern w:val="0"/>
                <w:szCs w:val="21"/>
                <w:lang w:bidi="ar"/>
              </w:rPr>
              <w:t>1%</w:t>
            </w:r>
          </w:p>
        </w:tc>
      </w:tr>
      <w:tr w14:paraId="72F7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64FBF52D">
            <w:pPr>
              <w:widowControl/>
              <w:jc w:val="center"/>
              <w:textAlignment w:val="center"/>
              <w:rPr>
                <w:color w:val="000000"/>
                <w:szCs w:val="21"/>
              </w:rPr>
            </w:pPr>
            <w:r>
              <w:rPr>
                <w:color w:val="000000"/>
                <w:kern w:val="0"/>
                <w:szCs w:val="21"/>
                <w:lang w:bidi="ar"/>
              </w:rPr>
              <w:t>2</w:t>
            </w:r>
          </w:p>
        </w:tc>
        <w:tc>
          <w:tcPr>
            <w:tcW w:w="0" w:type="auto"/>
            <w:tcBorders>
              <w:tl2br w:val="nil"/>
              <w:tr2bl w:val="nil"/>
            </w:tcBorders>
            <w:shd w:val="clear" w:color="auto" w:fill="auto"/>
            <w:noWrap/>
            <w:vAlign w:val="center"/>
          </w:tcPr>
          <w:p w14:paraId="7987C040">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15095F17">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01FE6801">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1BBD4D5E">
            <w:pPr>
              <w:widowControl/>
              <w:jc w:val="center"/>
              <w:textAlignment w:val="center"/>
              <w:rPr>
                <w:rFonts w:eastAsia="等线"/>
                <w:color w:val="000000"/>
                <w:szCs w:val="21"/>
              </w:rPr>
            </w:pPr>
            <w:r>
              <w:rPr>
                <w:rFonts w:eastAsia="等线"/>
                <w:color w:val="000000"/>
                <w:kern w:val="0"/>
                <w:szCs w:val="21"/>
                <w:lang w:bidi="ar"/>
              </w:rPr>
              <w:t>2%</w:t>
            </w:r>
          </w:p>
        </w:tc>
        <w:tc>
          <w:tcPr>
            <w:tcW w:w="0" w:type="auto"/>
            <w:tcBorders>
              <w:tl2br w:val="nil"/>
              <w:tr2bl w:val="nil"/>
            </w:tcBorders>
            <w:shd w:val="clear" w:color="auto" w:fill="auto"/>
            <w:noWrap/>
            <w:vAlign w:val="center"/>
          </w:tcPr>
          <w:p w14:paraId="5A5C35BA">
            <w:pPr>
              <w:widowControl/>
              <w:jc w:val="center"/>
              <w:textAlignment w:val="center"/>
              <w:rPr>
                <w:rFonts w:eastAsia="等线"/>
                <w:color w:val="000000"/>
                <w:szCs w:val="21"/>
              </w:rPr>
            </w:pPr>
            <w:r>
              <w:rPr>
                <w:rFonts w:eastAsia="等线"/>
                <w:color w:val="000000"/>
                <w:kern w:val="0"/>
                <w:szCs w:val="21"/>
                <w:lang w:bidi="ar"/>
              </w:rPr>
              <w:t>5%</w:t>
            </w:r>
          </w:p>
        </w:tc>
        <w:tc>
          <w:tcPr>
            <w:tcW w:w="0" w:type="auto"/>
            <w:tcBorders>
              <w:tl2br w:val="nil"/>
              <w:tr2bl w:val="nil"/>
            </w:tcBorders>
            <w:shd w:val="clear" w:color="auto" w:fill="auto"/>
            <w:noWrap/>
            <w:vAlign w:val="center"/>
          </w:tcPr>
          <w:p w14:paraId="0F04E5C4">
            <w:pPr>
              <w:widowControl/>
              <w:jc w:val="center"/>
              <w:textAlignment w:val="center"/>
              <w:rPr>
                <w:rFonts w:eastAsia="等线"/>
                <w:color w:val="000000"/>
                <w:szCs w:val="21"/>
              </w:rPr>
            </w:pPr>
            <w:r>
              <w:rPr>
                <w:rFonts w:eastAsia="等线"/>
                <w:color w:val="000000"/>
                <w:kern w:val="0"/>
                <w:szCs w:val="21"/>
                <w:lang w:bidi="ar"/>
              </w:rPr>
              <w:t>2%</w:t>
            </w:r>
          </w:p>
        </w:tc>
        <w:tc>
          <w:tcPr>
            <w:tcW w:w="0" w:type="auto"/>
            <w:tcBorders>
              <w:tl2br w:val="nil"/>
              <w:tr2bl w:val="nil"/>
            </w:tcBorders>
            <w:shd w:val="clear" w:color="auto" w:fill="auto"/>
            <w:noWrap/>
            <w:vAlign w:val="center"/>
          </w:tcPr>
          <w:p w14:paraId="04589470">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661C2999">
            <w:pPr>
              <w:widowControl/>
              <w:jc w:val="center"/>
              <w:textAlignment w:val="center"/>
              <w:rPr>
                <w:rFonts w:eastAsia="等线"/>
                <w:color w:val="000000"/>
                <w:szCs w:val="21"/>
              </w:rPr>
            </w:pPr>
            <w:r>
              <w:rPr>
                <w:rFonts w:eastAsia="等线"/>
                <w:color w:val="000000"/>
                <w:kern w:val="0"/>
                <w:szCs w:val="21"/>
                <w:lang w:bidi="ar"/>
              </w:rPr>
              <w:t>2%</w:t>
            </w:r>
          </w:p>
        </w:tc>
      </w:tr>
      <w:tr w14:paraId="550C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7A87585">
            <w:pPr>
              <w:widowControl/>
              <w:jc w:val="center"/>
              <w:textAlignment w:val="center"/>
              <w:rPr>
                <w:color w:val="000000"/>
                <w:szCs w:val="21"/>
              </w:rPr>
            </w:pPr>
            <w:r>
              <w:rPr>
                <w:color w:val="000000"/>
                <w:kern w:val="0"/>
                <w:szCs w:val="21"/>
                <w:lang w:bidi="ar"/>
              </w:rPr>
              <w:t>3</w:t>
            </w:r>
          </w:p>
        </w:tc>
        <w:tc>
          <w:tcPr>
            <w:tcW w:w="0" w:type="auto"/>
            <w:tcBorders>
              <w:tl2br w:val="nil"/>
              <w:tr2bl w:val="nil"/>
            </w:tcBorders>
            <w:shd w:val="clear" w:color="auto" w:fill="auto"/>
            <w:noWrap/>
            <w:vAlign w:val="center"/>
          </w:tcPr>
          <w:p w14:paraId="74CB9BA7">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6A6F11A2">
            <w:pPr>
              <w:widowControl/>
              <w:jc w:val="center"/>
              <w:textAlignment w:val="center"/>
              <w:rPr>
                <w:rFonts w:eastAsia="等线"/>
                <w:color w:val="000000"/>
                <w:szCs w:val="21"/>
              </w:rPr>
            </w:pPr>
            <w:r>
              <w:rPr>
                <w:rFonts w:eastAsia="等线"/>
                <w:color w:val="000000"/>
                <w:kern w:val="0"/>
                <w:szCs w:val="21"/>
                <w:lang w:bidi="ar"/>
              </w:rPr>
              <w:t>2%</w:t>
            </w:r>
          </w:p>
        </w:tc>
        <w:tc>
          <w:tcPr>
            <w:tcW w:w="0" w:type="auto"/>
            <w:tcBorders>
              <w:tl2br w:val="nil"/>
              <w:tr2bl w:val="nil"/>
            </w:tcBorders>
            <w:shd w:val="clear" w:color="auto" w:fill="auto"/>
            <w:noWrap/>
            <w:vAlign w:val="center"/>
          </w:tcPr>
          <w:p w14:paraId="7E29A712">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34556DE9">
            <w:pPr>
              <w:widowControl/>
              <w:jc w:val="center"/>
              <w:textAlignment w:val="center"/>
              <w:rPr>
                <w:rFonts w:eastAsia="等线"/>
                <w:color w:val="000000"/>
                <w:szCs w:val="21"/>
              </w:rPr>
            </w:pPr>
            <w:r>
              <w:rPr>
                <w:rFonts w:eastAsia="等线"/>
                <w:color w:val="000000"/>
                <w:kern w:val="0"/>
                <w:szCs w:val="21"/>
                <w:lang w:bidi="ar"/>
              </w:rPr>
              <w:t>2%</w:t>
            </w:r>
          </w:p>
        </w:tc>
        <w:tc>
          <w:tcPr>
            <w:tcW w:w="0" w:type="auto"/>
            <w:tcBorders>
              <w:tl2br w:val="nil"/>
              <w:tr2bl w:val="nil"/>
            </w:tcBorders>
            <w:shd w:val="clear" w:color="auto" w:fill="auto"/>
            <w:noWrap/>
            <w:vAlign w:val="center"/>
          </w:tcPr>
          <w:p w14:paraId="64F8FFB4">
            <w:pPr>
              <w:widowControl/>
              <w:jc w:val="center"/>
              <w:textAlignment w:val="center"/>
              <w:rPr>
                <w:rFonts w:eastAsia="等线"/>
                <w:color w:val="000000"/>
                <w:szCs w:val="21"/>
              </w:rPr>
            </w:pPr>
            <w:r>
              <w:rPr>
                <w:rFonts w:eastAsia="等线"/>
                <w:color w:val="000000"/>
                <w:kern w:val="0"/>
                <w:szCs w:val="21"/>
                <w:lang w:bidi="ar"/>
              </w:rPr>
              <w:t>5%</w:t>
            </w:r>
          </w:p>
        </w:tc>
        <w:tc>
          <w:tcPr>
            <w:tcW w:w="0" w:type="auto"/>
            <w:tcBorders>
              <w:tl2br w:val="nil"/>
              <w:tr2bl w:val="nil"/>
            </w:tcBorders>
            <w:shd w:val="clear" w:color="auto" w:fill="auto"/>
            <w:noWrap/>
            <w:vAlign w:val="center"/>
          </w:tcPr>
          <w:p w14:paraId="58C11375">
            <w:pPr>
              <w:widowControl/>
              <w:jc w:val="center"/>
              <w:textAlignment w:val="center"/>
              <w:rPr>
                <w:rFonts w:eastAsia="等线"/>
                <w:color w:val="000000"/>
                <w:szCs w:val="21"/>
              </w:rPr>
            </w:pPr>
            <w:r>
              <w:rPr>
                <w:rFonts w:eastAsia="等线"/>
                <w:color w:val="000000"/>
                <w:kern w:val="0"/>
                <w:szCs w:val="21"/>
                <w:lang w:bidi="ar"/>
              </w:rPr>
              <w:t>2%</w:t>
            </w:r>
          </w:p>
        </w:tc>
        <w:tc>
          <w:tcPr>
            <w:tcW w:w="0" w:type="auto"/>
            <w:tcBorders>
              <w:tl2br w:val="nil"/>
              <w:tr2bl w:val="nil"/>
            </w:tcBorders>
            <w:shd w:val="clear" w:color="auto" w:fill="auto"/>
            <w:noWrap/>
            <w:vAlign w:val="center"/>
          </w:tcPr>
          <w:p w14:paraId="27EB9AE6">
            <w:pPr>
              <w:widowControl/>
              <w:jc w:val="center"/>
              <w:textAlignment w:val="center"/>
              <w:rPr>
                <w:rFonts w:eastAsia="等线"/>
                <w:color w:val="000000"/>
                <w:szCs w:val="21"/>
              </w:rPr>
            </w:pPr>
            <w:r>
              <w:rPr>
                <w:rFonts w:eastAsia="等线"/>
                <w:color w:val="000000"/>
                <w:kern w:val="0"/>
                <w:szCs w:val="21"/>
                <w:lang w:bidi="ar"/>
              </w:rPr>
              <w:t>16%</w:t>
            </w:r>
          </w:p>
        </w:tc>
        <w:tc>
          <w:tcPr>
            <w:tcW w:w="0" w:type="auto"/>
            <w:tcBorders>
              <w:tl2br w:val="nil"/>
              <w:tr2bl w:val="nil"/>
            </w:tcBorders>
            <w:shd w:val="clear" w:color="auto" w:fill="auto"/>
            <w:noWrap/>
            <w:vAlign w:val="center"/>
          </w:tcPr>
          <w:p w14:paraId="1089F707">
            <w:pPr>
              <w:widowControl/>
              <w:jc w:val="center"/>
              <w:textAlignment w:val="center"/>
              <w:rPr>
                <w:rFonts w:eastAsia="等线"/>
                <w:color w:val="000000"/>
                <w:szCs w:val="21"/>
              </w:rPr>
            </w:pPr>
            <w:r>
              <w:rPr>
                <w:rFonts w:eastAsia="等线"/>
                <w:color w:val="000000"/>
                <w:kern w:val="0"/>
                <w:szCs w:val="21"/>
                <w:lang w:bidi="ar"/>
              </w:rPr>
              <w:t>3%</w:t>
            </w:r>
          </w:p>
        </w:tc>
      </w:tr>
      <w:tr w14:paraId="0CD2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47592161">
            <w:pPr>
              <w:widowControl/>
              <w:jc w:val="center"/>
              <w:textAlignment w:val="center"/>
              <w:rPr>
                <w:color w:val="000000"/>
                <w:szCs w:val="21"/>
              </w:rPr>
            </w:pPr>
            <w:r>
              <w:rPr>
                <w:color w:val="000000"/>
                <w:kern w:val="0"/>
                <w:szCs w:val="21"/>
                <w:lang w:bidi="ar"/>
              </w:rPr>
              <w:t>4</w:t>
            </w:r>
          </w:p>
        </w:tc>
        <w:tc>
          <w:tcPr>
            <w:tcW w:w="0" w:type="auto"/>
            <w:tcBorders>
              <w:tl2br w:val="nil"/>
              <w:tr2bl w:val="nil"/>
            </w:tcBorders>
            <w:shd w:val="clear" w:color="auto" w:fill="auto"/>
            <w:noWrap/>
            <w:vAlign w:val="center"/>
          </w:tcPr>
          <w:p w14:paraId="0F067D38">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6CF5280A">
            <w:pPr>
              <w:widowControl/>
              <w:jc w:val="center"/>
              <w:textAlignment w:val="center"/>
              <w:rPr>
                <w:rFonts w:eastAsia="等线"/>
                <w:color w:val="000000"/>
                <w:szCs w:val="21"/>
              </w:rPr>
            </w:pPr>
            <w:r>
              <w:rPr>
                <w:rFonts w:eastAsia="等线"/>
                <w:color w:val="000000"/>
                <w:kern w:val="0"/>
                <w:szCs w:val="21"/>
                <w:lang w:bidi="ar"/>
              </w:rPr>
              <w:t>3%</w:t>
            </w:r>
          </w:p>
        </w:tc>
        <w:tc>
          <w:tcPr>
            <w:tcW w:w="0" w:type="auto"/>
            <w:tcBorders>
              <w:tl2br w:val="nil"/>
              <w:tr2bl w:val="nil"/>
            </w:tcBorders>
            <w:shd w:val="clear" w:color="auto" w:fill="auto"/>
            <w:noWrap/>
            <w:vAlign w:val="center"/>
          </w:tcPr>
          <w:p w14:paraId="0C012EB2">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2E0287DC">
            <w:pPr>
              <w:widowControl/>
              <w:jc w:val="center"/>
              <w:textAlignment w:val="center"/>
              <w:rPr>
                <w:rFonts w:eastAsia="等线"/>
                <w:color w:val="000000"/>
                <w:szCs w:val="21"/>
              </w:rPr>
            </w:pPr>
            <w:r>
              <w:rPr>
                <w:rFonts w:eastAsia="等线"/>
                <w:color w:val="000000"/>
                <w:kern w:val="0"/>
                <w:szCs w:val="21"/>
                <w:lang w:bidi="ar"/>
              </w:rPr>
              <w:t>3%</w:t>
            </w:r>
          </w:p>
        </w:tc>
        <w:tc>
          <w:tcPr>
            <w:tcW w:w="0" w:type="auto"/>
            <w:tcBorders>
              <w:tl2br w:val="nil"/>
              <w:tr2bl w:val="nil"/>
            </w:tcBorders>
            <w:shd w:val="clear" w:color="auto" w:fill="auto"/>
            <w:noWrap/>
            <w:vAlign w:val="center"/>
          </w:tcPr>
          <w:p w14:paraId="4983B362">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4B5DB340">
            <w:pPr>
              <w:widowControl/>
              <w:jc w:val="center"/>
              <w:textAlignment w:val="center"/>
              <w:rPr>
                <w:rFonts w:eastAsia="等线"/>
                <w:color w:val="000000"/>
                <w:szCs w:val="21"/>
              </w:rPr>
            </w:pPr>
            <w:r>
              <w:rPr>
                <w:rFonts w:eastAsia="等线"/>
                <w:color w:val="000000"/>
                <w:kern w:val="0"/>
                <w:szCs w:val="21"/>
                <w:lang w:bidi="ar"/>
              </w:rPr>
              <w:t>3%</w:t>
            </w:r>
          </w:p>
        </w:tc>
        <w:tc>
          <w:tcPr>
            <w:tcW w:w="0" w:type="auto"/>
            <w:tcBorders>
              <w:tl2br w:val="nil"/>
              <w:tr2bl w:val="nil"/>
            </w:tcBorders>
            <w:shd w:val="clear" w:color="auto" w:fill="auto"/>
            <w:noWrap/>
            <w:vAlign w:val="center"/>
          </w:tcPr>
          <w:p w14:paraId="3279C710">
            <w:pPr>
              <w:widowControl/>
              <w:jc w:val="center"/>
              <w:textAlignment w:val="center"/>
              <w:rPr>
                <w:rFonts w:eastAsia="等线"/>
                <w:color w:val="000000"/>
                <w:szCs w:val="21"/>
              </w:rPr>
            </w:pPr>
            <w:r>
              <w:rPr>
                <w:rFonts w:eastAsia="等线"/>
                <w:color w:val="000000"/>
                <w:kern w:val="0"/>
                <w:szCs w:val="21"/>
                <w:lang w:bidi="ar"/>
              </w:rPr>
              <w:t>20%</w:t>
            </w:r>
          </w:p>
        </w:tc>
        <w:tc>
          <w:tcPr>
            <w:tcW w:w="0" w:type="auto"/>
            <w:tcBorders>
              <w:tl2br w:val="nil"/>
              <w:tr2bl w:val="nil"/>
            </w:tcBorders>
            <w:shd w:val="clear" w:color="auto" w:fill="auto"/>
            <w:noWrap/>
            <w:vAlign w:val="center"/>
          </w:tcPr>
          <w:p w14:paraId="00CE583B">
            <w:pPr>
              <w:widowControl/>
              <w:jc w:val="center"/>
              <w:textAlignment w:val="center"/>
              <w:rPr>
                <w:rFonts w:eastAsia="等线"/>
                <w:color w:val="000000"/>
                <w:szCs w:val="21"/>
              </w:rPr>
            </w:pPr>
            <w:r>
              <w:rPr>
                <w:rFonts w:eastAsia="等线"/>
                <w:color w:val="000000"/>
                <w:kern w:val="0"/>
                <w:szCs w:val="21"/>
                <w:lang w:bidi="ar"/>
              </w:rPr>
              <w:t>4%</w:t>
            </w:r>
          </w:p>
        </w:tc>
      </w:tr>
      <w:tr w14:paraId="17C7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68C61294">
            <w:pPr>
              <w:widowControl/>
              <w:jc w:val="center"/>
              <w:textAlignment w:val="center"/>
              <w:rPr>
                <w:color w:val="000000"/>
                <w:szCs w:val="21"/>
              </w:rPr>
            </w:pPr>
            <w:r>
              <w:rPr>
                <w:color w:val="000000"/>
                <w:kern w:val="0"/>
                <w:szCs w:val="21"/>
                <w:lang w:bidi="ar"/>
              </w:rPr>
              <w:t>5</w:t>
            </w:r>
          </w:p>
        </w:tc>
        <w:tc>
          <w:tcPr>
            <w:tcW w:w="0" w:type="auto"/>
            <w:tcBorders>
              <w:tl2br w:val="nil"/>
              <w:tr2bl w:val="nil"/>
            </w:tcBorders>
            <w:shd w:val="clear" w:color="auto" w:fill="auto"/>
            <w:noWrap/>
            <w:vAlign w:val="center"/>
          </w:tcPr>
          <w:p w14:paraId="72880965">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0B1375DD">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43810E7A">
            <w:pPr>
              <w:widowControl/>
              <w:jc w:val="center"/>
              <w:textAlignment w:val="center"/>
              <w:rPr>
                <w:rFonts w:eastAsia="等线"/>
                <w:color w:val="000000"/>
                <w:szCs w:val="21"/>
              </w:rPr>
            </w:pPr>
            <w:r>
              <w:rPr>
                <w:rFonts w:eastAsia="等线"/>
                <w:color w:val="000000"/>
                <w:kern w:val="0"/>
                <w:szCs w:val="21"/>
                <w:lang w:bidi="ar"/>
              </w:rPr>
              <w:t>12%</w:t>
            </w:r>
          </w:p>
        </w:tc>
        <w:tc>
          <w:tcPr>
            <w:tcW w:w="0" w:type="auto"/>
            <w:tcBorders>
              <w:tl2br w:val="nil"/>
              <w:tr2bl w:val="nil"/>
            </w:tcBorders>
            <w:shd w:val="clear" w:color="auto" w:fill="auto"/>
            <w:noWrap/>
            <w:vAlign w:val="center"/>
          </w:tcPr>
          <w:p w14:paraId="57AC2EFD">
            <w:pPr>
              <w:widowControl/>
              <w:jc w:val="center"/>
              <w:textAlignment w:val="center"/>
              <w:rPr>
                <w:rFonts w:eastAsia="等线"/>
                <w:color w:val="000000"/>
                <w:szCs w:val="21"/>
              </w:rPr>
            </w:pPr>
            <w:r>
              <w:rPr>
                <w:rFonts w:eastAsia="等线"/>
                <w:color w:val="000000"/>
                <w:kern w:val="0"/>
                <w:szCs w:val="21"/>
                <w:lang w:bidi="ar"/>
              </w:rPr>
              <w:t>3%</w:t>
            </w:r>
          </w:p>
        </w:tc>
        <w:tc>
          <w:tcPr>
            <w:tcW w:w="0" w:type="auto"/>
            <w:tcBorders>
              <w:tl2br w:val="nil"/>
              <w:tr2bl w:val="nil"/>
            </w:tcBorders>
            <w:shd w:val="clear" w:color="auto" w:fill="auto"/>
            <w:noWrap/>
            <w:vAlign w:val="center"/>
          </w:tcPr>
          <w:p w14:paraId="7857F67D">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43CD796D">
            <w:pPr>
              <w:widowControl/>
              <w:jc w:val="center"/>
              <w:textAlignment w:val="center"/>
              <w:rPr>
                <w:rFonts w:eastAsia="等线"/>
                <w:color w:val="000000"/>
                <w:szCs w:val="21"/>
              </w:rPr>
            </w:pPr>
            <w:r>
              <w:rPr>
                <w:rFonts w:eastAsia="等线"/>
                <w:color w:val="000000"/>
                <w:kern w:val="0"/>
                <w:szCs w:val="21"/>
                <w:lang w:bidi="ar"/>
              </w:rPr>
              <w:t>3%</w:t>
            </w:r>
          </w:p>
        </w:tc>
        <w:tc>
          <w:tcPr>
            <w:tcW w:w="0" w:type="auto"/>
            <w:tcBorders>
              <w:tl2br w:val="nil"/>
              <w:tr2bl w:val="nil"/>
            </w:tcBorders>
            <w:shd w:val="clear" w:color="auto" w:fill="auto"/>
            <w:noWrap/>
            <w:vAlign w:val="center"/>
          </w:tcPr>
          <w:p w14:paraId="63402F4D">
            <w:pPr>
              <w:widowControl/>
              <w:jc w:val="center"/>
              <w:textAlignment w:val="center"/>
              <w:rPr>
                <w:rFonts w:eastAsia="等线"/>
                <w:color w:val="000000"/>
                <w:szCs w:val="21"/>
              </w:rPr>
            </w:pPr>
            <w:r>
              <w:rPr>
                <w:rFonts w:eastAsia="等线"/>
                <w:color w:val="000000"/>
                <w:kern w:val="0"/>
                <w:szCs w:val="21"/>
                <w:lang w:bidi="ar"/>
              </w:rPr>
              <w:t>27%</w:t>
            </w:r>
          </w:p>
        </w:tc>
        <w:tc>
          <w:tcPr>
            <w:tcW w:w="0" w:type="auto"/>
            <w:tcBorders>
              <w:tl2br w:val="nil"/>
              <w:tr2bl w:val="nil"/>
            </w:tcBorders>
            <w:shd w:val="clear" w:color="auto" w:fill="auto"/>
            <w:noWrap/>
            <w:vAlign w:val="center"/>
          </w:tcPr>
          <w:p w14:paraId="34306BDE">
            <w:pPr>
              <w:widowControl/>
              <w:jc w:val="center"/>
              <w:textAlignment w:val="center"/>
              <w:rPr>
                <w:rFonts w:eastAsia="等线"/>
                <w:color w:val="000000"/>
                <w:szCs w:val="21"/>
              </w:rPr>
            </w:pPr>
            <w:r>
              <w:rPr>
                <w:rFonts w:eastAsia="等线"/>
                <w:color w:val="000000"/>
                <w:kern w:val="0"/>
                <w:szCs w:val="21"/>
                <w:lang w:bidi="ar"/>
              </w:rPr>
              <w:t>4%</w:t>
            </w:r>
          </w:p>
        </w:tc>
      </w:tr>
      <w:tr w14:paraId="70FC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589D2552">
            <w:pPr>
              <w:widowControl/>
              <w:jc w:val="center"/>
              <w:textAlignment w:val="center"/>
              <w:rPr>
                <w:color w:val="000000"/>
                <w:szCs w:val="21"/>
              </w:rPr>
            </w:pPr>
            <w:r>
              <w:rPr>
                <w:color w:val="000000"/>
                <w:kern w:val="0"/>
                <w:szCs w:val="21"/>
                <w:lang w:bidi="ar"/>
              </w:rPr>
              <w:t>6</w:t>
            </w:r>
          </w:p>
        </w:tc>
        <w:tc>
          <w:tcPr>
            <w:tcW w:w="0" w:type="auto"/>
            <w:tcBorders>
              <w:tl2br w:val="nil"/>
              <w:tr2bl w:val="nil"/>
            </w:tcBorders>
            <w:shd w:val="clear" w:color="auto" w:fill="auto"/>
            <w:noWrap/>
            <w:vAlign w:val="center"/>
          </w:tcPr>
          <w:p w14:paraId="4C7C72A6">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5E6035A3">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2B681EC1">
            <w:pPr>
              <w:widowControl/>
              <w:jc w:val="center"/>
              <w:textAlignment w:val="center"/>
              <w:rPr>
                <w:rFonts w:eastAsia="等线"/>
                <w:color w:val="000000"/>
                <w:szCs w:val="21"/>
              </w:rPr>
            </w:pPr>
            <w:r>
              <w:rPr>
                <w:rFonts w:eastAsia="等线"/>
                <w:color w:val="000000"/>
                <w:kern w:val="0"/>
                <w:szCs w:val="21"/>
                <w:lang w:bidi="ar"/>
              </w:rPr>
              <w:t>14%</w:t>
            </w:r>
          </w:p>
        </w:tc>
        <w:tc>
          <w:tcPr>
            <w:tcW w:w="0" w:type="auto"/>
            <w:tcBorders>
              <w:tl2br w:val="nil"/>
              <w:tr2bl w:val="nil"/>
            </w:tcBorders>
            <w:shd w:val="clear" w:color="auto" w:fill="auto"/>
            <w:noWrap/>
            <w:vAlign w:val="center"/>
          </w:tcPr>
          <w:p w14:paraId="380D684F">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1446B405">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122F925C">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00A72686">
            <w:pPr>
              <w:widowControl/>
              <w:jc w:val="center"/>
              <w:textAlignment w:val="center"/>
              <w:rPr>
                <w:rFonts w:eastAsia="等线"/>
                <w:color w:val="000000"/>
                <w:szCs w:val="21"/>
              </w:rPr>
            </w:pPr>
            <w:r>
              <w:rPr>
                <w:rFonts w:eastAsia="等线"/>
                <w:color w:val="000000"/>
                <w:kern w:val="0"/>
                <w:szCs w:val="21"/>
                <w:lang w:bidi="ar"/>
              </w:rPr>
              <w:t>32%</w:t>
            </w:r>
          </w:p>
        </w:tc>
        <w:tc>
          <w:tcPr>
            <w:tcW w:w="0" w:type="auto"/>
            <w:tcBorders>
              <w:tl2br w:val="nil"/>
              <w:tr2bl w:val="nil"/>
            </w:tcBorders>
            <w:shd w:val="clear" w:color="auto" w:fill="auto"/>
            <w:noWrap/>
            <w:vAlign w:val="center"/>
          </w:tcPr>
          <w:p w14:paraId="32233DF1">
            <w:pPr>
              <w:widowControl/>
              <w:jc w:val="center"/>
              <w:textAlignment w:val="center"/>
              <w:rPr>
                <w:rFonts w:eastAsia="等线"/>
                <w:color w:val="000000"/>
                <w:szCs w:val="21"/>
              </w:rPr>
            </w:pPr>
            <w:r>
              <w:rPr>
                <w:rFonts w:eastAsia="等线"/>
                <w:color w:val="000000"/>
                <w:kern w:val="0"/>
                <w:szCs w:val="21"/>
                <w:lang w:bidi="ar"/>
              </w:rPr>
              <w:t>4%</w:t>
            </w:r>
          </w:p>
        </w:tc>
      </w:tr>
      <w:tr w14:paraId="5ECE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65487479">
            <w:pPr>
              <w:widowControl/>
              <w:jc w:val="center"/>
              <w:textAlignment w:val="center"/>
              <w:rPr>
                <w:color w:val="000000"/>
                <w:szCs w:val="21"/>
              </w:rPr>
            </w:pPr>
            <w:r>
              <w:rPr>
                <w:color w:val="000000"/>
                <w:kern w:val="0"/>
                <w:szCs w:val="21"/>
                <w:lang w:bidi="ar"/>
              </w:rPr>
              <w:t>7</w:t>
            </w:r>
          </w:p>
        </w:tc>
        <w:tc>
          <w:tcPr>
            <w:tcW w:w="0" w:type="auto"/>
            <w:tcBorders>
              <w:tl2br w:val="nil"/>
              <w:tr2bl w:val="nil"/>
            </w:tcBorders>
            <w:shd w:val="clear" w:color="auto" w:fill="auto"/>
            <w:noWrap/>
            <w:vAlign w:val="center"/>
          </w:tcPr>
          <w:p w14:paraId="7359EE28">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28AD5D7D">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1AFC082B">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20C303B6">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1E26A630">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0475A5CE">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7BEF617D">
            <w:pPr>
              <w:widowControl/>
              <w:jc w:val="center"/>
              <w:textAlignment w:val="center"/>
              <w:rPr>
                <w:rFonts w:eastAsia="等线"/>
                <w:color w:val="000000"/>
                <w:szCs w:val="21"/>
              </w:rPr>
            </w:pPr>
            <w:r>
              <w:rPr>
                <w:rFonts w:eastAsia="等线"/>
                <w:color w:val="000000"/>
                <w:kern w:val="0"/>
                <w:szCs w:val="21"/>
                <w:lang w:bidi="ar"/>
              </w:rPr>
              <w:t>34%</w:t>
            </w:r>
          </w:p>
        </w:tc>
        <w:tc>
          <w:tcPr>
            <w:tcW w:w="0" w:type="auto"/>
            <w:tcBorders>
              <w:tl2br w:val="nil"/>
              <w:tr2bl w:val="nil"/>
            </w:tcBorders>
            <w:shd w:val="clear" w:color="auto" w:fill="auto"/>
            <w:noWrap/>
            <w:vAlign w:val="center"/>
          </w:tcPr>
          <w:p w14:paraId="19C7689A">
            <w:pPr>
              <w:widowControl/>
              <w:jc w:val="center"/>
              <w:textAlignment w:val="center"/>
              <w:rPr>
                <w:rFonts w:eastAsia="等线"/>
                <w:color w:val="000000"/>
                <w:szCs w:val="21"/>
              </w:rPr>
            </w:pPr>
            <w:r>
              <w:rPr>
                <w:rFonts w:eastAsia="等线"/>
                <w:color w:val="000000"/>
                <w:kern w:val="0"/>
                <w:szCs w:val="21"/>
                <w:lang w:bidi="ar"/>
              </w:rPr>
              <w:t>5%</w:t>
            </w:r>
          </w:p>
        </w:tc>
      </w:tr>
      <w:tr w14:paraId="420E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798D0B00">
            <w:pPr>
              <w:widowControl/>
              <w:jc w:val="center"/>
              <w:textAlignment w:val="center"/>
              <w:rPr>
                <w:color w:val="000000"/>
                <w:szCs w:val="21"/>
              </w:rPr>
            </w:pPr>
            <w:r>
              <w:rPr>
                <w:color w:val="000000"/>
                <w:kern w:val="0"/>
                <w:szCs w:val="21"/>
                <w:lang w:bidi="ar"/>
              </w:rPr>
              <w:t>8</w:t>
            </w:r>
          </w:p>
        </w:tc>
        <w:tc>
          <w:tcPr>
            <w:tcW w:w="0" w:type="auto"/>
            <w:tcBorders>
              <w:tl2br w:val="nil"/>
              <w:tr2bl w:val="nil"/>
            </w:tcBorders>
            <w:shd w:val="clear" w:color="auto" w:fill="auto"/>
            <w:noWrap/>
            <w:vAlign w:val="center"/>
          </w:tcPr>
          <w:p w14:paraId="3AD104B8">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2CC60573">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0DDF3704">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6E774A33">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14875764">
            <w:pPr>
              <w:widowControl/>
              <w:jc w:val="center"/>
              <w:textAlignment w:val="center"/>
              <w:rPr>
                <w:rFonts w:eastAsia="等线"/>
                <w:color w:val="000000"/>
                <w:szCs w:val="21"/>
              </w:rPr>
            </w:pPr>
            <w:r>
              <w:rPr>
                <w:rFonts w:eastAsia="等线"/>
                <w:color w:val="000000"/>
                <w:kern w:val="0"/>
                <w:szCs w:val="21"/>
                <w:lang w:bidi="ar"/>
              </w:rPr>
              <w:t>10%</w:t>
            </w:r>
          </w:p>
        </w:tc>
        <w:tc>
          <w:tcPr>
            <w:tcW w:w="0" w:type="auto"/>
            <w:tcBorders>
              <w:tl2br w:val="nil"/>
              <w:tr2bl w:val="nil"/>
            </w:tcBorders>
            <w:shd w:val="clear" w:color="auto" w:fill="auto"/>
            <w:noWrap/>
            <w:vAlign w:val="center"/>
          </w:tcPr>
          <w:p w14:paraId="244BAE52">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743EB9A8">
            <w:pPr>
              <w:widowControl/>
              <w:jc w:val="center"/>
              <w:textAlignment w:val="center"/>
              <w:rPr>
                <w:rFonts w:eastAsia="等线"/>
                <w:color w:val="000000"/>
                <w:szCs w:val="21"/>
              </w:rPr>
            </w:pPr>
            <w:r>
              <w:rPr>
                <w:rFonts w:eastAsia="等线"/>
                <w:color w:val="000000"/>
                <w:kern w:val="0"/>
                <w:szCs w:val="21"/>
                <w:lang w:bidi="ar"/>
              </w:rPr>
              <w:t>37%</w:t>
            </w:r>
          </w:p>
        </w:tc>
        <w:tc>
          <w:tcPr>
            <w:tcW w:w="0" w:type="auto"/>
            <w:tcBorders>
              <w:tl2br w:val="nil"/>
              <w:tr2bl w:val="nil"/>
            </w:tcBorders>
            <w:shd w:val="clear" w:color="auto" w:fill="auto"/>
            <w:noWrap/>
            <w:vAlign w:val="center"/>
          </w:tcPr>
          <w:p w14:paraId="1DC45544">
            <w:pPr>
              <w:widowControl/>
              <w:jc w:val="center"/>
              <w:textAlignment w:val="center"/>
              <w:rPr>
                <w:rFonts w:eastAsia="等线"/>
                <w:color w:val="000000"/>
                <w:szCs w:val="21"/>
              </w:rPr>
            </w:pPr>
            <w:r>
              <w:rPr>
                <w:rFonts w:eastAsia="等线"/>
                <w:color w:val="000000"/>
                <w:kern w:val="0"/>
                <w:szCs w:val="21"/>
                <w:lang w:bidi="ar"/>
              </w:rPr>
              <w:t>6%</w:t>
            </w:r>
          </w:p>
        </w:tc>
      </w:tr>
      <w:tr w14:paraId="13B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1B948DED">
            <w:pPr>
              <w:widowControl/>
              <w:jc w:val="center"/>
              <w:textAlignment w:val="center"/>
              <w:rPr>
                <w:color w:val="000000"/>
                <w:szCs w:val="21"/>
              </w:rPr>
            </w:pPr>
            <w:r>
              <w:rPr>
                <w:color w:val="000000"/>
                <w:kern w:val="0"/>
                <w:szCs w:val="21"/>
                <w:lang w:bidi="ar"/>
              </w:rPr>
              <w:t>9</w:t>
            </w:r>
          </w:p>
        </w:tc>
        <w:tc>
          <w:tcPr>
            <w:tcW w:w="0" w:type="auto"/>
            <w:tcBorders>
              <w:tl2br w:val="nil"/>
              <w:tr2bl w:val="nil"/>
            </w:tcBorders>
            <w:shd w:val="clear" w:color="auto" w:fill="auto"/>
            <w:noWrap/>
            <w:vAlign w:val="center"/>
          </w:tcPr>
          <w:p w14:paraId="1D0E3E2A">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0C531945">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29273333">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3025FCB8">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269E3C16">
            <w:pPr>
              <w:widowControl/>
              <w:jc w:val="center"/>
              <w:textAlignment w:val="center"/>
              <w:rPr>
                <w:rFonts w:eastAsia="等线"/>
                <w:color w:val="000000"/>
                <w:szCs w:val="21"/>
              </w:rPr>
            </w:pPr>
            <w:r>
              <w:rPr>
                <w:rFonts w:eastAsia="等线"/>
                <w:color w:val="000000"/>
                <w:kern w:val="0"/>
                <w:szCs w:val="21"/>
                <w:lang w:bidi="ar"/>
              </w:rPr>
              <w:t>11%</w:t>
            </w:r>
          </w:p>
        </w:tc>
        <w:tc>
          <w:tcPr>
            <w:tcW w:w="0" w:type="auto"/>
            <w:tcBorders>
              <w:tl2br w:val="nil"/>
              <w:tr2bl w:val="nil"/>
            </w:tcBorders>
            <w:shd w:val="clear" w:color="auto" w:fill="auto"/>
            <w:noWrap/>
            <w:vAlign w:val="center"/>
          </w:tcPr>
          <w:p w14:paraId="03CD70A4">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4536B13C">
            <w:pPr>
              <w:widowControl/>
              <w:jc w:val="center"/>
              <w:textAlignment w:val="center"/>
              <w:rPr>
                <w:rFonts w:eastAsia="等线"/>
                <w:color w:val="000000"/>
                <w:szCs w:val="21"/>
              </w:rPr>
            </w:pPr>
            <w:r>
              <w:rPr>
                <w:rFonts w:eastAsia="等线"/>
                <w:color w:val="000000"/>
                <w:kern w:val="0"/>
                <w:szCs w:val="21"/>
                <w:lang w:bidi="ar"/>
              </w:rPr>
              <w:t>46%</w:t>
            </w:r>
          </w:p>
        </w:tc>
        <w:tc>
          <w:tcPr>
            <w:tcW w:w="0" w:type="auto"/>
            <w:tcBorders>
              <w:tl2br w:val="nil"/>
              <w:tr2bl w:val="nil"/>
            </w:tcBorders>
            <w:shd w:val="clear" w:color="auto" w:fill="auto"/>
            <w:noWrap/>
            <w:vAlign w:val="center"/>
          </w:tcPr>
          <w:p w14:paraId="229B0190">
            <w:pPr>
              <w:widowControl/>
              <w:jc w:val="center"/>
              <w:textAlignment w:val="center"/>
              <w:rPr>
                <w:rFonts w:eastAsia="等线"/>
                <w:color w:val="000000"/>
                <w:szCs w:val="21"/>
              </w:rPr>
            </w:pPr>
            <w:r>
              <w:rPr>
                <w:rFonts w:eastAsia="等线"/>
                <w:color w:val="000000"/>
                <w:kern w:val="0"/>
                <w:szCs w:val="21"/>
                <w:lang w:bidi="ar"/>
              </w:rPr>
              <w:t>7%</w:t>
            </w:r>
          </w:p>
        </w:tc>
      </w:tr>
      <w:tr w14:paraId="3386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7F0195C">
            <w:pPr>
              <w:widowControl/>
              <w:jc w:val="center"/>
              <w:textAlignment w:val="center"/>
              <w:rPr>
                <w:color w:val="000000"/>
                <w:szCs w:val="21"/>
              </w:rPr>
            </w:pPr>
            <w:r>
              <w:rPr>
                <w:color w:val="000000"/>
                <w:kern w:val="0"/>
                <w:szCs w:val="21"/>
                <w:lang w:bidi="ar"/>
              </w:rPr>
              <w:t>10</w:t>
            </w:r>
          </w:p>
        </w:tc>
        <w:tc>
          <w:tcPr>
            <w:tcW w:w="0" w:type="auto"/>
            <w:tcBorders>
              <w:tl2br w:val="nil"/>
              <w:tr2bl w:val="nil"/>
            </w:tcBorders>
            <w:shd w:val="clear" w:color="auto" w:fill="auto"/>
            <w:noWrap/>
            <w:vAlign w:val="center"/>
          </w:tcPr>
          <w:p w14:paraId="3B8D7934">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3E062E51">
            <w:pPr>
              <w:widowControl/>
              <w:jc w:val="center"/>
              <w:textAlignment w:val="center"/>
              <w:rPr>
                <w:rFonts w:eastAsia="等线"/>
                <w:color w:val="000000"/>
                <w:szCs w:val="21"/>
              </w:rPr>
            </w:pPr>
            <w:r>
              <w:rPr>
                <w:rFonts w:eastAsia="等线"/>
                <w:color w:val="000000"/>
                <w:kern w:val="0"/>
                <w:szCs w:val="21"/>
                <w:lang w:bidi="ar"/>
              </w:rPr>
              <w:t>6%</w:t>
            </w:r>
          </w:p>
        </w:tc>
        <w:tc>
          <w:tcPr>
            <w:tcW w:w="0" w:type="auto"/>
            <w:tcBorders>
              <w:tl2br w:val="nil"/>
              <w:tr2bl w:val="nil"/>
            </w:tcBorders>
            <w:shd w:val="clear" w:color="auto" w:fill="auto"/>
            <w:noWrap/>
            <w:vAlign w:val="center"/>
          </w:tcPr>
          <w:p w14:paraId="30AA8D22">
            <w:pPr>
              <w:widowControl/>
              <w:jc w:val="center"/>
              <w:textAlignment w:val="center"/>
              <w:rPr>
                <w:rFonts w:eastAsia="等线"/>
                <w:color w:val="000000"/>
                <w:szCs w:val="21"/>
              </w:rPr>
            </w:pPr>
            <w:r>
              <w:rPr>
                <w:rFonts w:eastAsia="等线"/>
                <w:color w:val="000000"/>
                <w:kern w:val="0"/>
                <w:szCs w:val="21"/>
                <w:lang w:bidi="ar"/>
              </w:rPr>
              <w:t>19%</w:t>
            </w:r>
          </w:p>
        </w:tc>
        <w:tc>
          <w:tcPr>
            <w:tcW w:w="0" w:type="auto"/>
            <w:tcBorders>
              <w:tl2br w:val="nil"/>
              <w:tr2bl w:val="nil"/>
            </w:tcBorders>
            <w:shd w:val="clear" w:color="auto" w:fill="auto"/>
            <w:noWrap/>
            <w:vAlign w:val="center"/>
          </w:tcPr>
          <w:p w14:paraId="71099C19">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632E023F">
            <w:pPr>
              <w:widowControl/>
              <w:jc w:val="center"/>
              <w:textAlignment w:val="center"/>
              <w:rPr>
                <w:rFonts w:eastAsia="等线"/>
                <w:color w:val="000000"/>
                <w:szCs w:val="21"/>
              </w:rPr>
            </w:pPr>
            <w:r>
              <w:rPr>
                <w:rFonts w:eastAsia="等线"/>
                <w:color w:val="000000"/>
                <w:kern w:val="0"/>
                <w:szCs w:val="21"/>
                <w:lang w:bidi="ar"/>
              </w:rPr>
              <w:t>14%</w:t>
            </w:r>
          </w:p>
        </w:tc>
        <w:tc>
          <w:tcPr>
            <w:tcW w:w="0" w:type="auto"/>
            <w:tcBorders>
              <w:tl2br w:val="nil"/>
              <w:tr2bl w:val="nil"/>
            </w:tcBorders>
            <w:shd w:val="clear" w:color="auto" w:fill="auto"/>
            <w:noWrap/>
            <w:vAlign w:val="center"/>
          </w:tcPr>
          <w:p w14:paraId="23775F1D">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6540C0EA">
            <w:pPr>
              <w:widowControl/>
              <w:jc w:val="center"/>
              <w:textAlignment w:val="center"/>
              <w:rPr>
                <w:rFonts w:eastAsia="等线"/>
                <w:color w:val="000000"/>
                <w:szCs w:val="21"/>
              </w:rPr>
            </w:pPr>
            <w:r>
              <w:rPr>
                <w:rFonts w:eastAsia="等线"/>
                <w:color w:val="000000"/>
                <w:kern w:val="0"/>
                <w:szCs w:val="21"/>
                <w:lang w:bidi="ar"/>
              </w:rPr>
              <w:t>47%</w:t>
            </w:r>
          </w:p>
        </w:tc>
        <w:tc>
          <w:tcPr>
            <w:tcW w:w="0" w:type="auto"/>
            <w:tcBorders>
              <w:tl2br w:val="nil"/>
              <w:tr2bl w:val="nil"/>
            </w:tcBorders>
            <w:shd w:val="clear" w:color="auto" w:fill="auto"/>
            <w:noWrap/>
            <w:vAlign w:val="center"/>
          </w:tcPr>
          <w:p w14:paraId="077C2695">
            <w:pPr>
              <w:widowControl/>
              <w:jc w:val="center"/>
              <w:textAlignment w:val="center"/>
              <w:rPr>
                <w:rFonts w:eastAsia="等线"/>
                <w:color w:val="000000"/>
                <w:szCs w:val="21"/>
              </w:rPr>
            </w:pPr>
            <w:r>
              <w:rPr>
                <w:rFonts w:eastAsia="等线"/>
                <w:color w:val="000000"/>
                <w:kern w:val="0"/>
                <w:szCs w:val="21"/>
                <w:lang w:bidi="ar"/>
              </w:rPr>
              <w:t>7%</w:t>
            </w:r>
          </w:p>
        </w:tc>
      </w:tr>
      <w:tr w14:paraId="62CE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0B8F20D0">
            <w:pPr>
              <w:widowControl/>
              <w:jc w:val="center"/>
              <w:textAlignment w:val="center"/>
              <w:rPr>
                <w:color w:val="000000"/>
                <w:szCs w:val="21"/>
              </w:rPr>
            </w:pPr>
            <w:r>
              <w:rPr>
                <w:color w:val="000000"/>
                <w:kern w:val="0"/>
                <w:szCs w:val="21"/>
                <w:lang w:bidi="ar"/>
              </w:rPr>
              <w:t>11</w:t>
            </w:r>
          </w:p>
        </w:tc>
        <w:tc>
          <w:tcPr>
            <w:tcW w:w="0" w:type="auto"/>
            <w:tcBorders>
              <w:tl2br w:val="nil"/>
              <w:tr2bl w:val="nil"/>
            </w:tcBorders>
            <w:shd w:val="clear" w:color="auto" w:fill="auto"/>
            <w:noWrap/>
            <w:vAlign w:val="center"/>
          </w:tcPr>
          <w:p w14:paraId="66E2BB09">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6B2D904D">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075BCCA6">
            <w:pPr>
              <w:widowControl/>
              <w:jc w:val="center"/>
              <w:textAlignment w:val="center"/>
              <w:rPr>
                <w:rFonts w:eastAsia="等线"/>
                <w:color w:val="000000"/>
                <w:szCs w:val="21"/>
              </w:rPr>
            </w:pPr>
            <w:r>
              <w:rPr>
                <w:rFonts w:eastAsia="等线"/>
                <w:color w:val="000000"/>
                <w:kern w:val="0"/>
                <w:szCs w:val="21"/>
                <w:lang w:bidi="ar"/>
              </w:rPr>
              <w:t>20%</w:t>
            </w:r>
          </w:p>
        </w:tc>
        <w:tc>
          <w:tcPr>
            <w:tcW w:w="0" w:type="auto"/>
            <w:tcBorders>
              <w:tl2br w:val="nil"/>
              <w:tr2bl w:val="nil"/>
            </w:tcBorders>
            <w:shd w:val="clear" w:color="auto" w:fill="auto"/>
            <w:noWrap/>
            <w:vAlign w:val="center"/>
          </w:tcPr>
          <w:p w14:paraId="7963EE87">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254B0006">
            <w:pPr>
              <w:widowControl/>
              <w:jc w:val="center"/>
              <w:textAlignment w:val="center"/>
              <w:rPr>
                <w:rFonts w:eastAsia="等线"/>
                <w:color w:val="000000"/>
                <w:szCs w:val="21"/>
              </w:rPr>
            </w:pPr>
            <w:r>
              <w:rPr>
                <w:rFonts w:eastAsia="等线"/>
                <w:color w:val="000000"/>
                <w:kern w:val="0"/>
                <w:szCs w:val="21"/>
                <w:lang w:bidi="ar"/>
              </w:rPr>
              <w:t>15%</w:t>
            </w:r>
          </w:p>
        </w:tc>
        <w:tc>
          <w:tcPr>
            <w:tcW w:w="0" w:type="auto"/>
            <w:tcBorders>
              <w:tl2br w:val="nil"/>
              <w:tr2bl w:val="nil"/>
            </w:tcBorders>
            <w:shd w:val="clear" w:color="auto" w:fill="auto"/>
            <w:noWrap/>
            <w:vAlign w:val="center"/>
          </w:tcPr>
          <w:p w14:paraId="3D027EB2">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7DF69007">
            <w:pPr>
              <w:widowControl/>
              <w:jc w:val="center"/>
              <w:textAlignment w:val="center"/>
              <w:rPr>
                <w:rFonts w:eastAsia="等线"/>
                <w:color w:val="000000"/>
                <w:szCs w:val="21"/>
              </w:rPr>
            </w:pPr>
            <w:r>
              <w:rPr>
                <w:rFonts w:eastAsia="等线"/>
                <w:color w:val="000000"/>
                <w:kern w:val="0"/>
                <w:szCs w:val="21"/>
                <w:lang w:bidi="ar"/>
              </w:rPr>
              <w:t>48%</w:t>
            </w:r>
          </w:p>
        </w:tc>
        <w:tc>
          <w:tcPr>
            <w:tcW w:w="0" w:type="auto"/>
            <w:tcBorders>
              <w:tl2br w:val="nil"/>
              <w:tr2bl w:val="nil"/>
            </w:tcBorders>
            <w:shd w:val="clear" w:color="auto" w:fill="auto"/>
            <w:noWrap/>
            <w:vAlign w:val="center"/>
          </w:tcPr>
          <w:p w14:paraId="4B0CC3FB">
            <w:pPr>
              <w:widowControl/>
              <w:jc w:val="center"/>
              <w:textAlignment w:val="center"/>
              <w:rPr>
                <w:rFonts w:eastAsia="等线"/>
                <w:color w:val="000000"/>
                <w:szCs w:val="21"/>
              </w:rPr>
            </w:pPr>
            <w:r>
              <w:rPr>
                <w:rFonts w:eastAsia="等线"/>
                <w:color w:val="000000"/>
                <w:kern w:val="0"/>
                <w:szCs w:val="21"/>
                <w:lang w:bidi="ar"/>
              </w:rPr>
              <w:t>9%</w:t>
            </w:r>
          </w:p>
        </w:tc>
      </w:tr>
      <w:tr w14:paraId="620A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0D7B8F37">
            <w:pPr>
              <w:widowControl/>
              <w:jc w:val="center"/>
              <w:textAlignment w:val="center"/>
              <w:rPr>
                <w:color w:val="000000"/>
                <w:szCs w:val="21"/>
              </w:rPr>
            </w:pPr>
            <w:r>
              <w:rPr>
                <w:color w:val="000000"/>
                <w:kern w:val="0"/>
                <w:szCs w:val="21"/>
                <w:lang w:bidi="ar"/>
              </w:rPr>
              <w:t>12</w:t>
            </w:r>
          </w:p>
        </w:tc>
        <w:tc>
          <w:tcPr>
            <w:tcW w:w="0" w:type="auto"/>
            <w:tcBorders>
              <w:tl2br w:val="nil"/>
              <w:tr2bl w:val="nil"/>
            </w:tcBorders>
            <w:shd w:val="clear" w:color="auto" w:fill="auto"/>
            <w:noWrap/>
            <w:vAlign w:val="center"/>
          </w:tcPr>
          <w:p w14:paraId="157675D0">
            <w:pPr>
              <w:widowControl/>
              <w:jc w:val="center"/>
              <w:textAlignment w:val="center"/>
              <w:rPr>
                <w:rFonts w:eastAsia="等线"/>
                <w:color w:val="000000"/>
                <w:szCs w:val="21"/>
              </w:rPr>
            </w:pPr>
            <w:r>
              <w:rPr>
                <w:rFonts w:eastAsia="等线"/>
                <w:color w:val="000000"/>
                <w:kern w:val="0"/>
                <w:szCs w:val="21"/>
                <w:lang w:bidi="ar"/>
              </w:rPr>
              <w:t>0%</w:t>
            </w:r>
          </w:p>
        </w:tc>
        <w:tc>
          <w:tcPr>
            <w:tcW w:w="0" w:type="auto"/>
            <w:tcBorders>
              <w:tl2br w:val="nil"/>
              <w:tr2bl w:val="nil"/>
            </w:tcBorders>
            <w:shd w:val="clear" w:color="auto" w:fill="auto"/>
            <w:noWrap/>
            <w:vAlign w:val="center"/>
          </w:tcPr>
          <w:p w14:paraId="318D9F29">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00139C47">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2F0671C5">
            <w:pPr>
              <w:widowControl/>
              <w:jc w:val="center"/>
              <w:textAlignment w:val="center"/>
              <w:rPr>
                <w:rFonts w:eastAsia="等线"/>
                <w:color w:val="000000"/>
                <w:szCs w:val="21"/>
              </w:rPr>
            </w:pPr>
            <w:r>
              <w:rPr>
                <w:rFonts w:eastAsia="等线"/>
                <w:color w:val="000000"/>
                <w:kern w:val="0"/>
                <w:szCs w:val="21"/>
                <w:lang w:bidi="ar"/>
              </w:rPr>
              <w:t>9%</w:t>
            </w:r>
          </w:p>
        </w:tc>
        <w:tc>
          <w:tcPr>
            <w:tcW w:w="0" w:type="auto"/>
            <w:tcBorders>
              <w:tl2br w:val="nil"/>
              <w:tr2bl w:val="nil"/>
            </w:tcBorders>
            <w:shd w:val="clear" w:color="auto" w:fill="auto"/>
            <w:noWrap/>
            <w:vAlign w:val="center"/>
          </w:tcPr>
          <w:p w14:paraId="2AFCA356">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28C2B3CA">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70EB39D4">
            <w:pPr>
              <w:jc w:val="center"/>
              <w:rPr>
                <w:rFonts w:eastAsia="等线"/>
                <w:color w:val="000000"/>
                <w:szCs w:val="21"/>
              </w:rPr>
            </w:pPr>
          </w:p>
        </w:tc>
        <w:tc>
          <w:tcPr>
            <w:tcW w:w="0" w:type="auto"/>
            <w:tcBorders>
              <w:tl2br w:val="nil"/>
              <w:tr2bl w:val="nil"/>
            </w:tcBorders>
            <w:shd w:val="clear" w:color="auto" w:fill="auto"/>
            <w:noWrap/>
            <w:vAlign w:val="center"/>
          </w:tcPr>
          <w:p w14:paraId="7374BE20">
            <w:pPr>
              <w:widowControl/>
              <w:jc w:val="center"/>
              <w:textAlignment w:val="center"/>
              <w:rPr>
                <w:rFonts w:eastAsia="等线"/>
                <w:color w:val="000000"/>
                <w:szCs w:val="21"/>
              </w:rPr>
            </w:pPr>
            <w:r>
              <w:rPr>
                <w:rFonts w:eastAsia="等线"/>
                <w:color w:val="000000"/>
                <w:kern w:val="0"/>
                <w:szCs w:val="21"/>
                <w:lang w:bidi="ar"/>
              </w:rPr>
              <w:t>9%</w:t>
            </w:r>
          </w:p>
        </w:tc>
      </w:tr>
      <w:tr w14:paraId="08EC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13F5C4FF">
            <w:pPr>
              <w:widowControl/>
              <w:jc w:val="center"/>
              <w:textAlignment w:val="center"/>
              <w:rPr>
                <w:color w:val="000000"/>
                <w:szCs w:val="21"/>
              </w:rPr>
            </w:pPr>
            <w:r>
              <w:rPr>
                <w:color w:val="000000"/>
                <w:kern w:val="0"/>
                <w:szCs w:val="21"/>
                <w:lang w:bidi="ar"/>
              </w:rPr>
              <w:t>13</w:t>
            </w:r>
          </w:p>
        </w:tc>
        <w:tc>
          <w:tcPr>
            <w:tcW w:w="0" w:type="auto"/>
            <w:tcBorders>
              <w:tl2br w:val="nil"/>
              <w:tr2bl w:val="nil"/>
            </w:tcBorders>
            <w:shd w:val="clear" w:color="auto" w:fill="auto"/>
            <w:noWrap/>
            <w:vAlign w:val="center"/>
          </w:tcPr>
          <w:p w14:paraId="44D12AC1">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1723CE2D">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4242D1C2">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7FC73120">
            <w:pPr>
              <w:widowControl/>
              <w:jc w:val="center"/>
              <w:textAlignment w:val="center"/>
              <w:rPr>
                <w:rFonts w:eastAsia="等线"/>
                <w:color w:val="000000"/>
                <w:szCs w:val="21"/>
              </w:rPr>
            </w:pPr>
            <w:r>
              <w:rPr>
                <w:rFonts w:eastAsia="等线"/>
                <w:color w:val="000000"/>
                <w:kern w:val="0"/>
                <w:szCs w:val="21"/>
                <w:lang w:bidi="ar"/>
              </w:rPr>
              <w:t>9%</w:t>
            </w:r>
          </w:p>
        </w:tc>
        <w:tc>
          <w:tcPr>
            <w:tcW w:w="0" w:type="auto"/>
            <w:tcBorders>
              <w:tl2br w:val="nil"/>
              <w:tr2bl w:val="nil"/>
            </w:tcBorders>
            <w:shd w:val="clear" w:color="auto" w:fill="auto"/>
            <w:noWrap/>
            <w:vAlign w:val="center"/>
          </w:tcPr>
          <w:p w14:paraId="031D0796">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0AB58C45">
            <w:pPr>
              <w:widowControl/>
              <w:jc w:val="center"/>
              <w:textAlignment w:val="center"/>
              <w:rPr>
                <w:rFonts w:eastAsia="等线"/>
                <w:color w:val="000000"/>
                <w:szCs w:val="21"/>
              </w:rPr>
            </w:pPr>
            <w:r>
              <w:rPr>
                <w:rFonts w:eastAsia="等线"/>
                <w:color w:val="000000"/>
                <w:kern w:val="0"/>
                <w:szCs w:val="21"/>
                <w:lang w:bidi="ar"/>
              </w:rPr>
              <w:t>11%</w:t>
            </w:r>
          </w:p>
        </w:tc>
        <w:tc>
          <w:tcPr>
            <w:tcW w:w="0" w:type="auto"/>
            <w:tcBorders>
              <w:tl2br w:val="nil"/>
              <w:tr2bl w:val="nil"/>
            </w:tcBorders>
            <w:shd w:val="clear" w:color="auto" w:fill="auto"/>
            <w:noWrap/>
            <w:vAlign w:val="center"/>
          </w:tcPr>
          <w:p w14:paraId="23FC9E6E">
            <w:pPr>
              <w:jc w:val="center"/>
              <w:rPr>
                <w:rFonts w:eastAsia="等线"/>
                <w:color w:val="000000"/>
                <w:szCs w:val="21"/>
              </w:rPr>
            </w:pPr>
          </w:p>
        </w:tc>
        <w:tc>
          <w:tcPr>
            <w:tcW w:w="0" w:type="auto"/>
            <w:tcBorders>
              <w:tl2br w:val="nil"/>
              <w:tr2bl w:val="nil"/>
            </w:tcBorders>
            <w:shd w:val="clear" w:color="auto" w:fill="auto"/>
            <w:noWrap/>
            <w:vAlign w:val="center"/>
          </w:tcPr>
          <w:p w14:paraId="073AE756">
            <w:pPr>
              <w:widowControl/>
              <w:jc w:val="center"/>
              <w:textAlignment w:val="center"/>
              <w:rPr>
                <w:rFonts w:eastAsia="等线"/>
                <w:color w:val="000000"/>
                <w:szCs w:val="21"/>
              </w:rPr>
            </w:pPr>
            <w:r>
              <w:rPr>
                <w:rFonts w:eastAsia="等线"/>
                <w:color w:val="000000"/>
                <w:kern w:val="0"/>
                <w:szCs w:val="21"/>
                <w:lang w:bidi="ar"/>
              </w:rPr>
              <w:t>9%</w:t>
            </w:r>
          </w:p>
        </w:tc>
      </w:tr>
      <w:tr w14:paraId="4CEF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3B1B4EB">
            <w:pPr>
              <w:widowControl/>
              <w:jc w:val="center"/>
              <w:textAlignment w:val="center"/>
              <w:rPr>
                <w:color w:val="000000"/>
                <w:szCs w:val="21"/>
              </w:rPr>
            </w:pPr>
            <w:r>
              <w:rPr>
                <w:color w:val="000000"/>
                <w:kern w:val="0"/>
                <w:szCs w:val="21"/>
                <w:lang w:bidi="ar"/>
              </w:rPr>
              <w:t>14</w:t>
            </w:r>
          </w:p>
        </w:tc>
        <w:tc>
          <w:tcPr>
            <w:tcW w:w="0" w:type="auto"/>
            <w:tcBorders>
              <w:tl2br w:val="nil"/>
              <w:tr2bl w:val="nil"/>
            </w:tcBorders>
            <w:shd w:val="clear" w:color="auto" w:fill="auto"/>
            <w:noWrap/>
            <w:vAlign w:val="center"/>
          </w:tcPr>
          <w:p w14:paraId="7F6F3A41">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1D61E1A0">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52DDB9AC">
            <w:pPr>
              <w:widowControl/>
              <w:jc w:val="center"/>
              <w:textAlignment w:val="center"/>
              <w:rPr>
                <w:rFonts w:eastAsia="等线"/>
                <w:color w:val="000000"/>
                <w:szCs w:val="21"/>
              </w:rPr>
            </w:pPr>
            <w:r>
              <w:rPr>
                <w:rFonts w:eastAsia="等线"/>
                <w:color w:val="000000"/>
                <w:kern w:val="0"/>
                <w:szCs w:val="21"/>
                <w:lang w:bidi="ar"/>
              </w:rPr>
              <w:t>24%</w:t>
            </w:r>
          </w:p>
        </w:tc>
        <w:tc>
          <w:tcPr>
            <w:tcW w:w="0" w:type="auto"/>
            <w:tcBorders>
              <w:tl2br w:val="nil"/>
              <w:tr2bl w:val="nil"/>
            </w:tcBorders>
            <w:shd w:val="clear" w:color="auto" w:fill="auto"/>
            <w:noWrap/>
            <w:vAlign w:val="center"/>
          </w:tcPr>
          <w:p w14:paraId="7CCB4A50">
            <w:pPr>
              <w:widowControl/>
              <w:jc w:val="center"/>
              <w:textAlignment w:val="center"/>
              <w:rPr>
                <w:rFonts w:eastAsia="等线"/>
                <w:color w:val="000000"/>
                <w:szCs w:val="21"/>
              </w:rPr>
            </w:pPr>
            <w:r>
              <w:rPr>
                <w:rFonts w:eastAsia="等线"/>
                <w:color w:val="000000"/>
                <w:kern w:val="0"/>
                <w:szCs w:val="21"/>
                <w:lang w:bidi="ar"/>
              </w:rPr>
              <w:t>12%</w:t>
            </w:r>
          </w:p>
        </w:tc>
        <w:tc>
          <w:tcPr>
            <w:tcW w:w="0" w:type="auto"/>
            <w:tcBorders>
              <w:tl2br w:val="nil"/>
              <w:tr2bl w:val="nil"/>
            </w:tcBorders>
            <w:shd w:val="clear" w:color="auto" w:fill="auto"/>
            <w:noWrap/>
            <w:vAlign w:val="center"/>
          </w:tcPr>
          <w:p w14:paraId="1A0DCA4A">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04DBA302">
            <w:pPr>
              <w:widowControl/>
              <w:jc w:val="center"/>
              <w:textAlignment w:val="center"/>
              <w:rPr>
                <w:rFonts w:eastAsia="等线"/>
                <w:color w:val="000000"/>
                <w:szCs w:val="21"/>
              </w:rPr>
            </w:pPr>
            <w:r>
              <w:rPr>
                <w:rFonts w:eastAsia="等线"/>
                <w:color w:val="000000"/>
                <w:kern w:val="0"/>
                <w:szCs w:val="21"/>
                <w:lang w:bidi="ar"/>
              </w:rPr>
              <w:t>15%</w:t>
            </w:r>
          </w:p>
        </w:tc>
        <w:tc>
          <w:tcPr>
            <w:tcW w:w="0" w:type="auto"/>
            <w:tcBorders>
              <w:tl2br w:val="nil"/>
              <w:tr2bl w:val="nil"/>
            </w:tcBorders>
            <w:shd w:val="clear" w:color="auto" w:fill="auto"/>
            <w:noWrap/>
            <w:vAlign w:val="center"/>
          </w:tcPr>
          <w:p w14:paraId="642C2DEB">
            <w:pPr>
              <w:jc w:val="center"/>
              <w:rPr>
                <w:rFonts w:eastAsia="等线"/>
                <w:color w:val="000000"/>
                <w:szCs w:val="21"/>
              </w:rPr>
            </w:pPr>
          </w:p>
        </w:tc>
        <w:tc>
          <w:tcPr>
            <w:tcW w:w="0" w:type="auto"/>
            <w:tcBorders>
              <w:tl2br w:val="nil"/>
              <w:tr2bl w:val="nil"/>
            </w:tcBorders>
            <w:shd w:val="clear" w:color="auto" w:fill="auto"/>
            <w:noWrap/>
            <w:vAlign w:val="center"/>
          </w:tcPr>
          <w:p w14:paraId="10819827">
            <w:pPr>
              <w:widowControl/>
              <w:jc w:val="center"/>
              <w:textAlignment w:val="center"/>
              <w:rPr>
                <w:rFonts w:eastAsia="等线"/>
                <w:color w:val="000000"/>
                <w:szCs w:val="21"/>
              </w:rPr>
            </w:pPr>
            <w:r>
              <w:rPr>
                <w:rFonts w:eastAsia="等线"/>
                <w:color w:val="000000"/>
                <w:kern w:val="0"/>
                <w:szCs w:val="21"/>
                <w:lang w:bidi="ar"/>
              </w:rPr>
              <w:t>9%</w:t>
            </w:r>
          </w:p>
        </w:tc>
      </w:tr>
      <w:tr w14:paraId="7091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50995676">
            <w:pPr>
              <w:widowControl/>
              <w:jc w:val="center"/>
              <w:textAlignment w:val="center"/>
              <w:rPr>
                <w:color w:val="000000"/>
                <w:szCs w:val="21"/>
              </w:rPr>
            </w:pPr>
            <w:r>
              <w:rPr>
                <w:color w:val="000000"/>
                <w:kern w:val="0"/>
                <w:szCs w:val="21"/>
                <w:lang w:bidi="ar"/>
              </w:rPr>
              <w:t>15</w:t>
            </w:r>
          </w:p>
        </w:tc>
        <w:tc>
          <w:tcPr>
            <w:tcW w:w="0" w:type="auto"/>
            <w:tcBorders>
              <w:tl2br w:val="nil"/>
              <w:tr2bl w:val="nil"/>
            </w:tcBorders>
            <w:shd w:val="clear" w:color="auto" w:fill="auto"/>
            <w:noWrap/>
            <w:vAlign w:val="center"/>
          </w:tcPr>
          <w:p w14:paraId="6CC1DCF7">
            <w:pPr>
              <w:widowControl/>
              <w:jc w:val="center"/>
              <w:textAlignment w:val="center"/>
              <w:rPr>
                <w:rFonts w:eastAsia="等线"/>
                <w:color w:val="000000"/>
                <w:szCs w:val="21"/>
              </w:rPr>
            </w:pPr>
            <w:r>
              <w:rPr>
                <w:rFonts w:eastAsia="等线"/>
                <w:color w:val="000000"/>
                <w:kern w:val="0"/>
                <w:szCs w:val="21"/>
                <w:lang w:bidi="ar"/>
              </w:rPr>
              <w:t>4%</w:t>
            </w:r>
          </w:p>
        </w:tc>
        <w:tc>
          <w:tcPr>
            <w:tcW w:w="0" w:type="auto"/>
            <w:tcBorders>
              <w:tl2br w:val="nil"/>
              <w:tr2bl w:val="nil"/>
            </w:tcBorders>
            <w:shd w:val="clear" w:color="auto" w:fill="auto"/>
            <w:noWrap/>
            <w:vAlign w:val="center"/>
          </w:tcPr>
          <w:p w14:paraId="09CA2B99">
            <w:pPr>
              <w:widowControl/>
              <w:jc w:val="center"/>
              <w:textAlignment w:val="center"/>
              <w:rPr>
                <w:rFonts w:eastAsia="等线"/>
                <w:color w:val="000000"/>
                <w:szCs w:val="21"/>
              </w:rPr>
            </w:pPr>
            <w:r>
              <w:rPr>
                <w:rFonts w:eastAsia="等线"/>
                <w:color w:val="000000"/>
                <w:kern w:val="0"/>
                <w:szCs w:val="21"/>
                <w:lang w:bidi="ar"/>
              </w:rPr>
              <w:t>11%</w:t>
            </w:r>
          </w:p>
        </w:tc>
        <w:tc>
          <w:tcPr>
            <w:tcW w:w="0" w:type="auto"/>
            <w:tcBorders>
              <w:tl2br w:val="nil"/>
              <w:tr2bl w:val="nil"/>
            </w:tcBorders>
            <w:shd w:val="clear" w:color="auto" w:fill="auto"/>
            <w:noWrap/>
            <w:vAlign w:val="center"/>
          </w:tcPr>
          <w:p w14:paraId="34899364">
            <w:pPr>
              <w:widowControl/>
              <w:jc w:val="center"/>
              <w:textAlignment w:val="center"/>
              <w:rPr>
                <w:rFonts w:eastAsia="等线"/>
                <w:color w:val="000000"/>
                <w:szCs w:val="21"/>
              </w:rPr>
            </w:pPr>
            <w:r>
              <w:rPr>
                <w:rFonts w:eastAsia="等线"/>
                <w:color w:val="000000"/>
                <w:kern w:val="0"/>
                <w:szCs w:val="21"/>
                <w:lang w:bidi="ar"/>
              </w:rPr>
              <w:t>26%</w:t>
            </w:r>
          </w:p>
        </w:tc>
        <w:tc>
          <w:tcPr>
            <w:tcW w:w="0" w:type="auto"/>
            <w:tcBorders>
              <w:tl2br w:val="nil"/>
              <w:tr2bl w:val="nil"/>
            </w:tcBorders>
            <w:shd w:val="clear" w:color="auto" w:fill="auto"/>
            <w:noWrap/>
            <w:vAlign w:val="center"/>
          </w:tcPr>
          <w:p w14:paraId="5C0F0906">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69908D0E">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47977D1F">
            <w:pPr>
              <w:widowControl/>
              <w:jc w:val="center"/>
              <w:textAlignment w:val="center"/>
              <w:rPr>
                <w:rFonts w:eastAsia="等线"/>
                <w:color w:val="000000"/>
                <w:szCs w:val="21"/>
              </w:rPr>
            </w:pPr>
            <w:r>
              <w:rPr>
                <w:rFonts w:eastAsia="等线"/>
                <w:color w:val="000000"/>
                <w:kern w:val="0"/>
                <w:szCs w:val="21"/>
                <w:lang w:bidi="ar"/>
              </w:rPr>
              <w:t>15%</w:t>
            </w:r>
          </w:p>
        </w:tc>
        <w:tc>
          <w:tcPr>
            <w:tcW w:w="0" w:type="auto"/>
            <w:tcBorders>
              <w:tl2br w:val="nil"/>
              <w:tr2bl w:val="nil"/>
            </w:tcBorders>
            <w:shd w:val="clear" w:color="auto" w:fill="auto"/>
            <w:noWrap/>
            <w:vAlign w:val="center"/>
          </w:tcPr>
          <w:p w14:paraId="442C1622">
            <w:pPr>
              <w:jc w:val="center"/>
              <w:rPr>
                <w:rFonts w:eastAsia="等线"/>
                <w:color w:val="000000"/>
                <w:szCs w:val="21"/>
              </w:rPr>
            </w:pPr>
          </w:p>
        </w:tc>
        <w:tc>
          <w:tcPr>
            <w:tcW w:w="0" w:type="auto"/>
            <w:tcBorders>
              <w:tl2br w:val="nil"/>
              <w:tr2bl w:val="nil"/>
            </w:tcBorders>
            <w:shd w:val="clear" w:color="auto" w:fill="auto"/>
            <w:noWrap/>
            <w:vAlign w:val="center"/>
          </w:tcPr>
          <w:p w14:paraId="62EF438D">
            <w:pPr>
              <w:widowControl/>
              <w:jc w:val="center"/>
              <w:textAlignment w:val="center"/>
              <w:rPr>
                <w:rFonts w:eastAsia="等线"/>
                <w:color w:val="000000"/>
                <w:szCs w:val="21"/>
              </w:rPr>
            </w:pPr>
            <w:r>
              <w:rPr>
                <w:rFonts w:eastAsia="等线"/>
                <w:color w:val="000000"/>
                <w:kern w:val="0"/>
                <w:szCs w:val="21"/>
                <w:lang w:bidi="ar"/>
              </w:rPr>
              <w:t>10%</w:t>
            </w:r>
          </w:p>
        </w:tc>
      </w:tr>
      <w:tr w14:paraId="5864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1869CB48">
            <w:pPr>
              <w:widowControl/>
              <w:jc w:val="center"/>
              <w:textAlignment w:val="center"/>
              <w:rPr>
                <w:color w:val="000000"/>
                <w:szCs w:val="21"/>
              </w:rPr>
            </w:pPr>
            <w:r>
              <w:rPr>
                <w:color w:val="000000"/>
                <w:kern w:val="0"/>
                <w:szCs w:val="21"/>
                <w:lang w:bidi="ar"/>
              </w:rPr>
              <w:t>16</w:t>
            </w:r>
          </w:p>
        </w:tc>
        <w:tc>
          <w:tcPr>
            <w:tcW w:w="0" w:type="auto"/>
            <w:tcBorders>
              <w:tl2br w:val="nil"/>
              <w:tr2bl w:val="nil"/>
            </w:tcBorders>
            <w:shd w:val="clear" w:color="auto" w:fill="auto"/>
            <w:noWrap/>
            <w:vAlign w:val="center"/>
          </w:tcPr>
          <w:p w14:paraId="23DAA479">
            <w:pPr>
              <w:widowControl/>
              <w:jc w:val="center"/>
              <w:textAlignment w:val="center"/>
              <w:rPr>
                <w:rFonts w:eastAsia="等线"/>
                <w:color w:val="000000"/>
                <w:szCs w:val="21"/>
              </w:rPr>
            </w:pPr>
            <w:r>
              <w:rPr>
                <w:rFonts w:eastAsia="等线"/>
                <w:color w:val="000000"/>
                <w:kern w:val="0"/>
                <w:szCs w:val="21"/>
                <w:lang w:bidi="ar"/>
              </w:rPr>
              <w:t>5%</w:t>
            </w:r>
          </w:p>
        </w:tc>
        <w:tc>
          <w:tcPr>
            <w:tcW w:w="0" w:type="auto"/>
            <w:tcBorders>
              <w:tl2br w:val="nil"/>
              <w:tr2bl w:val="nil"/>
            </w:tcBorders>
            <w:shd w:val="clear" w:color="auto" w:fill="auto"/>
            <w:noWrap/>
            <w:vAlign w:val="center"/>
          </w:tcPr>
          <w:p w14:paraId="5BD5268F">
            <w:pPr>
              <w:widowControl/>
              <w:jc w:val="center"/>
              <w:textAlignment w:val="center"/>
              <w:rPr>
                <w:rFonts w:eastAsia="等线"/>
                <w:color w:val="000000"/>
                <w:szCs w:val="21"/>
              </w:rPr>
            </w:pPr>
            <w:r>
              <w:rPr>
                <w:rFonts w:eastAsia="等线"/>
                <w:color w:val="000000"/>
                <w:kern w:val="0"/>
                <w:szCs w:val="21"/>
                <w:lang w:bidi="ar"/>
              </w:rPr>
              <w:t>12%</w:t>
            </w:r>
          </w:p>
        </w:tc>
        <w:tc>
          <w:tcPr>
            <w:tcW w:w="0" w:type="auto"/>
            <w:tcBorders>
              <w:tl2br w:val="nil"/>
              <w:tr2bl w:val="nil"/>
            </w:tcBorders>
            <w:shd w:val="clear" w:color="auto" w:fill="auto"/>
            <w:noWrap/>
            <w:vAlign w:val="center"/>
          </w:tcPr>
          <w:p w14:paraId="5F26A603">
            <w:pPr>
              <w:widowControl/>
              <w:jc w:val="center"/>
              <w:textAlignment w:val="center"/>
              <w:rPr>
                <w:rFonts w:eastAsia="等线"/>
                <w:color w:val="000000"/>
                <w:szCs w:val="21"/>
              </w:rPr>
            </w:pPr>
            <w:r>
              <w:rPr>
                <w:rFonts w:eastAsia="等线"/>
                <w:color w:val="000000"/>
                <w:kern w:val="0"/>
                <w:szCs w:val="21"/>
                <w:lang w:bidi="ar"/>
              </w:rPr>
              <w:t>28%</w:t>
            </w:r>
          </w:p>
        </w:tc>
        <w:tc>
          <w:tcPr>
            <w:tcW w:w="0" w:type="auto"/>
            <w:tcBorders>
              <w:tl2br w:val="nil"/>
              <w:tr2bl w:val="nil"/>
            </w:tcBorders>
            <w:shd w:val="clear" w:color="auto" w:fill="auto"/>
            <w:noWrap/>
            <w:vAlign w:val="center"/>
          </w:tcPr>
          <w:p w14:paraId="705ED917">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56AC4452">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201A2BCA">
            <w:pPr>
              <w:widowControl/>
              <w:jc w:val="center"/>
              <w:textAlignment w:val="center"/>
              <w:rPr>
                <w:rFonts w:eastAsia="等线"/>
                <w:color w:val="000000"/>
                <w:szCs w:val="21"/>
              </w:rPr>
            </w:pPr>
            <w:r>
              <w:rPr>
                <w:rFonts w:eastAsia="等线"/>
                <w:color w:val="000000"/>
                <w:kern w:val="0"/>
                <w:szCs w:val="21"/>
                <w:lang w:bidi="ar"/>
              </w:rPr>
              <w:t>16%</w:t>
            </w:r>
          </w:p>
        </w:tc>
        <w:tc>
          <w:tcPr>
            <w:tcW w:w="0" w:type="auto"/>
            <w:tcBorders>
              <w:tl2br w:val="nil"/>
              <w:tr2bl w:val="nil"/>
            </w:tcBorders>
            <w:shd w:val="clear" w:color="auto" w:fill="auto"/>
            <w:noWrap/>
            <w:vAlign w:val="center"/>
          </w:tcPr>
          <w:p w14:paraId="39258F89">
            <w:pPr>
              <w:jc w:val="center"/>
              <w:rPr>
                <w:rFonts w:eastAsia="等线"/>
                <w:color w:val="000000"/>
                <w:szCs w:val="21"/>
              </w:rPr>
            </w:pPr>
          </w:p>
        </w:tc>
        <w:tc>
          <w:tcPr>
            <w:tcW w:w="0" w:type="auto"/>
            <w:tcBorders>
              <w:tl2br w:val="nil"/>
              <w:tr2bl w:val="nil"/>
            </w:tcBorders>
            <w:shd w:val="clear" w:color="auto" w:fill="auto"/>
            <w:noWrap/>
            <w:vAlign w:val="center"/>
          </w:tcPr>
          <w:p w14:paraId="4D5706B9">
            <w:pPr>
              <w:widowControl/>
              <w:jc w:val="center"/>
              <w:textAlignment w:val="center"/>
              <w:rPr>
                <w:rFonts w:eastAsia="等线"/>
                <w:color w:val="000000"/>
                <w:szCs w:val="21"/>
              </w:rPr>
            </w:pPr>
            <w:r>
              <w:rPr>
                <w:rFonts w:eastAsia="等线"/>
                <w:color w:val="000000"/>
                <w:kern w:val="0"/>
                <w:szCs w:val="21"/>
                <w:lang w:bidi="ar"/>
              </w:rPr>
              <w:t>10%</w:t>
            </w:r>
          </w:p>
        </w:tc>
      </w:tr>
      <w:tr w14:paraId="5B3A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6C94FA4">
            <w:pPr>
              <w:widowControl/>
              <w:jc w:val="center"/>
              <w:textAlignment w:val="center"/>
              <w:rPr>
                <w:color w:val="000000"/>
                <w:szCs w:val="21"/>
              </w:rPr>
            </w:pPr>
            <w:r>
              <w:rPr>
                <w:color w:val="000000"/>
                <w:kern w:val="0"/>
                <w:szCs w:val="21"/>
                <w:lang w:bidi="ar"/>
              </w:rPr>
              <w:t>17</w:t>
            </w:r>
          </w:p>
        </w:tc>
        <w:tc>
          <w:tcPr>
            <w:tcW w:w="0" w:type="auto"/>
            <w:tcBorders>
              <w:tl2br w:val="nil"/>
              <w:tr2bl w:val="nil"/>
            </w:tcBorders>
            <w:shd w:val="clear" w:color="auto" w:fill="auto"/>
            <w:noWrap/>
            <w:vAlign w:val="center"/>
          </w:tcPr>
          <w:p w14:paraId="2C67DB4D">
            <w:pPr>
              <w:widowControl/>
              <w:jc w:val="center"/>
              <w:textAlignment w:val="center"/>
              <w:rPr>
                <w:rFonts w:eastAsia="等线"/>
                <w:color w:val="000000"/>
                <w:szCs w:val="21"/>
              </w:rPr>
            </w:pPr>
            <w:r>
              <w:rPr>
                <w:rFonts w:eastAsia="等线"/>
                <w:color w:val="000000"/>
                <w:kern w:val="0"/>
                <w:szCs w:val="21"/>
                <w:lang w:bidi="ar"/>
              </w:rPr>
              <w:t>7%</w:t>
            </w:r>
          </w:p>
        </w:tc>
        <w:tc>
          <w:tcPr>
            <w:tcW w:w="0" w:type="auto"/>
            <w:tcBorders>
              <w:tl2br w:val="nil"/>
              <w:tr2bl w:val="nil"/>
            </w:tcBorders>
            <w:shd w:val="clear" w:color="auto" w:fill="auto"/>
            <w:noWrap/>
            <w:vAlign w:val="center"/>
          </w:tcPr>
          <w:p w14:paraId="29EAFE03">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0F21CB80">
            <w:pPr>
              <w:widowControl/>
              <w:jc w:val="center"/>
              <w:textAlignment w:val="center"/>
              <w:rPr>
                <w:rFonts w:eastAsia="等线"/>
                <w:color w:val="000000"/>
                <w:szCs w:val="21"/>
              </w:rPr>
            </w:pPr>
            <w:r>
              <w:rPr>
                <w:rFonts w:eastAsia="等线"/>
                <w:color w:val="000000"/>
                <w:kern w:val="0"/>
                <w:szCs w:val="21"/>
                <w:lang w:bidi="ar"/>
              </w:rPr>
              <w:t>30%</w:t>
            </w:r>
          </w:p>
        </w:tc>
        <w:tc>
          <w:tcPr>
            <w:tcW w:w="0" w:type="auto"/>
            <w:tcBorders>
              <w:tl2br w:val="nil"/>
              <w:tr2bl w:val="nil"/>
            </w:tcBorders>
            <w:shd w:val="clear" w:color="auto" w:fill="auto"/>
            <w:noWrap/>
            <w:vAlign w:val="center"/>
          </w:tcPr>
          <w:p w14:paraId="547DB6FF">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1C28DB30">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4C68B5CC">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76AD6163">
            <w:pPr>
              <w:jc w:val="center"/>
              <w:rPr>
                <w:rFonts w:eastAsia="等线"/>
                <w:color w:val="000000"/>
                <w:szCs w:val="21"/>
              </w:rPr>
            </w:pPr>
          </w:p>
        </w:tc>
        <w:tc>
          <w:tcPr>
            <w:tcW w:w="0" w:type="auto"/>
            <w:tcBorders>
              <w:tl2br w:val="nil"/>
              <w:tr2bl w:val="nil"/>
            </w:tcBorders>
            <w:shd w:val="clear" w:color="auto" w:fill="auto"/>
            <w:noWrap/>
            <w:vAlign w:val="center"/>
          </w:tcPr>
          <w:p w14:paraId="3E10398D">
            <w:pPr>
              <w:widowControl/>
              <w:jc w:val="center"/>
              <w:textAlignment w:val="center"/>
              <w:rPr>
                <w:rFonts w:eastAsia="等线"/>
                <w:color w:val="000000"/>
                <w:szCs w:val="21"/>
              </w:rPr>
            </w:pPr>
            <w:r>
              <w:rPr>
                <w:rFonts w:eastAsia="等线"/>
                <w:color w:val="000000"/>
                <w:kern w:val="0"/>
                <w:szCs w:val="21"/>
                <w:lang w:bidi="ar"/>
              </w:rPr>
              <w:t>14%</w:t>
            </w:r>
          </w:p>
        </w:tc>
      </w:tr>
      <w:tr w14:paraId="79D8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578D89D5">
            <w:pPr>
              <w:widowControl/>
              <w:jc w:val="center"/>
              <w:textAlignment w:val="center"/>
              <w:rPr>
                <w:color w:val="000000"/>
                <w:szCs w:val="21"/>
              </w:rPr>
            </w:pPr>
            <w:r>
              <w:rPr>
                <w:color w:val="000000"/>
                <w:kern w:val="0"/>
                <w:szCs w:val="21"/>
                <w:lang w:bidi="ar"/>
              </w:rPr>
              <w:t>18</w:t>
            </w:r>
          </w:p>
        </w:tc>
        <w:tc>
          <w:tcPr>
            <w:tcW w:w="0" w:type="auto"/>
            <w:tcBorders>
              <w:tl2br w:val="nil"/>
              <w:tr2bl w:val="nil"/>
            </w:tcBorders>
            <w:shd w:val="clear" w:color="auto" w:fill="auto"/>
            <w:noWrap/>
            <w:vAlign w:val="center"/>
          </w:tcPr>
          <w:p w14:paraId="4734740D">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6E68319C">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45F046D3">
            <w:pPr>
              <w:widowControl/>
              <w:jc w:val="center"/>
              <w:textAlignment w:val="center"/>
              <w:rPr>
                <w:rFonts w:eastAsia="等线"/>
                <w:color w:val="000000"/>
                <w:szCs w:val="21"/>
              </w:rPr>
            </w:pPr>
            <w:r>
              <w:rPr>
                <w:rFonts w:eastAsia="等线"/>
                <w:color w:val="000000"/>
                <w:kern w:val="0"/>
                <w:szCs w:val="21"/>
                <w:lang w:bidi="ar"/>
              </w:rPr>
              <w:t>31%</w:t>
            </w:r>
          </w:p>
        </w:tc>
        <w:tc>
          <w:tcPr>
            <w:tcW w:w="0" w:type="auto"/>
            <w:tcBorders>
              <w:tl2br w:val="nil"/>
              <w:tr2bl w:val="nil"/>
            </w:tcBorders>
            <w:shd w:val="clear" w:color="auto" w:fill="auto"/>
            <w:noWrap/>
            <w:vAlign w:val="center"/>
          </w:tcPr>
          <w:p w14:paraId="2661D8E6">
            <w:pPr>
              <w:widowControl/>
              <w:jc w:val="center"/>
              <w:textAlignment w:val="center"/>
              <w:rPr>
                <w:rFonts w:eastAsia="等线"/>
                <w:color w:val="000000"/>
                <w:szCs w:val="21"/>
              </w:rPr>
            </w:pPr>
            <w:r>
              <w:rPr>
                <w:rFonts w:eastAsia="等线"/>
                <w:color w:val="000000"/>
                <w:kern w:val="0"/>
                <w:szCs w:val="21"/>
                <w:lang w:bidi="ar"/>
              </w:rPr>
              <w:t>14%</w:t>
            </w:r>
          </w:p>
        </w:tc>
        <w:tc>
          <w:tcPr>
            <w:tcW w:w="0" w:type="auto"/>
            <w:tcBorders>
              <w:tl2br w:val="nil"/>
              <w:tr2bl w:val="nil"/>
            </w:tcBorders>
            <w:shd w:val="clear" w:color="auto" w:fill="auto"/>
            <w:noWrap/>
            <w:vAlign w:val="center"/>
          </w:tcPr>
          <w:p w14:paraId="3F28CCFD">
            <w:pPr>
              <w:widowControl/>
              <w:jc w:val="center"/>
              <w:textAlignment w:val="center"/>
              <w:rPr>
                <w:rFonts w:eastAsia="等线"/>
                <w:color w:val="000000"/>
                <w:szCs w:val="21"/>
              </w:rPr>
            </w:pPr>
            <w:r>
              <w:rPr>
                <w:rFonts w:eastAsia="等线"/>
                <w:color w:val="000000"/>
                <w:kern w:val="0"/>
                <w:szCs w:val="21"/>
                <w:lang w:bidi="ar"/>
              </w:rPr>
              <w:t>23%</w:t>
            </w:r>
          </w:p>
        </w:tc>
        <w:tc>
          <w:tcPr>
            <w:tcW w:w="0" w:type="auto"/>
            <w:tcBorders>
              <w:tl2br w:val="nil"/>
              <w:tr2bl w:val="nil"/>
            </w:tcBorders>
            <w:shd w:val="clear" w:color="auto" w:fill="auto"/>
            <w:noWrap/>
            <w:vAlign w:val="center"/>
          </w:tcPr>
          <w:p w14:paraId="1BB67E5B">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4392CACA">
            <w:pPr>
              <w:jc w:val="center"/>
              <w:rPr>
                <w:rFonts w:eastAsia="等线"/>
                <w:color w:val="000000"/>
                <w:szCs w:val="21"/>
              </w:rPr>
            </w:pPr>
          </w:p>
        </w:tc>
        <w:tc>
          <w:tcPr>
            <w:tcW w:w="0" w:type="auto"/>
            <w:tcBorders>
              <w:tl2br w:val="nil"/>
              <w:tr2bl w:val="nil"/>
            </w:tcBorders>
            <w:shd w:val="clear" w:color="auto" w:fill="auto"/>
            <w:noWrap/>
            <w:vAlign w:val="center"/>
          </w:tcPr>
          <w:p w14:paraId="56606702">
            <w:pPr>
              <w:widowControl/>
              <w:jc w:val="center"/>
              <w:textAlignment w:val="center"/>
              <w:rPr>
                <w:rFonts w:eastAsia="等线"/>
                <w:color w:val="000000"/>
                <w:szCs w:val="21"/>
              </w:rPr>
            </w:pPr>
            <w:r>
              <w:rPr>
                <w:rFonts w:eastAsia="等线"/>
                <w:color w:val="000000"/>
                <w:kern w:val="0"/>
                <w:szCs w:val="21"/>
                <w:lang w:bidi="ar"/>
              </w:rPr>
              <w:t>15%</w:t>
            </w:r>
          </w:p>
        </w:tc>
      </w:tr>
      <w:tr w14:paraId="779B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7DCC30F8">
            <w:pPr>
              <w:widowControl/>
              <w:jc w:val="center"/>
              <w:textAlignment w:val="center"/>
              <w:rPr>
                <w:color w:val="000000"/>
                <w:szCs w:val="21"/>
              </w:rPr>
            </w:pPr>
            <w:r>
              <w:rPr>
                <w:color w:val="000000"/>
                <w:kern w:val="0"/>
                <w:szCs w:val="21"/>
                <w:lang w:bidi="ar"/>
              </w:rPr>
              <w:t>19</w:t>
            </w:r>
          </w:p>
        </w:tc>
        <w:tc>
          <w:tcPr>
            <w:tcW w:w="0" w:type="auto"/>
            <w:tcBorders>
              <w:tl2br w:val="nil"/>
              <w:tr2bl w:val="nil"/>
            </w:tcBorders>
            <w:shd w:val="clear" w:color="auto" w:fill="auto"/>
            <w:noWrap/>
            <w:vAlign w:val="center"/>
          </w:tcPr>
          <w:p w14:paraId="6C0ED676">
            <w:pPr>
              <w:widowControl/>
              <w:jc w:val="center"/>
              <w:textAlignment w:val="center"/>
              <w:rPr>
                <w:rFonts w:eastAsia="等线"/>
                <w:color w:val="000000"/>
                <w:szCs w:val="21"/>
              </w:rPr>
            </w:pPr>
            <w:r>
              <w:rPr>
                <w:rFonts w:eastAsia="等线"/>
                <w:color w:val="000000"/>
                <w:kern w:val="0"/>
                <w:szCs w:val="21"/>
                <w:lang w:bidi="ar"/>
              </w:rPr>
              <w:t>8%</w:t>
            </w:r>
          </w:p>
        </w:tc>
        <w:tc>
          <w:tcPr>
            <w:tcW w:w="0" w:type="auto"/>
            <w:tcBorders>
              <w:tl2br w:val="nil"/>
              <w:tr2bl w:val="nil"/>
            </w:tcBorders>
            <w:shd w:val="clear" w:color="auto" w:fill="auto"/>
            <w:noWrap/>
            <w:vAlign w:val="center"/>
          </w:tcPr>
          <w:p w14:paraId="4B25312E">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68979FC7">
            <w:pPr>
              <w:widowControl/>
              <w:jc w:val="center"/>
              <w:textAlignment w:val="center"/>
              <w:rPr>
                <w:rFonts w:eastAsia="等线"/>
                <w:color w:val="000000"/>
                <w:szCs w:val="21"/>
              </w:rPr>
            </w:pPr>
            <w:r>
              <w:rPr>
                <w:rFonts w:eastAsia="等线"/>
                <w:color w:val="000000"/>
                <w:kern w:val="0"/>
                <w:szCs w:val="21"/>
                <w:lang w:bidi="ar"/>
              </w:rPr>
              <w:t>32%</w:t>
            </w:r>
          </w:p>
        </w:tc>
        <w:tc>
          <w:tcPr>
            <w:tcW w:w="0" w:type="auto"/>
            <w:tcBorders>
              <w:tl2br w:val="nil"/>
              <w:tr2bl w:val="nil"/>
            </w:tcBorders>
            <w:shd w:val="clear" w:color="auto" w:fill="auto"/>
            <w:noWrap/>
            <w:vAlign w:val="center"/>
          </w:tcPr>
          <w:p w14:paraId="46A84539">
            <w:pPr>
              <w:widowControl/>
              <w:jc w:val="center"/>
              <w:textAlignment w:val="center"/>
              <w:rPr>
                <w:rFonts w:eastAsia="等线"/>
                <w:color w:val="000000"/>
                <w:szCs w:val="21"/>
              </w:rPr>
            </w:pPr>
            <w:r>
              <w:rPr>
                <w:rFonts w:eastAsia="等线"/>
                <w:color w:val="000000"/>
                <w:kern w:val="0"/>
                <w:szCs w:val="21"/>
                <w:lang w:bidi="ar"/>
              </w:rPr>
              <w:t>15%</w:t>
            </w:r>
          </w:p>
        </w:tc>
        <w:tc>
          <w:tcPr>
            <w:tcW w:w="0" w:type="auto"/>
            <w:tcBorders>
              <w:tl2br w:val="nil"/>
              <w:tr2bl w:val="nil"/>
            </w:tcBorders>
            <w:shd w:val="clear" w:color="auto" w:fill="auto"/>
            <w:noWrap/>
            <w:vAlign w:val="center"/>
          </w:tcPr>
          <w:p w14:paraId="78FBF704">
            <w:pPr>
              <w:widowControl/>
              <w:jc w:val="center"/>
              <w:textAlignment w:val="center"/>
              <w:rPr>
                <w:rFonts w:eastAsia="等线"/>
                <w:color w:val="000000"/>
                <w:szCs w:val="21"/>
              </w:rPr>
            </w:pPr>
            <w:r>
              <w:rPr>
                <w:rFonts w:eastAsia="等线"/>
                <w:color w:val="000000"/>
                <w:kern w:val="0"/>
                <w:szCs w:val="21"/>
                <w:lang w:bidi="ar"/>
              </w:rPr>
              <w:t>27%</w:t>
            </w:r>
          </w:p>
        </w:tc>
        <w:tc>
          <w:tcPr>
            <w:tcW w:w="0" w:type="auto"/>
            <w:tcBorders>
              <w:tl2br w:val="nil"/>
              <w:tr2bl w:val="nil"/>
            </w:tcBorders>
            <w:shd w:val="clear" w:color="auto" w:fill="auto"/>
            <w:noWrap/>
            <w:vAlign w:val="center"/>
          </w:tcPr>
          <w:p w14:paraId="04328347">
            <w:pPr>
              <w:widowControl/>
              <w:jc w:val="center"/>
              <w:textAlignment w:val="center"/>
              <w:rPr>
                <w:rFonts w:eastAsia="等线"/>
                <w:color w:val="000000"/>
                <w:szCs w:val="21"/>
              </w:rPr>
            </w:pPr>
            <w:r>
              <w:rPr>
                <w:rFonts w:eastAsia="等线"/>
                <w:color w:val="000000"/>
                <w:kern w:val="0"/>
                <w:szCs w:val="21"/>
                <w:lang w:bidi="ar"/>
              </w:rPr>
              <w:t>19%</w:t>
            </w:r>
          </w:p>
        </w:tc>
        <w:tc>
          <w:tcPr>
            <w:tcW w:w="0" w:type="auto"/>
            <w:tcBorders>
              <w:tl2br w:val="nil"/>
              <w:tr2bl w:val="nil"/>
            </w:tcBorders>
            <w:shd w:val="clear" w:color="auto" w:fill="auto"/>
            <w:noWrap/>
            <w:vAlign w:val="center"/>
          </w:tcPr>
          <w:p w14:paraId="1332ED9A">
            <w:pPr>
              <w:jc w:val="center"/>
              <w:rPr>
                <w:rFonts w:eastAsia="等线"/>
                <w:color w:val="000000"/>
                <w:szCs w:val="21"/>
              </w:rPr>
            </w:pPr>
          </w:p>
        </w:tc>
        <w:tc>
          <w:tcPr>
            <w:tcW w:w="0" w:type="auto"/>
            <w:tcBorders>
              <w:tl2br w:val="nil"/>
              <w:tr2bl w:val="nil"/>
            </w:tcBorders>
            <w:shd w:val="clear" w:color="auto" w:fill="auto"/>
            <w:noWrap/>
            <w:vAlign w:val="center"/>
          </w:tcPr>
          <w:p w14:paraId="7513294B">
            <w:pPr>
              <w:widowControl/>
              <w:jc w:val="center"/>
              <w:textAlignment w:val="center"/>
              <w:rPr>
                <w:rFonts w:eastAsia="等线"/>
                <w:color w:val="000000"/>
                <w:szCs w:val="21"/>
              </w:rPr>
            </w:pPr>
            <w:r>
              <w:rPr>
                <w:rFonts w:eastAsia="等线"/>
                <w:color w:val="000000"/>
                <w:kern w:val="0"/>
                <w:szCs w:val="21"/>
                <w:lang w:bidi="ar"/>
              </w:rPr>
              <w:t>19%</w:t>
            </w:r>
          </w:p>
        </w:tc>
      </w:tr>
      <w:tr w14:paraId="00AF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4B2350D3">
            <w:pPr>
              <w:widowControl/>
              <w:jc w:val="center"/>
              <w:textAlignment w:val="center"/>
              <w:rPr>
                <w:color w:val="000000"/>
                <w:szCs w:val="21"/>
              </w:rPr>
            </w:pPr>
            <w:r>
              <w:rPr>
                <w:color w:val="000000"/>
                <w:kern w:val="0"/>
                <w:szCs w:val="21"/>
                <w:lang w:bidi="ar"/>
              </w:rPr>
              <w:t>20</w:t>
            </w:r>
          </w:p>
        </w:tc>
        <w:tc>
          <w:tcPr>
            <w:tcW w:w="0" w:type="auto"/>
            <w:tcBorders>
              <w:tl2br w:val="nil"/>
              <w:tr2bl w:val="nil"/>
            </w:tcBorders>
            <w:shd w:val="clear" w:color="auto" w:fill="auto"/>
            <w:noWrap/>
            <w:vAlign w:val="center"/>
          </w:tcPr>
          <w:p w14:paraId="07458A4D">
            <w:pPr>
              <w:widowControl/>
              <w:jc w:val="center"/>
              <w:textAlignment w:val="center"/>
              <w:rPr>
                <w:rFonts w:eastAsia="等线"/>
                <w:color w:val="000000"/>
                <w:szCs w:val="21"/>
              </w:rPr>
            </w:pPr>
            <w:r>
              <w:rPr>
                <w:rFonts w:eastAsia="等线"/>
                <w:color w:val="000000"/>
                <w:kern w:val="0"/>
                <w:szCs w:val="21"/>
                <w:lang w:bidi="ar"/>
              </w:rPr>
              <w:t>10%</w:t>
            </w:r>
          </w:p>
        </w:tc>
        <w:tc>
          <w:tcPr>
            <w:tcW w:w="0" w:type="auto"/>
            <w:tcBorders>
              <w:tl2br w:val="nil"/>
              <w:tr2bl w:val="nil"/>
            </w:tcBorders>
            <w:shd w:val="clear" w:color="auto" w:fill="auto"/>
            <w:noWrap/>
            <w:vAlign w:val="center"/>
          </w:tcPr>
          <w:p w14:paraId="35B2584C">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409D38D4">
            <w:pPr>
              <w:widowControl/>
              <w:jc w:val="center"/>
              <w:textAlignment w:val="center"/>
              <w:rPr>
                <w:rFonts w:eastAsia="等线"/>
                <w:color w:val="000000"/>
                <w:szCs w:val="21"/>
              </w:rPr>
            </w:pPr>
            <w:r>
              <w:rPr>
                <w:rFonts w:eastAsia="等线"/>
                <w:color w:val="000000"/>
                <w:kern w:val="0"/>
                <w:szCs w:val="21"/>
                <w:lang w:bidi="ar"/>
              </w:rPr>
              <w:t>32%</w:t>
            </w:r>
          </w:p>
        </w:tc>
        <w:tc>
          <w:tcPr>
            <w:tcW w:w="0" w:type="auto"/>
            <w:tcBorders>
              <w:tl2br w:val="nil"/>
              <w:tr2bl w:val="nil"/>
            </w:tcBorders>
            <w:shd w:val="clear" w:color="auto" w:fill="auto"/>
            <w:noWrap/>
            <w:vAlign w:val="center"/>
          </w:tcPr>
          <w:p w14:paraId="43C21514">
            <w:pPr>
              <w:widowControl/>
              <w:jc w:val="center"/>
              <w:textAlignment w:val="center"/>
              <w:rPr>
                <w:rFonts w:eastAsia="等线"/>
                <w:color w:val="000000"/>
                <w:szCs w:val="21"/>
              </w:rPr>
            </w:pPr>
            <w:r>
              <w:rPr>
                <w:rFonts w:eastAsia="等线"/>
                <w:color w:val="000000"/>
                <w:kern w:val="0"/>
                <w:szCs w:val="21"/>
                <w:lang w:bidi="ar"/>
              </w:rPr>
              <w:t>16%</w:t>
            </w:r>
          </w:p>
        </w:tc>
        <w:tc>
          <w:tcPr>
            <w:tcW w:w="0" w:type="auto"/>
            <w:tcBorders>
              <w:tl2br w:val="nil"/>
              <w:tr2bl w:val="nil"/>
            </w:tcBorders>
            <w:shd w:val="clear" w:color="auto" w:fill="auto"/>
            <w:noWrap/>
            <w:vAlign w:val="center"/>
          </w:tcPr>
          <w:p w14:paraId="0CC27FAC">
            <w:pPr>
              <w:widowControl/>
              <w:jc w:val="center"/>
              <w:textAlignment w:val="center"/>
              <w:rPr>
                <w:rFonts w:eastAsia="等线"/>
                <w:color w:val="000000"/>
                <w:szCs w:val="21"/>
              </w:rPr>
            </w:pPr>
            <w:r>
              <w:rPr>
                <w:rFonts w:eastAsia="等线"/>
                <w:color w:val="000000"/>
                <w:kern w:val="0"/>
                <w:szCs w:val="21"/>
                <w:lang w:bidi="ar"/>
              </w:rPr>
              <w:t>29%</w:t>
            </w:r>
          </w:p>
        </w:tc>
        <w:tc>
          <w:tcPr>
            <w:tcW w:w="0" w:type="auto"/>
            <w:tcBorders>
              <w:tl2br w:val="nil"/>
              <w:tr2bl w:val="nil"/>
            </w:tcBorders>
            <w:shd w:val="clear" w:color="auto" w:fill="auto"/>
            <w:noWrap/>
            <w:vAlign w:val="center"/>
          </w:tcPr>
          <w:p w14:paraId="6CE0112B">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0392C92E">
            <w:pPr>
              <w:jc w:val="center"/>
              <w:rPr>
                <w:rFonts w:eastAsia="等线"/>
                <w:color w:val="000000"/>
                <w:szCs w:val="21"/>
              </w:rPr>
            </w:pPr>
          </w:p>
        </w:tc>
        <w:tc>
          <w:tcPr>
            <w:tcW w:w="0" w:type="auto"/>
            <w:tcBorders>
              <w:tl2br w:val="nil"/>
              <w:tr2bl w:val="nil"/>
            </w:tcBorders>
            <w:shd w:val="clear" w:color="auto" w:fill="auto"/>
            <w:noWrap/>
            <w:vAlign w:val="center"/>
          </w:tcPr>
          <w:p w14:paraId="61E56EC5">
            <w:pPr>
              <w:widowControl/>
              <w:jc w:val="center"/>
              <w:textAlignment w:val="center"/>
              <w:rPr>
                <w:rFonts w:eastAsia="等线"/>
                <w:color w:val="000000"/>
                <w:szCs w:val="21"/>
              </w:rPr>
            </w:pPr>
            <w:r>
              <w:rPr>
                <w:rFonts w:eastAsia="等线"/>
                <w:color w:val="000000"/>
                <w:kern w:val="0"/>
                <w:szCs w:val="21"/>
                <w:lang w:bidi="ar"/>
              </w:rPr>
              <w:t>21%</w:t>
            </w:r>
          </w:p>
        </w:tc>
      </w:tr>
      <w:tr w14:paraId="4212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0288D637">
            <w:pPr>
              <w:widowControl/>
              <w:jc w:val="center"/>
              <w:textAlignment w:val="center"/>
              <w:rPr>
                <w:color w:val="000000"/>
                <w:szCs w:val="21"/>
              </w:rPr>
            </w:pPr>
            <w:r>
              <w:rPr>
                <w:color w:val="000000"/>
                <w:kern w:val="0"/>
                <w:szCs w:val="21"/>
                <w:lang w:bidi="ar"/>
              </w:rPr>
              <w:t>21</w:t>
            </w:r>
          </w:p>
        </w:tc>
        <w:tc>
          <w:tcPr>
            <w:tcW w:w="0" w:type="auto"/>
            <w:tcBorders>
              <w:tl2br w:val="nil"/>
              <w:tr2bl w:val="nil"/>
            </w:tcBorders>
            <w:shd w:val="clear" w:color="auto" w:fill="auto"/>
            <w:noWrap/>
            <w:vAlign w:val="center"/>
          </w:tcPr>
          <w:p w14:paraId="1041A177">
            <w:pPr>
              <w:widowControl/>
              <w:jc w:val="center"/>
              <w:textAlignment w:val="center"/>
              <w:rPr>
                <w:rFonts w:eastAsia="等线"/>
                <w:color w:val="000000"/>
                <w:szCs w:val="21"/>
              </w:rPr>
            </w:pPr>
            <w:r>
              <w:rPr>
                <w:rFonts w:eastAsia="等线"/>
                <w:color w:val="000000"/>
                <w:kern w:val="0"/>
                <w:szCs w:val="21"/>
                <w:lang w:bidi="ar"/>
              </w:rPr>
              <w:t>15%</w:t>
            </w:r>
          </w:p>
        </w:tc>
        <w:tc>
          <w:tcPr>
            <w:tcW w:w="0" w:type="auto"/>
            <w:tcBorders>
              <w:tl2br w:val="nil"/>
              <w:tr2bl w:val="nil"/>
            </w:tcBorders>
            <w:shd w:val="clear" w:color="auto" w:fill="auto"/>
            <w:noWrap/>
            <w:vAlign w:val="center"/>
          </w:tcPr>
          <w:p w14:paraId="517D9972">
            <w:pPr>
              <w:widowControl/>
              <w:jc w:val="center"/>
              <w:textAlignment w:val="center"/>
              <w:rPr>
                <w:rFonts w:eastAsia="等线"/>
                <w:color w:val="000000"/>
                <w:szCs w:val="21"/>
              </w:rPr>
            </w:pPr>
            <w:r>
              <w:rPr>
                <w:rFonts w:eastAsia="等线"/>
                <w:color w:val="000000"/>
                <w:kern w:val="0"/>
                <w:szCs w:val="21"/>
                <w:lang w:bidi="ar"/>
              </w:rPr>
              <w:t>13%</w:t>
            </w:r>
          </w:p>
        </w:tc>
        <w:tc>
          <w:tcPr>
            <w:tcW w:w="0" w:type="auto"/>
            <w:tcBorders>
              <w:tl2br w:val="nil"/>
              <w:tr2bl w:val="nil"/>
            </w:tcBorders>
            <w:shd w:val="clear" w:color="auto" w:fill="auto"/>
            <w:noWrap/>
            <w:vAlign w:val="center"/>
          </w:tcPr>
          <w:p w14:paraId="7DCC027E">
            <w:pPr>
              <w:widowControl/>
              <w:jc w:val="center"/>
              <w:textAlignment w:val="center"/>
              <w:rPr>
                <w:rFonts w:eastAsia="等线"/>
                <w:color w:val="000000"/>
                <w:szCs w:val="21"/>
              </w:rPr>
            </w:pPr>
            <w:r>
              <w:rPr>
                <w:rFonts w:eastAsia="等线"/>
                <w:color w:val="000000"/>
                <w:kern w:val="0"/>
                <w:szCs w:val="21"/>
                <w:lang w:bidi="ar"/>
              </w:rPr>
              <w:t>33%</w:t>
            </w:r>
          </w:p>
        </w:tc>
        <w:tc>
          <w:tcPr>
            <w:tcW w:w="0" w:type="auto"/>
            <w:tcBorders>
              <w:tl2br w:val="nil"/>
              <w:tr2bl w:val="nil"/>
            </w:tcBorders>
            <w:shd w:val="clear" w:color="auto" w:fill="auto"/>
            <w:noWrap/>
            <w:vAlign w:val="center"/>
          </w:tcPr>
          <w:p w14:paraId="75C43E68">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3946AD8A">
            <w:pPr>
              <w:widowControl/>
              <w:jc w:val="center"/>
              <w:textAlignment w:val="center"/>
              <w:rPr>
                <w:rFonts w:eastAsia="等线"/>
                <w:color w:val="000000"/>
                <w:szCs w:val="21"/>
              </w:rPr>
            </w:pPr>
            <w:r>
              <w:rPr>
                <w:rFonts w:eastAsia="等线"/>
                <w:color w:val="000000"/>
                <w:kern w:val="0"/>
                <w:szCs w:val="21"/>
                <w:lang w:bidi="ar"/>
              </w:rPr>
              <w:t>29%</w:t>
            </w:r>
          </w:p>
        </w:tc>
        <w:tc>
          <w:tcPr>
            <w:tcW w:w="0" w:type="auto"/>
            <w:tcBorders>
              <w:tl2br w:val="nil"/>
              <w:tr2bl w:val="nil"/>
            </w:tcBorders>
            <w:shd w:val="clear" w:color="auto" w:fill="auto"/>
            <w:noWrap/>
            <w:vAlign w:val="center"/>
          </w:tcPr>
          <w:p w14:paraId="615A5EE5">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61FCE0D0">
            <w:pPr>
              <w:jc w:val="center"/>
              <w:rPr>
                <w:rFonts w:eastAsia="等线"/>
                <w:color w:val="000000"/>
                <w:szCs w:val="21"/>
              </w:rPr>
            </w:pPr>
          </w:p>
        </w:tc>
        <w:tc>
          <w:tcPr>
            <w:tcW w:w="0" w:type="auto"/>
            <w:tcBorders>
              <w:tl2br w:val="nil"/>
              <w:tr2bl w:val="nil"/>
            </w:tcBorders>
            <w:shd w:val="clear" w:color="auto" w:fill="auto"/>
            <w:noWrap/>
            <w:vAlign w:val="center"/>
          </w:tcPr>
          <w:p w14:paraId="41C91128">
            <w:pPr>
              <w:widowControl/>
              <w:jc w:val="center"/>
              <w:textAlignment w:val="center"/>
              <w:rPr>
                <w:rFonts w:eastAsia="等线"/>
                <w:color w:val="000000"/>
                <w:szCs w:val="21"/>
              </w:rPr>
            </w:pPr>
            <w:r>
              <w:rPr>
                <w:rFonts w:eastAsia="等线"/>
                <w:color w:val="000000"/>
                <w:kern w:val="0"/>
                <w:szCs w:val="21"/>
                <w:lang w:bidi="ar"/>
              </w:rPr>
              <w:t>21%</w:t>
            </w:r>
          </w:p>
        </w:tc>
      </w:tr>
      <w:tr w14:paraId="4AF8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3A759322">
            <w:pPr>
              <w:widowControl/>
              <w:jc w:val="center"/>
              <w:textAlignment w:val="center"/>
              <w:rPr>
                <w:color w:val="000000"/>
                <w:szCs w:val="21"/>
              </w:rPr>
            </w:pPr>
            <w:r>
              <w:rPr>
                <w:color w:val="000000"/>
                <w:kern w:val="0"/>
                <w:szCs w:val="21"/>
                <w:lang w:bidi="ar"/>
              </w:rPr>
              <w:t>22</w:t>
            </w:r>
          </w:p>
        </w:tc>
        <w:tc>
          <w:tcPr>
            <w:tcW w:w="0" w:type="auto"/>
            <w:tcBorders>
              <w:tl2br w:val="nil"/>
              <w:tr2bl w:val="nil"/>
            </w:tcBorders>
            <w:shd w:val="clear" w:color="auto" w:fill="auto"/>
            <w:noWrap/>
            <w:vAlign w:val="center"/>
          </w:tcPr>
          <w:p w14:paraId="29492A82">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5E67E3F2">
            <w:pPr>
              <w:widowControl/>
              <w:jc w:val="center"/>
              <w:textAlignment w:val="center"/>
              <w:rPr>
                <w:rFonts w:eastAsia="等线"/>
                <w:color w:val="000000"/>
                <w:szCs w:val="21"/>
              </w:rPr>
            </w:pPr>
            <w:r>
              <w:rPr>
                <w:rFonts w:eastAsia="等线"/>
                <w:color w:val="000000"/>
                <w:kern w:val="0"/>
                <w:szCs w:val="21"/>
                <w:lang w:bidi="ar"/>
              </w:rPr>
              <w:t>16%</w:t>
            </w:r>
          </w:p>
        </w:tc>
        <w:tc>
          <w:tcPr>
            <w:tcW w:w="0" w:type="auto"/>
            <w:tcBorders>
              <w:tl2br w:val="nil"/>
              <w:tr2bl w:val="nil"/>
            </w:tcBorders>
            <w:shd w:val="clear" w:color="auto" w:fill="auto"/>
            <w:noWrap/>
            <w:vAlign w:val="center"/>
          </w:tcPr>
          <w:p w14:paraId="17BE45C1">
            <w:pPr>
              <w:widowControl/>
              <w:jc w:val="center"/>
              <w:textAlignment w:val="center"/>
              <w:rPr>
                <w:rFonts w:eastAsia="等线"/>
                <w:color w:val="000000"/>
                <w:szCs w:val="21"/>
              </w:rPr>
            </w:pPr>
            <w:r>
              <w:rPr>
                <w:rFonts w:eastAsia="等线"/>
                <w:color w:val="000000"/>
                <w:kern w:val="0"/>
                <w:szCs w:val="21"/>
                <w:lang w:bidi="ar"/>
              </w:rPr>
              <w:t>35%</w:t>
            </w:r>
          </w:p>
        </w:tc>
        <w:tc>
          <w:tcPr>
            <w:tcW w:w="0" w:type="auto"/>
            <w:tcBorders>
              <w:tl2br w:val="nil"/>
              <w:tr2bl w:val="nil"/>
            </w:tcBorders>
            <w:shd w:val="clear" w:color="auto" w:fill="auto"/>
            <w:noWrap/>
            <w:vAlign w:val="center"/>
          </w:tcPr>
          <w:p w14:paraId="118675E4">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0EB5F151">
            <w:pPr>
              <w:widowControl/>
              <w:jc w:val="center"/>
              <w:textAlignment w:val="center"/>
              <w:rPr>
                <w:rFonts w:eastAsia="等线"/>
                <w:color w:val="000000"/>
                <w:szCs w:val="21"/>
              </w:rPr>
            </w:pPr>
            <w:r>
              <w:rPr>
                <w:rFonts w:eastAsia="等线"/>
                <w:color w:val="000000"/>
                <w:kern w:val="0"/>
                <w:szCs w:val="21"/>
                <w:lang w:bidi="ar"/>
              </w:rPr>
              <w:t>30%</w:t>
            </w:r>
          </w:p>
        </w:tc>
        <w:tc>
          <w:tcPr>
            <w:tcW w:w="0" w:type="auto"/>
            <w:tcBorders>
              <w:tl2br w:val="nil"/>
              <w:tr2bl w:val="nil"/>
            </w:tcBorders>
            <w:shd w:val="clear" w:color="auto" w:fill="auto"/>
            <w:noWrap/>
            <w:vAlign w:val="center"/>
          </w:tcPr>
          <w:p w14:paraId="01A6C543">
            <w:pPr>
              <w:widowControl/>
              <w:jc w:val="center"/>
              <w:textAlignment w:val="center"/>
              <w:rPr>
                <w:rFonts w:eastAsia="等线"/>
                <w:color w:val="000000"/>
                <w:szCs w:val="21"/>
              </w:rPr>
            </w:pPr>
            <w:r>
              <w:rPr>
                <w:rFonts w:eastAsia="等线"/>
                <w:color w:val="000000"/>
                <w:kern w:val="0"/>
                <w:szCs w:val="21"/>
                <w:lang w:bidi="ar"/>
              </w:rPr>
              <w:t>23%</w:t>
            </w:r>
          </w:p>
        </w:tc>
        <w:tc>
          <w:tcPr>
            <w:tcW w:w="0" w:type="auto"/>
            <w:tcBorders>
              <w:tl2br w:val="nil"/>
              <w:tr2bl w:val="nil"/>
            </w:tcBorders>
            <w:shd w:val="clear" w:color="auto" w:fill="auto"/>
            <w:noWrap/>
            <w:vAlign w:val="center"/>
          </w:tcPr>
          <w:p w14:paraId="7129FAD9">
            <w:pPr>
              <w:jc w:val="center"/>
              <w:rPr>
                <w:rFonts w:eastAsia="等线"/>
                <w:color w:val="000000"/>
                <w:szCs w:val="21"/>
              </w:rPr>
            </w:pPr>
          </w:p>
        </w:tc>
        <w:tc>
          <w:tcPr>
            <w:tcW w:w="0" w:type="auto"/>
            <w:tcBorders>
              <w:tl2br w:val="nil"/>
              <w:tr2bl w:val="nil"/>
            </w:tcBorders>
            <w:shd w:val="clear" w:color="auto" w:fill="auto"/>
            <w:noWrap/>
            <w:vAlign w:val="center"/>
          </w:tcPr>
          <w:p w14:paraId="4E9DF8C9">
            <w:pPr>
              <w:widowControl/>
              <w:jc w:val="center"/>
              <w:textAlignment w:val="center"/>
              <w:rPr>
                <w:rFonts w:eastAsia="等线"/>
                <w:color w:val="000000"/>
                <w:szCs w:val="21"/>
              </w:rPr>
            </w:pPr>
            <w:r>
              <w:rPr>
                <w:rFonts w:eastAsia="等线"/>
                <w:color w:val="000000"/>
                <w:kern w:val="0"/>
                <w:szCs w:val="21"/>
                <w:lang w:bidi="ar"/>
              </w:rPr>
              <w:t>24%</w:t>
            </w:r>
          </w:p>
        </w:tc>
      </w:tr>
      <w:tr w14:paraId="5416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CD8DD9C">
            <w:pPr>
              <w:widowControl/>
              <w:jc w:val="center"/>
              <w:textAlignment w:val="center"/>
              <w:rPr>
                <w:color w:val="000000"/>
                <w:szCs w:val="21"/>
              </w:rPr>
            </w:pPr>
            <w:r>
              <w:rPr>
                <w:color w:val="000000"/>
                <w:kern w:val="0"/>
                <w:szCs w:val="21"/>
                <w:lang w:bidi="ar"/>
              </w:rPr>
              <w:t>23</w:t>
            </w:r>
          </w:p>
        </w:tc>
        <w:tc>
          <w:tcPr>
            <w:tcW w:w="0" w:type="auto"/>
            <w:tcBorders>
              <w:tl2br w:val="nil"/>
              <w:tr2bl w:val="nil"/>
            </w:tcBorders>
            <w:shd w:val="clear" w:color="auto" w:fill="auto"/>
            <w:noWrap/>
            <w:vAlign w:val="center"/>
          </w:tcPr>
          <w:p w14:paraId="0551D4A3">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556E876F">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248A32C9">
            <w:pPr>
              <w:widowControl/>
              <w:jc w:val="center"/>
              <w:textAlignment w:val="center"/>
              <w:rPr>
                <w:rFonts w:eastAsia="等线"/>
                <w:color w:val="000000"/>
                <w:szCs w:val="21"/>
              </w:rPr>
            </w:pPr>
            <w:r>
              <w:rPr>
                <w:rFonts w:eastAsia="等线"/>
                <w:color w:val="000000"/>
                <w:kern w:val="0"/>
                <w:szCs w:val="21"/>
                <w:lang w:bidi="ar"/>
              </w:rPr>
              <w:t>35%</w:t>
            </w:r>
          </w:p>
        </w:tc>
        <w:tc>
          <w:tcPr>
            <w:tcW w:w="0" w:type="auto"/>
            <w:tcBorders>
              <w:tl2br w:val="nil"/>
              <w:tr2bl w:val="nil"/>
            </w:tcBorders>
            <w:shd w:val="clear" w:color="auto" w:fill="auto"/>
            <w:noWrap/>
            <w:vAlign w:val="center"/>
          </w:tcPr>
          <w:p w14:paraId="7E4090E7">
            <w:pPr>
              <w:widowControl/>
              <w:jc w:val="center"/>
              <w:textAlignment w:val="center"/>
              <w:rPr>
                <w:rFonts w:eastAsia="等线"/>
                <w:color w:val="000000"/>
                <w:szCs w:val="21"/>
              </w:rPr>
            </w:pPr>
            <w:r>
              <w:rPr>
                <w:rFonts w:eastAsia="等线"/>
                <w:color w:val="000000"/>
                <w:kern w:val="0"/>
                <w:szCs w:val="21"/>
                <w:lang w:bidi="ar"/>
              </w:rPr>
              <w:t>19%</w:t>
            </w:r>
          </w:p>
        </w:tc>
        <w:tc>
          <w:tcPr>
            <w:tcW w:w="0" w:type="auto"/>
            <w:tcBorders>
              <w:tl2br w:val="nil"/>
              <w:tr2bl w:val="nil"/>
            </w:tcBorders>
            <w:shd w:val="clear" w:color="auto" w:fill="auto"/>
            <w:noWrap/>
            <w:vAlign w:val="center"/>
          </w:tcPr>
          <w:p w14:paraId="03271C59">
            <w:pPr>
              <w:widowControl/>
              <w:jc w:val="center"/>
              <w:textAlignment w:val="center"/>
              <w:rPr>
                <w:rFonts w:eastAsia="等线"/>
                <w:color w:val="000000"/>
                <w:szCs w:val="21"/>
              </w:rPr>
            </w:pPr>
            <w:r>
              <w:rPr>
                <w:rFonts w:eastAsia="等线"/>
                <w:color w:val="000000"/>
                <w:kern w:val="0"/>
                <w:szCs w:val="21"/>
                <w:lang w:bidi="ar"/>
              </w:rPr>
              <w:t>32%</w:t>
            </w:r>
          </w:p>
        </w:tc>
        <w:tc>
          <w:tcPr>
            <w:tcW w:w="0" w:type="auto"/>
            <w:tcBorders>
              <w:tl2br w:val="nil"/>
              <w:tr2bl w:val="nil"/>
            </w:tcBorders>
            <w:shd w:val="clear" w:color="auto" w:fill="auto"/>
            <w:noWrap/>
            <w:vAlign w:val="center"/>
          </w:tcPr>
          <w:p w14:paraId="200012EF">
            <w:pPr>
              <w:widowControl/>
              <w:jc w:val="center"/>
              <w:textAlignment w:val="center"/>
              <w:rPr>
                <w:rFonts w:eastAsia="等线"/>
                <w:color w:val="000000"/>
                <w:szCs w:val="21"/>
              </w:rPr>
            </w:pPr>
            <w:r>
              <w:rPr>
                <w:rFonts w:eastAsia="等线"/>
                <w:color w:val="000000"/>
                <w:kern w:val="0"/>
                <w:szCs w:val="21"/>
                <w:lang w:bidi="ar"/>
              </w:rPr>
              <w:t>24%</w:t>
            </w:r>
          </w:p>
        </w:tc>
        <w:tc>
          <w:tcPr>
            <w:tcW w:w="0" w:type="auto"/>
            <w:tcBorders>
              <w:tl2br w:val="nil"/>
              <w:tr2bl w:val="nil"/>
            </w:tcBorders>
            <w:shd w:val="clear" w:color="auto" w:fill="auto"/>
            <w:noWrap/>
            <w:vAlign w:val="center"/>
          </w:tcPr>
          <w:p w14:paraId="1CA3B98E">
            <w:pPr>
              <w:jc w:val="center"/>
              <w:rPr>
                <w:rFonts w:eastAsia="等线"/>
                <w:color w:val="000000"/>
                <w:szCs w:val="21"/>
              </w:rPr>
            </w:pPr>
          </w:p>
        </w:tc>
        <w:tc>
          <w:tcPr>
            <w:tcW w:w="0" w:type="auto"/>
            <w:tcBorders>
              <w:tl2br w:val="nil"/>
              <w:tr2bl w:val="nil"/>
            </w:tcBorders>
            <w:shd w:val="clear" w:color="auto" w:fill="auto"/>
            <w:noWrap/>
            <w:vAlign w:val="center"/>
          </w:tcPr>
          <w:p w14:paraId="4CCF6C1A">
            <w:pPr>
              <w:widowControl/>
              <w:jc w:val="center"/>
              <w:textAlignment w:val="center"/>
              <w:rPr>
                <w:rFonts w:eastAsia="等线"/>
                <w:color w:val="000000"/>
                <w:szCs w:val="21"/>
              </w:rPr>
            </w:pPr>
            <w:r>
              <w:rPr>
                <w:rFonts w:eastAsia="等线"/>
                <w:color w:val="000000"/>
                <w:kern w:val="0"/>
                <w:szCs w:val="21"/>
                <w:lang w:bidi="ar"/>
              </w:rPr>
              <w:t>25%</w:t>
            </w:r>
          </w:p>
        </w:tc>
      </w:tr>
      <w:tr w14:paraId="40E6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1B251537">
            <w:pPr>
              <w:widowControl/>
              <w:jc w:val="center"/>
              <w:textAlignment w:val="center"/>
              <w:rPr>
                <w:color w:val="000000"/>
                <w:szCs w:val="21"/>
              </w:rPr>
            </w:pPr>
            <w:r>
              <w:rPr>
                <w:color w:val="000000"/>
                <w:kern w:val="0"/>
                <w:szCs w:val="21"/>
                <w:lang w:bidi="ar"/>
              </w:rPr>
              <w:t>24</w:t>
            </w:r>
          </w:p>
        </w:tc>
        <w:tc>
          <w:tcPr>
            <w:tcW w:w="0" w:type="auto"/>
            <w:tcBorders>
              <w:tl2br w:val="nil"/>
              <w:tr2bl w:val="nil"/>
            </w:tcBorders>
            <w:shd w:val="clear" w:color="auto" w:fill="auto"/>
            <w:noWrap/>
            <w:vAlign w:val="center"/>
          </w:tcPr>
          <w:p w14:paraId="043BB7E3">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0C7DDE3D">
            <w:pPr>
              <w:widowControl/>
              <w:jc w:val="center"/>
              <w:textAlignment w:val="center"/>
              <w:rPr>
                <w:rFonts w:eastAsia="等线"/>
                <w:color w:val="000000"/>
                <w:szCs w:val="21"/>
              </w:rPr>
            </w:pPr>
            <w:r>
              <w:rPr>
                <w:rFonts w:eastAsia="等线"/>
                <w:color w:val="000000"/>
                <w:kern w:val="0"/>
                <w:szCs w:val="21"/>
                <w:lang w:bidi="ar"/>
              </w:rPr>
              <w:t>17%</w:t>
            </w:r>
          </w:p>
        </w:tc>
        <w:tc>
          <w:tcPr>
            <w:tcW w:w="0" w:type="auto"/>
            <w:tcBorders>
              <w:tl2br w:val="nil"/>
              <w:tr2bl w:val="nil"/>
            </w:tcBorders>
            <w:shd w:val="clear" w:color="auto" w:fill="auto"/>
            <w:noWrap/>
            <w:vAlign w:val="center"/>
          </w:tcPr>
          <w:p w14:paraId="4203990B">
            <w:pPr>
              <w:widowControl/>
              <w:jc w:val="center"/>
              <w:textAlignment w:val="center"/>
              <w:rPr>
                <w:rFonts w:eastAsia="等线"/>
                <w:color w:val="000000"/>
                <w:szCs w:val="21"/>
              </w:rPr>
            </w:pPr>
            <w:r>
              <w:rPr>
                <w:rFonts w:eastAsia="等线"/>
                <w:color w:val="000000"/>
                <w:kern w:val="0"/>
                <w:szCs w:val="21"/>
                <w:lang w:bidi="ar"/>
              </w:rPr>
              <w:t>37%</w:t>
            </w:r>
          </w:p>
        </w:tc>
        <w:tc>
          <w:tcPr>
            <w:tcW w:w="0" w:type="auto"/>
            <w:tcBorders>
              <w:tl2br w:val="nil"/>
              <w:tr2bl w:val="nil"/>
            </w:tcBorders>
            <w:shd w:val="clear" w:color="auto" w:fill="auto"/>
            <w:noWrap/>
            <w:vAlign w:val="center"/>
          </w:tcPr>
          <w:p w14:paraId="19F0CAD1">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44FB1298">
            <w:pPr>
              <w:widowControl/>
              <w:jc w:val="center"/>
              <w:textAlignment w:val="center"/>
              <w:rPr>
                <w:rFonts w:eastAsia="等线"/>
                <w:color w:val="000000"/>
                <w:szCs w:val="21"/>
              </w:rPr>
            </w:pPr>
            <w:r>
              <w:rPr>
                <w:rFonts w:eastAsia="等线"/>
                <w:color w:val="000000"/>
                <w:kern w:val="0"/>
                <w:szCs w:val="21"/>
                <w:lang w:bidi="ar"/>
              </w:rPr>
              <w:t>33%</w:t>
            </w:r>
          </w:p>
        </w:tc>
        <w:tc>
          <w:tcPr>
            <w:tcW w:w="0" w:type="auto"/>
            <w:tcBorders>
              <w:tl2br w:val="nil"/>
              <w:tr2bl w:val="nil"/>
            </w:tcBorders>
            <w:shd w:val="clear" w:color="auto" w:fill="auto"/>
            <w:noWrap/>
            <w:vAlign w:val="center"/>
          </w:tcPr>
          <w:p w14:paraId="1D43FEE3">
            <w:pPr>
              <w:widowControl/>
              <w:jc w:val="center"/>
              <w:textAlignment w:val="center"/>
              <w:rPr>
                <w:rFonts w:eastAsia="等线"/>
                <w:color w:val="000000"/>
                <w:szCs w:val="21"/>
              </w:rPr>
            </w:pPr>
            <w:r>
              <w:rPr>
                <w:rFonts w:eastAsia="等线"/>
                <w:color w:val="000000"/>
                <w:kern w:val="0"/>
                <w:szCs w:val="21"/>
                <w:lang w:bidi="ar"/>
              </w:rPr>
              <w:t>24%</w:t>
            </w:r>
          </w:p>
        </w:tc>
        <w:tc>
          <w:tcPr>
            <w:tcW w:w="0" w:type="auto"/>
            <w:tcBorders>
              <w:tl2br w:val="nil"/>
              <w:tr2bl w:val="nil"/>
            </w:tcBorders>
            <w:shd w:val="clear" w:color="auto" w:fill="auto"/>
            <w:noWrap/>
            <w:vAlign w:val="center"/>
          </w:tcPr>
          <w:p w14:paraId="51DC25C9">
            <w:pPr>
              <w:jc w:val="center"/>
              <w:rPr>
                <w:rFonts w:eastAsia="等线"/>
                <w:color w:val="000000"/>
                <w:szCs w:val="21"/>
              </w:rPr>
            </w:pPr>
          </w:p>
        </w:tc>
        <w:tc>
          <w:tcPr>
            <w:tcW w:w="0" w:type="auto"/>
            <w:tcBorders>
              <w:tl2br w:val="nil"/>
              <w:tr2bl w:val="nil"/>
            </w:tcBorders>
            <w:shd w:val="clear" w:color="auto" w:fill="auto"/>
            <w:noWrap/>
            <w:vAlign w:val="center"/>
          </w:tcPr>
          <w:p w14:paraId="45F0ED21">
            <w:pPr>
              <w:widowControl/>
              <w:jc w:val="center"/>
              <w:textAlignment w:val="center"/>
              <w:rPr>
                <w:rFonts w:eastAsia="等线"/>
                <w:color w:val="000000"/>
                <w:szCs w:val="21"/>
              </w:rPr>
            </w:pPr>
            <w:r>
              <w:rPr>
                <w:rFonts w:eastAsia="等线"/>
                <w:color w:val="000000"/>
                <w:kern w:val="0"/>
                <w:szCs w:val="21"/>
                <w:lang w:bidi="ar"/>
              </w:rPr>
              <w:t>28%</w:t>
            </w:r>
          </w:p>
        </w:tc>
      </w:tr>
      <w:tr w14:paraId="10EB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7FE21896">
            <w:pPr>
              <w:widowControl/>
              <w:jc w:val="center"/>
              <w:textAlignment w:val="center"/>
              <w:rPr>
                <w:color w:val="000000"/>
                <w:szCs w:val="21"/>
              </w:rPr>
            </w:pPr>
            <w:r>
              <w:rPr>
                <w:color w:val="000000"/>
                <w:kern w:val="0"/>
                <w:szCs w:val="21"/>
                <w:lang w:bidi="ar"/>
              </w:rPr>
              <w:t>25</w:t>
            </w:r>
          </w:p>
        </w:tc>
        <w:tc>
          <w:tcPr>
            <w:tcW w:w="0" w:type="auto"/>
            <w:tcBorders>
              <w:tl2br w:val="nil"/>
              <w:tr2bl w:val="nil"/>
            </w:tcBorders>
            <w:shd w:val="clear" w:color="auto" w:fill="auto"/>
            <w:noWrap/>
            <w:vAlign w:val="center"/>
          </w:tcPr>
          <w:p w14:paraId="774A3D68">
            <w:pPr>
              <w:widowControl/>
              <w:jc w:val="center"/>
              <w:textAlignment w:val="center"/>
              <w:rPr>
                <w:rFonts w:eastAsia="等线"/>
                <w:color w:val="000000"/>
                <w:szCs w:val="21"/>
              </w:rPr>
            </w:pPr>
            <w:r>
              <w:rPr>
                <w:rFonts w:eastAsia="等线"/>
                <w:color w:val="000000"/>
                <w:kern w:val="0"/>
                <w:szCs w:val="21"/>
                <w:lang w:bidi="ar"/>
              </w:rPr>
              <w:t>18%</w:t>
            </w:r>
          </w:p>
        </w:tc>
        <w:tc>
          <w:tcPr>
            <w:tcW w:w="0" w:type="auto"/>
            <w:tcBorders>
              <w:tl2br w:val="nil"/>
              <w:tr2bl w:val="nil"/>
            </w:tcBorders>
            <w:shd w:val="clear" w:color="auto" w:fill="auto"/>
            <w:noWrap/>
            <w:vAlign w:val="center"/>
          </w:tcPr>
          <w:p w14:paraId="4B855A1C">
            <w:pPr>
              <w:widowControl/>
              <w:jc w:val="center"/>
              <w:textAlignment w:val="center"/>
              <w:rPr>
                <w:rFonts w:eastAsia="等线"/>
                <w:color w:val="000000"/>
                <w:szCs w:val="21"/>
              </w:rPr>
            </w:pPr>
            <w:r>
              <w:rPr>
                <w:rFonts w:eastAsia="等线"/>
                <w:color w:val="000000"/>
                <w:kern w:val="0"/>
                <w:szCs w:val="21"/>
                <w:lang w:bidi="ar"/>
              </w:rPr>
              <w:t>19%</w:t>
            </w:r>
          </w:p>
        </w:tc>
        <w:tc>
          <w:tcPr>
            <w:tcW w:w="0" w:type="auto"/>
            <w:tcBorders>
              <w:tl2br w:val="nil"/>
              <w:tr2bl w:val="nil"/>
            </w:tcBorders>
            <w:shd w:val="clear" w:color="auto" w:fill="auto"/>
            <w:noWrap/>
            <w:vAlign w:val="center"/>
          </w:tcPr>
          <w:p w14:paraId="7C1DE413">
            <w:pPr>
              <w:widowControl/>
              <w:jc w:val="center"/>
              <w:textAlignment w:val="center"/>
              <w:rPr>
                <w:rFonts w:eastAsia="等线"/>
                <w:color w:val="000000"/>
                <w:szCs w:val="21"/>
              </w:rPr>
            </w:pPr>
            <w:r>
              <w:rPr>
                <w:rFonts w:eastAsia="等线"/>
                <w:color w:val="000000"/>
                <w:kern w:val="0"/>
                <w:szCs w:val="21"/>
                <w:lang w:bidi="ar"/>
              </w:rPr>
              <w:t>38%</w:t>
            </w:r>
          </w:p>
        </w:tc>
        <w:tc>
          <w:tcPr>
            <w:tcW w:w="0" w:type="auto"/>
            <w:tcBorders>
              <w:tl2br w:val="nil"/>
              <w:tr2bl w:val="nil"/>
            </w:tcBorders>
            <w:shd w:val="clear" w:color="auto" w:fill="auto"/>
            <w:noWrap/>
            <w:vAlign w:val="center"/>
          </w:tcPr>
          <w:p w14:paraId="3C2796C3">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1D490384">
            <w:pPr>
              <w:widowControl/>
              <w:jc w:val="center"/>
              <w:textAlignment w:val="center"/>
              <w:rPr>
                <w:rFonts w:eastAsia="等线"/>
                <w:color w:val="000000"/>
                <w:szCs w:val="21"/>
              </w:rPr>
            </w:pPr>
            <w:r>
              <w:rPr>
                <w:rFonts w:eastAsia="等线"/>
                <w:color w:val="000000"/>
                <w:kern w:val="0"/>
                <w:szCs w:val="21"/>
                <w:lang w:bidi="ar"/>
              </w:rPr>
              <w:t>36%</w:t>
            </w:r>
          </w:p>
        </w:tc>
        <w:tc>
          <w:tcPr>
            <w:tcW w:w="0" w:type="auto"/>
            <w:tcBorders>
              <w:tl2br w:val="nil"/>
              <w:tr2bl w:val="nil"/>
            </w:tcBorders>
            <w:shd w:val="clear" w:color="auto" w:fill="auto"/>
            <w:noWrap/>
            <w:vAlign w:val="center"/>
          </w:tcPr>
          <w:p w14:paraId="61AC5515">
            <w:pPr>
              <w:widowControl/>
              <w:jc w:val="center"/>
              <w:textAlignment w:val="center"/>
              <w:rPr>
                <w:rFonts w:eastAsia="等线"/>
                <w:color w:val="000000"/>
                <w:szCs w:val="21"/>
              </w:rPr>
            </w:pPr>
            <w:r>
              <w:rPr>
                <w:rFonts w:eastAsia="等线"/>
                <w:color w:val="000000"/>
                <w:kern w:val="0"/>
                <w:szCs w:val="21"/>
                <w:lang w:bidi="ar"/>
              </w:rPr>
              <w:t>26%</w:t>
            </w:r>
          </w:p>
        </w:tc>
        <w:tc>
          <w:tcPr>
            <w:tcW w:w="0" w:type="auto"/>
            <w:tcBorders>
              <w:tl2br w:val="nil"/>
              <w:tr2bl w:val="nil"/>
            </w:tcBorders>
            <w:shd w:val="clear" w:color="auto" w:fill="auto"/>
            <w:noWrap/>
            <w:vAlign w:val="center"/>
          </w:tcPr>
          <w:p w14:paraId="5B3144E5">
            <w:pPr>
              <w:jc w:val="center"/>
              <w:rPr>
                <w:rFonts w:eastAsia="等线"/>
                <w:color w:val="000000"/>
                <w:szCs w:val="21"/>
              </w:rPr>
            </w:pPr>
          </w:p>
        </w:tc>
        <w:tc>
          <w:tcPr>
            <w:tcW w:w="0" w:type="auto"/>
            <w:tcBorders>
              <w:tl2br w:val="nil"/>
              <w:tr2bl w:val="nil"/>
            </w:tcBorders>
            <w:shd w:val="clear" w:color="auto" w:fill="auto"/>
            <w:noWrap/>
            <w:vAlign w:val="center"/>
          </w:tcPr>
          <w:p w14:paraId="12F81118">
            <w:pPr>
              <w:widowControl/>
              <w:jc w:val="center"/>
              <w:textAlignment w:val="center"/>
              <w:rPr>
                <w:rFonts w:eastAsia="等线"/>
                <w:color w:val="000000"/>
                <w:szCs w:val="21"/>
              </w:rPr>
            </w:pPr>
            <w:r>
              <w:rPr>
                <w:rFonts w:eastAsia="等线"/>
                <w:color w:val="000000"/>
                <w:kern w:val="0"/>
                <w:szCs w:val="21"/>
                <w:lang w:bidi="ar"/>
              </w:rPr>
              <w:t>29%</w:t>
            </w:r>
          </w:p>
        </w:tc>
      </w:tr>
      <w:tr w14:paraId="7C33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1DAC3AD">
            <w:pPr>
              <w:widowControl/>
              <w:jc w:val="center"/>
              <w:textAlignment w:val="center"/>
              <w:rPr>
                <w:color w:val="000000"/>
                <w:szCs w:val="21"/>
              </w:rPr>
            </w:pPr>
            <w:r>
              <w:rPr>
                <w:color w:val="000000"/>
                <w:kern w:val="0"/>
                <w:szCs w:val="21"/>
                <w:lang w:bidi="ar"/>
              </w:rPr>
              <w:t>26</w:t>
            </w:r>
          </w:p>
        </w:tc>
        <w:tc>
          <w:tcPr>
            <w:tcW w:w="0" w:type="auto"/>
            <w:tcBorders>
              <w:tl2br w:val="nil"/>
              <w:tr2bl w:val="nil"/>
            </w:tcBorders>
            <w:shd w:val="clear" w:color="auto" w:fill="auto"/>
            <w:noWrap/>
            <w:vAlign w:val="center"/>
          </w:tcPr>
          <w:p w14:paraId="1607D920">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5189E08B">
            <w:pPr>
              <w:widowControl/>
              <w:jc w:val="center"/>
              <w:textAlignment w:val="center"/>
              <w:rPr>
                <w:rFonts w:eastAsia="等线"/>
                <w:color w:val="000000"/>
                <w:szCs w:val="21"/>
              </w:rPr>
            </w:pPr>
            <w:r>
              <w:rPr>
                <w:rFonts w:eastAsia="等线"/>
                <w:color w:val="000000"/>
                <w:kern w:val="0"/>
                <w:szCs w:val="21"/>
                <w:lang w:bidi="ar"/>
              </w:rPr>
              <w:t>20%</w:t>
            </w:r>
          </w:p>
        </w:tc>
        <w:tc>
          <w:tcPr>
            <w:tcW w:w="0" w:type="auto"/>
            <w:tcBorders>
              <w:tl2br w:val="nil"/>
              <w:tr2bl w:val="nil"/>
            </w:tcBorders>
            <w:shd w:val="clear" w:color="auto" w:fill="auto"/>
            <w:noWrap/>
            <w:vAlign w:val="center"/>
          </w:tcPr>
          <w:p w14:paraId="7761D87E">
            <w:pPr>
              <w:widowControl/>
              <w:jc w:val="center"/>
              <w:textAlignment w:val="center"/>
              <w:rPr>
                <w:rFonts w:eastAsia="等线"/>
                <w:color w:val="000000"/>
                <w:szCs w:val="21"/>
              </w:rPr>
            </w:pPr>
            <w:r>
              <w:rPr>
                <w:rFonts w:eastAsia="等线"/>
                <w:color w:val="000000"/>
                <w:kern w:val="0"/>
                <w:szCs w:val="21"/>
                <w:lang w:bidi="ar"/>
              </w:rPr>
              <w:t>38%</w:t>
            </w:r>
          </w:p>
        </w:tc>
        <w:tc>
          <w:tcPr>
            <w:tcW w:w="0" w:type="auto"/>
            <w:tcBorders>
              <w:tl2br w:val="nil"/>
              <w:tr2bl w:val="nil"/>
            </w:tcBorders>
            <w:shd w:val="clear" w:color="auto" w:fill="auto"/>
            <w:noWrap/>
            <w:vAlign w:val="center"/>
          </w:tcPr>
          <w:p w14:paraId="152CE3D4">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474757B5">
            <w:pPr>
              <w:widowControl/>
              <w:jc w:val="center"/>
              <w:textAlignment w:val="center"/>
              <w:rPr>
                <w:rFonts w:eastAsia="等线"/>
                <w:color w:val="000000"/>
                <w:szCs w:val="21"/>
              </w:rPr>
            </w:pPr>
            <w:r>
              <w:rPr>
                <w:rFonts w:eastAsia="等线"/>
                <w:color w:val="000000"/>
                <w:kern w:val="0"/>
                <w:szCs w:val="21"/>
                <w:lang w:bidi="ar"/>
              </w:rPr>
              <w:t>39%</w:t>
            </w:r>
          </w:p>
        </w:tc>
        <w:tc>
          <w:tcPr>
            <w:tcW w:w="0" w:type="auto"/>
            <w:tcBorders>
              <w:tl2br w:val="nil"/>
              <w:tr2bl w:val="nil"/>
            </w:tcBorders>
            <w:shd w:val="clear" w:color="auto" w:fill="auto"/>
            <w:noWrap/>
            <w:vAlign w:val="center"/>
          </w:tcPr>
          <w:p w14:paraId="5474E7BF">
            <w:pPr>
              <w:widowControl/>
              <w:jc w:val="center"/>
              <w:textAlignment w:val="center"/>
              <w:rPr>
                <w:rFonts w:eastAsia="等线"/>
                <w:color w:val="000000"/>
                <w:szCs w:val="21"/>
              </w:rPr>
            </w:pPr>
            <w:r>
              <w:rPr>
                <w:rFonts w:eastAsia="等线"/>
                <w:color w:val="000000"/>
                <w:kern w:val="0"/>
                <w:szCs w:val="21"/>
                <w:lang w:bidi="ar"/>
              </w:rPr>
              <w:t>28%</w:t>
            </w:r>
          </w:p>
        </w:tc>
        <w:tc>
          <w:tcPr>
            <w:tcW w:w="0" w:type="auto"/>
            <w:tcBorders>
              <w:tl2br w:val="nil"/>
              <w:tr2bl w:val="nil"/>
            </w:tcBorders>
            <w:shd w:val="clear" w:color="auto" w:fill="auto"/>
            <w:noWrap/>
            <w:vAlign w:val="center"/>
          </w:tcPr>
          <w:p w14:paraId="36DAF674">
            <w:pPr>
              <w:jc w:val="center"/>
              <w:rPr>
                <w:rFonts w:eastAsia="等线"/>
                <w:color w:val="000000"/>
                <w:szCs w:val="21"/>
              </w:rPr>
            </w:pPr>
          </w:p>
        </w:tc>
        <w:tc>
          <w:tcPr>
            <w:tcW w:w="0" w:type="auto"/>
            <w:tcBorders>
              <w:tl2br w:val="nil"/>
              <w:tr2bl w:val="nil"/>
            </w:tcBorders>
            <w:shd w:val="clear" w:color="auto" w:fill="auto"/>
            <w:noWrap/>
            <w:vAlign w:val="center"/>
          </w:tcPr>
          <w:p w14:paraId="2D10C5C9">
            <w:pPr>
              <w:widowControl/>
              <w:jc w:val="center"/>
              <w:textAlignment w:val="center"/>
              <w:rPr>
                <w:rFonts w:eastAsia="等线"/>
                <w:color w:val="000000"/>
                <w:szCs w:val="21"/>
              </w:rPr>
            </w:pPr>
            <w:r>
              <w:rPr>
                <w:rFonts w:eastAsia="等线"/>
                <w:color w:val="000000"/>
                <w:kern w:val="0"/>
                <w:szCs w:val="21"/>
                <w:lang w:bidi="ar"/>
              </w:rPr>
              <w:t>29%</w:t>
            </w:r>
          </w:p>
        </w:tc>
      </w:tr>
      <w:tr w14:paraId="60C2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2733EFC6">
            <w:pPr>
              <w:widowControl/>
              <w:jc w:val="center"/>
              <w:textAlignment w:val="center"/>
              <w:rPr>
                <w:color w:val="000000"/>
                <w:szCs w:val="21"/>
              </w:rPr>
            </w:pPr>
            <w:r>
              <w:rPr>
                <w:color w:val="000000"/>
                <w:kern w:val="0"/>
                <w:szCs w:val="21"/>
                <w:lang w:bidi="ar"/>
              </w:rPr>
              <w:t>27</w:t>
            </w:r>
          </w:p>
        </w:tc>
        <w:tc>
          <w:tcPr>
            <w:tcW w:w="0" w:type="auto"/>
            <w:tcBorders>
              <w:tl2br w:val="nil"/>
              <w:tr2bl w:val="nil"/>
            </w:tcBorders>
            <w:shd w:val="clear" w:color="auto" w:fill="auto"/>
            <w:noWrap/>
            <w:vAlign w:val="center"/>
          </w:tcPr>
          <w:p w14:paraId="42F003DA">
            <w:pPr>
              <w:widowControl/>
              <w:jc w:val="center"/>
              <w:textAlignment w:val="center"/>
              <w:rPr>
                <w:rFonts w:eastAsia="等线"/>
                <w:color w:val="000000"/>
                <w:szCs w:val="21"/>
              </w:rPr>
            </w:pPr>
            <w:r>
              <w:rPr>
                <w:rFonts w:eastAsia="等线"/>
                <w:color w:val="000000"/>
                <w:kern w:val="0"/>
                <w:szCs w:val="21"/>
                <w:lang w:bidi="ar"/>
              </w:rPr>
              <w:t>23%</w:t>
            </w:r>
          </w:p>
        </w:tc>
        <w:tc>
          <w:tcPr>
            <w:tcW w:w="0" w:type="auto"/>
            <w:tcBorders>
              <w:tl2br w:val="nil"/>
              <w:tr2bl w:val="nil"/>
            </w:tcBorders>
            <w:shd w:val="clear" w:color="auto" w:fill="auto"/>
            <w:noWrap/>
            <w:vAlign w:val="center"/>
          </w:tcPr>
          <w:p w14:paraId="7CB8702B">
            <w:pPr>
              <w:widowControl/>
              <w:jc w:val="center"/>
              <w:textAlignment w:val="center"/>
              <w:rPr>
                <w:rFonts w:eastAsia="等线"/>
                <w:color w:val="000000"/>
                <w:szCs w:val="21"/>
              </w:rPr>
            </w:pPr>
            <w:r>
              <w:rPr>
                <w:rFonts w:eastAsia="等线"/>
                <w:color w:val="000000"/>
                <w:kern w:val="0"/>
                <w:szCs w:val="21"/>
                <w:lang w:bidi="ar"/>
              </w:rPr>
              <w:t>21%</w:t>
            </w:r>
          </w:p>
        </w:tc>
        <w:tc>
          <w:tcPr>
            <w:tcW w:w="0" w:type="auto"/>
            <w:tcBorders>
              <w:tl2br w:val="nil"/>
              <w:tr2bl w:val="nil"/>
            </w:tcBorders>
            <w:shd w:val="clear" w:color="auto" w:fill="auto"/>
            <w:noWrap/>
            <w:vAlign w:val="center"/>
          </w:tcPr>
          <w:p w14:paraId="5BED200B">
            <w:pPr>
              <w:widowControl/>
              <w:jc w:val="center"/>
              <w:textAlignment w:val="center"/>
              <w:rPr>
                <w:rFonts w:eastAsia="等线"/>
                <w:color w:val="000000"/>
                <w:szCs w:val="21"/>
              </w:rPr>
            </w:pPr>
            <w:r>
              <w:rPr>
                <w:rFonts w:eastAsia="等线"/>
                <w:color w:val="000000"/>
                <w:kern w:val="0"/>
                <w:szCs w:val="21"/>
                <w:lang w:bidi="ar"/>
              </w:rPr>
              <w:t>39%</w:t>
            </w:r>
          </w:p>
        </w:tc>
        <w:tc>
          <w:tcPr>
            <w:tcW w:w="0" w:type="auto"/>
            <w:tcBorders>
              <w:tl2br w:val="nil"/>
              <w:tr2bl w:val="nil"/>
            </w:tcBorders>
            <w:shd w:val="clear" w:color="auto" w:fill="auto"/>
            <w:noWrap/>
            <w:vAlign w:val="center"/>
          </w:tcPr>
          <w:p w14:paraId="06ECCA2E">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080F702F">
            <w:pPr>
              <w:widowControl/>
              <w:jc w:val="center"/>
              <w:textAlignment w:val="center"/>
              <w:rPr>
                <w:rFonts w:eastAsia="等线"/>
                <w:color w:val="000000"/>
                <w:szCs w:val="21"/>
              </w:rPr>
            </w:pPr>
            <w:r>
              <w:rPr>
                <w:rFonts w:eastAsia="等线"/>
                <w:color w:val="000000"/>
                <w:kern w:val="0"/>
                <w:szCs w:val="21"/>
                <w:lang w:bidi="ar"/>
              </w:rPr>
              <w:t>40%</w:t>
            </w:r>
          </w:p>
        </w:tc>
        <w:tc>
          <w:tcPr>
            <w:tcW w:w="0" w:type="auto"/>
            <w:tcBorders>
              <w:tl2br w:val="nil"/>
              <w:tr2bl w:val="nil"/>
            </w:tcBorders>
            <w:shd w:val="clear" w:color="auto" w:fill="auto"/>
            <w:noWrap/>
            <w:vAlign w:val="center"/>
          </w:tcPr>
          <w:p w14:paraId="53FE545E">
            <w:pPr>
              <w:widowControl/>
              <w:jc w:val="center"/>
              <w:textAlignment w:val="center"/>
              <w:rPr>
                <w:rFonts w:eastAsia="等线"/>
                <w:color w:val="000000"/>
                <w:szCs w:val="21"/>
              </w:rPr>
            </w:pPr>
            <w:r>
              <w:rPr>
                <w:rFonts w:eastAsia="等线"/>
                <w:color w:val="000000"/>
                <w:kern w:val="0"/>
                <w:szCs w:val="21"/>
                <w:lang w:bidi="ar"/>
              </w:rPr>
              <w:t>30%</w:t>
            </w:r>
          </w:p>
        </w:tc>
        <w:tc>
          <w:tcPr>
            <w:tcW w:w="0" w:type="auto"/>
            <w:tcBorders>
              <w:tl2br w:val="nil"/>
              <w:tr2bl w:val="nil"/>
            </w:tcBorders>
            <w:shd w:val="clear" w:color="auto" w:fill="auto"/>
            <w:noWrap/>
            <w:vAlign w:val="center"/>
          </w:tcPr>
          <w:p w14:paraId="1ECDD77A">
            <w:pPr>
              <w:jc w:val="center"/>
              <w:rPr>
                <w:rFonts w:eastAsia="等线"/>
                <w:color w:val="000000"/>
                <w:szCs w:val="21"/>
              </w:rPr>
            </w:pPr>
          </w:p>
        </w:tc>
        <w:tc>
          <w:tcPr>
            <w:tcW w:w="0" w:type="auto"/>
            <w:tcBorders>
              <w:tl2br w:val="nil"/>
              <w:tr2bl w:val="nil"/>
            </w:tcBorders>
            <w:shd w:val="clear" w:color="auto" w:fill="auto"/>
            <w:noWrap/>
            <w:vAlign w:val="center"/>
          </w:tcPr>
          <w:p w14:paraId="4B261BD9">
            <w:pPr>
              <w:widowControl/>
              <w:jc w:val="center"/>
              <w:textAlignment w:val="center"/>
              <w:rPr>
                <w:rFonts w:eastAsia="等线"/>
                <w:color w:val="000000"/>
                <w:szCs w:val="21"/>
              </w:rPr>
            </w:pPr>
            <w:r>
              <w:rPr>
                <w:rFonts w:eastAsia="等线"/>
                <w:color w:val="000000"/>
                <w:kern w:val="0"/>
                <w:szCs w:val="21"/>
                <w:lang w:bidi="ar"/>
              </w:rPr>
              <w:t>29%</w:t>
            </w:r>
          </w:p>
        </w:tc>
      </w:tr>
      <w:tr w14:paraId="1641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669BA7E9">
            <w:pPr>
              <w:widowControl/>
              <w:jc w:val="center"/>
              <w:textAlignment w:val="center"/>
              <w:rPr>
                <w:color w:val="000000"/>
                <w:szCs w:val="21"/>
              </w:rPr>
            </w:pPr>
            <w:r>
              <w:rPr>
                <w:color w:val="000000"/>
                <w:kern w:val="0"/>
                <w:szCs w:val="21"/>
                <w:lang w:bidi="ar"/>
              </w:rPr>
              <w:t>28</w:t>
            </w:r>
          </w:p>
        </w:tc>
        <w:tc>
          <w:tcPr>
            <w:tcW w:w="0" w:type="auto"/>
            <w:tcBorders>
              <w:tl2br w:val="nil"/>
              <w:tr2bl w:val="nil"/>
            </w:tcBorders>
            <w:shd w:val="clear" w:color="auto" w:fill="auto"/>
            <w:noWrap/>
            <w:vAlign w:val="center"/>
          </w:tcPr>
          <w:p w14:paraId="5A0ED48B">
            <w:pPr>
              <w:widowControl/>
              <w:jc w:val="center"/>
              <w:textAlignment w:val="center"/>
              <w:rPr>
                <w:rFonts w:eastAsia="等线"/>
                <w:color w:val="000000"/>
                <w:szCs w:val="21"/>
              </w:rPr>
            </w:pPr>
            <w:r>
              <w:rPr>
                <w:rFonts w:eastAsia="等线"/>
                <w:color w:val="000000"/>
                <w:kern w:val="0"/>
                <w:szCs w:val="21"/>
                <w:lang w:bidi="ar"/>
              </w:rPr>
              <w:t>27%</w:t>
            </w:r>
          </w:p>
        </w:tc>
        <w:tc>
          <w:tcPr>
            <w:tcW w:w="0" w:type="auto"/>
            <w:tcBorders>
              <w:tl2br w:val="nil"/>
              <w:tr2bl w:val="nil"/>
            </w:tcBorders>
            <w:shd w:val="clear" w:color="auto" w:fill="auto"/>
            <w:noWrap/>
            <w:vAlign w:val="center"/>
          </w:tcPr>
          <w:p w14:paraId="257A7C43">
            <w:pPr>
              <w:widowControl/>
              <w:jc w:val="center"/>
              <w:textAlignment w:val="center"/>
              <w:rPr>
                <w:rFonts w:eastAsia="等线"/>
                <w:color w:val="000000"/>
                <w:szCs w:val="21"/>
              </w:rPr>
            </w:pPr>
            <w:r>
              <w:rPr>
                <w:rFonts w:eastAsia="等线"/>
                <w:color w:val="000000"/>
                <w:kern w:val="0"/>
                <w:szCs w:val="21"/>
                <w:lang w:bidi="ar"/>
              </w:rPr>
              <w:t>22%</w:t>
            </w:r>
          </w:p>
        </w:tc>
        <w:tc>
          <w:tcPr>
            <w:tcW w:w="0" w:type="auto"/>
            <w:tcBorders>
              <w:tl2br w:val="nil"/>
              <w:tr2bl w:val="nil"/>
            </w:tcBorders>
            <w:shd w:val="clear" w:color="auto" w:fill="auto"/>
            <w:noWrap/>
            <w:vAlign w:val="center"/>
          </w:tcPr>
          <w:p w14:paraId="0594ECC7">
            <w:pPr>
              <w:widowControl/>
              <w:jc w:val="center"/>
              <w:textAlignment w:val="center"/>
              <w:rPr>
                <w:rFonts w:eastAsia="等线"/>
                <w:color w:val="000000"/>
                <w:szCs w:val="21"/>
              </w:rPr>
            </w:pPr>
            <w:r>
              <w:rPr>
                <w:rFonts w:eastAsia="等线"/>
                <w:color w:val="000000"/>
                <w:kern w:val="0"/>
                <w:szCs w:val="21"/>
                <w:lang w:bidi="ar"/>
              </w:rPr>
              <w:t>42%</w:t>
            </w:r>
          </w:p>
        </w:tc>
        <w:tc>
          <w:tcPr>
            <w:tcW w:w="0" w:type="auto"/>
            <w:tcBorders>
              <w:tl2br w:val="nil"/>
              <w:tr2bl w:val="nil"/>
            </w:tcBorders>
            <w:shd w:val="clear" w:color="auto" w:fill="auto"/>
            <w:noWrap/>
            <w:vAlign w:val="center"/>
          </w:tcPr>
          <w:p w14:paraId="235EAA35">
            <w:pPr>
              <w:widowControl/>
              <w:jc w:val="center"/>
              <w:textAlignment w:val="center"/>
              <w:rPr>
                <w:rFonts w:eastAsia="等线"/>
                <w:color w:val="000000"/>
                <w:szCs w:val="21"/>
              </w:rPr>
            </w:pPr>
            <w:r>
              <w:rPr>
                <w:rFonts w:eastAsia="等线"/>
                <w:color w:val="000000"/>
                <w:kern w:val="0"/>
                <w:szCs w:val="21"/>
                <w:lang w:bidi="ar"/>
              </w:rPr>
              <w:t>24%</w:t>
            </w:r>
          </w:p>
        </w:tc>
        <w:tc>
          <w:tcPr>
            <w:tcW w:w="0" w:type="auto"/>
            <w:tcBorders>
              <w:tl2br w:val="nil"/>
              <w:tr2bl w:val="nil"/>
            </w:tcBorders>
            <w:shd w:val="clear" w:color="auto" w:fill="auto"/>
            <w:noWrap/>
            <w:vAlign w:val="center"/>
          </w:tcPr>
          <w:p w14:paraId="0245BC52">
            <w:pPr>
              <w:widowControl/>
              <w:jc w:val="center"/>
              <w:textAlignment w:val="center"/>
              <w:rPr>
                <w:rFonts w:eastAsia="等线"/>
                <w:color w:val="000000"/>
                <w:szCs w:val="21"/>
              </w:rPr>
            </w:pPr>
            <w:r>
              <w:rPr>
                <w:rFonts w:eastAsia="等线"/>
                <w:color w:val="000000"/>
                <w:kern w:val="0"/>
                <w:szCs w:val="21"/>
                <w:lang w:bidi="ar"/>
              </w:rPr>
              <w:t>41%</w:t>
            </w:r>
          </w:p>
        </w:tc>
        <w:tc>
          <w:tcPr>
            <w:tcW w:w="0" w:type="auto"/>
            <w:tcBorders>
              <w:tl2br w:val="nil"/>
              <w:tr2bl w:val="nil"/>
            </w:tcBorders>
            <w:shd w:val="clear" w:color="auto" w:fill="auto"/>
            <w:noWrap/>
            <w:vAlign w:val="center"/>
          </w:tcPr>
          <w:p w14:paraId="4FA2D158">
            <w:pPr>
              <w:widowControl/>
              <w:jc w:val="center"/>
              <w:textAlignment w:val="center"/>
              <w:rPr>
                <w:rFonts w:eastAsia="等线"/>
                <w:color w:val="000000"/>
                <w:szCs w:val="21"/>
              </w:rPr>
            </w:pPr>
            <w:r>
              <w:rPr>
                <w:rFonts w:eastAsia="等线"/>
                <w:color w:val="000000"/>
                <w:kern w:val="0"/>
                <w:szCs w:val="21"/>
                <w:lang w:bidi="ar"/>
              </w:rPr>
              <w:t>30%</w:t>
            </w:r>
          </w:p>
        </w:tc>
        <w:tc>
          <w:tcPr>
            <w:tcW w:w="0" w:type="auto"/>
            <w:tcBorders>
              <w:tl2br w:val="nil"/>
              <w:tr2bl w:val="nil"/>
            </w:tcBorders>
            <w:shd w:val="clear" w:color="auto" w:fill="auto"/>
            <w:noWrap/>
            <w:vAlign w:val="center"/>
          </w:tcPr>
          <w:p w14:paraId="3730CD3E">
            <w:pPr>
              <w:jc w:val="center"/>
              <w:rPr>
                <w:rFonts w:eastAsia="等线"/>
                <w:color w:val="000000"/>
                <w:szCs w:val="21"/>
              </w:rPr>
            </w:pPr>
          </w:p>
        </w:tc>
        <w:tc>
          <w:tcPr>
            <w:tcW w:w="0" w:type="auto"/>
            <w:tcBorders>
              <w:tl2br w:val="nil"/>
              <w:tr2bl w:val="nil"/>
            </w:tcBorders>
            <w:shd w:val="clear" w:color="auto" w:fill="auto"/>
            <w:noWrap/>
            <w:vAlign w:val="center"/>
          </w:tcPr>
          <w:p w14:paraId="7AA46E66">
            <w:pPr>
              <w:widowControl/>
              <w:jc w:val="center"/>
              <w:textAlignment w:val="center"/>
              <w:rPr>
                <w:rFonts w:eastAsia="等线"/>
                <w:color w:val="000000"/>
                <w:szCs w:val="21"/>
              </w:rPr>
            </w:pPr>
            <w:r>
              <w:rPr>
                <w:rFonts w:eastAsia="等线"/>
                <w:color w:val="000000"/>
                <w:kern w:val="0"/>
                <w:szCs w:val="21"/>
                <w:lang w:bidi="ar"/>
              </w:rPr>
              <w:t>30%</w:t>
            </w:r>
          </w:p>
        </w:tc>
      </w:tr>
      <w:tr w14:paraId="09F5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00829FE0">
            <w:pPr>
              <w:widowControl/>
              <w:jc w:val="center"/>
              <w:textAlignment w:val="center"/>
              <w:rPr>
                <w:color w:val="000000"/>
                <w:szCs w:val="21"/>
              </w:rPr>
            </w:pPr>
            <w:r>
              <w:rPr>
                <w:color w:val="000000"/>
                <w:kern w:val="0"/>
                <w:szCs w:val="21"/>
                <w:lang w:bidi="ar"/>
              </w:rPr>
              <w:t>29</w:t>
            </w:r>
          </w:p>
        </w:tc>
        <w:tc>
          <w:tcPr>
            <w:tcW w:w="0" w:type="auto"/>
            <w:tcBorders>
              <w:tl2br w:val="nil"/>
              <w:tr2bl w:val="nil"/>
            </w:tcBorders>
            <w:shd w:val="clear" w:color="auto" w:fill="auto"/>
            <w:noWrap/>
            <w:vAlign w:val="center"/>
          </w:tcPr>
          <w:p w14:paraId="2DD1F93F">
            <w:pPr>
              <w:widowControl/>
              <w:jc w:val="center"/>
              <w:textAlignment w:val="center"/>
              <w:rPr>
                <w:rFonts w:eastAsia="等线"/>
                <w:color w:val="000000"/>
                <w:szCs w:val="21"/>
              </w:rPr>
            </w:pPr>
            <w:r>
              <w:rPr>
                <w:rFonts w:eastAsia="等线"/>
                <w:color w:val="000000"/>
                <w:kern w:val="0"/>
                <w:szCs w:val="21"/>
                <w:lang w:bidi="ar"/>
              </w:rPr>
              <w:t>29%</w:t>
            </w:r>
          </w:p>
        </w:tc>
        <w:tc>
          <w:tcPr>
            <w:tcW w:w="0" w:type="auto"/>
            <w:tcBorders>
              <w:tl2br w:val="nil"/>
              <w:tr2bl w:val="nil"/>
            </w:tcBorders>
            <w:shd w:val="clear" w:color="auto" w:fill="auto"/>
            <w:noWrap/>
            <w:vAlign w:val="center"/>
          </w:tcPr>
          <w:p w14:paraId="4D051DE8">
            <w:pPr>
              <w:widowControl/>
              <w:jc w:val="center"/>
              <w:textAlignment w:val="center"/>
              <w:rPr>
                <w:rFonts w:eastAsia="等线"/>
                <w:color w:val="000000"/>
                <w:szCs w:val="21"/>
              </w:rPr>
            </w:pPr>
            <w:r>
              <w:rPr>
                <w:rFonts w:eastAsia="等线"/>
                <w:color w:val="000000"/>
                <w:kern w:val="0"/>
                <w:szCs w:val="21"/>
                <w:lang w:bidi="ar"/>
              </w:rPr>
              <w:t>23%</w:t>
            </w:r>
          </w:p>
        </w:tc>
        <w:tc>
          <w:tcPr>
            <w:tcW w:w="0" w:type="auto"/>
            <w:tcBorders>
              <w:tl2br w:val="nil"/>
              <w:tr2bl w:val="nil"/>
            </w:tcBorders>
            <w:shd w:val="clear" w:color="auto" w:fill="auto"/>
            <w:noWrap/>
            <w:vAlign w:val="center"/>
          </w:tcPr>
          <w:p w14:paraId="40063DAD">
            <w:pPr>
              <w:widowControl/>
              <w:jc w:val="center"/>
              <w:textAlignment w:val="center"/>
              <w:rPr>
                <w:rFonts w:eastAsia="等线"/>
                <w:color w:val="000000"/>
                <w:szCs w:val="21"/>
              </w:rPr>
            </w:pPr>
            <w:r>
              <w:rPr>
                <w:rFonts w:eastAsia="等线"/>
                <w:color w:val="000000"/>
                <w:kern w:val="0"/>
                <w:szCs w:val="21"/>
                <w:lang w:bidi="ar"/>
              </w:rPr>
              <w:t>42%</w:t>
            </w:r>
          </w:p>
        </w:tc>
        <w:tc>
          <w:tcPr>
            <w:tcW w:w="0" w:type="auto"/>
            <w:tcBorders>
              <w:tl2br w:val="nil"/>
              <w:tr2bl w:val="nil"/>
            </w:tcBorders>
            <w:shd w:val="clear" w:color="auto" w:fill="auto"/>
            <w:noWrap/>
            <w:vAlign w:val="center"/>
          </w:tcPr>
          <w:p w14:paraId="48560AB7">
            <w:pPr>
              <w:widowControl/>
              <w:jc w:val="center"/>
              <w:textAlignment w:val="center"/>
              <w:rPr>
                <w:rFonts w:eastAsia="等线"/>
                <w:color w:val="000000"/>
                <w:szCs w:val="21"/>
              </w:rPr>
            </w:pPr>
            <w:r>
              <w:rPr>
                <w:rFonts w:eastAsia="等线"/>
                <w:color w:val="000000"/>
                <w:kern w:val="0"/>
                <w:szCs w:val="21"/>
                <w:lang w:bidi="ar"/>
              </w:rPr>
              <w:t>31%</w:t>
            </w:r>
          </w:p>
        </w:tc>
        <w:tc>
          <w:tcPr>
            <w:tcW w:w="0" w:type="auto"/>
            <w:tcBorders>
              <w:tl2br w:val="nil"/>
              <w:tr2bl w:val="nil"/>
            </w:tcBorders>
            <w:shd w:val="clear" w:color="auto" w:fill="auto"/>
            <w:noWrap/>
            <w:vAlign w:val="center"/>
          </w:tcPr>
          <w:p w14:paraId="642D3C56">
            <w:pPr>
              <w:widowControl/>
              <w:jc w:val="center"/>
              <w:textAlignment w:val="center"/>
              <w:rPr>
                <w:rFonts w:eastAsia="等线"/>
                <w:color w:val="000000"/>
                <w:szCs w:val="21"/>
              </w:rPr>
            </w:pPr>
            <w:r>
              <w:rPr>
                <w:rFonts w:eastAsia="等线"/>
                <w:color w:val="000000"/>
                <w:kern w:val="0"/>
                <w:szCs w:val="21"/>
                <w:lang w:bidi="ar"/>
              </w:rPr>
              <w:t>45%</w:t>
            </w:r>
          </w:p>
        </w:tc>
        <w:tc>
          <w:tcPr>
            <w:tcW w:w="0" w:type="auto"/>
            <w:tcBorders>
              <w:tl2br w:val="nil"/>
              <w:tr2bl w:val="nil"/>
            </w:tcBorders>
            <w:shd w:val="clear" w:color="auto" w:fill="auto"/>
            <w:noWrap/>
            <w:vAlign w:val="center"/>
          </w:tcPr>
          <w:p w14:paraId="03EFF762">
            <w:pPr>
              <w:widowControl/>
              <w:jc w:val="center"/>
              <w:textAlignment w:val="center"/>
              <w:rPr>
                <w:rFonts w:eastAsia="等线"/>
                <w:color w:val="000000"/>
                <w:szCs w:val="21"/>
              </w:rPr>
            </w:pPr>
            <w:r>
              <w:rPr>
                <w:rFonts w:eastAsia="等线"/>
                <w:color w:val="000000"/>
                <w:kern w:val="0"/>
                <w:szCs w:val="21"/>
                <w:lang w:bidi="ar"/>
              </w:rPr>
              <w:t>31%</w:t>
            </w:r>
          </w:p>
        </w:tc>
        <w:tc>
          <w:tcPr>
            <w:tcW w:w="0" w:type="auto"/>
            <w:tcBorders>
              <w:tl2br w:val="nil"/>
              <w:tr2bl w:val="nil"/>
            </w:tcBorders>
            <w:shd w:val="clear" w:color="auto" w:fill="auto"/>
            <w:noWrap/>
            <w:vAlign w:val="center"/>
          </w:tcPr>
          <w:p w14:paraId="27F526B1">
            <w:pPr>
              <w:jc w:val="center"/>
              <w:rPr>
                <w:rFonts w:eastAsia="等线"/>
                <w:color w:val="000000"/>
                <w:szCs w:val="21"/>
              </w:rPr>
            </w:pPr>
          </w:p>
        </w:tc>
        <w:tc>
          <w:tcPr>
            <w:tcW w:w="0" w:type="auto"/>
            <w:tcBorders>
              <w:tl2br w:val="nil"/>
              <w:tr2bl w:val="nil"/>
            </w:tcBorders>
            <w:shd w:val="clear" w:color="auto" w:fill="auto"/>
            <w:noWrap/>
            <w:vAlign w:val="center"/>
          </w:tcPr>
          <w:p w14:paraId="0D142F65">
            <w:pPr>
              <w:widowControl/>
              <w:jc w:val="center"/>
              <w:textAlignment w:val="center"/>
              <w:rPr>
                <w:rFonts w:eastAsia="等线"/>
                <w:color w:val="000000"/>
                <w:szCs w:val="21"/>
              </w:rPr>
            </w:pPr>
            <w:r>
              <w:rPr>
                <w:rFonts w:eastAsia="等线"/>
                <w:color w:val="000000"/>
                <w:kern w:val="0"/>
                <w:szCs w:val="21"/>
                <w:lang w:bidi="ar"/>
              </w:rPr>
              <w:t>30%</w:t>
            </w:r>
          </w:p>
        </w:tc>
      </w:tr>
      <w:tr w14:paraId="1C73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shd w:val="clear" w:color="auto" w:fill="auto"/>
            <w:noWrap/>
            <w:vAlign w:val="center"/>
          </w:tcPr>
          <w:p w14:paraId="52231179">
            <w:pPr>
              <w:widowControl/>
              <w:jc w:val="center"/>
              <w:textAlignment w:val="center"/>
              <w:rPr>
                <w:color w:val="000000"/>
                <w:szCs w:val="21"/>
              </w:rPr>
            </w:pPr>
            <w:r>
              <w:rPr>
                <w:color w:val="000000"/>
                <w:kern w:val="0"/>
                <w:szCs w:val="21"/>
                <w:lang w:bidi="ar"/>
              </w:rPr>
              <w:t>30</w:t>
            </w:r>
          </w:p>
        </w:tc>
        <w:tc>
          <w:tcPr>
            <w:tcW w:w="0" w:type="auto"/>
            <w:tcBorders>
              <w:tl2br w:val="nil"/>
              <w:tr2bl w:val="nil"/>
            </w:tcBorders>
            <w:shd w:val="clear" w:color="auto" w:fill="auto"/>
            <w:noWrap/>
            <w:vAlign w:val="center"/>
          </w:tcPr>
          <w:p w14:paraId="1EF75AA3">
            <w:pPr>
              <w:widowControl/>
              <w:jc w:val="center"/>
              <w:textAlignment w:val="center"/>
              <w:rPr>
                <w:rFonts w:eastAsia="等线"/>
                <w:color w:val="000000"/>
                <w:szCs w:val="21"/>
              </w:rPr>
            </w:pPr>
            <w:r>
              <w:rPr>
                <w:rFonts w:eastAsia="等线"/>
                <w:color w:val="000000"/>
                <w:kern w:val="0"/>
                <w:szCs w:val="21"/>
                <w:lang w:bidi="ar"/>
              </w:rPr>
              <w:t>29%</w:t>
            </w:r>
          </w:p>
        </w:tc>
        <w:tc>
          <w:tcPr>
            <w:tcW w:w="0" w:type="auto"/>
            <w:tcBorders>
              <w:tl2br w:val="nil"/>
              <w:tr2bl w:val="nil"/>
            </w:tcBorders>
            <w:shd w:val="clear" w:color="auto" w:fill="auto"/>
            <w:noWrap/>
            <w:vAlign w:val="center"/>
          </w:tcPr>
          <w:p w14:paraId="55A48AFF">
            <w:pPr>
              <w:widowControl/>
              <w:jc w:val="center"/>
              <w:textAlignment w:val="center"/>
              <w:rPr>
                <w:rFonts w:eastAsia="等线"/>
                <w:color w:val="000000"/>
                <w:szCs w:val="21"/>
              </w:rPr>
            </w:pPr>
            <w:r>
              <w:rPr>
                <w:rFonts w:eastAsia="等线"/>
                <w:color w:val="000000"/>
                <w:kern w:val="0"/>
                <w:szCs w:val="21"/>
                <w:lang w:bidi="ar"/>
              </w:rPr>
              <w:t>23%</w:t>
            </w:r>
          </w:p>
        </w:tc>
        <w:tc>
          <w:tcPr>
            <w:tcW w:w="0" w:type="auto"/>
            <w:tcBorders>
              <w:tl2br w:val="nil"/>
              <w:tr2bl w:val="nil"/>
            </w:tcBorders>
            <w:shd w:val="clear" w:color="auto" w:fill="auto"/>
            <w:noWrap/>
            <w:vAlign w:val="center"/>
          </w:tcPr>
          <w:p w14:paraId="48EF9673">
            <w:pPr>
              <w:widowControl/>
              <w:jc w:val="center"/>
              <w:textAlignment w:val="center"/>
              <w:rPr>
                <w:rFonts w:eastAsia="等线"/>
                <w:color w:val="000000"/>
                <w:szCs w:val="21"/>
              </w:rPr>
            </w:pPr>
            <w:r>
              <w:rPr>
                <w:rFonts w:eastAsia="等线"/>
                <w:color w:val="000000"/>
                <w:kern w:val="0"/>
                <w:szCs w:val="21"/>
                <w:lang w:bidi="ar"/>
              </w:rPr>
              <w:t>42%</w:t>
            </w:r>
          </w:p>
        </w:tc>
        <w:tc>
          <w:tcPr>
            <w:tcW w:w="0" w:type="auto"/>
            <w:tcBorders>
              <w:tl2br w:val="nil"/>
              <w:tr2bl w:val="nil"/>
            </w:tcBorders>
            <w:shd w:val="clear" w:color="auto" w:fill="auto"/>
            <w:noWrap/>
            <w:vAlign w:val="center"/>
          </w:tcPr>
          <w:p w14:paraId="5C1D1AA2">
            <w:pPr>
              <w:widowControl/>
              <w:jc w:val="center"/>
              <w:textAlignment w:val="center"/>
              <w:rPr>
                <w:rFonts w:eastAsia="等线"/>
                <w:color w:val="000000"/>
                <w:szCs w:val="21"/>
              </w:rPr>
            </w:pPr>
            <w:r>
              <w:rPr>
                <w:rFonts w:eastAsia="等线"/>
                <w:color w:val="000000"/>
                <w:kern w:val="0"/>
                <w:szCs w:val="21"/>
                <w:lang w:bidi="ar"/>
              </w:rPr>
              <w:t>32%</w:t>
            </w:r>
          </w:p>
        </w:tc>
        <w:tc>
          <w:tcPr>
            <w:tcW w:w="0" w:type="auto"/>
            <w:tcBorders>
              <w:tl2br w:val="nil"/>
              <w:tr2bl w:val="nil"/>
            </w:tcBorders>
            <w:shd w:val="clear" w:color="auto" w:fill="auto"/>
            <w:noWrap/>
            <w:vAlign w:val="center"/>
          </w:tcPr>
          <w:p w14:paraId="131D76EA">
            <w:pPr>
              <w:widowControl/>
              <w:jc w:val="center"/>
              <w:textAlignment w:val="center"/>
              <w:rPr>
                <w:rFonts w:eastAsia="等线"/>
                <w:color w:val="000000"/>
                <w:szCs w:val="21"/>
              </w:rPr>
            </w:pPr>
            <w:r>
              <w:rPr>
                <w:rFonts w:eastAsia="等线"/>
                <w:color w:val="000000"/>
                <w:kern w:val="0"/>
                <w:szCs w:val="21"/>
                <w:lang w:bidi="ar"/>
              </w:rPr>
              <w:t>50%</w:t>
            </w:r>
          </w:p>
        </w:tc>
        <w:tc>
          <w:tcPr>
            <w:tcW w:w="0" w:type="auto"/>
            <w:tcBorders>
              <w:tl2br w:val="nil"/>
              <w:tr2bl w:val="nil"/>
            </w:tcBorders>
            <w:shd w:val="clear" w:color="auto" w:fill="auto"/>
            <w:noWrap/>
            <w:vAlign w:val="center"/>
          </w:tcPr>
          <w:p w14:paraId="6D33D1A5">
            <w:pPr>
              <w:widowControl/>
              <w:jc w:val="center"/>
              <w:textAlignment w:val="center"/>
              <w:rPr>
                <w:rFonts w:eastAsia="等线"/>
                <w:color w:val="000000"/>
                <w:szCs w:val="21"/>
              </w:rPr>
            </w:pPr>
            <w:r>
              <w:rPr>
                <w:rFonts w:eastAsia="等线"/>
                <w:color w:val="000000"/>
                <w:kern w:val="0"/>
                <w:szCs w:val="21"/>
                <w:lang w:bidi="ar"/>
              </w:rPr>
              <w:t>31%</w:t>
            </w:r>
          </w:p>
        </w:tc>
        <w:tc>
          <w:tcPr>
            <w:tcW w:w="0" w:type="auto"/>
            <w:tcBorders>
              <w:tl2br w:val="nil"/>
              <w:tr2bl w:val="nil"/>
            </w:tcBorders>
            <w:shd w:val="clear" w:color="auto" w:fill="auto"/>
            <w:noWrap/>
            <w:vAlign w:val="center"/>
          </w:tcPr>
          <w:p w14:paraId="50D06C33">
            <w:pPr>
              <w:jc w:val="center"/>
              <w:rPr>
                <w:rFonts w:eastAsia="等线"/>
                <w:color w:val="000000"/>
                <w:szCs w:val="21"/>
              </w:rPr>
            </w:pPr>
          </w:p>
        </w:tc>
        <w:tc>
          <w:tcPr>
            <w:tcW w:w="0" w:type="auto"/>
            <w:tcBorders>
              <w:tl2br w:val="nil"/>
              <w:tr2bl w:val="nil"/>
            </w:tcBorders>
            <w:shd w:val="clear" w:color="auto" w:fill="auto"/>
            <w:noWrap/>
            <w:vAlign w:val="center"/>
          </w:tcPr>
          <w:p w14:paraId="231EFE1B">
            <w:pPr>
              <w:widowControl/>
              <w:jc w:val="center"/>
              <w:textAlignment w:val="center"/>
              <w:rPr>
                <w:rFonts w:eastAsia="等线"/>
                <w:color w:val="000000"/>
                <w:szCs w:val="21"/>
              </w:rPr>
            </w:pPr>
            <w:r>
              <w:rPr>
                <w:rFonts w:eastAsia="等线"/>
                <w:color w:val="000000"/>
                <w:kern w:val="0"/>
                <w:szCs w:val="21"/>
                <w:lang w:bidi="ar"/>
              </w:rPr>
              <w:t>31%</w:t>
            </w:r>
          </w:p>
        </w:tc>
      </w:tr>
    </w:tbl>
    <w:p w14:paraId="323C169C">
      <w:pPr>
        <w:spacing w:line="360" w:lineRule="auto"/>
        <w:ind w:firstLine="480" w:firstLineChars="200"/>
        <w:jc w:val="center"/>
        <w:rPr>
          <w:sz w:val="24"/>
        </w:rPr>
      </w:pPr>
      <w:r>
        <w:rPr>
          <w:rFonts w:hint="eastAsia"/>
          <w:sz w:val="24"/>
        </w:rPr>
        <w:t>表</w:t>
      </w:r>
      <w:r>
        <w:rPr>
          <w:sz w:val="24"/>
        </w:rPr>
        <w:t>6</w:t>
      </w:r>
      <w:r>
        <w:rPr>
          <w:rFonts w:hint="eastAsia"/>
          <w:sz w:val="24"/>
        </w:rPr>
        <w:t xml:space="preserve"> 202</w:t>
      </w:r>
      <w:r>
        <w:rPr>
          <w:sz w:val="24"/>
        </w:rPr>
        <w:t>4</w:t>
      </w:r>
      <w:r>
        <w:rPr>
          <w:rFonts w:hint="eastAsia"/>
          <w:sz w:val="24"/>
        </w:rPr>
        <w:t>年12月不同整治比例统计结果</w:t>
      </w:r>
    </w:p>
    <w:p w14:paraId="60F08887">
      <w:pPr>
        <w:spacing w:line="360" w:lineRule="auto"/>
        <w:ind w:firstLine="480" w:firstLineChars="200"/>
        <w:jc w:val="center"/>
        <w:rPr>
          <w:sz w:val="24"/>
          <w:highlight w:val="cyan"/>
        </w:rPr>
      </w:pP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2684"/>
        <w:gridCol w:w="2057"/>
        <w:gridCol w:w="2057"/>
      </w:tblGrid>
      <w:tr w14:paraId="427B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6458A0AE">
            <w:pPr>
              <w:widowControl/>
              <w:jc w:val="center"/>
              <w:textAlignment w:val="center"/>
              <w:rPr>
                <w:rFonts w:ascii="宋体" w:hAnsi="宋体" w:cs="宋体"/>
                <w:b/>
                <w:bCs/>
                <w:color w:val="000000"/>
                <w:szCs w:val="21"/>
              </w:rPr>
            </w:pPr>
            <w:r>
              <w:rPr>
                <w:rFonts w:hint="eastAsia" w:ascii="宋体" w:hAnsi="宋体" w:cs="宋体"/>
                <w:b/>
                <w:bCs/>
                <w:color w:val="000000"/>
                <w:szCs w:val="21"/>
              </w:rPr>
              <w:t>管控比例</w:t>
            </w:r>
          </w:p>
        </w:tc>
        <w:tc>
          <w:tcPr>
            <w:tcW w:w="1299" w:type="pct"/>
            <w:shd w:val="clear" w:color="auto" w:fill="auto"/>
            <w:noWrap/>
            <w:vAlign w:val="center"/>
          </w:tcPr>
          <w:p w14:paraId="47DB6A3D">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整治比例</w:t>
            </w:r>
          </w:p>
        </w:tc>
        <w:tc>
          <w:tcPr>
            <w:tcW w:w="1300" w:type="pct"/>
            <w:shd w:val="clear" w:color="auto" w:fill="auto"/>
            <w:noWrap/>
            <w:vAlign w:val="center"/>
          </w:tcPr>
          <w:p w14:paraId="2C7CBE3B">
            <w:pPr>
              <w:widowControl/>
              <w:jc w:val="center"/>
              <w:textAlignment w:val="center"/>
              <w:rPr>
                <w:rFonts w:ascii="宋体" w:hAnsi="宋体" w:cs="宋体"/>
                <w:b/>
                <w:bCs/>
                <w:color w:val="000000"/>
                <w:szCs w:val="21"/>
              </w:rPr>
            </w:pPr>
            <w:r>
              <w:rPr>
                <w:rFonts w:hint="eastAsia" w:ascii="宋体" w:hAnsi="宋体" w:cs="宋体"/>
                <w:b/>
                <w:bCs/>
                <w:color w:val="000000"/>
                <w:szCs w:val="21"/>
              </w:rPr>
              <w:t>工地数量</w:t>
            </w:r>
          </w:p>
        </w:tc>
        <w:tc>
          <w:tcPr>
            <w:tcW w:w="1300" w:type="pct"/>
            <w:shd w:val="clear" w:color="auto" w:fill="auto"/>
            <w:noWrap/>
            <w:vAlign w:val="center"/>
          </w:tcPr>
          <w:p w14:paraId="219A564D">
            <w:pPr>
              <w:widowControl/>
              <w:jc w:val="center"/>
              <w:textAlignment w:val="center"/>
              <w:rPr>
                <w:rFonts w:ascii="宋体" w:hAnsi="宋体" w:cs="宋体"/>
                <w:b/>
                <w:bCs/>
                <w:color w:val="000000"/>
                <w:szCs w:val="21"/>
              </w:rPr>
            </w:pPr>
            <w:r>
              <w:rPr>
                <w:rFonts w:hint="eastAsia" w:ascii="宋体" w:hAnsi="宋体" w:cs="宋体"/>
                <w:b/>
                <w:bCs/>
                <w:color w:val="000000"/>
                <w:szCs w:val="21"/>
              </w:rPr>
              <w:t>占比</w:t>
            </w:r>
          </w:p>
        </w:tc>
      </w:tr>
      <w:tr w14:paraId="7D6B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11B7905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全部管控</w:t>
            </w:r>
          </w:p>
        </w:tc>
        <w:tc>
          <w:tcPr>
            <w:tcW w:w="1299" w:type="pct"/>
            <w:shd w:val="clear" w:color="auto" w:fill="auto"/>
            <w:noWrap/>
            <w:vAlign w:val="center"/>
          </w:tcPr>
          <w:p w14:paraId="09999632">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覆盖及绿化比例100%</w:t>
            </w:r>
          </w:p>
        </w:tc>
        <w:tc>
          <w:tcPr>
            <w:tcW w:w="1300" w:type="pct"/>
            <w:shd w:val="clear" w:color="auto" w:fill="auto"/>
            <w:noWrap/>
            <w:vAlign w:val="center"/>
          </w:tcPr>
          <w:p w14:paraId="01ECB400">
            <w:pPr>
              <w:widowControl/>
              <w:jc w:val="center"/>
              <w:textAlignment w:val="center"/>
              <w:rPr>
                <w:rFonts w:ascii="宋体" w:hAnsi="宋体" w:cs="宋体"/>
                <w:color w:val="000000"/>
                <w:szCs w:val="21"/>
              </w:rPr>
            </w:pPr>
            <w:r>
              <w:rPr>
                <w:rFonts w:ascii="宋体" w:hAnsi="宋体" w:cs="宋体"/>
                <w:color w:val="000000"/>
                <w:kern w:val="0"/>
                <w:szCs w:val="21"/>
                <w:lang w:bidi="ar"/>
              </w:rPr>
              <w:t>711</w:t>
            </w:r>
          </w:p>
        </w:tc>
        <w:tc>
          <w:tcPr>
            <w:tcW w:w="2018" w:type="dxa"/>
            <w:shd w:val="clear" w:color="auto" w:fill="auto"/>
            <w:noWrap/>
            <w:vAlign w:val="center"/>
          </w:tcPr>
          <w:p w14:paraId="5147BC1F">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52</w:t>
            </w:r>
            <w:r>
              <w:rPr>
                <w:rFonts w:hint="eastAsia" w:ascii="宋体" w:hAnsi="宋体" w:cs="宋体"/>
                <w:color w:val="000000"/>
                <w:kern w:val="0"/>
                <w:szCs w:val="21"/>
                <w:lang w:bidi="ar"/>
              </w:rPr>
              <w:t>%</w:t>
            </w:r>
          </w:p>
        </w:tc>
      </w:tr>
      <w:tr w14:paraId="358D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358941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高比例管控</w:t>
            </w:r>
          </w:p>
        </w:tc>
        <w:tc>
          <w:tcPr>
            <w:tcW w:w="1299" w:type="pct"/>
            <w:shd w:val="clear" w:color="auto" w:fill="auto"/>
            <w:noWrap/>
            <w:vAlign w:val="center"/>
          </w:tcPr>
          <w:p w14:paraId="7F12AE8B">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覆盖及绿化比例在80%以上</w:t>
            </w:r>
          </w:p>
        </w:tc>
        <w:tc>
          <w:tcPr>
            <w:tcW w:w="1300" w:type="pct"/>
            <w:shd w:val="clear" w:color="auto" w:fill="auto"/>
            <w:noWrap/>
            <w:vAlign w:val="center"/>
          </w:tcPr>
          <w:p w14:paraId="5960C320">
            <w:pPr>
              <w:widowControl/>
              <w:jc w:val="center"/>
              <w:textAlignment w:val="center"/>
              <w:rPr>
                <w:rFonts w:ascii="宋体" w:hAnsi="宋体" w:cs="宋体"/>
                <w:color w:val="000000"/>
                <w:szCs w:val="21"/>
              </w:rPr>
            </w:pPr>
            <w:r>
              <w:rPr>
                <w:rFonts w:ascii="宋体" w:hAnsi="宋体" w:cs="宋体"/>
                <w:color w:val="000000"/>
                <w:kern w:val="0"/>
                <w:szCs w:val="21"/>
                <w:lang w:bidi="ar"/>
              </w:rPr>
              <w:t>383</w:t>
            </w:r>
          </w:p>
        </w:tc>
        <w:tc>
          <w:tcPr>
            <w:tcW w:w="2018" w:type="dxa"/>
            <w:shd w:val="clear" w:color="auto" w:fill="auto"/>
            <w:noWrap/>
            <w:vAlign w:val="center"/>
          </w:tcPr>
          <w:p w14:paraId="254F4519">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28</w:t>
            </w:r>
            <w:r>
              <w:rPr>
                <w:rFonts w:hint="eastAsia" w:ascii="宋体" w:hAnsi="宋体" w:cs="宋体"/>
                <w:color w:val="000000"/>
                <w:kern w:val="0"/>
                <w:szCs w:val="21"/>
                <w:lang w:bidi="ar"/>
              </w:rPr>
              <w:t>%</w:t>
            </w:r>
          </w:p>
        </w:tc>
      </w:tr>
      <w:tr w14:paraId="4AB7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45A82FE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中比例管控</w:t>
            </w:r>
          </w:p>
        </w:tc>
        <w:tc>
          <w:tcPr>
            <w:tcW w:w="1299" w:type="pct"/>
            <w:shd w:val="clear" w:color="auto" w:fill="auto"/>
            <w:noWrap/>
            <w:vAlign w:val="center"/>
          </w:tcPr>
          <w:p w14:paraId="4D718C2D">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覆盖及绿化比例在80%-60%</w:t>
            </w:r>
          </w:p>
        </w:tc>
        <w:tc>
          <w:tcPr>
            <w:tcW w:w="1300" w:type="pct"/>
            <w:shd w:val="clear" w:color="auto" w:fill="auto"/>
            <w:noWrap/>
            <w:vAlign w:val="center"/>
          </w:tcPr>
          <w:p w14:paraId="4C3BEAB4">
            <w:pPr>
              <w:widowControl/>
              <w:jc w:val="center"/>
              <w:textAlignment w:val="center"/>
              <w:rPr>
                <w:rFonts w:ascii="宋体" w:hAnsi="宋体" w:cs="宋体"/>
                <w:color w:val="000000"/>
                <w:szCs w:val="21"/>
              </w:rPr>
            </w:pPr>
            <w:r>
              <w:rPr>
                <w:rFonts w:ascii="宋体" w:hAnsi="宋体" w:cs="宋体"/>
                <w:color w:val="000000"/>
                <w:kern w:val="0"/>
                <w:szCs w:val="21"/>
                <w:lang w:bidi="ar"/>
              </w:rPr>
              <w:t>83</w:t>
            </w:r>
          </w:p>
        </w:tc>
        <w:tc>
          <w:tcPr>
            <w:tcW w:w="2018" w:type="dxa"/>
            <w:shd w:val="clear" w:color="auto" w:fill="auto"/>
            <w:noWrap/>
            <w:vAlign w:val="center"/>
          </w:tcPr>
          <w:p w14:paraId="06464D93">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r>
      <w:tr w14:paraId="450A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641B2A3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低比例管控</w:t>
            </w:r>
          </w:p>
        </w:tc>
        <w:tc>
          <w:tcPr>
            <w:tcW w:w="1299" w:type="pct"/>
            <w:shd w:val="clear" w:color="auto" w:fill="auto"/>
            <w:noWrap/>
            <w:vAlign w:val="center"/>
          </w:tcPr>
          <w:p w14:paraId="29D20D47">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覆盖及绿化比例低于60%</w:t>
            </w:r>
          </w:p>
        </w:tc>
        <w:tc>
          <w:tcPr>
            <w:tcW w:w="1300" w:type="pct"/>
            <w:shd w:val="clear" w:color="auto" w:fill="auto"/>
            <w:noWrap/>
            <w:vAlign w:val="center"/>
          </w:tcPr>
          <w:p w14:paraId="32035689">
            <w:pPr>
              <w:widowControl/>
              <w:jc w:val="center"/>
              <w:textAlignment w:val="center"/>
              <w:rPr>
                <w:rFonts w:ascii="宋体" w:hAnsi="宋体" w:cs="宋体"/>
                <w:color w:val="000000"/>
                <w:szCs w:val="21"/>
              </w:rPr>
            </w:pPr>
            <w:r>
              <w:rPr>
                <w:rFonts w:ascii="宋体" w:hAnsi="宋体" w:cs="宋体"/>
                <w:color w:val="000000"/>
                <w:kern w:val="0"/>
                <w:szCs w:val="21"/>
                <w:lang w:bidi="ar"/>
              </w:rPr>
              <w:t>73</w:t>
            </w:r>
          </w:p>
        </w:tc>
        <w:tc>
          <w:tcPr>
            <w:tcW w:w="2018" w:type="dxa"/>
            <w:shd w:val="clear" w:color="auto" w:fill="auto"/>
            <w:noWrap/>
            <w:vAlign w:val="center"/>
          </w:tcPr>
          <w:p w14:paraId="7C2DC745">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5</w:t>
            </w:r>
            <w:r>
              <w:rPr>
                <w:rFonts w:hint="eastAsia" w:ascii="宋体" w:hAnsi="宋体" w:cs="宋体"/>
                <w:color w:val="000000"/>
                <w:kern w:val="0"/>
                <w:szCs w:val="21"/>
                <w:lang w:bidi="ar"/>
              </w:rPr>
              <w:t>%</w:t>
            </w:r>
          </w:p>
        </w:tc>
      </w:tr>
      <w:tr w14:paraId="0F35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0D7B95E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无管控</w:t>
            </w:r>
          </w:p>
        </w:tc>
        <w:tc>
          <w:tcPr>
            <w:tcW w:w="1299" w:type="pct"/>
            <w:shd w:val="clear" w:color="auto" w:fill="auto"/>
            <w:noWrap/>
            <w:vAlign w:val="center"/>
          </w:tcPr>
          <w:p w14:paraId="3E464B22">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完全无覆盖及绿化</w:t>
            </w:r>
          </w:p>
        </w:tc>
        <w:tc>
          <w:tcPr>
            <w:tcW w:w="1300" w:type="pct"/>
            <w:shd w:val="clear" w:color="auto" w:fill="auto"/>
            <w:noWrap/>
            <w:vAlign w:val="center"/>
          </w:tcPr>
          <w:p w14:paraId="2C6675EA">
            <w:pPr>
              <w:widowControl/>
              <w:jc w:val="center"/>
              <w:textAlignment w:val="center"/>
              <w:rPr>
                <w:rFonts w:ascii="宋体" w:hAnsi="宋体" w:cs="宋体"/>
                <w:color w:val="000000"/>
                <w:szCs w:val="21"/>
              </w:rPr>
            </w:pPr>
            <w:r>
              <w:rPr>
                <w:rFonts w:ascii="宋体" w:hAnsi="宋体" w:cs="宋体"/>
                <w:color w:val="000000"/>
                <w:kern w:val="0"/>
                <w:szCs w:val="21"/>
                <w:lang w:bidi="ar"/>
              </w:rPr>
              <w:t>0</w:t>
            </w:r>
          </w:p>
        </w:tc>
        <w:tc>
          <w:tcPr>
            <w:tcW w:w="2018" w:type="dxa"/>
            <w:shd w:val="clear" w:color="auto" w:fill="auto"/>
            <w:noWrap/>
            <w:vAlign w:val="center"/>
          </w:tcPr>
          <w:p w14:paraId="2615F351">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w:t>
            </w:r>
          </w:p>
        </w:tc>
      </w:tr>
      <w:tr w14:paraId="113A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4852C5F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无需管控</w:t>
            </w:r>
          </w:p>
        </w:tc>
        <w:tc>
          <w:tcPr>
            <w:tcW w:w="1299" w:type="pct"/>
            <w:shd w:val="clear" w:color="auto" w:fill="auto"/>
            <w:noWrap/>
            <w:vAlign w:val="center"/>
          </w:tcPr>
          <w:p w14:paraId="760B44B9">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无裸土地</w:t>
            </w:r>
          </w:p>
        </w:tc>
        <w:tc>
          <w:tcPr>
            <w:tcW w:w="1300" w:type="pct"/>
            <w:shd w:val="clear" w:color="auto" w:fill="auto"/>
            <w:noWrap/>
            <w:vAlign w:val="center"/>
          </w:tcPr>
          <w:p w14:paraId="07884717">
            <w:pPr>
              <w:widowControl/>
              <w:jc w:val="center"/>
              <w:textAlignment w:val="center"/>
              <w:rPr>
                <w:rFonts w:ascii="宋体" w:hAnsi="宋体" w:cs="宋体"/>
                <w:color w:val="000000"/>
                <w:szCs w:val="21"/>
              </w:rPr>
            </w:pPr>
            <w:r>
              <w:rPr>
                <w:rFonts w:ascii="宋体" w:hAnsi="宋体" w:cs="宋体"/>
                <w:color w:val="000000"/>
                <w:kern w:val="0"/>
                <w:szCs w:val="21"/>
                <w:lang w:bidi="ar"/>
              </w:rPr>
              <w:t>119</w:t>
            </w:r>
          </w:p>
        </w:tc>
        <w:tc>
          <w:tcPr>
            <w:tcW w:w="2018" w:type="dxa"/>
            <w:shd w:val="clear" w:color="auto" w:fill="auto"/>
            <w:noWrap/>
            <w:vAlign w:val="center"/>
          </w:tcPr>
          <w:p w14:paraId="1BBACF26">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9</w:t>
            </w:r>
            <w:r>
              <w:rPr>
                <w:rFonts w:hint="eastAsia" w:ascii="宋体" w:hAnsi="宋体" w:cs="宋体"/>
                <w:color w:val="000000"/>
                <w:kern w:val="0"/>
                <w:szCs w:val="21"/>
                <w:lang w:bidi="ar"/>
              </w:rPr>
              <w:t>%</w:t>
            </w:r>
          </w:p>
        </w:tc>
      </w:tr>
      <w:tr w14:paraId="73F9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99" w:type="pct"/>
            <w:shd w:val="clear" w:color="auto" w:fill="auto"/>
            <w:noWrap/>
            <w:vAlign w:val="center"/>
          </w:tcPr>
          <w:p w14:paraId="4F6221CA">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总计</w:t>
            </w:r>
          </w:p>
        </w:tc>
        <w:tc>
          <w:tcPr>
            <w:tcW w:w="1299" w:type="pct"/>
            <w:shd w:val="clear" w:color="auto" w:fill="auto"/>
            <w:noWrap/>
            <w:vAlign w:val="center"/>
          </w:tcPr>
          <w:p w14:paraId="1D3EC58B">
            <w:pPr>
              <w:widowControl/>
              <w:jc w:val="center"/>
              <w:textAlignment w:val="center"/>
              <w:rPr>
                <w:rFonts w:ascii="宋体" w:hAnsi="宋体" w:cs="宋体"/>
                <w:b/>
                <w:bCs/>
                <w:color w:val="000000"/>
                <w:kern w:val="0"/>
                <w:szCs w:val="21"/>
                <w:lang w:bidi="ar"/>
              </w:rPr>
            </w:pPr>
          </w:p>
        </w:tc>
        <w:tc>
          <w:tcPr>
            <w:tcW w:w="1300" w:type="pct"/>
            <w:shd w:val="clear" w:color="auto" w:fill="auto"/>
            <w:noWrap/>
            <w:vAlign w:val="center"/>
          </w:tcPr>
          <w:p w14:paraId="34A8C266">
            <w:pPr>
              <w:widowControl/>
              <w:jc w:val="center"/>
              <w:textAlignment w:val="center"/>
              <w:rPr>
                <w:rFonts w:ascii="宋体" w:hAnsi="宋体" w:cs="宋体"/>
                <w:b/>
                <w:bCs/>
                <w:color w:val="000000"/>
                <w:szCs w:val="21"/>
              </w:rPr>
            </w:pPr>
            <w:r>
              <w:rPr>
                <w:rFonts w:ascii="宋体" w:hAnsi="宋体" w:cs="宋体"/>
                <w:b/>
                <w:bCs/>
                <w:color w:val="000000"/>
                <w:kern w:val="0"/>
                <w:szCs w:val="21"/>
                <w:lang w:bidi="ar"/>
              </w:rPr>
              <w:t>1369</w:t>
            </w:r>
          </w:p>
        </w:tc>
        <w:tc>
          <w:tcPr>
            <w:tcW w:w="1300" w:type="pct"/>
            <w:shd w:val="clear" w:color="auto" w:fill="auto"/>
            <w:noWrap/>
            <w:vAlign w:val="center"/>
          </w:tcPr>
          <w:p w14:paraId="771327D7">
            <w:pPr>
              <w:widowControl/>
              <w:jc w:val="center"/>
              <w:textAlignment w:val="center"/>
              <w:rPr>
                <w:rFonts w:ascii="宋体" w:hAnsi="宋体" w:cs="宋体"/>
                <w:b/>
                <w:bCs/>
                <w:color w:val="000000"/>
                <w:kern w:val="0"/>
                <w:szCs w:val="21"/>
                <w:lang w:bidi="ar"/>
              </w:rPr>
            </w:pPr>
          </w:p>
        </w:tc>
      </w:tr>
      <w:bookmarkEnd w:id="74"/>
    </w:tbl>
    <w:p w14:paraId="47C72E60">
      <w:pPr>
        <w:pStyle w:val="3"/>
        <w:numPr>
          <w:ilvl w:val="0"/>
          <w:numId w:val="8"/>
        </w:numPr>
        <w:spacing w:before="0" w:after="0" w:line="360" w:lineRule="auto"/>
        <w:ind w:left="0" w:firstLine="640" w:firstLineChars="200"/>
        <w:rPr>
          <w:rFonts w:ascii="仿宋_GB2312"/>
          <w:b w:val="0"/>
          <w:bCs w:val="0"/>
          <w:sz w:val="32"/>
          <w:szCs w:val="20"/>
        </w:rPr>
      </w:pPr>
      <w:bookmarkStart w:id="75" w:name="_Toc155990923"/>
      <w:bookmarkStart w:id="76" w:name="_Toc32072"/>
      <w:r>
        <w:rPr>
          <w:rFonts w:hint="eastAsia" w:ascii="仿宋_GB2312"/>
          <w:b w:val="0"/>
          <w:bCs w:val="0"/>
          <w:sz w:val="32"/>
          <w:szCs w:val="20"/>
        </w:rPr>
        <w:t>重大意见分歧的处理依据和结果。</w:t>
      </w:r>
    </w:p>
    <w:bookmarkEnd w:id="75"/>
    <w:bookmarkEnd w:id="76"/>
    <w:p w14:paraId="0003AAE7">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暂无。</w:t>
      </w:r>
    </w:p>
    <w:p w14:paraId="52D2CAF5">
      <w:pPr>
        <w:pStyle w:val="3"/>
        <w:numPr>
          <w:ilvl w:val="0"/>
          <w:numId w:val="8"/>
        </w:numPr>
        <w:spacing w:before="0" w:after="0" w:line="360" w:lineRule="auto"/>
        <w:ind w:left="0" w:firstLine="640" w:firstLineChars="200"/>
        <w:rPr>
          <w:rFonts w:ascii="仿宋_GB2312"/>
          <w:b w:val="0"/>
          <w:bCs w:val="0"/>
          <w:sz w:val="32"/>
          <w:szCs w:val="20"/>
        </w:rPr>
      </w:pPr>
      <w:r>
        <w:rPr>
          <w:rFonts w:hint="eastAsia" w:ascii="仿宋_GB2312"/>
          <w:b w:val="0"/>
          <w:bCs w:val="0"/>
          <w:sz w:val="32"/>
          <w:szCs w:val="20"/>
        </w:rPr>
        <w:t>作为推荐性标准或者强制性标准的建议及其理由。</w:t>
      </w:r>
    </w:p>
    <w:p w14:paraId="6EC1F6A7">
      <w:pPr>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国内基于遥感技术监测裸地的相关研究及业务化运行尚不多见，国际上也没有对等研究案例，虽然在北京市已开展多年但裸地遥感监测体系仍需要不断完善，因此，拟将本指南暂定为试行。</w:t>
      </w:r>
    </w:p>
    <w:p w14:paraId="60607316">
      <w:pPr>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建议后续持续跟踪北京市裸地遥感监测工作开展与数据应用情况，定期收集各方面应用中的意见反馈，适时修订本指南。</w:t>
      </w:r>
    </w:p>
    <w:p w14:paraId="2B1391A5">
      <w:pPr>
        <w:numPr>
          <w:ilvl w:val="0"/>
          <w:numId w:val="8"/>
        </w:numPr>
        <w:ind w:left="0" w:firstLine="640" w:firstLineChars="200"/>
        <w:rPr>
          <w:rFonts w:ascii="仿宋_GB2312" w:eastAsia="仿宋_GB2312"/>
          <w:sz w:val="32"/>
        </w:rPr>
      </w:pPr>
      <w:r>
        <w:rPr>
          <w:rFonts w:hint="eastAsia" w:ascii="仿宋_GB2312" w:eastAsia="仿宋_GB2312"/>
          <w:sz w:val="32"/>
        </w:rPr>
        <w:t>实施标准的措施(</w:t>
      </w:r>
      <w:r>
        <w:rPr>
          <w:rFonts w:ascii="仿宋_GB2312" w:hAnsi="仿宋_GB2312" w:eastAsia="仿宋_GB2312" w:cs="仿宋_GB2312"/>
          <w:sz w:val="32"/>
          <w:szCs w:val="32"/>
        </w:rPr>
        <w:t>市有关行政主管部门实施标准的</w:t>
      </w:r>
      <w:r>
        <w:rPr>
          <w:rFonts w:hint="eastAsia" w:ascii="仿宋_GB2312" w:eastAsia="仿宋_GB2312"/>
          <w:sz w:val="32"/>
        </w:rPr>
        <w:t>政策措施/宣贯培训/试点示范/监督检查/配套资金等)。</w:t>
      </w:r>
    </w:p>
    <w:p w14:paraId="09691FB9">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 xml:space="preserve">建议该指南发布后在北京市范围实施。由北京市生态环境局推动指南的实施并组织标准宣贯与培训工作。由北京市生态环境局跟踪指南实施情况，对指南实施进行定期评估。 </w:t>
      </w:r>
    </w:p>
    <w:p w14:paraId="16575D34">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关于标准宣贯与培训，建议：</w:t>
      </w:r>
    </w:p>
    <w:p w14:paraId="68DED9C2">
      <w:pPr>
        <w:spacing w:line="360" w:lineRule="auto"/>
        <w:ind w:firstLine="482" w:firstLineChars="200"/>
        <w:rPr>
          <w:rFonts w:ascii="仿宋_GB2312" w:hAnsi="仿宋_GB2312" w:eastAsia="仿宋_GB2312" w:cs="仿宋_GB2312"/>
          <w:b/>
          <w:bCs/>
          <w:sz w:val="24"/>
          <w:szCs w:val="21"/>
        </w:rPr>
      </w:pPr>
      <w:r>
        <w:rPr>
          <w:rFonts w:hint="eastAsia" w:ascii="仿宋_GB2312" w:hAnsi="仿宋_GB2312" w:eastAsia="仿宋_GB2312" w:cs="仿宋_GB2312"/>
          <w:b/>
          <w:bCs/>
          <w:sz w:val="24"/>
          <w:szCs w:val="21"/>
        </w:rPr>
        <w:t>（1）加强对生态环境管理相关方的培训和贯标。</w:t>
      </w:r>
    </w:p>
    <w:p w14:paraId="35FB857C">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加强对全市生态环境监测管理单位等一线人员的培训和贯标工作，依托本指南的技术要求开展裸地遥感监测，并核算整治比例进行评价，高效支撑扬尘污染防治。对生态环境监督和监察单位一线人员加强培训和宣贯，确保准确运用遥感监测结果开展执法监测，推动标准有效应用于生态环境管理。</w:t>
      </w:r>
    </w:p>
    <w:p w14:paraId="185F66D0">
      <w:pPr>
        <w:spacing w:line="360" w:lineRule="auto"/>
        <w:ind w:firstLine="482" w:firstLineChars="200"/>
        <w:rPr>
          <w:rFonts w:ascii="仿宋_GB2312" w:hAnsi="仿宋_GB2312" w:eastAsia="仿宋_GB2312" w:cs="仿宋_GB2312"/>
          <w:b/>
          <w:bCs/>
          <w:sz w:val="24"/>
          <w:szCs w:val="21"/>
        </w:rPr>
      </w:pPr>
      <w:r>
        <w:rPr>
          <w:rFonts w:hint="eastAsia" w:ascii="仿宋_GB2312" w:hAnsi="仿宋_GB2312" w:eastAsia="仿宋_GB2312" w:cs="仿宋_GB2312"/>
          <w:b/>
          <w:bCs/>
          <w:sz w:val="24"/>
          <w:szCs w:val="21"/>
        </w:rPr>
        <w:t>（2）加强对工程/场站相关行业部门的宣贯。</w:t>
      </w:r>
    </w:p>
    <w:p w14:paraId="072030FE">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不同的工程所属行业部门不同，各类施工工程、各类型场站所属的行业管理部门也需履行管理责任。对相关管理部门进行标准宣贯，掌握和应用遥感监测技术手段，支持其做好裸地扬尘管控工作等。</w:t>
      </w:r>
    </w:p>
    <w:p w14:paraId="6CB4BC26">
      <w:pPr>
        <w:spacing w:line="360" w:lineRule="auto"/>
        <w:ind w:firstLine="482" w:firstLineChars="200"/>
        <w:rPr>
          <w:rFonts w:ascii="仿宋_GB2312" w:hAnsi="仿宋_GB2312" w:eastAsia="仿宋_GB2312" w:cs="仿宋_GB2312"/>
          <w:b/>
          <w:bCs/>
          <w:sz w:val="24"/>
          <w:szCs w:val="21"/>
        </w:rPr>
      </w:pPr>
      <w:r>
        <w:rPr>
          <w:rFonts w:hint="eastAsia" w:ascii="仿宋_GB2312" w:hAnsi="仿宋_GB2312" w:eastAsia="仿宋_GB2312" w:cs="仿宋_GB2312"/>
          <w:b/>
          <w:bCs/>
          <w:sz w:val="24"/>
          <w:szCs w:val="21"/>
        </w:rPr>
        <w:t>（3）强化工程/场站责任意识，充分发挥其能动性。</w:t>
      </w:r>
    </w:p>
    <w:p w14:paraId="2593522E">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作为扬尘污染防治的主体，工程/场站应主动开展扬尘管控，缺少其主动实施和参与，裸地管控难以落到实处。本指南针对裸地遥感监测的工作程序、监测技术要点及监测结果应用进行了规定，适用于施工工程和场站的裸地管控。应对工程/场站进行法律法规和本指南的宣贯，增强管理人员和技术人员的认知和能力，在施工经营过程中有裸地覆盖意识，主动落实裸地管控工作。</w:t>
      </w:r>
    </w:p>
    <w:p w14:paraId="1FC6E692">
      <w:pPr>
        <w:numPr>
          <w:ilvl w:val="0"/>
          <w:numId w:val="8"/>
        </w:numPr>
        <w:ind w:left="0" w:firstLine="640" w:firstLineChars="200"/>
        <w:rPr>
          <w:rFonts w:ascii="仿宋_GB2312" w:eastAsia="仿宋_GB2312"/>
          <w:sz w:val="32"/>
        </w:rPr>
      </w:pPr>
      <w:r>
        <w:rPr>
          <w:rFonts w:hint="eastAsia" w:ascii="仿宋_GB2312" w:eastAsia="仿宋_GB2312"/>
          <w:sz w:val="32"/>
        </w:rPr>
        <w:t>其他应说明的事项。</w:t>
      </w:r>
    </w:p>
    <w:p w14:paraId="30D5BFA0">
      <w:pPr>
        <w:spacing w:line="360" w:lineRule="auto"/>
        <w:ind w:firstLine="480" w:firstLineChars="200"/>
        <w:rPr>
          <w:rFonts w:ascii="仿宋_GB2312" w:hAnsi="仿宋_GB2312" w:eastAsia="仿宋_GB2312" w:cs="仿宋_GB2312"/>
          <w:sz w:val="24"/>
          <w:szCs w:val="21"/>
        </w:rPr>
      </w:pPr>
      <w:r>
        <w:rPr>
          <w:rFonts w:hint="eastAsia" w:ascii="仿宋_GB2312" w:hAnsi="仿宋_GB2312" w:eastAsia="仿宋_GB2312" w:cs="仿宋_GB2312"/>
          <w:sz w:val="24"/>
          <w:szCs w:val="21"/>
        </w:rPr>
        <w:t>暂无。</w:t>
      </w:r>
      <w:r>
        <w:rPr>
          <w:rFonts w:hint="eastAsia" w:ascii="仿宋_GB2312" w:hAnsi="仿宋_GB2312" w:eastAsia="仿宋_GB2312" w:cs="仿宋_GB2312"/>
          <w:sz w:val="24"/>
          <w:szCs w:val="21"/>
        </w:rPr>
        <w:br w:type="page"/>
      </w:r>
    </w:p>
    <w:p w14:paraId="0154470F">
      <w:pPr>
        <w:pStyle w:val="2"/>
        <w:jc w:val="center"/>
      </w:pPr>
      <w:bookmarkStart w:id="77" w:name="_Toc155990932"/>
      <w:bookmarkStart w:id="78" w:name="_Toc103617154"/>
      <w:r>
        <w:rPr>
          <w:rFonts w:hint="eastAsia"/>
        </w:rPr>
        <w:t>参考文献</w:t>
      </w:r>
      <w:bookmarkEnd w:id="77"/>
      <w:bookmarkEnd w:id="78"/>
    </w:p>
    <w:p w14:paraId="7D39D0FD">
      <w:pPr>
        <w:pStyle w:val="27"/>
        <w:widowControl/>
        <w:numPr>
          <w:ilvl w:val="0"/>
          <w:numId w:val="12"/>
        </w:numPr>
        <w:spacing w:line="360" w:lineRule="auto"/>
        <w:ind w:firstLineChars="0"/>
        <w:jc w:val="left"/>
        <w:rPr>
          <w:rFonts w:cs="宋体"/>
          <w:kern w:val="0"/>
        </w:rPr>
      </w:pPr>
      <w:r>
        <w:rPr>
          <w:rFonts w:hint="eastAsia" w:cs="宋体"/>
          <w:kern w:val="0"/>
        </w:rPr>
        <w:t>HJ1156-2021《自然保护地人类活动遥感监测技术规范》</w:t>
      </w:r>
    </w:p>
    <w:p w14:paraId="2F3E793A">
      <w:pPr>
        <w:pStyle w:val="27"/>
        <w:widowControl/>
        <w:numPr>
          <w:ilvl w:val="0"/>
          <w:numId w:val="12"/>
        </w:numPr>
        <w:spacing w:line="360" w:lineRule="auto"/>
        <w:ind w:firstLineChars="0"/>
        <w:jc w:val="left"/>
        <w:rPr>
          <w:rFonts w:cs="宋体"/>
          <w:kern w:val="0"/>
        </w:rPr>
      </w:pPr>
      <w:r>
        <w:rPr>
          <w:rFonts w:hint="eastAsia" w:cs="宋体"/>
          <w:kern w:val="0"/>
        </w:rPr>
        <w:t>HJ 1234 《入河（海）排污口排查整治无人机遥感解译技术规范》</w:t>
      </w:r>
    </w:p>
    <w:p w14:paraId="04C638DB">
      <w:pPr>
        <w:pStyle w:val="27"/>
        <w:widowControl/>
        <w:numPr>
          <w:ilvl w:val="0"/>
          <w:numId w:val="12"/>
        </w:numPr>
        <w:spacing w:line="360" w:lineRule="auto"/>
        <w:ind w:firstLineChars="0"/>
        <w:jc w:val="left"/>
        <w:rPr>
          <w:rFonts w:cs="宋体"/>
          <w:kern w:val="0"/>
        </w:rPr>
      </w:pPr>
      <w:r>
        <w:rPr>
          <w:rFonts w:hint="eastAsia" w:cs="宋体"/>
          <w:kern w:val="0"/>
        </w:rPr>
        <w:t>T/CECS995 《建筑施工裸地遥感监测技术导则》</w:t>
      </w:r>
    </w:p>
    <w:p w14:paraId="5F35BCB8">
      <w:pPr>
        <w:pStyle w:val="27"/>
        <w:widowControl/>
        <w:numPr>
          <w:ilvl w:val="0"/>
          <w:numId w:val="12"/>
        </w:numPr>
        <w:spacing w:line="360" w:lineRule="auto"/>
        <w:ind w:firstLineChars="0"/>
        <w:jc w:val="left"/>
        <w:rPr>
          <w:rFonts w:cs="宋体"/>
          <w:kern w:val="0"/>
        </w:rPr>
      </w:pPr>
      <w:r>
        <w:rPr>
          <w:rFonts w:hint="eastAsia" w:cs="宋体"/>
          <w:kern w:val="0"/>
        </w:rPr>
        <w:t>GB/T 21010 《土地利用现状分类》</w:t>
      </w:r>
    </w:p>
    <w:p w14:paraId="37EB9A0D">
      <w:pPr>
        <w:pStyle w:val="27"/>
        <w:widowControl/>
        <w:numPr>
          <w:ilvl w:val="0"/>
          <w:numId w:val="12"/>
        </w:numPr>
        <w:spacing w:line="360" w:lineRule="auto"/>
        <w:ind w:firstLineChars="0"/>
        <w:jc w:val="left"/>
        <w:rPr>
          <w:rFonts w:cs="宋体"/>
          <w:kern w:val="0"/>
        </w:rPr>
      </w:pPr>
      <w:r>
        <w:rPr>
          <w:rFonts w:hint="eastAsia" w:cs="宋体"/>
          <w:kern w:val="0"/>
        </w:rPr>
        <w:t>GB/T 14950 《摄影测量与遥感术语》</w:t>
      </w:r>
    </w:p>
    <w:p w14:paraId="19276073">
      <w:pPr>
        <w:pStyle w:val="27"/>
        <w:widowControl/>
        <w:numPr>
          <w:ilvl w:val="0"/>
          <w:numId w:val="12"/>
        </w:numPr>
        <w:spacing w:line="360" w:lineRule="auto"/>
        <w:ind w:firstLineChars="0"/>
        <w:jc w:val="left"/>
        <w:rPr>
          <w:rFonts w:cs="宋体"/>
          <w:kern w:val="0"/>
        </w:rPr>
      </w:pPr>
      <w:r>
        <w:rPr>
          <w:rFonts w:hint="eastAsia" w:cs="宋体"/>
          <w:kern w:val="0"/>
        </w:rPr>
        <w:t>HJ/T 393 《防治城市扬尘污染技术规范》</w:t>
      </w:r>
    </w:p>
    <w:p w14:paraId="2CC35E9A">
      <w:pPr>
        <w:pStyle w:val="27"/>
        <w:widowControl/>
        <w:numPr>
          <w:ilvl w:val="0"/>
          <w:numId w:val="12"/>
        </w:numPr>
        <w:spacing w:line="360" w:lineRule="auto"/>
        <w:ind w:firstLineChars="0"/>
        <w:jc w:val="left"/>
        <w:rPr>
          <w:rFonts w:cs="宋体"/>
          <w:kern w:val="0"/>
        </w:rPr>
      </w:pPr>
      <w:r>
        <w:rPr>
          <w:rFonts w:hint="eastAsia" w:cs="宋体"/>
          <w:kern w:val="0"/>
        </w:rPr>
        <w:t>TD/T 1010 《土地利用动态遥感监测规程》</w:t>
      </w:r>
    </w:p>
    <w:p w14:paraId="5E3BC2B5">
      <w:pPr>
        <w:pStyle w:val="27"/>
        <w:widowControl/>
        <w:numPr>
          <w:ilvl w:val="0"/>
          <w:numId w:val="12"/>
        </w:numPr>
        <w:spacing w:line="360" w:lineRule="auto"/>
        <w:ind w:firstLineChars="0"/>
        <w:jc w:val="left"/>
        <w:rPr>
          <w:rFonts w:cs="宋体"/>
          <w:kern w:val="0"/>
        </w:rPr>
      </w:pPr>
      <w:r>
        <w:rPr>
          <w:rFonts w:hint="eastAsia" w:cs="宋体"/>
          <w:kern w:val="0"/>
        </w:rPr>
        <w:t>TD/T 1055 《第三次全国国土调查技术规程》</w:t>
      </w:r>
    </w:p>
    <w:p w14:paraId="08CBEDEC">
      <w:pPr>
        <w:pStyle w:val="27"/>
        <w:widowControl/>
        <w:numPr>
          <w:ilvl w:val="0"/>
          <w:numId w:val="12"/>
        </w:numPr>
        <w:spacing w:line="360" w:lineRule="auto"/>
        <w:ind w:firstLineChars="0"/>
        <w:jc w:val="left"/>
        <w:rPr>
          <w:rFonts w:cs="宋体"/>
          <w:kern w:val="0"/>
        </w:rPr>
      </w:pPr>
      <w:r>
        <w:rPr>
          <w:rFonts w:hint="eastAsia"/>
        </w:rPr>
        <w:t>GB/T 33182《</w:t>
      </w:r>
      <w:r>
        <w:t>国家基本比例尺地图 1_5 000 1_10 000正射影像地图</w:t>
      </w:r>
      <w:r>
        <w:rPr>
          <w:rFonts w:hint="eastAsia"/>
        </w:rPr>
        <w:t>》</w:t>
      </w:r>
    </w:p>
    <w:p w14:paraId="17175FC1">
      <w:pPr>
        <w:pStyle w:val="27"/>
        <w:widowControl/>
        <w:numPr>
          <w:ilvl w:val="0"/>
          <w:numId w:val="12"/>
        </w:numPr>
        <w:spacing w:line="360" w:lineRule="auto"/>
        <w:ind w:firstLineChars="0"/>
        <w:jc w:val="left"/>
        <w:rPr>
          <w:rFonts w:cs="宋体"/>
          <w:kern w:val="0"/>
        </w:rPr>
      </w:pPr>
      <w:r>
        <w:rPr>
          <w:rFonts w:hint="eastAsia"/>
        </w:rPr>
        <w:t>CH/T 1027《</w:t>
      </w:r>
      <w:r>
        <w:t>数字正射影像图质量检验技术规程</w:t>
      </w:r>
      <w:r>
        <w:rPr>
          <w:rFonts w:hint="eastAsia"/>
        </w:rPr>
        <w:t>》</w:t>
      </w:r>
    </w:p>
    <w:p w14:paraId="1DD51086">
      <w:pPr>
        <w:pStyle w:val="27"/>
        <w:widowControl/>
        <w:numPr>
          <w:ilvl w:val="0"/>
          <w:numId w:val="12"/>
        </w:numPr>
        <w:spacing w:line="360" w:lineRule="auto"/>
        <w:ind w:firstLineChars="0"/>
        <w:jc w:val="left"/>
        <w:rPr>
          <w:rFonts w:cs="宋体"/>
          <w:kern w:val="0"/>
        </w:rPr>
      </w:pPr>
      <w:r>
        <w:rPr>
          <w:rFonts w:hint="eastAsia"/>
        </w:rPr>
        <w:t>GB/T 17941《</w:t>
      </w:r>
      <w:r>
        <w:t>数字测绘成果质量要求标准</w:t>
      </w:r>
      <w:r>
        <w:rPr>
          <w:rFonts w:hint="eastAsia"/>
        </w:rPr>
        <w:t>》</w:t>
      </w:r>
    </w:p>
    <w:p w14:paraId="2C59C367">
      <w:pPr>
        <w:pStyle w:val="27"/>
        <w:widowControl/>
        <w:numPr>
          <w:ilvl w:val="0"/>
          <w:numId w:val="12"/>
        </w:numPr>
        <w:spacing w:line="360" w:lineRule="auto"/>
        <w:ind w:firstLineChars="0"/>
        <w:jc w:val="left"/>
        <w:rPr>
          <w:rFonts w:cs="宋体"/>
          <w:kern w:val="0"/>
        </w:rPr>
      </w:pPr>
      <w:r>
        <w:rPr>
          <w:rFonts w:hint="eastAsia"/>
          <w:kern w:val="0"/>
          <w:szCs w:val="20"/>
        </w:rPr>
        <w:t>GB/T 18316《</w:t>
      </w:r>
      <w:r>
        <w:rPr>
          <w:kern w:val="0"/>
          <w:szCs w:val="20"/>
        </w:rPr>
        <w:t>数字测绘成果质量检查与验收标准</w:t>
      </w:r>
      <w:r>
        <w:rPr>
          <w:rFonts w:hint="eastAsia"/>
          <w:kern w:val="0"/>
          <w:szCs w:val="20"/>
        </w:rPr>
        <w:t>》</w:t>
      </w:r>
    </w:p>
    <w:p w14:paraId="01132501">
      <w:pPr>
        <w:pStyle w:val="27"/>
        <w:widowControl/>
        <w:numPr>
          <w:ilvl w:val="0"/>
          <w:numId w:val="12"/>
        </w:numPr>
        <w:spacing w:line="360" w:lineRule="auto"/>
        <w:ind w:firstLineChars="0"/>
        <w:jc w:val="left"/>
        <w:rPr>
          <w:rFonts w:cs="宋体"/>
          <w:kern w:val="0"/>
        </w:rPr>
      </w:pPr>
      <w:r>
        <w:rPr>
          <w:rFonts w:hint="eastAsia"/>
          <w:kern w:val="0"/>
          <w:szCs w:val="20"/>
        </w:rPr>
        <w:t>GB/T 24356《测绘成果质量检查与验收》</w:t>
      </w:r>
    </w:p>
    <w:p w14:paraId="3603636C">
      <w:pPr>
        <w:pStyle w:val="27"/>
        <w:widowControl/>
        <w:numPr>
          <w:ilvl w:val="0"/>
          <w:numId w:val="12"/>
        </w:numPr>
        <w:spacing w:line="360" w:lineRule="auto"/>
        <w:ind w:firstLineChars="0"/>
        <w:jc w:val="left"/>
      </w:pPr>
      <w:r>
        <w:rPr>
          <w:rFonts w:hint="eastAsia"/>
        </w:rPr>
        <w:t>HJ 1337 生态保护红线监管技术规范疑似生态破坏问题图斑遥感识别（试行）</w:t>
      </w:r>
    </w:p>
    <w:p w14:paraId="69658553">
      <w:pPr>
        <w:pStyle w:val="27"/>
        <w:widowControl/>
        <w:numPr>
          <w:ilvl w:val="0"/>
          <w:numId w:val="12"/>
        </w:numPr>
        <w:spacing w:line="360" w:lineRule="auto"/>
        <w:ind w:firstLineChars="0"/>
        <w:jc w:val="left"/>
      </w:pPr>
      <w:r>
        <w:rPr>
          <w:rFonts w:hint="eastAsia"/>
        </w:rPr>
        <w:t>GB 50201《土方与爆破工程施工及验收规范》</w:t>
      </w:r>
    </w:p>
    <w:p w14:paraId="2225E073">
      <w:pPr>
        <w:pStyle w:val="27"/>
        <w:widowControl/>
        <w:numPr>
          <w:ilvl w:val="0"/>
          <w:numId w:val="12"/>
        </w:numPr>
        <w:spacing w:line="360" w:lineRule="auto"/>
        <w:ind w:firstLineChars="0"/>
        <w:jc w:val="left"/>
      </w:pPr>
      <w:r>
        <w:rPr>
          <w:rFonts w:hint="eastAsia"/>
        </w:rPr>
        <w:t>GB 50009《建筑结构荷载规范》</w:t>
      </w:r>
    </w:p>
    <w:p w14:paraId="041E7B2D">
      <w:pPr>
        <w:pStyle w:val="27"/>
        <w:widowControl/>
        <w:numPr>
          <w:ilvl w:val="0"/>
          <w:numId w:val="12"/>
        </w:numPr>
        <w:spacing w:line="360" w:lineRule="auto"/>
        <w:ind w:firstLineChars="0"/>
        <w:jc w:val="left"/>
      </w:pPr>
      <w:r>
        <w:rPr>
          <w:rFonts w:hint="eastAsia"/>
        </w:rPr>
        <w:t>GB 50010《混凝土结构设计规范》</w:t>
      </w:r>
    </w:p>
    <w:p w14:paraId="10BEC269">
      <w:pPr>
        <w:pStyle w:val="27"/>
        <w:widowControl/>
        <w:numPr>
          <w:ilvl w:val="0"/>
          <w:numId w:val="12"/>
        </w:numPr>
        <w:spacing w:line="360" w:lineRule="auto"/>
        <w:ind w:firstLineChars="0"/>
        <w:jc w:val="left"/>
      </w:pPr>
      <w:r>
        <w:rPr>
          <w:rFonts w:hint="eastAsia"/>
        </w:rPr>
        <w:t>GB 50420《城市绿地设计规范》</w:t>
      </w:r>
    </w:p>
    <w:sectPr>
      <w:headerReference r:id="rId5" w:type="default"/>
      <w:footerReference r:id="rId6"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359"/>
    </w:sdtPr>
    <w:sdtContent>
      <w:p w14:paraId="23A9C5B1">
        <w:pPr>
          <w:pStyle w:val="8"/>
          <w:jc w:val="center"/>
        </w:pPr>
        <w:r>
          <w:fldChar w:fldCharType="begin"/>
        </w:r>
        <w:r>
          <w:instrText xml:space="preserve">PAGE   \* MERGEFORMAT</w:instrText>
        </w:r>
        <w:r>
          <w:fldChar w:fldCharType="separate"/>
        </w:r>
        <w:r>
          <w:rPr>
            <w:lang w:val="zh-CN"/>
          </w:rPr>
          <w:t>3</w:t>
        </w:r>
        <w:r>
          <w:fldChar w:fldCharType="end"/>
        </w:r>
      </w:p>
    </w:sdtContent>
  </w:sdt>
  <w:p w14:paraId="38D38A1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4EC299F8">
        <w:pPr>
          <w:pStyle w:val="8"/>
          <w:jc w:val="center"/>
        </w:pPr>
        <w:r>
          <w:fldChar w:fldCharType="begin"/>
        </w:r>
        <w:r>
          <w:instrText xml:space="preserve">PAGE   \* MERGEFORMAT</w:instrText>
        </w:r>
        <w:r>
          <w:fldChar w:fldCharType="separate"/>
        </w:r>
        <w:r>
          <w:rPr>
            <w:lang w:val="zh-CN"/>
          </w:rPr>
          <w:t>3</w:t>
        </w:r>
        <w:r>
          <w:fldChar w:fldCharType="end"/>
        </w:r>
      </w:p>
    </w:sdtContent>
  </w:sdt>
  <w:p w14:paraId="3143C7F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570C9">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63D10">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BB89A"/>
    <w:multiLevelType w:val="singleLevel"/>
    <w:tmpl w:val="DFBBB89A"/>
    <w:lvl w:ilvl="0" w:tentative="0">
      <w:start w:val="1"/>
      <w:numFmt w:val="decimal"/>
      <w:suff w:val="nothing"/>
      <w:lvlText w:val="（%1）"/>
      <w:lvlJc w:val="left"/>
    </w:lvl>
  </w:abstractNum>
  <w:abstractNum w:abstractNumId="1">
    <w:nsid w:val="128A5C8A"/>
    <w:multiLevelType w:val="multilevel"/>
    <w:tmpl w:val="128A5C8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73"/>
      <w:suff w:val="nothing"/>
      <w:lvlText w:val="%1.%2.%3　"/>
      <w:lvlJc w:val="left"/>
      <w:pPr>
        <w:ind w:left="0" w:firstLine="0"/>
      </w:pPr>
      <w:rPr>
        <w:rFonts w:hint="eastAsia" w:ascii="黑体" w:hAnsi="Times New Roman" w:eastAsia="黑体"/>
        <w:b w:val="0"/>
        <w:i w:val="0"/>
        <w:strike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44C50F90"/>
    <w:multiLevelType w:val="multilevel"/>
    <w:tmpl w:val="44C50F9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pStyle w:val="75"/>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5603797C"/>
    <w:multiLevelType w:val="multilevel"/>
    <w:tmpl w:val="5603797C"/>
    <w:lvl w:ilvl="0" w:tentative="0">
      <w:start w:val="1"/>
      <w:numFmt w:val="upperLetter"/>
      <w:suff w:val="space"/>
      <w:lvlText w:val="%1"/>
      <w:lvlJc w:val="left"/>
      <w:pPr>
        <w:ind w:left="425" w:hanging="425"/>
      </w:pPr>
      <w:rPr>
        <w:rFonts w:hint="eastAsia"/>
      </w:rPr>
    </w:lvl>
    <w:lvl w:ilvl="1" w:tentative="0">
      <w:start w:val="1"/>
      <w:numFmt w:val="decimal"/>
      <w:pStyle w:val="65"/>
      <w:suff w:val="space"/>
      <w:lvlText w:val="表%1.%2"/>
      <w:lvlJc w:val="center"/>
      <w:pPr>
        <w:ind w:left="0"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5C8E0134"/>
    <w:multiLevelType w:val="singleLevel"/>
    <w:tmpl w:val="5C8E0134"/>
    <w:lvl w:ilvl="0" w:tentative="0">
      <w:start w:val="1"/>
      <w:numFmt w:val="decimal"/>
      <w:suff w:val="nothing"/>
      <w:lvlText w:val="（%1）"/>
      <w:lvlJc w:val="left"/>
      <w:pPr>
        <w:ind w:left="-60"/>
      </w:pPr>
    </w:lvl>
  </w:abstractNum>
  <w:abstractNum w:abstractNumId="6">
    <w:nsid w:val="5F4642C5"/>
    <w:multiLevelType w:val="singleLevel"/>
    <w:tmpl w:val="5F4642C5"/>
    <w:lvl w:ilvl="0" w:tentative="0">
      <w:start w:val="2"/>
      <w:numFmt w:val="decimal"/>
      <w:pStyle w:val="3"/>
      <w:suff w:val="nothing"/>
      <w:lvlText w:val="%1、"/>
      <w:lvlJc w:val="left"/>
    </w:lvl>
  </w:abstractNum>
  <w:abstractNum w:abstractNumId="7">
    <w:nsid w:val="646260FA"/>
    <w:multiLevelType w:val="multilevel"/>
    <w:tmpl w:val="646260FA"/>
    <w:lvl w:ilvl="0" w:tentative="0">
      <w:start w:val="1"/>
      <w:numFmt w:val="decimal"/>
      <w:pStyle w:val="32"/>
      <w:suff w:val="nothing"/>
      <w:lvlText w:val="表%1　"/>
      <w:lvlJc w:val="left"/>
      <w:pPr>
        <w:ind w:left="3545"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8">
    <w:nsid w:val="657D3FBC"/>
    <w:multiLevelType w:val="multilevel"/>
    <w:tmpl w:val="657D3FBC"/>
    <w:lvl w:ilvl="0" w:tentative="0">
      <w:start w:val="1"/>
      <w:numFmt w:val="upperLetter"/>
      <w:pStyle w:val="44"/>
      <w:suff w:val="nothing"/>
      <w:lvlText w:val="附录%1"/>
      <w:lvlJc w:val="left"/>
      <w:pPr>
        <w:ind w:left="0" w:firstLine="0"/>
      </w:pPr>
      <w:rPr>
        <w:rFonts w:hint="eastAsia"/>
        <w:spacing w:val="100"/>
      </w:rPr>
    </w:lvl>
    <w:lvl w:ilvl="1" w:tentative="0">
      <w:start w:val="1"/>
      <w:numFmt w:val="decimal"/>
      <w:pStyle w:val="45"/>
      <w:suff w:val="nothing"/>
      <w:lvlText w:val="%1.%2　"/>
      <w:lvlJc w:val="left"/>
      <w:pPr>
        <w:ind w:left="0" w:firstLine="0"/>
      </w:pPr>
      <w:rPr>
        <w:rFonts w:hint="eastAsia" w:ascii="黑体" w:eastAsia="黑体"/>
        <w:b w:val="0"/>
        <w:i w:val="0"/>
        <w:strike w:val="0"/>
        <w:sz w:val="21"/>
      </w:rPr>
    </w:lvl>
    <w:lvl w:ilvl="2" w:tentative="0">
      <w:start w:val="1"/>
      <w:numFmt w:val="decimal"/>
      <w:suff w:val="nothing"/>
      <w:lvlText w:val="%1.%2.%3　"/>
      <w:lvlJc w:val="left"/>
      <w:pPr>
        <w:ind w:left="284"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41"/>
      <w:suff w:val="nothing"/>
      <w:lvlText w:val="%1%2　"/>
      <w:lvlJc w:val="left"/>
      <w:pPr>
        <w:ind w:left="0" w:firstLine="0"/>
      </w:pPr>
      <w:rPr>
        <w:rFonts w:hint="eastAsia" w:ascii="黑体" w:eastAsia="黑体"/>
        <w:b w:val="0"/>
        <w:i w:val="0"/>
        <w:sz w:val="21"/>
      </w:rPr>
    </w:lvl>
    <w:lvl w:ilvl="2" w:tentative="0">
      <w:start w:val="1"/>
      <w:numFmt w:val="decimal"/>
      <w:pStyle w:val="40"/>
      <w:suff w:val="nothing"/>
      <w:lvlText w:val="%1%2.%3　"/>
      <w:lvlJc w:val="left"/>
      <w:pPr>
        <w:ind w:left="2411"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43"/>
      <w:suff w:val="nothing"/>
      <w:lvlText w:val="%1%2.%3.%4　"/>
      <w:lvlJc w:val="left"/>
      <w:pPr>
        <w:ind w:left="568" w:firstLine="0"/>
      </w:pPr>
      <w:rPr>
        <w:rFonts w:hint="eastAsia" w:ascii="黑体" w:eastAsia="黑体"/>
        <w:b w:val="0"/>
        <w:i w:val="0"/>
        <w:sz w:val="21"/>
      </w:rPr>
    </w:lvl>
    <w:lvl w:ilvl="4" w:tentative="0">
      <w:start w:val="1"/>
      <w:numFmt w:val="decimal"/>
      <w:pStyle w:val="47"/>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9341B64"/>
    <w:multiLevelType w:val="singleLevel"/>
    <w:tmpl w:val="79341B64"/>
    <w:lvl w:ilvl="0" w:tentative="0">
      <w:start w:val="1"/>
      <w:numFmt w:val="japaneseCounting"/>
      <w:lvlText w:val="%1、"/>
      <w:lvlJc w:val="left"/>
      <w:pPr>
        <w:tabs>
          <w:tab w:val="left" w:pos="630"/>
        </w:tabs>
        <w:ind w:left="630" w:hanging="630"/>
      </w:pPr>
      <w:rPr>
        <w:rFonts w:hint="eastAsia"/>
      </w:rPr>
    </w:lvl>
  </w:abstractNum>
  <w:abstractNum w:abstractNumId="11">
    <w:nsid w:val="7FBD3F17"/>
    <w:multiLevelType w:val="multilevel"/>
    <w:tmpl w:val="7FBD3F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9"/>
  </w:num>
  <w:num w:numId="4">
    <w:abstractNumId w:val="8"/>
  </w:num>
  <w:num w:numId="5">
    <w:abstractNumId w:val="4"/>
  </w:num>
  <w:num w:numId="6">
    <w:abstractNumId w:val="2"/>
  </w:num>
  <w:num w:numId="7">
    <w:abstractNumId w:val="3"/>
  </w:num>
  <w:num w:numId="8">
    <w:abstractNumId w:val="10"/>
  </w:num>
  <w:num w:numId="9">
    <w:abstractNumId w:val="1"/>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revisionView w:markup="0"/>
  <w:trackRevisions w:val="1"/>
  <w:documentProtection w:enforcement="0"/>
  <w:defaultTabStop w:val="420"/>
  <w:drawingGridHorizontalSpacing w:val="105"/>
  <w:drawingGridVerticalSpacing w:val="31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xZmEwZmI1MDEzZWU2MzQ5ZTVhMzMyNTRhZTUxMWMifQ=="/>
  </w:docVars>
  <w:rsids>
    <w:rsidRoot w:val="00172A27"/>
    <w:rsid w:val="00001E1E"/>
    <w:rsid w:val="0000279B"/>
    <w:rsid w:val="000030B7"/>
    <w:rsid w:val="00005757"/>
    <w:rsid w:val="000067C6"/>
    <w:rsid w:val="000072D0"/>
    <w:rsid w:val="000217C2"/>
    <w:rsid w:val="000222FA"/>
    <w:rsid w:val="000243A9"/>
    <w:rsid w:val="00026243"/>
    <w:rsid w:val="0002724F"/>
    <w:rsid w:val="000313D9"/>
    <w:rsid w:val="00040D2C"/>
    <w:rsid w:val="00044F1F"/>
    <w:rsid w:val="00052E0C"/>
    <w:rsid w:val="0005398D"/>
    <w:rsid w:val="00055701"/>
    <w:rsid w:val="00055C83"/>
    <w:rsid w:val="00056119"/>
    <w:rsid w:val="000567A7"/>
    <w:rsid w:val="00066B90"/>
    <w:rsid w:val="000731B1"/>
    <w:rsid w:val="000737E9"/>
    <w:rsid w:val="00084DE8"/>
    <w:rsid w:val="00091946"/>
    <w:rsid w:val="00093402"/>
    <w:rsid w:val="00095FFB"/>
    <w:rsid w:val="000A248A"/>
    <w:rsid w:val="000A2BF9"/>
    <w:rsid w:val="000A6F4C"/>
    <w:rsid w:val="000A72F5"/>
    <w:rsid w:val="000B2E28"/>
    <w:rsid w:val="000B5A6C"/>
    <w:rsid w:val="000C01D0"/>
    <w:rsid w:val="000C0347"/>
    <w:rsid w:val="000C04B6"/>
    <w:rsid w:val="000C0CAE"/>
    <w:rsid w:val="000C0DFD"/>
    <w:rsid w:val="000D4032"/>
    <w:rsid w:val="000D57B4"/>
    <w:rsid w:val="000D7531"/>
    <w:rsid w:val="000E0E84"/>
    <w:rsid w:val="000E1291"/>
    <w:rsid w:val="000E3F56"/>
    <w:rsid w:val="000E4378"/>
    <w:rsid w:val="000E4F47"/>
    <w:rsid w:val="000F4243"/>
    <w:rsid w:val="000F65C7"/>
    <w:rsid w:val="000F7B42"/>
    <w:rsid w:val="001037A0"/>
    <w:rsid w:val="001129FB"/>
    <w:rsid w:val="00113AB2"/>
    <w:rsid w:val="001168A4"/>
    <w:rsid w:val="00121C34"/>
    <w:rsid w:val="00123891"/>
    <w:rsid w:val="00124765"/>
    <w:rsid w:val="001533EA"/>
    <w:rsid w:val="00164AAB"/>
    <w:rsid w:val="00172A27"/>
    <w:rsid w:val="00177656"/>
    <w:rsid w:val="00177C72"/>
    <w:rsid w:val="001878A0"/>
    <w:rsid w:val="00190874"/>
    <w:rsid w:val="001928FE"/>
    <w:rsid w:val="001940A6"/>
    <w:rsid w:val="00194E0B"/>
    <w:rsid w:val="001950CC"/>
    <w:rsid w:val="001A0F75"/>
    <w:rsid w:val="001A17A9"/>
    <w:rsid w:val="001A2EEA"/>
    <w:rsid w:val="001A3D1F"/>
    <w:rsid w:val="001A58DC"/>
    <w:rsid w:val="001A5A50"/>
    <w:rsid w:val="001A704F"/>
    <w:rsid w:val="001B491F"/>
    <w:rsid w:val="001B6585"/>
    <w:rsid w:val="001C0105"/>
    <w:rsid w:val="001C2BB4"/>
    <w:rsid w:val="001C3E41"/>
    <w:rsid w:val="001C4C99"/>
    <w:rsid w:val="001D1B31"/>
    <w:rsid w:val="001D2539"/>
    <w:rsid w:val="001D51DD"/>
    <w:rsid w:val="001D7C32"/>
    <w:rsid w:val="001F6804"/>
    <w:rsid w:val="00204156"/>
    <w:rsid w:val="00204EBD"/>
    <w:rsid w:val="0020504A"/>
    <w:rsid w:val="0020547F"/>
    <w:rsid w:val="00206B29"/>
    <w:rsid w:val="00216C13"/>
    <w:rsid w:val="00220AB7"/>
    <w:rsid w:val="00232B39"/>
    <w:rsid w:val="00235550"/>
    <w:rsid w:val="00246064"/>
    <w:rsid w:val="002504F2"/>
    <w:rsid w:val="00250602"/>
    <w:rsid w:val="00251142"/>
    <w:rsid w:val="00273A27"/>
    <w:rsid w:val="00291002"/>
    <w:rsid w:val="00296FE8"/>
    <w:rsid w:val="00297D30"/>
    <w:rsid w:val="002B4D8D"/>
    <w:rsid w:val="002B59F9"/>
    <w:rsid w:val="002C0366"/>
    <w:rsid w:val="002C1FEE"/>
    <w:rsid w:val="002C45AB"/>
    <w:rsid w:val="002D0830"/>
    <w:rsid w:val="002E16A4"/>
    <w:rsid w:val="002E2A5B"/>
    <w:rsid w:val="002E2B0A"/>
    <w:rsid w:val="002E6351"/>
    <w:rsid w:val="002E6A95"/>
    <w:rsid w:val="00307F97"/>
    <w:rsid w:val="003135CE"/>
    <w:rsid w:val="00320DD1"/>
    <w:rsid w:val="00323CF0"/>
    <w:rsid w:val="003248FB"/>
    <w:rsid w:val="0032744B"/>
    <w:rsid w:val="00333F6E"/>
    <w:rsid w:val="0033467D"/>
    <w:rsid w:val="0033507C"/>
    <w:rsid w:val="0034213D"/>
    <w:rsid w:val="003428DE"/>
    <w:rsid w:val="003458B5"/>
    <w:rsid w:val="00353550"/>
    <w:rsid w:val="003552C2"/>
    <w:rsid w:val="00357013"/>
    <w:rsid w:val="003572ED"/>
    <w:rsid w:val="00362C4A"/>
    <w:rsid w:val="00363AE3"/>
    <w:rsid w:val="00376046"/>
    <w:rsid w:val="003767DA"/>
    <w:rsid w:val="00376F0B"/>
    <w:rsid w:val="00380DF6"/>
    <w:rsid w:val="003849B5"/>
    <w:rsid w:val="00384C30"/>
    <w:rsid w:val="00394808"/>
    <w:rsid w:val="003956B7"/>
    <w:rsid w:val="003975A8"/>
    <w:rsid w:val="003A09B6"/>
    <w:rsid w:val="003A2D5E"/>
    <w:rsid w:val="003B02DB"/>
    <w:rsid w:val="003B1D3C"/>
    <w:rsid w:val="003B274C"/>
    <w:rsid w:val="003B3593"/>
    <w:rsid w:val="003B4147"/>
    <w:rsid w:val="003B6188"/>
    <w:rsid w:val="003C3E13"/>
    <w:rsid w:val="003C59F2"/>
    <w:rsid w:val="003D3BFA"/>
    <w:rsid w:val="003D550B"/>
    <w:rsid w:val="003E3A01"/>
    <w:rsid w:val="003E5E58"/>
    <w:rsid w:val="003F129C"/>
    <w:rsid w:val="003F23BD"/>
    <w:rsid w:val="003F6FFB"/>
    <w:rsid w:val="00400A08"/>
    <w:rsid w:val="00405B1C"/>
    <w:rsid w:val="00407645"/>
    <w:rsid w:val="00414E03"/>
    <w:rsid w:val="00414E35"/>
    <w:rsid w:val="00415A71"/>
    <w:rsid w:val="004169EF"/>
    <w:rsid w:val="004176FE"/>
    <w:rsid w:val="00417BDA"/>
    <w:rsid w:val="00425ED2"/>
    <w:rsid w:val="004277E3"/>
    <w:rsid w:val="004309A4"/>
    <w:rsid w:val="00431078"/>
    <w:rsid w:val="004326B3"/>
    <w:rsid w:val="0043353A"/>
    <w:rsid w:val="00433C74"/>
    <w:rsid w:val="00446E59"/>
    <w:rsid w:val="004543B5"/>
    <w:rsid w:val="00455477"/>
    <w:rsid w:val="00455DD4"/>
    <w:rsid w:val="00461698"/>
    <w:rsid w:val="00464402"/>
    <w:rsid w:val="0046496D"/>
    <w:rsid w:val="004716F8"/>
    <w:rsid w:val="00471E21"/>
    <w:rsid w:val="00472EBE"/>
    <w:rsid w:val="00473B9B"/>
    <w:rsid w:val="00474DE0"/>
    <w:rsid w:val="004762D9"/>
    <w:rsid w:val="004803FE"/>
    <w:rsid w:val="00494882"/>
    <w:rsid w:val="00494DDF"/>
    <w:rsid w:val="004A0BDE"/>
    <w:rsid w:val="004A2B71"/>
    <w:rsid w:val="004B2E79"/>
    <w:rsid w:val="004B359E"/>
    <w:rsid w:val="004B6262"/>
    <w:rsid w:val="004C4CD6"/>
    <w:rsid w:val="004C52FF"/>
    <w:rsid w:val="004D2D51"/>
    <w:rsid w:val="004D4465"/>
    <w:rsid w:val="004D7708"/>
    <w:rsid w:val="004E4CA7"/>
    <w:rsid w:val="004E683F"/>
    <w:rsid w:val="004E687E"/>
    <w:rsid w:val="004E7F24"/>
    <w:rsid w:val="004F26FB"/>
    <w:rsid w:val="004F45E3"/>
    <w:rsid w:val="004F5013"/>
    <w:rsid w:val="004F5C17"/>
    <w:rsid w:val="004F75A5"/>
    <w:rsid w:val="00504930"/>
    <w:rsid w:val="00506ED3"/>
    <w:rsid w:val="00507D24"/>
    <w:rsid w:val="00510C98"/>
    <w:rsid w:val="00512B8C"/>
    <w:rsid w:val="00516165"/>
    <w:rsid w:val="0051785C"/>
    <w:rsid w:val="00523DE6"/>
    <w:rsid w:val="00523E8C"/>
    <w:rsid w:val="00525868"/>
    <w:rsid w:val="005258DA"/>
    <w:rsid w:val="00525C9B"/>
    <w:rsid w:val="005335C4"/>
    <w:rsid w:val="00534BD9"/>
    <w:rsid w:val="00536BD6"/>
    <w:rsid w:val="00541F40"/>
    <w:rsid w:val="00545745"/>
    <w:rsid w:val="00552F0B"/>
    <w:rsid w:val="00553296"/>
    <w:rsid w:val="00560BF4"/>
    <w:rsid w:val="00561E02"/>
    <w:rsid w:val="00563683"/>
    <w:rsid w:val="00565952"/>
    <w:rsid w:val="00565D9E"/>
    <w:rsid w:val="00567F3F"/>
    <w:rsid w:val="00571F63"/>
    <w:rsid w:val="0058231E"/>
    <w:rsid w:val="00583BB7"/>
    <w:rsid w:val="00585378"/>
    <w:rsid w:val="00586EA6"/>
    <w:rsid w:val="005912D0"/>
    <w:rsid w:val="00597A87"/>
    <w:rsid w:val="005A11D4"/>
    <w:rsid w:val="005A749B"/>
    <w:rsid w:val="005B1F9A"/>
    <w:rsid w:val="005B2CFB"/>
    <w:rsid w:val="005B3741"/>
    <w:rsid w:val="005B5AEE"/>
    <w:rsid w:val="005C0085"/>
    <w:rsid w:val="005C21F2"/>
    <w:rsid w:val="005C2268"/>
    <w:rsid w:val="005C57BB"/>
    <w:rsid w:val="005D04AD"/>
    <w:rsid w:val="005D3E98"/>
    <w:rsid w:val="005D4C0F"/>
    <w:rsid w:val="005D5AE1"/>
    <w:rsid w:val="005E0B6A"/>
    <w:rsid w:val="005E258E"/>
    <w:rsid w:val="005E3339"/>
    <w:rsid w:val="005E4616"/>
    <w:rsid w:val="005E5335"/>
    <w:rsid w:val="005E583C"/>
    <w:rsid w:val="005E5EA2"/>
    <w:rsid w:val="005F5D5C"/>
    <w:rsid w:val="005F76E4"/>
    <w:rsid w:val="005F7BC5"/>
    <w:rsid w:val="00602362"/>
    <w:rsid w:val="00623BF9"/>
    <w:rsid w:val="00627306"/>
    <w:rsid w:val="00631872"/>
    <w:rsid w:val="00633734"/>
    <w:rsid w:val="00633D78"/>
    <w:rsid w:val="00653B48"/>
    <w:rsid w:val="00655DB9"/>
    <w:rsid w:val="00655DDA"/>
    <w:rsid w:val="00663F2A"/>
    <w:rsid w:val="00664D03"/>
    <w:rsid w:val="00665289"/>
    <w:rsid w:val="00667B96"/>
    <w:rsid w:val="00673416"/>
    <w:rsid w:val="0068006B"/>
    <w:rsid w:val="006800E0"/>
    <w:rsid w:val="00680414"/>
    <w:rsid w:val="00680DA1"/>
    <w:rsid w:val="00681D02"/>
    <w:rsid w:val="006851F7"/>
    <w:rsid w:val="00693C1A"/>
    <w:rsid w:val="00694141"/>
    <w:rsid w:val="00695FE1"/>
    <w:rsid w:val="006A6DFA"/>
    <w:rsid w:val="006A7A5D"/>
    <w:rsid w:val="006B137C"/>
    <w:rsid w:val="006C2FE4"/>
    <w:rsid w:val="006D0565"/>
    <w:rsid w:val="006D0735"/>
    <w:rsid w:val="006D266C"/>
    <w:rsid w:val="006E16ED"/>
    <w:rsid w:val="006E4011"/>
    <w:rsid w:val="006F0079"/>
    <w:rsid w:val="006F06C9"/>
    <w:rsid w:val="006F3413"/>
    <w:rsid w:val="006F38C2"/>
    <w:rsid w:val="006F3F34"/>
    <w:rsid w:val="006F4054"/>
    <w:rsid w:val="006F43B6"/>
    <w:rsid w:val="006F4ADD"/>
    <w:rsid w:val="007000CE"/>
    <w:rsid w:val="007004FB"/>
    <w:rsid w:val="00702FB6"/>
    <w:rsid w:val="00707134"/>
    <w:rsid w:val="0071041E"/>
    <w:rsid w:val="00710AE4"/>
    <w:rsid w:val="00713BD5"/>
    <w:rsid w:val="007304D1"/>
    <w:rsid w:val="00731713"/>
    <w:rsid w:val="00734CD2"/>
    <w:rsid w:val="0074219A"/>
    <w:rsid w:val="0074780B"/>
    <w:rsid w:val="00750C31"/>
    <w:rsid w:val="007531C5"/>
    <w:rsid w:val="00757783"/>
    <w:rsid w:val="007600B4"/>
    <w:rsid w:val="00764435"/>
    <w:rsid w:val="00775DBA"/>
    <w:rsid w:val="00776EF4"/>
    <w:rsid w:val="00781CEB"/>
    <w:rsid w:val="00786348"/>
    <w:rsid w:val="007865F6"/>
    <w:rsid w:val="00790F1B"/>
    <w:rsid w:val="0079371E"/>
    <w:rsid w:val="00793891"/>
    <w:rsid w:val="00797C47"/>
    <w:rsid w:val="007A430E"/>
    <w:rsid w:val="007A4AB5"/>
    <w:rsid w:val="007B08BF"/>
    <w:rsid w:val="007B7671"/>
    <w:rsid w:val="007C051F"/>
    <w:rsid w:val="007C0F4B"/>
    <w:rsid w:val="007C28F9"/>
    <w:rsid w:val="007D0E54"/>
    <w:rsid w:val="007D37D5"/>
    <w:rsid w:val="007E4499"/>
    <w:rsid w:val="007E7473"/>
    <w:rsid w:val="007F0491"/>
    <w:rsid w:val="007F0A47"/>
    <w:rsid w:val="007F14E2"/>
    <w:rsid w:val="007F1E2E"/>
    <w:rsid w:val="007F6010"/>
    <w:rsid w:val="00802D32"/>
    <w:rsid w:val="00805953"/>
    <w:rsid w:val="00816921"/>
    <w:rsid w:val="008230F9"/>
    <w:rsid w:val="00832A2D"/>
    <w:rsid w:val="0083790C"/>
    <w:rsid w:val="00837C7D"/>
    <w:rsid w:val="00841648"/>
    <w:rsid w:val="00844D69"/>
    <w:rsid w:val="00846EA9"/>
    <w:rsid w:val="00851883"/>
    <w:rsid w:val="00853F6D"/>
    <w:rsid w:val="00854AD1"/>
    <w:rsid w:val="008605F5"/>
    <w:rsid w:val="00863306"/>
    <w:rsid w:val="008634A2"/>
    <w:rsid w:val="00867E68"/>
    <w:rsid w:val="00870765"/>
    <w:rsid w:val="00872308"/>
    <w:rsid w:val="00880B4A"/>
    <w:rsid w:val="00880EB6"/>
    <w:rsid w:val="00883758"/>
    <w:rsid w:val="008837F3"/>
    <w:rsid w:val="00886CB4"/>
    <w:rsid w:val="008873C7"/>
    <w:rsid w:val="008A61C2"/>
    <w:rsid w:val="008B0856"/>
    <w:rsid w:val="008B2C65"/>
    <w:rsid w:val="008B30DB"/>
    <w:rsid w:val="008C0E50"/>
    <w:rsid w:val="008C242A"/>
    <w:rsid w:val="008C2C11"/>
    <w:rsid w:val="008C39B2"/>
    <w:rsid w:val="008C3B69"/>
    <w:rsid w:val="008D0645"/>
    <w:rsid w:val="008D500E"/>
    <w:rsid w:val="008D6CFC"/>
    <w:rsid w:val="008E2C4E"/>
    <w:rsid w:val="008E4A3C"/>
    <w:rsid w:val="008E4B6A"/>
    <w:rsid w:val="008E7F48"/>
    <w:rsid w:val="008F4E98"/>
    <w:rsid w:val="008F59CE"/>
    <w:rsid w:val="00904BC9"/>
    <w:rsid w:val="009143F4"/>
    <w:rsid w:val="00915DF8"/>
    <w:rsid w:val="00920706"/>
    <w:rsid w:val="00924C5C"/>
    <w:rsid w:val="00934C8B"/>
    <w:rsid w:val="00936260"/>
    <w:rsid w:val="00941651"/>
    <w:rsid w:val="00953081"/>
    <w:rsid w:val="00962E96"/>
    <w:rsid w:val="009653A8"/>
    <w:rsid w:val="0096603B"/>
    <w:rsid w:val="00977CB0"/>
    <w:rsid w:val="0098005E"/>
    <w:rsid w:val="00982FDA"/>
    <w:rsid w:val="00984095"/>
    <w:rsid w:val="00986102"/>
    <w:rsid w:val="009966AD"/>
    <w:rsid w:val="009A222A"/>
    <w:rsid w:val="009A5174"/>
    <w:rsid w:val="009A5179"/>
    <w:rsid w:val="009B0A72"/>
    <w:rsid w:val="009B1DB2"/>
    <w:rsid w:val="009C70E4"/>
    <w:rsid w:val="009C7E3F"/>
    <w:rsid w:val="009D2414"/>
    <w:rsid w:val="009D2EC0"/>
    <w:rsid w:val="009D75E0"/>
    <w:rsid w:val="009E16BB"/>
    <w:rsid w:val="009E319E"/>
    <w:rsid w:val="009E6AC9"/>
    <w:rsid w:val="00A01EC1"/>
    <w:rsid w:val="00A036BC"/>
    <w:rsid w:val="00A077D3"/>
    <w:rsid w:val="00A173AF"/>
    <w:rsid w:val="00A176DD"/>
    <w:rsid w:val="00A22655"/>
    <w:rsid w:val="00A22756"/>
    <w:rsid w:val="00A23976"/>
    <w:rsid w:val="00A364BC"/>
    <w:rsid w:val="00A3702E"/>
    <w:rsid w:val="00A40F8C"/>
    <w:rsid w:val="00A42A91"/>
    <w:rsid w:val="00A45905"/>
    <w:rsid w:val="00A463EE"/>
    <w:rsid w:val="00A542B4"/>
    <w:rsid w:val="00A55EF4"/>
    <w:rsid w:val="00A630CE"/>
    <w:rsid w:val="00A66321"/>
    <w:rsid w:val="00A66CFF"/>
    <w:rsid w:val="00A7235C"/>
    <w:rsid w:val="00A73099"/>
    <w:rsid w:val="00A77052"/>
    <w:rsid w:val="00A827E4"/>
    <w:rsid w:val="00A84D27"/>
    <w:rsid w:val="00A91531"/>
    <w:rsid w:val="00A9297B"/>
    <w:rsid w:val="00A9667B"/>
    <w:rsid w:val="00AA0988"/>
    <w:rsid w:val="00AA0DA9"/>
    <w:rsid w:val="00AA404A"/>
    <w:rsid w:val="00AA7A79"/>
    <w:rsid w:val="00AA7B60"/>
    <w:rsid w:val="00AB0A0C"/>
    <w:rsid w:val="00AB310C"/>
    <w:rsid w:val="00AC6F15"/>
    <w:rsid w:val="00AD240A"/>
    <w:rsid w:val="00AD3B3F"/>
    <w:rsid w:val="00AD469C"/>
    <w:rsid w:val="00AF2ACD"/>
    <w:rsid w:val="00AF34CB"/>
    <w:rsid w:val="00AF6A13"/>
    <w:rsid w:val="00AF6E32"/>
    <w:rsid w:val="00B00AC7"/>
    <w:rsid w:val="00B11B9D"/>
    <w:rsid w:val="00B1239D"/>
    <w:rsid w:val="00B134AC"/>
    <w:rsid w:val="00B20A13"/>
    <w:rsid w:val="00B226BC"/>
    <w:rsid w:val="00B22AE4"/>
    <w:rsid w:val="00B22CF8"/>
    <w:rsid w:val="00B22D0B"/>
    <w:rsid w:val="00B30248"/>
    <w:rsid w:val="00B32599"/>
    <w:rsid w:val="00B35F1E"/>
    <w:rsid w:val="00B36111"/>
    <w:rsid w:val="00B37AB9"/>
    <w:rsid w:val="00B43DA0"/>
    <w:rsid w:val="00B4448E"/>
    <w:rsid w:val="00B4647F"/>
    <w:rsid w:val="00B5367B"/>
    <w:rsid w:val="00B622BD"/>
    <w:rsid w:val="00B66A9F"/>
    <w:rsid w:val="00B74607"/>
    <w:rsid w:val="00B760D1"/>
    <w:rsid w:val="00B808C0"/>
    <w:rsid w:val="00B816F9"/>
    <w:rsid w:val="00B82B31"/>
    <w:rsid w:val="00B846AA"/>
    <w:rsid w:val="00B86209"/>
    <w:rsid w:val="00B90F76"/>
    <w:rsid w:val="00B926D1"/>
    <w:rsid w:val="00BA441C"/>
    <w:rsid w:val="00BB1D2D"/>
    <w:rsid w:val="00BB1ECC"/>
    <w:rsid w:val="00BB334E"/>
    <w:rsid w:val="00BB571B"/>
    <w:rsid w:val="00BB5874"/>
    <w:rsid w:val="00BC5AE3"/>
    <w:rsid w:val="00BC6931"/>
    <w:rsid w:val="00BD00D3"/>
    <w:rsid w:val="00BD036D"/>
    <w:rsid w:val="00BD40C1"/>
    <w:rsid w:val="00BD4720"/>
    <w:rsid w:val="00BD55C0"/>
    <w:rsid w:val="00BE5D7E"/>
    <w:rsid w:val="00BE6885"/>
    <w:rsid w:val="00BE750D"/>
    <w:rsid w:val="00BF02AB"/>
    <w:rsid w:val="00BF0DFB"/>
    <w:rsid w:val="00BF4365"/>
    <w:rsid w:val="00BF6004"/>
    <w:rsid w:val="00C057D8"/>
    <w:rsid w:val="00C17439"/>
    <w:rsid w:val="00C17C9B"/>
    <w:rsid w:val="00C20A62"/>
    <w:rsid w:val="00C221EE"/>
    <w:rsid w:val="00C26C7E"/>
    <w:rsid w:val="00C27B16"/>
    <w:rsid w:val="00C327CE"/>
    <w:rsid w:val="00C33198"/>
    <w:rsid w:val="00C3426E"/>
    <w:rsid w:val="00C41875"/>
    <w:rsid w:val="00C43DF9"/>
    <w:rsid w:val="00C43EC6"/>
    <w:rsid w:val="00C5445A"/>
    <w:rsid w:val="00C55313"/>
    <w:rsid w:val="00C6348C"/>
    <w:rsid w:val="00C64887"/>
    <w:rsid w:val="00C648B9"/>
    <w:rsid w:val="00C71451"/>
    <w:rsid w:val="00C72B88"/>
    <w:rsid w:val="00C75786"/>
    <w:rsid w:val="00C828C7"/>
    <w:rsid w:val="00C850F4"/>
    <w:rsid w:val="00CA1C74"/>
    <w:rsid w:val="00CA2BCC"/>
    <w:rsid w:val="00CA596E"/>
    <w:rsid w:val="00CB479F"/>
    <w:rsid w:val="00CB4D93"/>
    <w:rsid w:val="00CB505A"/>
    <w:rsid w:val="00CB63EA"/>
    <w:rsid w:val="00CC2D49"/>
    <w:rsid w:val="00CC443C"/>
    <w:rsid w:val="00CC5100"/>
    <w:rsid w:val="00CC6495"/>
    <w:rsid w:val="00CD1B23"/>
    <w:rsid w:val="00CD35C4"/>
    <w:rsid w:val="00CD5CD2"/>
    <w:rsid w:val="00CD64D5"/>
    <w:rsid w:val="00CE00C5"/>
    <w:rsid w:val="00CE124D"/>
    <w:rsid w:val="00CE198E"/>
    <w:rsid w:val="00CE1BC3"/>
    <w:rsid w:val="00CE5C0C"/>
    <w:rsid w:val="00CE7A19"/>
    <w:rsid w:val="00CF5743"/>
    <w:rsid w:val="00CF7C38"/>
    <w:rsid w:val="00D03687"/>
    <w:rsid w:val="00D03D31"/>
    <w:rsid w:val="00D0512E"/>
    <w:rsid w:val="00D11E98"/>
    <w:rsid w:val="00D12FB3"/>
    <w:rsid w:val="00D1543E"/>
    <w:rsid w:val="00D15DD7"/>
    <w:rsid w:val="00D1720F"/>
    <w:rsid w:val="00D21FA3"/>
    <w:rsid w:val="00D23F3B"/>
    <w:rsid w:val="00D24517"/>
    <w:rsid w:val="00D24E98"/>
    <w:rsid w:val="00D308E0"/>
    <w:rsid w:val="00D40318"/>
    <w:rsid w:val="00D5770D"/>
    <w:rsid w:val="00D66795"/>
    <w:rsid w:val="00D66AAD"/>
    <w:rsid w:val="00D763D1"/>
    <w:rsid w:val="00D76616"/>
    <w:rsid w:val="00D92CCC"/>
    <w:rsid w:val="00D9621B"/>
    <w:rsid w:val="00D97893"/>
    <w:rsid w:val="00DA0437"/>
    <w:rsid w:val="00DA26EC"/>
    <w:rsid w:val="00DA6501"/>
    <w:rsid w:val="00DB0DCE"/>
    <w:rsid w:val="00DB1304"/>
    <w:rsid w:val="00DB43C8"/>
    <w:rsid w:val="00DB4E4A"/>
    <w:rsid w:val="00DB7B47"/>
    <w:rsid w:val="00DC1FBE"/>
    <w:rsid w:val="00DC51B1"/>
    <w:rsid w:val="00DC7719"/>
    <w:rsid w:val="00DE0BF5"/>
    <w:rsid w:val="00DE3252"/>
    <w:rsid w:val="00DF2FAF"/>
    <w:rsid w:val="00DF4CCD"/>
    <w:rsid w:val="00DF5344"/>
    <w:rsid w:val="00E109E0"/>
    <w:rsid w:val="00E12A56"/>
    <w:rsid w:val="00E15185"/>
    <w:rsid w:val="00E1576D"/>
    <w:rsid w:val="00E22D25"/>
    <w:rsid w:val="00E26D1A"/>
    <w:rsid w:val="00E26FA3"/>
    <w:rsid w:val="00E31165"/>
    <w:rsid w:val="00E31540"/>
    <w:rsid w:val="00E3296C"/>
    <w:rsid w:val="00E32FEE"/>
    <w:rsid w:val="00E35CE5"/>
    <w:rsid w:val="00E36146"/>
    <w:rsid w:val="00E40285"/>
    <w:rsid w:val="00E40AA6"/>
    <w:rsid w:val="00E40E42"/>
    <w:rsid w:val="00E443FC"/>
    <w:rsid w:val="00E504E8"/>
    <w:rsid w:val="00E55ADF"/>
    <w:rsid w:val="00E61C86"/>
    <w:rsid w:val="00E62D6F"/>
    <w:rsid w:val="00E671B8"/>
    <w:rsid w:val="00E7107A"/>
    <w:rsid w:val="00E74524"/>
    <w:rsid w:val="00E75077"/>
    <w:rsid w:val="00E77024"/>
    <w:rsid w:val="00E7721C"/>
    <w:rsid w:val="00E778EB"/>
    <w:rsid w:val="00E80241"/>
    <w:rsid w:val="00E818E6"/>
    <w:rsid w:val="00E81A45"/>
    <w:rsid w:val="00E835D9"/>
    <w:rsid w:val="00E84D4E"/>
    <w:rsid w:val="00E87660"/>
    <w:rsid w:val="00E91893"/>
    <w:rsid w:val="00E942FB"/>
    <w:rsid w:val="00E958A9"/>
    <w:rsid w:val="00E97098"/>
    <w:rsid w:val="00E9769B"/>
    <w:rsid w:val="00EA2500"/>
    <w:rsid w:val="00EA61B6"/>
    <w:rsid w:val="00EB352F"/>
    <w:rsid w:val="00EB3E64"/>
    <w:rsid w:val="00EB4855"/>
    <w:rsid w:val="00EC2DED"/>
    <w:rsid w:val="00ED230A"/>
    <w:rsid w:val="00EE0515"/>
    <w:rsid w:val="00EE0CEB"/>
    <w:rsid w:val="00EE14E4"/>
    <w:rsid w:val="00EE28EA"/>
    <w:rsid w:val="00EE4725"/>
    <w:rsid w:val="00EF0B3F"/>
    <w:rsid w:val="00EF31F5"/>
    <w:rsid w:val="00F00CFD"/>
    <w:rsid w:val="00F1446B"/>
    <w:rsid w:val="00F20FB6"/>
    <w:rsid w:val="00F23459"/>
    <w:rsid w:val="00F24658"/>
    <w:rsid w:val="00F40D53"/>
    <w:rsid w:val="00F50052"/>
    <w:rsid w:val="00F508E6"/>
    <w:rsid w:val="00F515EF"/>
    <w:rsid w:val="00F52115"/>
    <w:rsid w:val="00F60E48"/>
    <w:rsid w:val="00F749F8"/>
    <w:rsid w:val="00F80FAD"/>
    <w:rsid w:val="00F8367D"/>
    <w:rsid w:val="00F854D0"/>
    <w:rsid w:val="00F85F51"/>
    <w:rsid w:val="00F91880"/>
    <w:rsid w:val="00F979FB"/>
    <w:rsid w:val="00FA0AAC"/>
    <w:rsid w:val="00FA2354"/>
    <w:rsid w:val="00FA280C"/>
    <w:rsid w:val="00FA522E"/>
    <w:rsid w:val="00FB1EA0"/>
    <w:rsid w:val="00FB29A7"/>
    <w:rsid w:val="00FB5FD5"/>
    <w:rsid w:val="00FB7D3F"/>
    <w:rsid w:val="00FC0A7E"/>
    <w:rsid w:val="00FD0AB4"/>
    <w:rsid w:val="00FD52D3"/>
    <w:rsid w:val="00FD62C5"/>
    <w:rsid w:val="00FE77D5"/>
    <w:rsid w:val="00FF1782"/>
    <w:rsid w:val="00FF6AAD"/>
    <w:rsid w:val="01551E5D"/>
    <w:rsid w:val="01D73C13"/>
    <w:rsid w:val="0224362A"/>
    <w:rsid w:val="02E35293"/>
    <w:rsid w:val="02F65C98"/>
    <w:rsid w:val="0324111A"/>
    <w:rsid w:val="035023A5"/>
    <w:rsid w:val="03590AC8"/>
    <w:rsid w:val="038B4DFE"/>
    <w:rsid w:val="056F0BD5"/>
    <w:rsid w:val="058B6271"/>
    <w:rsid w:val="05BB24F7"/>
    <w:rsid w:val="05C70E9C"/>
    <w:rsid w:val="05D13AC9"/>
    <w:rsid w:val="0617130B"/>
    <w:rsid w:val="065D710A"/>
    <w:rsid w:val="06781702"/>
    <w:rsid w:val="06B21F8D"/>
    <w:rsid w:val="06C96B43"/>
    <w:rsid w:val="07AF46B6"/>
    <w:rsid w:val="07ED0468"/>
    <w:rsid w:val="086D19AA"/>
    <w:rsid w:val="08B817AC"/>
    <w:rsid w:val="08BB60F5"/>
    <w:rsid w:val="08E9737B"/>
    <w:rsid w:val="08EC0C19"/>
    <w:rsid w:val="09121A3F"/>
    <w:rsid w:val="091B685C"/>
    <w:rsid w:val="09B515FF"/>
    <w:rsid w:val="0A06353A"/>
    <w:rsid w:val="0A090F66"/>
    <w:rsid w:val="0A7A58AC"/>
    <w:rsid w:val="0AE630B3"/>
    <w:rsid w:val="0AED5443"/>
    <w:rsid w:val="0BDE2A9B"/>
    <w:rsid w:val="0D3F7002"/>
    <w:rsid w:val="0E7021C7"/>
    <w:rsid w:val="0E9C23E6"/>
    <w:rsid w:val="0F5D5DE4"/>
    <w:rsid w:val="0F7A0D2D"/>
    <w:rsid w:val="0FD06D39"/>
    <w:rsid w:val="10265946"/>
    <w:rsid w:val="10465E59"/>
    <w:rsid w:val="1080152E"/>
    <w:rsid w:val="11BE542C"/>
    <w:rsid w:val="11D1474A"/>
    <w:rsid w:val="12237E26"/>
    <w:rsid w:val="1366238E"/>
    <w:rsid w:val="13875E01"/>
    <w:rsid w:val="13BE2810"/>
    <w:rsid w:val="14126FE4"/>
    <w:rsid w:val="14542FD4"/>
    <w:rsid w:val="14BA3EDC"/>
    <w:rsid w:val="14C52C70"/>
    <w:rsid w:val="14D10CA0"/>
    <w:rsid w:val="152F6116"/>
    <w:rsid w:val="156F53C2"/>
    <w:rsid w:val="16B74615"/>
    <w:rsid w:val="16DC13D6"/>
    <w:rsid w:val="17125320"/>
    <w:rsid w:val="177E6D59"/>
    <w:rsid w:val="17884203"/>
    <w:rsid w:val="182932F0"/>
    <w:rsid w:val="19BE4E0B"/>
    <w:rsid w:val="19EC507C"/>
    <w:rsid w:val="1A4F0431"/>
    <w:rsid w:val="1AA17AB6"/>
    <w:rsid w:val="1B4519E2"/>
    <w:rsid w:val="1BC021BE"/>
    <w:rsid w:val="1C093B64"/>
    <w:rsid w:val="1C2C33AF"/>
    <w:rsid w:val="1C325F24"/>
    <w:rsid w:val="1C8431EB"/>
    <w:rsid w:val="1D1D2C1B"/>
    <w:rsid w:val="1DCF684F"/>
    <w:rsid w:val="1EBF77D9"/>
    <w:rsid w:val="1EE8529B"/>
    <w:rsid w:val="1F0F05A4"/>
    <w:rsid w:val="1F1F6472"/>
    <w:rsid w:val="1F2B67B1"/>
    <w:rsid w:val="1FAC1AF9"/>
    <w:rsid w:val="200B1C95"/>
    <w:rsid w:val="202D5948"/>
    <w:rsid w:val="205804E3"/>
    <w:rsid w:val="207C6D58"/>
    <w:rsid w:val="20A84EC3"/>
    <w:rsid w:val="20BE2F28"/>
    <w:rsid w:val="2137182E"/>
    <w:rsid w:val="21410AEB"/>
    <w:rsid w:val="21481A1D"/>
    <w:rsid w:val="21A95DE0"/>
    <w:rsid w:val="21AA47BF"/>
    <w:rsid w:val="21BA76AF"/>
    <w:rsid w:val="21DD6EFA"/>
    <w:rsid w:val="21F7119B"/>
    <w:rsid w:val="220B3A67"/>
    <w:rsid w:val="224C47AB"/>
    <w:rsid w:val="22CC6F93"/>
    <w:rsid w:val="22F307E5"/>
    <w:rsid w:val="242769B6"/>
    <w:rsid w:val="244871F4"/>
    <w:rsid w:val="24A71440"/>
    <w:rsid w:val="24D60068"/>
    <w:rsid w:val="251D08E1"/>
    <w:rsid w:val="25CB52A5"/>
    <w:rsid w:val="25EA28BE"/>
    <w:rsid w:val="260B648D"/>
    <w:rsid w:val="264F4879"/>
    <w:rsid w:val="2765562F"/>
    <w:rsid w:val="277B168E"/>
    <w:rsid w:val="278E3170"/>
    <w:rsid w:val="27EE325F"/>
    <w:rsid w:val="28AA222B"/>
    <w:rsid w:val="296C3648"/>
    <w:rsid w:val="299E123B"/>
    <w:rsid w:val="299F19D2"/>
    <w:rsid w:val="29A91EE7"/>
    <w:rsid w:val="29E654E5"/>
    <w:rsid w:val="2AB021AF"/>
    <w:rsid w:val="2AF2141D"/>
    <w:rsid w:val="2B164C70"/>
    <w:rsid w:val="2B57854F"/>
    <w:rsid w:val="2B8A1EA0"/>
    <w:rsid w:val="2BF7B05B"/>
    <w:rsid w:val="2BF914DF"/>
    <w:rsid w:val="2C0077CE"/>
    <w:rsid w:val="2C4F533C"/>
    <w:rsid w:val="2C7E6C34"/>
    <w:rsid w:val="2D353A23"/>
    <w:rsid w:val="2D776454"/>
    <w:rsid w:val="2DC25921"/>
    <w:rsid w:val="2EB117B9"/>
    <w:rsid w:val="2EF62E11"/>
    <w:rsid w:val="2F923482"/>
    <w:rsid w:val="2FF77661"/>
    <w:rsid w:val="30154EBF"/>
    <w:rsid w:val="30350295"/>
    <w:rsid w:val="307554EA"/>
    <w:rsid w:val="31623FD5"/>
    <w:rsid w:val="31717269"/>
    <w:rsid w:val="328B35DE"/>
    <w:rsid w:val="32EF4A23"/>
    <w:rsid w:val="338D521C"/>
    <w:rsid w:val="33D642E8"/>
    <w:rsid w:val="33FF3119"/>
    <w:rsid w:val="351F3E0C"/>
    <w:rsid w:val="35276684"/>
    <w:rsid w:val="353439DD"/>
    <w:rsid w:val="35650C4F"/>
    <w:rsid w:val="357D56AF"/>
    <w:rsid w:val="35AB313F"/>
    <w:rsid w:val="35CA376C"/>
    <w:rsid w:val="35D31038"/>
    <w:rsid w:val="36F25484"/>
    <w:rsid w:val="37AD13F0"/>
    <w:rsid w:val="37B10F15"/>
    <w:rsid w:val="37F7E62C"/>
    <w:rsid w:val="380921C2"/>
    <w:rsid w:val="381C47C8"/>
    <w:rsid w:val="38435CD6"/>
    <w:rsid w:val="38523C3F"/>
    <w:rsid w:val="3945157C"/>
    <w:rsid w:val="39A14F85"/>
    <w:rsid w:val="3AD864FB"/>
    <w:rsid w:val="3B4636AA"/>
    <w:rsid w:val="3BC2699C"/>
    <w:rsid w:val="3BD05468"/>
    <w:rsid w:val="3BF75330"/>
    <w:rsid w:val="3BF92FCE"/>
    <w:rsid w:val="3BFFFAC5"/>
    <w:rsid w:val="3C5F09C9"/>
    <w:rsid w:val="3CBA0719"/>
    <w:rsid w:val="3E696E6B"/>
    <w:rsid w:val="3EF02924"/>
    <w:rsid w:val="3EF45B57"/>
    <w:rsid w:val="3F9E6094"/>
    <w:rsid w:val="40210BCD"/>
    <w:rsid w:val="404372F4"/>
    <w:rsid w:val="407C221B"/>
    <w:rsid w:val="40DA6FCE"/>
    <w:rsid w:val="415C66C8"/>
    <w:rsid w:val="41C704BB"/>
    <w:rsid w:val="42487ADC"/>
    <w:rsid w:val="42B7642A"/>
    <w:rsid w:val="42BC1606"/>
    <w:rsid w:val="42F71AD2"/>
    <w:rsid w:val="4365162B"/>
    <w:rsid w:val="43B24099"/>
    <w:rsid w:val="44223166"/>
    <w:rsid w:val="442962A2"/>
    <w:rsid w:val="44CD4C6B"/>
    <w:rsid w:val="44ED5522"/>
    <w:rsid w:val="4508235C"/>
    <w:rsid w:val="462526B2"/>
    <w:rsid w:val="46393E8D"/>
    <w:rsid w:val="47326B82"/>
    <w:rsid w:val="4794629C"/>
    <w:rsid w:val="48952158"/>
    <w:rsid w:val="493354CD"/>
    <w:rsid w:val="493FCBA3"/>
    <w:rsid w:val="49703073"/>
    <w:rsid w:val="498E2D13"/>
    <w:rsid w:val="49C37F7C"/>
    <w:rsid w:val="4A37705E"/>
    <w:rsid w:val="4A484758"/>
    <w:rsid w:val="4A716BD1"/>
    <w:rsid w:val="4A9C5796"/>
    <w:rsid w:val="4AEB766A"/>
    <w:rsid w:val="4BD20FCE"/>
    <w:rsid w:val="4BF453E8"/>
    <w:rsid w:val="4C004DC5"/>
    <w:rsid w:val="4C2D17F8"/>
    <w:rsid w:val="4CA80FE3"/>
    <w:rsid w:val="4CAC1587"/>
    <w:rsid w:val="4CE30FB8"/>
    <w:rsid w:val="4D0971C5"/>
    <w:rsid w:val="4DB93571"/>
    <w:rsid w:val="4DCF6617"/>
    <w:rsid w:val="4E22182F"/>
    <w:rsid w:val="4E684D20"/>
    <w:rsid w:val="4E8E24A7"/>
    <w:rsid w:val="4EFF657E"/>
    <w:rsid w:val="4FD3AAB4"/>
    <w:rsid w:val="50245B70"/>
    <w:rsid w:val="508A1E77"/>
    <w:rsid w:val="50A73E3F"/>
    <w:rsid w:val="50FA56C3"/>
    <w:rsid w:val="50FE1BF7"/>
    <w:rsid w:val="51271DBC"/>
    <w:rsid w:val="514F3E5B"/>
    <w:rsid w:val="51CA7897"/>
    <w:rsid w:val="52A35472"/>
    <w:rsid w:val="52E077EF"/>
    <w:rsid w:val="52E7664F"/>
    <w:rsid w:val="53342081"/>
    <w:rsid w:val="535E3826"/>
    <w:rsid w:val="53A172F0"/>
    <w:rsid w:val="5411465D"/>
    <w:rsid w:val="546215A5"/>
    <w:rsid w:val="547E49EE"/>
    <w:rsid w:val="550909F7"/>
    <w:rsid w:val="552347CA"/>
    <w:rsid w:val="5551205F"/>
    <w:rsid w:val="557B22E9"/>
    <w:rsid w:val="55C25DDC"/>
    <w:rsid w:val="55CF1ED2"/>
    <w:rsid w:val="576C677A"/>
    <w:rsid w:val="58521491"/>
    <w:rsid w:val="588161B4"/>
    <w:rsid w:val="58C410FB"/>
    <w:rsid w:val="593B28A8"/>
    <w:rsid w:val="594828CF"/>
    <w:rsid w:val="5A3C15A0"/>
    <w:rsid w:val="5A482AAE"/>
    <w:rsid w:val="5A5B3CCD"/>
    <w:rsid w:val="5A9B6046"/>
    <w:rsid w:val="5A9F29C3"/>
    <w:rsid w:val="5ACF1E2B"/>
    <w:rsid w:val="5BBF152C"/>
    <w:rsid w:val="5BEC2737"/>
    <w:rsid w:val="5C481799"/>
    <w:rsid w:val="5C7B0C8F"/>
    <w:rsid w:val="5C86208C"/>
    <w:rsid w:val="5CD1704D"/>
    <w:rsid w:val="5CD6171C"/>
    <w:rsid w:val="5CED4F6D"/>
    <w:rsid w:val="5DA5036A"/>
    <w:rsid w:val="5DAD5125"/>
    <w:rsid w:val="5E393C76"/>
    <w:rsid w:val="5E596C5B"/>
    <w:rsid w:val="5E6E159B"/>
    <w:rsid w:val="5E983083"/>
    <w:rsid w:val="5F9502BB"/>
    <w:rsid w:val="5FA12D39"/>
    <w:rsid w:val="5FAF4FCE"/>
    <w:rsid w:val="5FED1434"/>
    <w:rsid w:val="600B172D"/>
    <w:rsid w:val="60CC487C"/>
    <w:rsid w:val="60CF001A"/>
    <w:rsid w:val="61BC3E5A"/>
    <w:rsid w:val="61BD7BD2"/>
    <w:rsid w:val="620F1E56"/>
    <w:rsid w:val="62720F7B"/>
    <w:rsid w:val="62775775"/>
    <w:rsid w:val="62B85828"/>
    <w:rsid w:val="62D578A4"/>
    <w:rsid w:val="638A7F8E"/>
    <w:rsid w:val="63CD7AA9"/>
    <w:rsid w:val="63F83144"/>
    <w:rsid w:val="64007ADD"/>
    <w:rsid w:val="64C57F53"/>
    <w:rsid w:val="653E33B4"/>
    <w:rsid w:val="655566BF"/>
    <w:rsid w:val="65B37C6A"/>
    <w:rsid w:val="65B76366"/>
    <w:rsid w:val="65C66A8B"/>
    <w:rsid w:val="65E90ACB"/>
    <w:rsid w:val="660B1854"/>
    <w:rsid w:val="66FB238F"/>
    <w:rsid w:val="672901E4"/>
    <w:rsid w:val="673E5D7E"/>
    <w:rsid w:val="678106E7"/>
    <w:rsid w:val="67E648CC"/>
    <w:rsid w:val="67FFAA95"/>
    <w:rsid w:val="68946BE1"/>
    <w:rsid w:val="68FE3AB4"/>
    <w:rsid w:val="694A45A0"/>
    <w:rsid w:val="69937B96"/>
    <w:rsid w:val="69A707B2"/>
    <w:rsid w:val="6A3B2C5D"/>
    <w:rsid w:val="6AC71795"/>
    <w:rsid w:val="6ADF3258"/>
    <w:rsid w:val="6B342DB6"/>
    <w:rsid w:val="6BB1180E"/>
    <w:rsid w:val="6BF863D7"/>
    <w:rsid w:val="6C186A79"/>
    <w:rsid w:val="6C236677"/>
    <w:rsid w:val="6C256AA0"/>
    <w:rsid w:val="6C2925FE"/>
    <w:rsid w:val="6C450EF0"/>
    <w:rsid w:val="6C6C35A4"/>
    <w:rsid w:val="6CA4030D"/>
    <w:rsid w:val="6D341690"/>
    <w:rsid w:val="6D485F0B"/>
    <w:rsid w:val="6DB7443C"/>
    <w:rsid w:val="6E4E7F32"/>
    <w:rsid w:val="6EA2087C"/>
    <w:rsid w:val="6EFA39E1"/>
    <w:rsid w:val="6F046726"/>
    <w:rsid w:val="6F0474C4"/>
    <w:rsid w:val="6F2614AD"/>
    <w:rsid w:val="6F355B29"/>
    <w:rsid w:val="707E5C20"/>
    <w:rsid w:val="70AB3A18"/>
    <w:rsid w:val="70B94982"/>
    <w:rsid w:val="70D54D05"/>
    <w:rsid w:val="713E488C"/>
    <w:rsid w:val="714F50CC"/>
    <w:rsid w:val="71654A6F"/>
    <w:rsid w:val="7239457E"/>
    <w:rsid w:val="72764315"/>
    <w:rsid w:val="729F452A"/>
    <w:rsid w:val="73071C61"/>
    <w:rsid w:val="7395275D"/>
    <w:rsid w:val="73FEB7C9"/>
    <w:rsid w:val="748C6A5A"/>
    <w:rsid w:val="74BFFD6B"/>
    <w:rsid w:val="74DB2652"/>
    <w:rsid w:val="750C3D6D"/>
    <w:rsid w:val="753016A8"/>
    <w:rsid w:val="75C22C44"/>
    <w:rsid w:val="75DE7B45"/>
    <w:rsid w:val="761EE594"/>
    <w:rsid w:val="76F02D9B"/>
    <w:rsid w:val="76FB4557"/>
    <w:rsid w:val="76FD389E"/>
    <w:rsid w:val="77185B7F"/>
    <w:rsid w:val="77380E1F"/>
    <w:rsid w:val="774F10FC"/>
    <w:rsid w:val="7803238B"/>
    <w:rsid w:val="78671BF6"/>
    <w:rsid w:val="78FB3062"/>
    <w:rsid w:val="79256621"/>
    <w:rsid w:val="794C3B5C"/>
    <w:rsid w:val="795409C4"/>
    <w:rsid w:val="79C11D28"/>
    <w:rsid w:val="7A604E5D"/>
    <w:rsid w:val="7AD14F03"/>
    <w:rsid w:val="7AF416C4"/>
    <w:rsid w:val="7B05466C"/>
    <w:rsid w:val="7B1A533C"/>
    <w:rsid w:val="7B444279"/>
    <w:rsid w:val="7B565E0B"/>
    <w:rsid w:val="7B821819"/>
    <w:rsid w:val="7BB57E40"/>
    <w:rsid w:val="7BF63E27"/>
    <w:rsid w:val="7C530A3A"/>
    <w:rsid w:val="7C8415C1"/>
    <w:rsid w:val="7CDA3399"/>
    <w:rsid w:val="7CE65D4C"/>
    <w:rsid w:val="7CFFFCDD"/>
    <w:rsid w:val="7D3B6786"/>
    <w:rsid w:val="7D570DB0"/>
    <w:rsid w:val="7D6E92CE"/>
    <w:rsid w:val="7DB3215D"/>
    <w:rsid w:val="7DFD7ABC"/>
    <w:rsid w:val="7E3718FC"/>
    <w:rsid w:val="7E413C0D"/>
    <w:rsid w:val="7E437985"/>
    <w:rsid w:val="7E451446"/>
    <w:rsid w:val="7EAF0B77"/>
    <w:rsid w:val="7EF94B5F"/>
    <w:rsid w:val="7FF62B7C"/>
    <w:rsid w:val="AF3DA309"/>
    <w:rsid w:val="BD3B4B36"/>
    <w:rsid w:val="BD3F6A61"/>
    <w:rsid w:val="BEFCF050"/>
    <w:rsid w:val="BF6FDAFC"/>
    <w:rsid w:val="BFE43AE8"/>
    <w:rsid w:val="D5DE73F2"/>
    <w:rsid w:val="DA7E09D2"/>
    <w:rsid w:val="DE7F8499"/>
    <w:rsid w:val="E25E51F0"/>
    <w:rsid w:val="E36BE31A"/>
    <w:rsid w:val="E5E7ADE1"/>
    <w:rsid w:val="E7EBDB2C"/>
    <w:rsid w:val="EDFB2E9D"/>
    <w:rsid w:val="EF2BE74C"/>
    <w:rsid w:val="EFBFE998"/>
    <w:rsid w:val="F3F97F06"/>
    <w:rsid w:val="F79D7793"/>
    <w:rsid w:val="F7FD9151"/>
    <w:rsid w:val="F7FF6B35"/>
    <w:rsid w:val="FBBF484B"/>
    <w:rsid w:val="FDFF0CF6"/>
    <w:rsid w:val="FFB652BF"/>
    <w:rsid w:val="FFDCE750"/>
    <w:rsid w:val="FFDFD468"/>
    <w:rsid w:val="FFFD1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iPriority="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eastAsia="黑体"/>
      <w:bCs/>
      <w:kern w:val="44"/>
      <w:sz w:val="36"/>
      <w:szCs w:val="44"/>
    </w:rPr>
  </w:style>
  <w:style w:type="paragraph" w:styleId="3">
    <w:name w:val="heading 2"/>
    <w:basedOn w:val="1"/>
    <w:next w:val="1"/>
    <w:link w:val="29"/>
    <w:qFormat/>
    <w:uiPriority w:val="0"/>
    <w:pPr>
      <w:keepNext/>
      <w:keepLines/>
      <w:numPr>
        <w:ilvl w:val="0"/>
        <w:numId w:val="1"/>
      </w:numPr>
      <w:spacing w:before="260" w:after="260" w:line="415" w:lineRule="auto"/>
      <w:outlineLvl w:val="1"/>
    </w:pPr>
    <w:rPr>
      <w:rFonts w:eastAsia="仿宋_GB2312"/>
      <w:b/>
      <w:bCs/>
      <w:sz w:val="28"/>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52"/>
    <w:qFormat/>
    <w:uiPriority w:val="99"/>
    <w:pPr>
      <w:jc w:val="left"/>
    </w:pPr>
  </w:style>
  <w:style w:type="paragraph" w:styleId="5">
    <w:name w:val="toc 3"/>
    <w:basedOn w:val="1"/>
    <w:next w:val="1"/>
    <w:qFormat/>
    <w:uiPriority w:val="39"/>
    <w:pPr>
      <w:ind w:left="840" w:leftChars="400"/>
    </w:pPr>
  </w:style>
  <w:style w:type="paragraph" w:styleId="6">
    <w:name w:val="Date"/>
    <w:basedOn w:val="1"/>
    <w:next w:val="1"/>
    <w:link w:val="69"/>
    <w:semiHidden/>
    <w:unhideWhenUsed/>
    <w:qFormat/>
    <w:uiPriority w:val="0"/>
    <w:pPr>
      <w:ind w:left="100" w:leftChars="2500"/>
    </w:pPr>
  </w:style>
  <w:style w:type="paragraph" w:styleId="7">
    <w:name w:val="Balloon Text"/>
    <w:basedOn w:val="1"/>
    <w:link w:val="62"/>
    <w:semiHidden/>
    <w:unhideWhenUsed/>
    <w:qFormat/>
    <w:uiPriority w:val="0"/>
    <w:rPr>
      <w:sz w:val="18"/>
      <w:szCs w:val="18"/>
    </w:rPr>
  </w:style>
  <w:style w:type="paragraph" w:styleId="8">
    <w:name w:val="footer"/>
    <w:basedOn w:val="1"/>
    <w:link w:val="31"/>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kern w:val="0"/>
      <w:sz w:val="24"/>
    </w:rPr>
  </w:style>
  <w:style w:type="paragraph" w:styleId="13">
    <w:name w:val="index 1"/>
    <w:basedOn w:val="1"/>
    <w:next w:val="14"/>
    <w:qFormat/>
    <w:uiPriority w:val="0"/>
    <w:pPr>
      <w:tabs>
        <w:tab w:val="right" w:leader="dot" w:pos="9299"/>
      </w:tabs>
      <w:jc w:val="left"/>
    </w:pPr>
    <w:rPr>
      <w:rFonts w:ascii="宋体"/>
      <w:szCs w:val="21"/>
    </w:rPr>
  </w:style>
  <w:style w:type="paragraph" w:customStyle="1" w:styleId="14">
    <w:name w:val="段"/>
    <w:link w:val="7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15">
    <w:name w:val="annotation subject"/>
    <w:basedOn w:val="4"/>
    <w:next w:val="4"/>
    <w:link w:val="61"/>
    <w:semiHidden/>
    <w:unhideWhenUsed/>
    <w:qFormat/>
    <w:uiPriority w:val="0"/>
    <w:rPr>
      <w:b/>
      <w:bCs/>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FollowedHyperlink"/>
    <w:basedOn w:val="18"/>
    <w:qFormat/>
    <w:uiPriority w:val="0"/>
    <w:rPr>
      <w:color w:val="800080"/>
      <w:u w:val="none"/>
    </w:rPr>
  </w:style>
  <w:style w:type="character" w:styleId="21">
    <w:name w:val="HTML Definition"/>
    <w:basedOn w:val="18"/>
    <w:qFormat/>
    <w:uiPriority w:val="0"/>
    <w:rPr>
      <w:i/>
      <w:iCs/>
    </w:rPr>
  </w:style>
  <w:style w:type="character" w:styleId="22">
    <w:name w:val="Hyperlink"/>
    <w:basedOn w:val="18"/>
    <w:unhideWhenUsed/>
    <w:qFormat/>
    <w:uiPriority w:val="99"/>
    <w:rPr>
      <w:color w:val="0000FF" w:themeColor="hyperlink"/>
      <w:u w:val="single"/>
      <w14:textFill>
        <w14:solidFill>
          <w14:schemeClr w14:val="hlink"/>
        </w14:solidFill>
      </w14:textFill>
    </w:rPr>
  </w:style>
  <w:style w:type="character" w:styleId="23">
    <w:name w:val="HTML Code"/>
    <w:basedOn w:val="18"/>
    <w:qFormat/>
    <w:uiPriority w:val="0"/>
    <w:rPr>
      <w:rFonts w:ascii="Consolas" w:hAnsi="Consolas" w:eastAsia="Consolas" w:cs="Consolas"/>
      <w:color w:val="C7254E"/>
      <w:sz w:val="21"/>
      <w:szCs w:val="21"/>
      <w:shd w:val="clear" w:color="auto" w:fill="F9F2F4"/>
    </w:rPr>
  </w:style>
  <w:style w:type="character" w:styleId="24">
    <w:name w:val="annotation reference"/>
    <w:basedOn w:val="18"/>
    <w:unhideWhenUsed/>
    <w:qFormat/>
    <w:uiPriority w:val="99"/>
    <w:rPr>
      <w:sz w:val="21"/>
      <w:szCs w:val="21"/>
    </w:rPr>
  </w:style>
  <w:style w:type="character" w:styleId="25">
    <w:name w:val="HTML Keyboard"/>
    <w:basedOn w:val="18"/>
    <w:semiHidden/>
    <w:unhideWhenUsed/>
    <w:qFormat/>
    <w:uiPriority w:val="0"/>
    <w:rPr>
      <w:rFonts w:hint="default" w:ascii="Consolas" w:hAnsi="Consolas" w:eastAsia="Consolas" w:cs="Consolas"/>
      <w:color w:val="FFFFFF"/>
      <w:sz w:val="21"/>
      <w:szCs w:val="21"/>
      <w:shd w:val="clear" w:color="auto" w:fill="333333"/>
    </w:rPr>
  </w:style>
  <w:style w:type="character" w:styleId="26">
    <w:name w:val="HTML Sample"/>
    <w:basedOn w:val="18"/>
    <w:qFormat/>
    <w:uiPriority w:val="0"/>
    <w:rPr>
      <w:rFonts w:hint="default" w:ascii="Consolas" w:hAnsi="Consolas" w:eastAsia="Consolas" w:cs="Consolas"/>
      <w:sz w:val="21"/>
      <w:szCs w:val="21"/>
    </w:rPr>
  </w:style>
  <w:style w:type="paragraph" w:styleId="27">
    <w:name w:val="List Paragraph"/>
    <w:basedOn w:val="1"/>
    <w:qFormat/>
    <w:uiPriority w:val="99"/>
    <w:pPr>
      <w:ind w:firstLine="420" w:firstLineChars="200"/>
    </w:pPr>
  </w:style>
  <w:style w:type="paragraph" w:customStyle="1" w:styleId="28">
    <w:name w:val="表格文字"/>
    <w:basedOn w:val="1"/>
    <w:qFormat/>
    <w:uiPriority w:val="0"/>
    <w:pPr>
      <w:spacing w:before="100" w:beforeAutospacing="1" w:after="100" w:afterAutospacing="1" w:line="360" w:lineRule="auto"/>
      <w:jc w:val="center"/>
    </w:pPr>
    <w:rPr>
      <w:rFonts w:eastAsia="仿宋_GB2312"/>
      <w:sz w:val="32"/>
      <w:szCs w:val="20"/>
    </w:rPr>
  </w:style>
  <w:style w:type="character" w:customStyle="1" w:styleId="29">
    <w:name w:val="标题 2 字符"/>
    <w:basedOn w:val="18"/>
    <w:link w:val="3"/>
    <w:qFormat/>
    <w:uiPriority w:val="0"/>
    <w:rPr>
      <w:rFonts w:eastAsia="仿宋_GB2312"/>
      <w:b/>
      <w:bCs/>
      <w:kern w:val="2"/>
      <w:sz w:val="28"/>
      <w:szCs w:val="32"/>
    </w:rPr>
  </w:style>
  <w:style w:type="paragraph" w:customStyle="1" w:styleId="3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1">
    <w:name w:val="页脚 字符"/>
    <w:basedOn w:val="18"/>
    <w:link w:val="8"/>
    <w:qFormat/>
    <w:uiPriority w:val="99"/>
    <w:rPr>
      <w:kern w:val="2"/>
      <w:sz w:val="18"/>
      <w:szCs w:val="24"/>
    </w:rPr>
  </w:style>
  <w:style w:type="paragraph" w:customStyle="1" w:styleId="32">
    <w:name w:val="标准文件_正文表标题"/>
    <w:next w:val="33"/>
    <w:qFormat/>
    <w:uiPriority w:val="0"/>
    <w:pPr>
      <w:numPr>
        <w:ilvl w:val="0"/>
        <w:numId w:val="2"/>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33">
    <w:name w:val="标准文件_段"/>
    <w:link w:val="5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
    <w:name w:val="标准文件_表格"/>
    <w:basedOn w:val="33"/>
    <w:qFormat/>
    <w:uiPriority w:val="0"/>
    <w:pPr>
      <w:ind w:firstLine="0" w:firstLineChars="0"/>
      <w:jc w:val="center"/>
    </w:pPr>
    <w:rPr>
      <w:sz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8">
    <w:name w:val="标准文件_术语条一"/>
    <w:basedOn w:val="39"/>
    <w:next w:val="33"/>
    <w:qFormat/>
    <w:uiPriority w:val="0"/>
  </w:style>
  <w:style w:type="paragraph" w:customStyle="1" w:styleId="39">
    <w:name w:val="标准文件_一级无标题"/>
    <w:basedOn w:val="40"/>
    <w:qFormat/>
    <w:uiPriority w:val="0"/>
    <w:pPr>
      <w:spacing w:before="0" w:beforeLines="0" w:after="0" w:afterLines="0"/>
      <w:outlineLvl w:val="9"/>
    </w:pPr>
    <w:rPr>
      <w:rFonts w:ascii="宋体" w:eastAsia="宋体"/>
    </w:rPr>
  </w:style>
  <w:style w:type="paragraph" w:customStyle="1" w:styleId="40">
    <w:name w:val="标准文件_一级条标题"/>
    <w:basedOn w:val="41"/>
    <w:next w:val="33"/>
    <w:qFormat/>
    <w:uiPriority w:val="0"/>
    <w:pPr>
      <w:numPr>
        <w:ilvl w:val="2"/>
      </w:numPr>
      <w:spacing w:before="50" w:beforeLines="50" w:after="50" w:afterLines="50"/>
      <w:outlineLvl w:val="1"/>
    </w:pPr>
  </w:style>
  <w:style w:type="paragraph" w:customStyle="1" w:styleId="41">
    <w:name w:val="标准文件_章标题"/>
    <w:next w:val="33"/>
    <w:qFormat/>
    <w:uiPriority w:val="0"/>
    <w:pPr>
      <w:numPr>
        <w:ilvl w:val="1"/>
        <w:numId w:val="3"/>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42">
    <w:name w:val="标准文件_二级无标题"/>
    <w:basedOn w:val="43"/>
    <w:qFormat/>
    <w:uiPriority w:val="0"/>
    <w:pPr>
      <w:spacing w:before="0" w:beforeLines="0" w:after="0" w:afterLines="0"/>
      <w:outlineLvl w:val="9"/>
    </w:pPr>
    <w:rPr>
      <w:rFonts w:ascii="宋体" w:eastAsia="宋体"/>
    </w:rPr>
  </w:style>
  <w:style w:type="paragraph" w:customStyle="1" w:styleId="43">
    <w:name w:val="标准文件_二级条标题"/>
    <w:next w:val="33"/>
    <w:qFormat/>
    <w:uiPriority w:val="0"/>
    <w:pPr>
      <w:widowControl w:val="0"/>
      <w:numPr>
        <w:ilvl w:val="3"/>
        <w:numId w:val="3"/>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44">
    <w:name w:val="标准文件_附录标识"/>
    <w:next w:val="33"/>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45">
    <w:name w:val="标准文件_附录一级条标题"/>
    <w:next w:val="33"/>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46">
    <w:name w:val="标准文件_三级无标题"/>
    <w:basedOn w:val="47"/>
    <w:qFormat/>
    <w:uiPriority w:val="0"/>
    <w:pPr>
      <w:spacing w:before="0" w:beforeLines="0" w:after="0" w:afterLines="0"/>
      <w:outlineLvl w:val="9"/>
    </w:pPr>
    <w:rPr>
      <w:rFonts w:ascii="宋体" w:eastAsia="宋体"/>
    </w:rPr>
  </w:style>
  <w:style w:type="paragraph" w:customStyle="1" w:styleId="47">
    <w:name w:val="标准文件_三级条标题"/>
    <w:basedOn w:val="43"/>
    <w:next w:val="33"/>
    <w:qFormat/>
    <w:uiPriority w:val="0"/>
    <w:pPr>
      <w:widowControl/>
      <w:numPr>
        <w:ilvl w:val="4"/>
      </w:numPr>
      <w:outlineLvl w:val="3"/>
    </w:pPr>
  </w:style>
  <w:style w:type="table" w:customStyle="1" w:styleId="48">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3"/>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character" w:customStyle="1" w:styleId="51">
    <w:name w:val="标准文件_段 Char"/>
    <w:link w:val="33"/>
    <w:qFormat/>
    <w:uiPriority w:val="0"/>
    <w:rPr>
      <w:rFonts w:ascii="宋体"/>
      <w:sz w:val="21"/>
    </w:rPr>
  </w:style>
  <w:style w:type="character" w:customStyle="1" w:styleId="52">
    <w:name w:val="批注文字 字符"/>
    <w:basedOn w:val="18"/>
    <w:link w:val="4"/>
    <w:qFormat/>
    <w:uiPriority w:val="99"/>
    <w:rPr>
      <w:kern w:val="2"/>
      <w:sz w:val="21"/>
      <w:szCs w:val="24"/>
    </w:rPr>
  </w:style>
  <w:style w:type="character" w:customStyle="1" w:styleId="53">
    <w:name w:val="nth-child(3)"/>
    <w:basedOn w:val="18"/>
    <w:qFormat/>
    <w:uiPriority w:val="0"/>
    <w:rPr>
      <w:color w:val="666666"/>
      <w:sz w:val="21"/>
      <w:szCs w:val="21"/>
    </w:rPr>
  </w:style>
  <w:style w:type="character" w:customStyle="1" w:styleId="54">
    <w:name w:val="nth-child(3)1"/>
    <w:basedOn w:val="18"/>
    <w:qFormat/>
    <w:uiPriority w:val="0"/>
    <w:rPr>
      <w:color w:val="666666"/>
      <w:sz w:val="21"/>
      <w:szCs w:val="21"/>
    </w:rPr>
  </w:style>
  <w:style w:type="character" w:customStyle="1" w:styleId="55">
    <w:name w:val="number"/>
    <w:basedOn w:val="18"/>
    <w:qFormat/>
    <w:uiPriority w:val="0"/>
    <w:rPr>
      <w:color w:val="FFFFFF"/>
      <w:sz w:val="15"/>
      <w:szCs w:val="15"/>
      <w:bdr w:val="single" w:color="EC6941" w:sz="6" w:space="0"/>
      <w:shd w:val="clear" w:color="auto" w:fill="EC6941"/>
    </w:rPr>
  </w:style>
  <w:style w:type="character" w:customStyle="1" w:styleId="56">
    <w:name w:val="cur11"/>
    <w:basedOn w:val="18"/>
    <w:qFormat/>
    <w:uiPriority w:val="0"/>
    <w:rPr>
      <w:color w:val="FFFFFF"/>
      <w:shd w:val="clear" w:color="auto" w:fill="2B7FCE"/>
    </w:rPr>
  </w:style>
  <w:style w:type="character" w:customStyle="1" w:styleId="57">
    <w:name w:val="index2"/>
    <w:basedOn w:val="18"/>
    <w:qFormat/>
    <w:uiPriority w:val="0"/>
  </w:style>
  <w:style w:type="character" w:customStyle="1" w:styleId="58">
    <w:name w:val="index3"/>
    <w:basedOn w:val="18"/>
    <w:qFormat/>
    <w:uiPriority w:val="0"/>
    <w:rPr>
      <w:color w:val="FFFFFF"/>
    </w:rPr>
  </w:style>
  <w:style w:type="character" w:customStyle="1" w:styleId="59">
    <w:name w:val="index4"/>
    <w:basedOn w:val="18"/>
    <w:qFormat/>
    <w:uiPriority w:val="0"/>
  </w:style>
  <w:style w:type="paragraph" w:customStyle="1" w:styleId="60">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61">
    <w:name w:val="批注主题 字符"/>
    <w:basedOn w:val="52"/>
    <w:link w:val="15"/>
    <w:semiHidden/>
    <w:qFormat/>
    <w:uiPriority w:val="0"/>
    <w:rPr>
      <w:b/>
      <w:bCs/>
      <w:kern w:val="2"/>
      <w:sz w:val="21"/>
      <w:szCs w:val="24"/>
    </w:rPr>
  </w:style>
  <w:style w:type="character" w:customStyle="1" w:styleId="62">
    <w:name w:val="批注框文本 字符"/>
    <w:basedOn w:val="18"/>
    <w:link w:val="7"/>
    <w:semiHidden/>
    <w:qFormat/>
    <w:uiPriority w:val="0"/>
    <w:rPr>
      <w:kern w:val="2"/>
      <w:sz w:val="18"/>
      <w:szCs w:val="18"/>
    </w:rPr>
  </w:style>
  <w:style w:type="paragraph" w:customStyle="1" w:styleId="63">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64">
    <w:name w:val="标准文件_数字编号列项（二级）"/>
    <w:qFormat/>
    <w:uiPriority w:val="0"/>
    <w:pPr>
      <w:tabs>
        <w:tab w:val="left" w:pos="851"/>
        <w:tab w:val="left" w:pos="1276"/>
      </w:tabs>
      <w:ind w:left="1276" w:hanging="425"/>
      <w:jc w:val="both"/>
    </w:pPr>
    <w:rPr>
      <w:rFonts w:ascii="宋体" w:hAnsi="Times New Roman" w:eastAsia="宋体" w:cs="Times New Roman"/>
      <w:sz w:val="21"/>
      <w:lang w:val="en-US" w:eastAsia="zh-CN" w:bidi="ar-SA"/>
    </w:rPr>
  </w:style>
  <w:style w:type="paragraph" w:customStyle="1" w:styleId="65">
    <w:name w:val="标准文件_附录表标题"/>
    <w:next w:val="33"/>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66">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67">
    <w:name w:val="网格型2"/>
    <w:basedOn w:val="1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修订5"/>
    <w:hidden/>
    <w:semiHidden/>
    <w:qFormat/>
    <w:uiPriority w:val="99"/>
    <w:rPr>
      <w:rFonts w:ascii="Times New Roman" w:hAnsi="Times New Roman" w:eastAsia="宋体" w:cs="Times New Roman"/>
      <w:kern w:val="2"/>
      <w:sz w:val="21"/>
      <w:szCs w:val="24"/>
      <w:lang w:val="en-US" w:eastAsia="zh-CN" w:bidi="ar-SA"/>
    </w:rPr>
  </w:style>
  <w:style w:type="character" w:customStyle="1" w:styleId="69">
    <w:name w:val="日期 字符"/>
    <w:basedOn w:val="18"/>
    <w:link w:val="6"/>
    <w:semiHidden/>
    <w:qFormat/>
    <w:uiPriority w:val="0"/>
    <w:rPr>
      <w:kern w:val="2"/>
      <w:sz w:val="21"/>
      <w:szCs w:val="24"/>
    </w:rPr>
  </w:style>
  <w:style w:type="paragraph" w:customStyle="1" w:styleId="70">
    <w:name w:val="修订6"/>
    <w:hidden/>
    <w:semiHidden/>
    <w:qFormat/>
    <w:uiPriority w:val="99"/>
    <w:rPr>
      <w:rFonts w:ascii="Times New Roman" w:hAnsi="Times New Roman" w:eastAsia="宋体" w:cs="Times New Roman"/>
      <w:kern w:val="2"/>
      <w:sz w:val="21"/>
      <w:szCs w:val="24"/>
      <w:lang w:val="en-US" w:eastAsia="zh-CN" w:bidi="ar-SA"/>
    </w:rPr>
  </w:style>
  <w:style w:type="character" w:customStyle="1" w:styleId="71">
    <w:name w:val="段 Char"/>
    <w:link w:val="14"/>
    <w:qFormat/>
    <w:uiPriority w:val="0"/>
    <w:rPr>
      <w:rFonts w:ascii="宋体"/>
      <w:sz w:val="21"/>
    </w:rPr>
  </w:style>
  <w:style w:type="paragraph" w:customStyle="1" w:styleId="72">
    <w:name w:val="一级条标题"/>
    <w:next w:val="14"/>
    <w:qFormat/>
    <w:uiPriority w:val="0"/>
    <w:pPr>
      <w:numPr>
        <w:ilvl w:val="1"/>
        <w:numId w:val="6"/>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73">
    <w:name w:val="二级条标题"/>
    <w:basedOn w:val="72"/>
    <w:next w:val="14"/>
    <w:qFormat/>
    <w:uiPriority w:val="0"/>
    <w:pPr>
      <w:numPr>
        <w:ilvl w:val="2"/>
      </w:numPr>
      <w:spacing w:before="50" w:after="50"/>
      <w:outlineLvl w:val="3"/>
    </w:pPr>
  </w:style>
  <w:style w:type="character" w:customStyle="1" w:styleId="74">
    <w:name w:val="font11"/>
    <w:basedOn w:val="18"/>
    <w:qFormat/>
    <w:uiPriority w:val="0"/>
    <w:rPr>
      <w:rFonts w:ascii="仿宋_GB2312" w:eastAsia="仿宋_GB2312" w:cs="仿宋_GB2312"/>
      <w:color w:val="000000"/>
      <w:sz w:val="16"/>
      <w:szCs w:val="16"/>
      <w:u w:val="none"/>
    </w:rPr>
  </w:style>
  <w:style w:type="paragraph" w:customStyle="1" w:styleId="75">
    <w:name w:val="数字编号列项（二级）"/>
    <w:qFormat/>
    <w:uiPriority w:val="0"/>
    <w:pPr>
      <w:numPr>
        <w:ilvl w:val="1"/>
        <w:numId w:val="7"/>
      </w:numPr>
      <w:jc w:val="both"/>
    </w:pPr>
    <w:rPr>
      <w:rFonts w:ascii="宋体" w:hAnsi="Times New Roman" w:eastAsia="宋体" w:cs="Times New Roman"/>
      <w:sz w:val="21"/>
      <w:lang w:val="en-US" w:eastAsia="zh-CN" w:bidi="ar-SA"/>
    </w:rPr>
  </w:style>
  <w:style w:type="paragraph" w:customStyle="1" w:styleId="76">
    <w:name w:val="报告正文"/>
    <w:basedOn w:val="1"/>
    <w:qFormat/>
    <w:uiPriority w:val="0"/>
    <w:pPr>
      <w:spacing w:line="360" w:lineRule="auto"/>
      <w:ind w:firstLine="200" w:firstLineChars="200"/>
    </w:pPr>
    <w:rPr>
      <w:sz w:val="24"/>
    </w:rPr>
  </w:style>
  <w:style w:type="paragraph" w:customStyle="1" w:styleId="77">
    <w:name w:val="修订7"/>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2788</Words>
  <Characters>2863</Characters>
  <Lines>120</Lines>
  <Paragraphs>33</Paragraphs>
  <TotalTime>0</TotalTime>
  <ScaleCrop>false</ScaleCrop>
  <LinksUpToDate>false</LinksUpToDate>
  <CharactersWithSpaces>2868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2025-01-21T15:48:00Z</dcterms:created>
  <dc:creator>遥感室</dc:creator>
  <cp:lastModifiedBy>赵旭</cp:lastModifiedBy>
  <cp:lastPrinted>2023-12-30T21:03:00Z</cp:lastPrinted>
  <dcterms:modified xsi:type="dcterms:W3CDTF">2025-04-11T01:51:45Z</dcterms:modified>
  <dc:title>建设用地遥感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D2B3ED7BB8754A00AB0478C4E257F2DE_13</vt:lpwstr>
  </property>
  <property fmtid="{D5CDD505-2E9C-101B-9397-08002B2CF9AE}" pid="4" name="KSOTemplateDocerSaveRecord">
    <vt:lpwstr>eyJoZGlkIjoiYjQ4NmM3ZGU0MzFkYTQzMTExZDdhYTk5MDczNzcxNmUiLCJ1c2VySWQiOiIxMDgyMzM2MzI3In0=</vt:lpwstr>
  </property>
</Properties>
</file>