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firstLine="0" w:firstLineChars="0"/>
        <w:jc w:val="left"/>
        <w:rPr>
          <w:rFonts w:hint="eastAsia" w:ascii="黑体" w:hAnsi="黑体" w:eastAsia="黑体" w:cs="Times New Roman"/>
          <w:sz w:val="32"/>
          <w:szCs w:val="32"/>
          <w:lang w:eastAsia="zh-CN"/>
        </w:rPr>
      </w:pPr>
      <w:bookmarkStart w:id="0" w:name="_Toc366056639"/>
      <w:bookmarkStart w:id="1" w:name="_Toc367697262"/>
      <w:bookmarkStart w:id="2" w:name="_Toc371002762"/>
      <w:bookmarkStart w:id="3" w:name="_Toc367716818"/>
      <w:bookmarkStart w:id="4" w:name="_Toc366073044"/>
      <w:bookmarkStart w:id="5" w:name="_Hlk162278644"/>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bookmarkEnd w:id="0"/>
    <w:bookmarkEnd w:id="1"/>
    <w:bookmarkEnd w:id="2"/>
    <w:bookmarkEnd w:id="3"/>
    <w:bookmarkEnd w:id="4"/>
    <w:p>
      <w:pPr>
        <w:snapToGrid w:val="0"/>
        <w:ind w:left="0" w:firstLine="0" w:firstLineChars="0"/>
        <w:jc w:val="center"/>
        <w:rPr>
          <w:rFonts w:hint="eastAsia" w:ascii="方正小标宋简体" w:hAnsi="方正小标宋简体" w:eastAsia="方正小标宋简体" w:cs="方正小标宋简体"/>
          <w:b w:val="0"/>
          <w:bCs w:val="0"/>
          <w:color w:val="auto"/>
          <w:sz w:val="44"/>
          <w:szCs w:val="44"/>
          <w:highlight w:val="none"/>
        </w:rPr>
      </w:pPr>
      <w:bookmarkStart w:id="6" w:name="_Toc367716824"/>
      <w:bookmarkStart w:id="7" w:name="_Toc371002768"/>
      <w:bookmarkStart w:id="8" w:name="_Toc366073050"/>
      <w:bookmarkStart w:id="9" w:name="_Toc367697268"/>
      <w:bookmarkStart w:id="10" w:name="_Toc366056645"/>
      <w:bookmarkStart w:id="11" w:name="_Toc387683297"/>
      <w:r>
        <w:rPr>
          <w:rFonts w:hint="eastAsia" w:ascii="方正小标宋简体" w:hAnsi="方正小标宋简体" w:eastAsia="方正小标宋简体" w:cs="方正小标宋简体"/>
          <w:b w:val="0"/>
          <w:bCs w:val="0"/>
          <w:color w:val="auto"/>
          <w:sz w:val="44"/>
          <w:szCs w:val="44"/>
          <w:highlight w:val="none"/>
        </w:rPr>
        <w:t>北京市地方标准</w:t>
      </w:r>
    </w:p>
    <w:p>
      <w:pPr>
        <w:snapToGrid w:val="0"/>
        <w:ind w:left="0"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w:t>
      </w:r>
      <w:r>
        <w:rPr>
          <w:rFonts w:hint="eastAsia" w:ascii="方正小标宋简体" w:hAnsi="方正小标宋简体" w:eastAsia="方正小标宋简体" w:cs="方正小标宋简体"/>
          <w:b w:val="0"/>
          <w:bCs w:val="0"/>
          <w:color w:val="auto"/>
          <w:sz w:val="44"/>
          <w:szCs w:val="44"/>
          <w:highlight w:val="none"/>
          <w:lang w:eastAsia="zh-CN"/>
        </w:rPr>
        <w:t>温室气体排放核算指南 污水处理企业（征求意见稿）</w:t>
      </w:r>
      <w:r>
        <w:rPr>
          <w:rFonts w:hint="eastAsia" w:ascii="方正小标宋简体" w:hAnsi="方正小标宋简体" w:eastAsia="方正小标宋简体" w:cs="方正小标宋简体"/>
          <w:b w:val="0"/>
          <w:bCs w:val="0"/>
          <w:color w:val="auto"/>
          <w:sz w:val="44"/>
          <w:szCs w:val="44"/>
          <w:highlight w:val="none"/>
        </w:rPr>
        <w:t>》</w:t>
      </w:r>
      <w:bookmarkEnd w:id="6"/>
      <w:bookmarkEnd w:id="7"/>
      <w:bookmarkEnd w:id="8"/>
      <w:bookmarkEnd w:id="9"/>
      <w:bookmarkEnd w:id="10"/>
      <w:bookmarkEnd w:id="11"/>
      <w:r>
        <w:rPr>
          <w:rFonts w:hint="eastAsia" w:ascii="方正小标宋简体" w:hAnsi="方正小标宋简体" w:eastAsia="方正小标宋简体" w:cs="方正小标宋简体"/>
          <w:b w:val="0"/>
          <w:bCs w:val="0"/>
          <w:color w:val="auto"/>
          <w:sz w:val="44"/>
          <w:szCs w:val="44"/>
          <w:highlight w:val="none"/>
        </w:rPr>
        <w:t>编制说明</w:t>
      </w:r>
    </w:p>
    <w:p>
      <w:pPr>
        <w:snapToGrid w:val="0"/>
        <w:ind w:left="0" w:firstLine="0" w:firstLineChars="0"/>
        <w:jc w:val="center"/>
        <w:rPr>
          <w:rFonts w:hint="default" w:ascii="Times New Roman" w:hAnsi="Times New Roman" w:eastAsia="仿宋" w:cs="Times New Roman"/>
          <w:b/>
          <w:bCs/>
          <w:color w:val="auto"/>
          <w:sz w:val="52"/>
          <w:szCs w:val="52"/>
          <w:highlight w:val="none"/>
        </w:rPr>
      </w:pPr>
      <w:bookmarkStart w:id="12" w:name="_Toc387683298"/>
    </w:p>
    <w:bookmarkEnd w:id="12"/>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firstLine="0" w:firstLineChars="0"/>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二〇二五</w:t>
      </w:r>
      <w:r>
        <w:rPr>
          <w:rFonts w:hint="eastAsia" w:ascii="黑体" w:hAnsi="黑体" w:eastAsia="黑体" w:cs="黑体"/>
          <w:b w:val="0"/>
          <w:bCs/>
          <w:color w:val="auto"/>
          <w:sz w:val="32"/>
          <w:szCs w:val="32"/>
          <w:highlight w:val="none"/>
        </w:rPr>
        <w:t>年</w:t>
      </w: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月</w:t>
      </w:r>
    </w:p>
    <w:bookmarkEnd w:id="5"/>
    <w:p>
      <w:pPr>
        <w:ind w:left="0" w:firstLine="0" w:firstLineChars="0"/>
        <w:jc w:val="center"/>
        <w:rPr>
          <w:rFonts w:hint="eastAsia" w:ascii="黑体" w:hAnsi="黑体" w:eastAsia="黑体" w:cs="黑体"/>
          <w:b w:val="0"/>
          <w:bCs/>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pStyle w:val="2"/>
        <w:spacing w:before="0" w:beforeLines="0" w:after="0" w:afterLines="0"/>
        <w:ind w:left="0"/>
        <w:jc w:val="center"/>
        <w:rPr>
          <w:rFonts w:hint="default" w:ascii="Times New Roman" w:hAnsi="Times New Roman" w:eastAsia="仿宋" w:cs="Times New Roman"/>
          <w:color w:val="auto"/>
          <w:szCs w:val="28"/>
          <w:highlight w:val="none"/>
        </w:rPr>
      </w:pPr>
      <w:bookmarkStart w:id="13" w:name="_Toc162279825"/>
      <w:bookmarkStart w:id="14" w:name="_Toc536"/>
      <w:bookmarkStart w:id="15" w:name="_Toc162278735"/>
      <w:bookmarkStart w:id="16" w:name="_Toc30496"/>
      <w:bookmarkStart w:id="17" w:name="_Toc162538356"/>
      <w:bookmarkStart w:id="18" w:name="_Toc7523"/>
      <w:bookmarkStart w:id="19" w:name="_Toc7120"/>
      <w:r>
        <w:rPr>
          <w:rFonts w:hint="default" w:ascii="Times New Roman" w:hAnsi="Times New Roman" w:eastAsia="仿宋" w:cs="Times New Roman"/>
          <w:color w:val="auto"/>
          <w:highlight w:val="none"/>
        </w:rPr>
        <w:t>目  录</w:t>
      </w:r>
      <w:bookmarkEnd w:id="13"/>
      <w:bookmarkEnd w:id="14"/>
      <w:bookmarkEnd w:id="15"/>
      <w:bookmarkEnd w:id="16"/>
      <w:bookmarkEnd w:id="17"/>
      <w:bookmarkEnd w:id="18"/>
      <w:bookmarkEnd w:id="19"/>
    </w:p>
    <w:sdt>
      <w:sdtPr>
        <w:rPr>
          <w:rFonts w:hint="default" w:ascii="Times New Roman" w:hAnsi="Times New Roman" w:eastAsia="仿宋" w:cs="Times New Roman"/>
          <w:color w:val="auto"/>
          <w:highlight w:val="none"/>
        </w:rPr>
        <w:id w:val="147460276"/>
        <w15:color w:val="DBDBDB"/>
        <w:docPartObj>
          <w:docPartGallery w:val="Table of Contents"/>
          <w:docPartUnique/>
        </w:docPartObj>
      </w:sdtPr>
      <w:sdtEndPr>
        <w:rPr>
          <w:rFonts w:hint="default" w:ascii="Times New Roman" w:hAnsi="Times New Roman" w:eastAsia="仿宋" w:cs="Times New Roman"/>
          <w:b/>
          <w:color w:val="auto"/>
          <w:sz w:val="21"/>
          <w:highlight w:val="none"/>
        </w:rPr>
      </w:sdtEndPr>
      <w:sdtContent>
        <w:p>
          <w:pPr>
            <w:tabs>
              <w:tab w:val="right" w:leader="dot" w:pos="8296"/>
            </w:tabs>
            <w:spacing w:line="480" w:lineRule="auto"/>
            <w:ind w:left="0"/>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TOC \o "1-2" \h \u </w:instrText>
          </w:r>
          <w:r>
            <w:rPr>
              <w:rFonts w:hint="default" w:ascii="Times New Roman" w:hAnsi="Times New Roman" w:eastAsia="仿宋" w:cs="Times New Roman"/>
              <w:color w:val="auto"/>
              <w:highlight w:val="none"/>
            </w:rPr>
            <w:fldChar w:fldCharType="separate"/>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_Toc14757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28"/>
              <w:highlight w:val="none"/>
            </w:rPr>
            <w:t>一、任务来源，起草单位，协作单位，主要起草人</w:t>
          </w:r>
          <w:r>
            <w:rPr>
              <w:color w:val="auto"/>
            </w:rPr>
            <w:tab/>
          </w:r>
          <w:r>
            <w:rPr>
              <w:color w:val="auto"/>
            </w:rPr>
            <w:fldChar w:fldCharType="begin"/>
          </w:r>
          <w:r>
            <w:rPr>
              <w:color w:val="auto"/>
            </w:rPr>
            <w:instrText xml:space="preserve"> PAGEREF _Toc14757 \h </w:instrText>
          </w:r>
          <w:r>
            <w:rPr>
              <w:color w:val="auto"/>
            </w:rPr>
            <w:fldChar w:fldCharType="separate"/>
          </w:r>
          <w:r>
            <w:rPr>
              <w:color w:val="auto"/>
            </w:rPr>
            <w:t>1</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_Toc26643 </w:instrText>
          </w:r>
          <w:r>
            <w:rPr>
              <w:rFonts w:hint="default" w:ascii="Times New Roman" w:hAnsi="Times New Roman" w:eastAsia="仿宋" w:cs="Times New Roman"/>
              <w:color w:val="auto"/>
              <w:highlight w:val="none"/>
            </w:rPr>
            <w:fldChar w:fldCharType="separate"/>
          </w:r>
          <w:r>
            <w:rPr>
              <w:rFonts w:hint="eastAsia" w:ascii="Times New Roman" w:hAnsi="Times New Roman" w:eastAsia="仿宋" w:cs="Times New Roman"/>
              <w:color w:val="auto"/>
              <w:szCs w:val="28"/>
            </w:rPr>
            <w:t>二、</w:t>
          </w:r>
          <w:r>
            <w:rPr>
              <w:rFonts w:hint="default" w:ascii="Times New Roman" w:hAnsi="Times New Roman" w:eastAsia="仿宋" w:cs="Times New Roman"/>
              <w:color w:val="auto"/>
              <w:szCs w:val="28"/>
              <w:highlight w:val="none"/>
            </w:rPr>
            <w:t>制定标准的必要性和意义</w:t>
          </w:r>
          <w:r>
            <w:rPr>
              <w:color w:val="auto"/>
            </w:rPr>
            <w:tab/>
          </w:r>
          <w:r>
            <w:rPr>
              <w:color w:val="auto"/>
            </w:rPr>
            <w:fldChar w:fldCharType="begin"/>
          </w:r>
          <w:r>
            <w:rPr>
              <w:color w:val="auto"/>
            </w:rPr>
            <w:instrText xml:space="preserve"> PAGEREF _Toc26643 \h </w:instrText>
          </w:r>
          <w:r>
            <w:rPr>
              <w:color w:val="auto"/>
            </w:rPr>
            <w:fldChar w:fldCharType="separate"/>
          </w:r>
          <w:r>
            <w:rPr>
              <w:color w:val="auto"/>
            </w:rPr>
            <w:t>1</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_Toc15763 </w:instrText>
          </w:r>
          <w:r>
            <w:rPr>
              <w:rFonts w:hint="default" w:ascii="Times New Roman" w:hAnsi="Times New Roman" w:eastAsia="仿宋" w:cs="Times New Roman"/>
              <w:color w:val="auto"/>
              <w:highlight w:val="none"/>
            </w:rPr>
            <w:fldChar w:fldCharType="separate"/>
          </w:r>
          <w:r>
            <w:rPr>
              <w:rFonts w:hint="eastAsia" w:ascii="Times New Roman" w:hAnsi="Times New Roman" w:eastAsia="仿宋" w:cs="Times New Roman"/>
              <w:color w:val="auto"/>
              <w:szCs w:val="28"/>
              <w:lang w:val="en-US" w:eastAsia="zh-CN"/>
            </w:rPr>
            <w:t>三、</w:t>
          </w:r>
          <w:r>
            <w:rPr>
              <w:rFonts w:hint="default" w:ascii="Times New Roman" w:hAnsi="Times New Roman" w:eastAsia="仿宋" w:cs="Times New Roman"/>
              <w:color w:val="auto"/>
              <w:szCs w:val="28"/>
              <w:highlight w:val="none"/>
              <w:lang w:val="en-US" w:eastAsia="zh-CN"/>
            </w:rPr>
            <w:t>适用对象基本情况</w:t>
          </w:r>
          <w:r>
            <w:rPr>
              <w:color w:val="auto"/>
            </w:rPr>
            <w:tab/>
          </w:r>
          <w:r>
            <w:rPr>
              <w:color w:val="auto"/>
            </w:rPr>
            <w:fldChar w:fldCharType="begin"/>
          </w:r>
          <w:r>
            <w:rPr>
              <w:color w:val="auto"/>
            </w:rPr>
            <w:instrText xml:space="preserve"> PAGEREF _Toc15763 \h </w:instrText>
          </w:r>
          <w:r>
            <w:rPr>
              <w:color w:val="auto"/>
            </w:rPr>
            <w:fldChar w:fldCharType="separate"/>
          </w:r>
          <w:r>
            <w:rPr>
              <w:color w:val="auto"/>
            </w:rPr>
            <w:t>2</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_Toc21824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28"/>
              <w:highlight w:val="none"/>
              <w:lang w:val="en-US" w:eastAsia="zh-CN"/>
            </w:rPr>
            <w:t>四、</w:t>
          </w:r>
          <w:r>
            <w:rPr>
              <w:rFonts w:hint="default" w:ascii="Times New Roman" w:hAnsi="Times New Roman" w:eastAsia="仿宋" w:cs="Times New Roman"/>
              <w:color w:val="auto"/>
              <w:szCs w:val="28"/>
              <w:highlight w:val="none"/>
            </w:rPr>
            <w:t>主要</w:t>
          </w:r>
          <w:r>
            <w:rPr>
              <w:rFonts w:hint="default" w:ascii="Times New Roman" w:hAnsi="Times New Roman" w:eastAsia="仿宋" w:cs="Times New Roman"/>
              <w:color w:val="auto"/>
              <w:szCs w:val="28"/>
              <w:highlight w:val="none"/>
              <w:lang w:val="en-US" w:eastAsia="zh-CN"/>
            </w:rPr>
            <w:t>起草</w:t>
          </w:r>
          <w:r>
            <w:rPr>
              <w:rFonts w:hint="default" w:ascii="Times New Roman" w:hAnsi="Times New Roman" w:eastAsia="仿宋" w:cs="Times New Roman"/>
              <w:color w:val="auto"/>
              <w:szCs w:val="28"/>
              <w:highlight w:val="none"/>
            </w:rPr>
            <w:t>过程</w:t>
          </w:r>
          <w:r>
            <w:rPr>
              <w:color w:val="auto"/>
            </w:rPr>
            <w:tab/>
          </w:r>
          <w:r>
            <w:rPr>
              <w:color w:val="auto"/>
            </w:rPr>
            <w:fldChar w:fldCharType="begin"/>
          </w:r>
          <w:r>
            <w:rPr>
              <w:color w:val="auto"/>
            </w:rPr>
            <w:instrText xml:space="preserve"> PAGEREF _Toc21824 \h </w:instrText>
          </w:r>
          <w:r>
            <w:rPr>
              <w:color w:val="auto"/>
            </w:rPr>
            <w:fldChar w:fldCharType="separate"/>
          </w:r>
          <w:r>
            <w:rPr>
              <w:color w:val="auto"/>
            </w:rPr>
            <w:t>3</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_Toc3944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28"/>
              <w:highlight w:val="none"/>
              <w:lang w:val="en-US" w:eastAsia="zh-CN"/>
            </w:rPr>
            <w:t>五</w:t>
          </w:r>
          <w:r>
            <w:rPr>
              <w:rFonts w:hint="default" w:ascii="Times New Roman" w:hAnsi="Times New Roman" w:eastAsia="仿宋" w:cs="Times New Roman"/>
              <w:color w:val="auto"/>
              <w:szCs w:val="28"/>
              <w:highlight w:val="none"/>
            </w:rPr>
            <w:t>、制定标准的原则和依据，与现行</w:t>
          </w:r>
          <w:r>
            <w:rPr>
              <w:rFonts w:hint="eastAsia" w:eastAsia="仿宋" w:cs="Times New Roman"/>
              <w:color w:val="auto"/>
              <w:szCs w:val="28"/>
              <w:highlight w:val="none"/>
              <w:lang w:eastAsia="zh-CN"/>
            </w:rPr>
            <w:t>法律法规</w:t>
          </w:r>
          <w:r>
            <w:rPr>
              <w:rFonts w:hint="default" w:ascii="Times New Roman" w:hAnsi="Times New Roman" w:eastAsia="仿宋" w:cs="Times New Roman"/>
              <w:color w:val="auto"/>
              <w:szCs w:val="28"/>
              <w:highlight w:val="none"/>
            </w:rPr>
            <w:t>、标准的关系，与国内外同类标准水平的对比情况</w:t>
          </w:r>
          <w:r>
            <w:rPr>
              <w:color w:val="auto"/>
            </w:rPr>
            <w:tab/>
          </w:r>
          <w:r>
            <w:rPr>
              <w:color w:val="auto"/>
            </w:rPr>
            <w:fldChar w:fldCharType="begin"/>
          </w:r>
          <w:r>
            <w:rPr>
              <w:color w:val="auto"/>
            </w:rPr>
            <w:instrText xml:space="preserve"> PAGEREF _Toc3944 \h </w:instrText>
          </w:r>
          <w:r>
            <w:rPr>
              <w:color w:val="auto"/>
            </w:rPr>
            <w:fldChar w:fldCharType="separate"/>
          </w:r>
          <w:r>
            <w:rPr>
              <w:color w:val="auto"/>
            </w:rPr>
            <w:t>4</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_Toc16414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28"/>
              <w:highlight w:val="none"/>
              <w:lang w:val="en-US" w:eastAsia="zh-CN"/>
            </w:rPr>
            <w:t>六</w:t>
          </w:r>
          <w:r>
            <w:rPr>
              <w:rFonts w:hint="default" w:ascii="Times New Roman" w:hAnsi="Times New Roman" w:eastAsia="仿宋" w:cs="Times New Roman"/>
              <w:color w:val="auto"/>
              <w:szCs w:val="28"/>
              <w:highlight w:val="none"/>
            </w:rPr>
            <w:t>、主要条款的说明，主要技术指标、参数、实验验证的论述</w:t>
          </w:r>
          <w:r>
            <w:rPr>
              <w:color w:val="auto"/>
            </w:rPr>
            <w:tab/>
          </w:r>
          <w:r>
            <w:rPr>
              <w:color w:val="auto"/>
            </w:rPr>
            <w:fldChar w:fldCharType="begin"/>
          </w:r>
          <w:r>
            <w:rPr>
              <w:color w:val="auto"/>
            </w:rPr>
            <w:instrText xml:space="preserve"> PAGEREF _Toc16414 \h </w:instrText>
          </w:r>
          <w:r>
            <w:rPr>
              <w:color w:val="auto"/>
            </w:rPr>
            <w:fldChar w:fldCharType="separate"/>
          </w:r>
          <w:r>
            <w:rPr>
              <w:color w:val="auto"/>
            </w:rPr>
            <w:t>6</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_Toc8023 </w:instrText>
          </w:r>
          <w:r>
            <w:rPr>
              <w:rFonts w:hint="default" w:ascii="Times New Roman" w:hAnsi="Times New Roman" w:eastAsia="仿宋" w:cs="Times New Roman"/>
              <w:color w:val="auto"/>
              <w:highlight w:val="none"/>
            </w:rPr>
            <w:fldChar w:fldCharType="separate"/>
          </w:r>
          <w:r>
            <w:rPr>
              <w:rFonts w:hint="eastAsia" w:ascii="Times New Roman" w:hAnsi="Times New Roman" w:eastAsia="仿宋" w:cs="Times New Roman"/>
              <w:color w:val="auto"/>
              <w:szCs w:val="30"/>
            </w:rPr>
            <w:t>七、</w:t>
          </w:r>
          <w:r>
            <w:rPr>
              <w:rFonts w:hint="eastAsia" w:eastAsia="仿宋"/>
              <w:color w:val="auto"/>
              <w:lang w:val="en-US" w:eastAsia="zh-CN"/>
            </w:rPr>
            <w:t>公平竞争审查情况</w:t>
          </w:r>
          <w:r>
            <w:rPr>
              <w:color w:val="auto"/>
            </w:rPr>
            <w:tab/>
          </w:r>
          <w:r>
            <w:rPr>
              <w:color w:val="auto"/>
            </w:rPr>
            <w:fldChar w:fldCharType="begin"/>
          </w:r>
          <w:r>
            <w:rPr>
              <w:color w:val="auto"/>
            </w:rPr>
            <w:instrText xml:space="preserve"> PAGEREF _Toc8023 \h </w:instrText>
          </w:r>
          <w:r>
            <w:rPr>
              <w:color w:val="auto"/>
            </w:rPr>
            <w:fldChar w:fldCharType="separate"/>
          </w:r>
          <w:r>
            <w:rPr>
              <w:color w:val="auto"/>
            </w:rPr>
            <w:t>14</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_Toc21192 </w:instrText>
          </w:r>
          <w:r>
            <w:rPr>
              <w:rFonts w:hint="default" w:ascii="Times New Roman" w:hAnsi="Times New Roman" w:eastAsia="仿宋" w:cs="Times New Roman"/>
              <w:color w:val="auto"/>
              <w:highlight w:val="none"/>
            </w:rPr>
            <w:fldChar w:fldCharType="separate"/>
          </w:r>
          <w:bookmarkStart w:id="20" w:name="lawyee_626_2"/>
          <w:r>
            <w:rPr>
              <w:rFonts w:hint="eastAsia" w:ascii="Times New Roman" w:hAnsi="Times New Roman" w:eastAsia="仿宋" w:cs="Times New Roman"/>
              <w:color w:val="auto"/>
              <w:szCs w:val="30"/>
            </w:rPr>
            <w:t>八、</w:t>
          </w:r>
          <w:bookmarkEnd w:id="20"/>
          <w:r>
            <w:rPr>
              <w:rFonts w:hint="default" w:ascii="Times New Roman" w:hAnsi="Times New Roman" w:eastAsia="仿宋" w:cs="Times New Roman"/>
              <w:color w:val="auto"/>
              <w:szCs w:val="30"/>
              <w:highlight w:val="none"/>
            </w:rPr>
            <w:t>重大意见分歧的处理依据和结果</w:t>
          </w:r>
          <w:r>
            <w:rPr>
              <w:color w:val="auto"/>
            </w:rPr>
            <w:tab/>
          </w:r>
          <w:r>
            <w:rPr>
              <w:color w:val="auto"/>
            </w:rPr>
            <w:fldChar w:fldCharType="begin"/>
          </w:r>
          <w:r>
            <w:rPr>
              <w:color w:val="auto"/>
            </w:rPr>
            <w:instrText xml:space="preserve"> PAGEREF _Toc21192 \h </w:instrText>
          </w:r>
          <w:r>
            <w:rPr>
              <w:color w:val="auto"/>
            </w:rPr>
            <w:fldChar w:fldCharType="separate"/>
          </w:r>
          <w:r>
            <w:rPr>
              <w:color w:val="auto"/>
            </w:rPr>
            <w:t>15</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_Toc18870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30"/>
              <w:highlight w:val="none"/>
            </w:rPr>
            <w:t>九、强制性标准实施的风险点、风险程度、风险防控措施和预案</w:t>
          </w:r>
          <w:r>
            <w:rPr>
              <w:color w:val="auto"/>
            </w:rPr>
            <w:tab/>
          </w:r>
          <w:r>
            <w:rPr>
              <w:color w:val="auto"/>
            </w:rPr>
            <w:fldChar w:fldCharType="begin"/>
          </w:r>
          <w:r>
            <w:rPr>
              <w:color w:val="auto"/>
            </w:rPr>
            <w:instrText xml:space="preserve"> PAGEREF _Toc18870 \h </w:instrText>
          </w:r>
          <w:r>
            <w:rPr>
              <w:color w:val="auto"/>
            </w:rPr>
            <w:fldChar w:fldCharType="separate"/>
          </w:r>
          <w:r>
            <w:rPr>
              <w:color w:val="auto"/>
            </w:rPr>
            <w:t>16</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_Toc6581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30"/>
              <w:highlight w:val="none"/>
            </w:rPr>
            <w:t>十、实施标准的措施</w:t>
          </w:r>
          <w:r>
            <w:rPr>
              <w:rFonts w:hint="default" w:ascii="Times New Roman" w:hAnsi="Times New Roman" w:eastAsia="仿宋" w:cs="Times New Roman"/>
              <w:color w:val="auto"/>
              <w:szCs w:val="30"/>
              <w:highlight w:val="none"/>
              <w:lang w:val="en-US" w:eastAsia="zh-CN"/>
            </w:rPr>
            <w:t>建议</w:t>
          </w:r>
          <w:r>
            <w:rPr>
              <w:color w:val="auto"/>
            </w:rPr>
            <w:tab/>
          </w:r>
          <w:r>
            <w:rPr>
              <w:color w:val="auto"/>
            </w:rPr>
            <w:fldChar w:fldCharType="begin"/>
          </w:r>
          <w:r>
            <w:rPr>
              <w:color w:val="auto"/>
            </w:rPr>
            <w:instrText xml:space="preserve"> PAGEREF _Toc6581 \h </w:instrText>
          </w:r>
          <w:r>
            <w:rPr>
              <w:color w:val="auto"/>
            </w:rPr>
            <w:fldChar w:fldCharType="separate"/>
          </w:r>
          <w:r>
            <w:rPr>
              <w:color w:val="auto"/>
            </w:rPr>
            <w:t>16</w:t>
          </w:r>
          <w:r>
            <w:rPr>
              <w:color w:val="auto"/>
            </w:rPr>
            <w:fldChar w:fldCharType="end"/>
          </w:r>
          <w:r>
            <w:rPr>
              <w:rFonts w:hint="default" w:ascii="Times New Roman" w:hAnsi="Times New Roman" w:eastAsia="仿宋" w:cs="Times New Roman"/>
              <w:color w:val="auto"/>
              <w:highlight w:val="none"/>
            </w:rPr>
            <w:fldChar w:fldCharType="end"/>
          </w:r>
        </w:p>
        <w:p>
          <w:pPr>
            <w:pStyle w:val="18"/>
            <w:tabs>
              <w:tab w:val="right" w:leader="dot" w:pos="8312"/>
              <w:tab w:val="clear" w:pos="8296"/>
            </w:tabs>
            <w:spacing w:line="480" w:lineRule="auto"/>
            <w:ind w:left="780" w:leftChars="0" w:hanging="780" w:hangingChars="325"/>
            <w:rPr>
              <w:color w:val="auto"/>
            </w:rPr>
          </w:pPr>
          <w:r>
            <w:rPr>
              <w:rFonts w:hint="default" w:ascii="Times New Roman" w:hAnsi="Times New Roman" w:eastAsia="仿宋" w:cs="Times New Roman"/>
              <w:color w:val="auto"/>
              <w:highlight w:val="none"/>
            </w:rPr>
            <w:fldChar w:fldCharType="begin"/>
          </w:r>
          <w:r>
            <w:rPr>
              <w:rFonts w:hint="default" w:ascii="Times New Roman" w:hAnsi="Times New Roman" w:eastAsia="仿宋" w:cs="Times New Roman"/>
              <w:color w:val="auto"/>
              <w:highlight w:val="none"/>
            </w:rPr>
            <w:instrText xml:space="preserve"> HYPERLINK \l _Toc32418 </w:instrText>
          </w:r>
          <w:r>
            <w:rPr>
              <w:rFonts w:hint="default" w:ascii="Times New Roman" w:hAnsi="Times New Roman" w:eastAsia="仿宋" w:cs="Times New Roman"/>
              <w:color w:val="auto"/>
              <w:highlight w:val="none"/>
            </w:rPr>
            <w:fldChar w:fldCharType="separate"/>
          </w:r>
          <w:r>
            <w:rPr>
              <w:rFonts w:hint="default" w:ascii="Times New Roman" w:hAnsi="Times New Roman" w:eastAsia="仿宋" w:cs="Times New Roman"/>
              <w:color w:val="auto"/>
              <w:szCs w:val="30"/>
              <w:highlight w:val="none"/>
            </w:rPr>
            <w:t>十一、其</w:t>
          </w:r>
          <w:bookmarkStart w:id="111" w:name="_GoBack"/>
          <w:bookmarkEnd w:id="111"/>
          <w:r>
            <w:rPr>
              <w:rFonts w:hint="default" w:ascii="Times New Roman" w:hAnsi="Times New Roman" w:eastAsia="仿宋" w:cs="Times New Roman"/>
              <w:color w:val="auto"/>
              <w:szCs w:val="30"/>
              <w:highlight w:val="none"/>
            </w:rPr>
            <w:t>他应说明的事项</w:t>
          </w:r>
          <w:r>
            <w:rPr>
              <w:color w:val="auto"/>
            </w:rPr>
            <w:tab/>
          </w:r>
          <w:r>
            <w:rPr>
              <w:color w:val="auto"/>
            </w:rPr>
            <w:fldChar w:fldCharType="begin"/>
          </w:r>
          <w:r>
            <w:rPr>
              <w:color w:val="auto"/>
            </w:rPr>
            <w:instrText xml:space="preserve"> PAGEREF _Toc32418 \h </w:instrText>
          </w:r>
          <w:r>
            <w:rPr>
              <w:color w:val="auto"/>
            </w:rPr>
            <w:fldChar w:fldCharType="separate"/>
          </w:r>
          <w:r>
            <w:rPr>
              <w:color w:val="auto"/>
            </w:rPr>
            <w:t>17</w:t>
          </w:r>
          <w:r>
            <w:rPr>
              <w:color w:val="auto"/>
            </w:rPr>
            <w:fldChar w:fldCharType="end"/>
          </w:r>
          <w:r>
            <w:rPr>
              <w:rFonts w:hint="default" w:ascii="Times New Roman" w:hAnsi="Times New Roman" w:eastAsia="仿宋" w:cs="Times New Roman"/>
              <w:color w:val="auto"/>
              <w:highlight w:val="none"/>
            </w:rPr>
            <w:fldChar w:fldCharType="end"/>
          </w:r>
        </w:p>
        <w:p>
          <w:pPr>
            <w:pStyle w:val="18"/>
            <w:spacing w:line="480" w:lineRule="auto"/>
            <w:ind w:left="0" w:leftChars="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fldChar w:fldCharType="end"/>
          </w:r>
        </w:p>
      </w:sdtContent>
    </w:sdt>
    <w:p>
      <w:pPr>
        <w:spacing w:line="480" w:lineRule="auto"/>
        <w:ind w:left="0"/>
        <w:rPr>
          <w:rFonts w:hint="default" w:ascii="Times New Roman" w:hAnsi="Times New Roman" w:eastAsia="仿宋" w:cs="Times New Roman"/>
          <w:color w:val="auto"/>
          <w:highlight w:val="none"/>
        </w:rPr>
        <w:sectPr>
          <w:headerReference r:id="rId11" w:type="default"/>
          <w:footerReference r:id="rId12" w:type="default"/>
          <w:footerReference r:id="rId13" w:type="even"/>
          <w:pgSz w:w="11906" w:h="16838"/>
          <w:pgMar w:top="1440" w:right="1797" w:bottom="1440" w:left="1797" w:header="851" w:footer="992" w:gutter="0"/>
          <w:pgNumType w:start="1"/>
          <w:cols w:space="720" w:num="1"/>
          <w:docGrid w:type="lines" w:linePitch="326" w:charSpace="0"/>
        </w:sectPr>
      </w:pPr>
    </w:p>
    <w:p>
      <w:pPr>
        <w:pStyle w:val="2"/>
        <w:spacing w:before="0" w:beforeLines="0" w:after="0" w:afterLines="0"/>
        <w:ind w:left="0"/>
        <w:rPr>
          <w:rFonts w:hint="default" w:ascii="Times New Roman" w:hAnsi="Times New Roman" w:eastAsia="仿宋" w:cs="Times New Roman"/>
          <w:color w:val="auto"/>
          <w:sz w:val="28"/>
          <w:szCs w:val="28"/>
          <w:highlight w:val="none"/>
        </w:rPr>
      </w:pPr>
      <w:bookmarkStart w:id="21" w:name="_Toc14757"/>
      <w:r>
        <w:rPr>
          <w:rFonts w:hint="default" w:ascii="Times New Roman" w:hAnsi="Times New Roman" w:eastAsia="仿宋" w:cs="Times New Roman"/>
          <w:color w:val="auto"/>
          <w:sz w:val="28"/>
          <w:szCs w:val="28"/>
          <w:highlight w:val="none"/>
        </w:rPr>
        <w:t>一、任务来源，起草单位，协作单位，主要起草人</w:t>
      </w:r>
      <w:bookmarkEnd w:id="21"/>
    </w:p>
    <w:p>
      <w:pPr>
        <w:pStyle w:val="3"/>
        <w:ind w:left="0"/>
        <w:rPr>
          <w:rFonts w:hint="default" w:ascii="Times New Roman" w:hAnsi="Times New Roman" w:eastAsia="仿宋" w:cs="Times New Roman"/>
          <w:color w:val="auto"/>
          <w:highlight w:val="none"/>
        </w:rPr>
      </w:pPr>
      <w:bookmarkStart w:id="22" w:name="_Toc6344"/>
      <w:bookmarkStart w:id="23" w:name="_Toc383080259"/>
      <w:bookmarkStart w:id="24" w:name="_Toc13391"/>
      <w:bookmarkStart w:id="25" w:name="_Toc51147806"/>
      <w:r>
        <w:rPr>
          <w:rFonts w:hint="default" w:ascii="Times New Roman" w:hAnsi="Times New Roman" w:eastAsia="仿宋" w:cs="Times New Roman"/>
          <w:color w:val="auto"/>
          <w:highlight w:val="none"/>
        </w:rPr>
        <w:t>1.1 任务来源</w:t>
      </w:r>
      <w:bookmarkEnd w:id="22"/>
      <w:bookmarkEnd w:id="23"/>
      <w:bookmarkEnd w:id="24"/>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根据2024年1月26日北京市市场监督管理局关于印发《2024年北京市地方标准制定项目计划》的通知，由北京市生态环境局归口，项目编号20241060。</w:t>
      </w:r>
    </w:p>
    <w:p>
      <w:pPr>
        <w:pStyle w:val="3"/>
        <w:ind w:left="0"/>
        <w:rPr>
          <w:rFonts w:hint="default" w:ascii="Times New Roman" w:hAnsi="Times New Roman" w:eastAsia="仿宋" w:cs="Times New Roman"/>
          <w:color w:val="auto"/>
          <w:highlight w:val="none"/>
        </w:rPr>
      </w:pPr>
      <w:bookmarkStart w:id="26" w:name="_Toc8214"/>
      <w:bookmarkStart w:id="27" w:name="_Toc27349"/>
      <w:bookmarkStart w:id="28" w:name="_Toc383080260"/>
      <w:r>
        <w:rPr>
          <w:rFonts w:hint="default" w:ascii="Times New Roman" w:hAnsi="Times New Roman" w:eastAsia="仿宋" w:cs="Times New Roman"/>
          <w:color w:val="auto"/>
          <w:highlight w:val="none"/>
        </w:rPr>
        <w:t>1.2 起草单位</w:t>
      </w:r>
      <w:bookmarkEnd w:id="26"/>
      <w:bookmarkEnd w:id="27"/>
      <w:bookmarkEnd w:id="28"/>
      <w:bookmarkStart w:id="29" w:name="_Toc383080262"/>
    </w:p>
    <w:p>
      <w:pPr>
        <w:pStyle w:val="3"/>
        <w:ind w:left="0" w:firstLine="480" w:firstLineChars="200"/>
        <w:rPr>
          <w:rFonts w:hint="default" w:ascii="Times New Roman" w:hAnsi="Times New Roman" w:eastAsia="仿宋" w:cs="Times New Roman"/>
          <w:b w:val="0"/>
          <w:bCs w:val="0"/>
          <w:color w:val="auto"/>
          <w:highlight w:val="none"/>
          <w:lang w:val="en-US" w:eastAsia="zh-CN"/>
        </w:rPr>
      </w:pPr>
      <w:bookmarkStart w:id="30" w:name="_Toc19496"/>
      <w:bookmarkStart w:id="31" w:name="_Toc14777"/>
      <w:r>
        <w:rPr>
          <w:rFonts w:hint="default" w:ascii="Times New Roman" w:hAnsi="Times New Roman" w:eastAsia="仿宋" w:cs="Times New Roman"/>
          <w:b w:val="0"/>
          <w:bCs w:val="0"/>
          <w:color w:val="auto"/>
          <w:highlight w:val="none"/>
          <w:lang w:val="en-US" w:eastAsia="zh-CN"/>
        </w:rPr>
        <w:t>北京城市排水集团有限责任公司、北京市应对气候变化管理事务中心、北京市生态环境保护科学研究院、中国科学院生态环境研究中心、北京林业大学、北京建筑大学</w:t>
      </w:r>
      <w:bookmarkEnd w:id="30"/>
    </w:p>
    <w:p>
      <w:pPr>
        <w:pStyle w:val="3"/>
        <w:ind w:left="0"/>
        <w:rPr>
          <w:rFonts w:hint="default" w:ascii="Times New Roman" w:hAnsi="Times New Roman" w:eastAsia="仿宋" w:cs="Times New Roman"/>
          <w:color w:val="auto"/>
          <w:highlight w:val="none"/>
        </w:rPr>
      </w:pPr>
      <w:bookmarkStart w:id="32" w:name="_Toc28717"/>
      <w:r>
        <w:rPr>
          <w:rFonts w:hint="default" w:ascii="Times New Roman" w:hAnsi="Times New Roman" w:eastAsia="仿宋" w:cs="Times New Roman"/>
          <w:color w:val="auto"/>
          <w:highlight w:val="none"/>
        </w:rPr>
        <w:t>1.3 主要起草人</w:t>
      </w:r>
      <w:bookmarkEnd w:id="29"/>
      <w:bookmarkEnd w:id="31"/>
      <w:bookmarkEnd w:id="32"/>
    </w:p>
    <w:p>
      <w:pPr>
        <w:ind w:left="0"/>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待补充</w:t>
      </w:r>
      <w:r>
        <w:rPr>
          <w:rFonts w:hint="default" w:ascii="Times New Roman" w:hAnsi="Times New Roman" w:eastAsia="仿宋" w:cs="Times New Roman"/>
          <w:color w:val="auto"/>
          <w:highlight w:val="none"/>
          <w:lang w:eastAsia="zh-CN"/>
        </w:rPr>
        <w:t>）</w:t>
      </w:r>
    </w:p>
    <w:p>
      <w:pPr>
        <w:ind w:left="0"/>
        <w:rPr>
          <w:rFonts w:hint="default" w:ascii="Times New Roman" w:hAnsi="Times New Roman" w:eastAsia="仿宋" w:cs="Times New Roman"/>
          <w:color w:val="auto"/>
          <w:highlight w:val="none"/>
        </w:rPr>
      </w:pPr>
    </w:p>
    <w:bookmarkEnd w:id="25"/>
    <w:p>
      <w:pPr>
        <w:pStyle w:val="2"/>
        <w:numPr>
          <w:ilvl w:val="0"/>
          <w:numId w:val="4"/>
        </w:numPr>
        <w:spacing w:before="0" w:beforeLines="0" w:after="0" w:afterLines="0"/>
        <w:ind w:left="0"/>
        <w:rPr>
          <w:rFonts w:hint="default" w:ascii="Times New Roman" w:hAnsi="Times New Roman" w:eastAsia="仿宋" w:cs="Times New Roman"/>
          <w:color w:val="auto"/>
          <w:sz w:val="28"/>
          <w:szCs w:val="28"/>
          <w:highlight w:val="none"/>
        </w:rPr>
      </w:pPr>
      <w:bookmarkStart w:id="33" w:name="_Toc26643"/>
      <w:r>
        <w:rPr>
          <w:rFonts w:hint="default" w:ascii="Times New Roman" w:hAnsi="Times New Roman" w:eastAsia="仿宋" w:cs="Times New Roman"/>
          <w:color w:val="auto"/>
          <w:sz w:val="28"/>
          <w:szCs w:val="28"/>
          <w:highlight w:val="none"/>
        </w:rPr>
        <w:t>制定标准的必要性和意义</w:t>
      </w:r>
      <w:bookmarkEnd w:id="33"/>
    </w:p>
    <w:p>
      <w:pPr>
        <w:pStyle w:val="3"/>
        <w:ind w:left="0"/>
        <w:rPr>
          <w:rFonts w:hint="default" w:ascii="Times New Roman" w:hAnsi="Times New Roman" w:eastAsia="仿宋" w:cs="Times New Roman"/>
          <w:color w:val="auto"/>
          <w:highlight w:val="none"/>
        </w:rPr>
      </w:pPr>
      <w:bookmarkStart w:id="34" w:name="_Toc24753"/>
      <w:r>
        <w:rPr>
          <w:rFonts w:hint="eastAsia" w:eastAsia="仿宋" w:cs="Times New Roman"/>
          <w:color w:val="auto"/>
          <w:highlight w:val="none"/>
          <w:lang w:val="en-US" w:eastAsia="zh-CN"/>
        </w:rPr>
        <w:t xml:space="preserve">2.1 </w:t>
      </w:r>
      <w:r>
        <w:rPr>
          <w:rFonts w:hint="default" w:ascii="Times New Roman" w:hAnsi="Times New Roman" w:eastAsia="仿宋" w:cs="Times New Roman"/>
          <w:color w:val="auto"/>
          <w:highlight w:val="none"/>
        </w:rPr>
        <w:t xml:space="preserve"> 制</w:t>
      </w:r>
      <w:r>
        <w:rPr>
          <w:rFonts w:hint="eastAsia" w:eastAsia="仿宋" w:cs="Times New Roman"/>
          <w:color w:val="auto"/>
          <w:highlight w:val="none"/>
          <w:lang w:val="en-US" w:eastAsia="zh-CN"/>
        </w:rPr>
        <w:t>定</w:t>
      </w:r>
      <w:r>
        <w:rPr>
          <w:rFonts w:hint="default" w:ascii="Times New Roman" w:hAnsi="Times New Roman" w:eastAsia="仿宋" w:cs="Times New Roman"/>
          <w:color w:val="auto"/>
          <w:highlight w:val="none"/>
        </w:rPr>
        <w:t>标准的必要性</w:t>
      </w:r>
      <w:bookmarkEnd w:id="34"/>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工业革命以来，全球温室效应</w:t>
      </w:r>
      <w:r>
        <w:rPr>
          <w:rFonts w:hint="default" w:ascii="Times New Roman" w:hAnsi="Times New Roman" w:eastAsia="仿宋" w:cs="Times New Roman"/>
          <w:color w:val="auto"/>
          <w:highlight w:val="none"/>
          <w:lang w:val="en-US" w:eastAsia="zh-CN"/>
        </w:rPr>
        <w:t>突</w:t>
      </w:r>
      <w:r>
        <w:rPr>
          <w:rFonts w:hint="default" w:ascii="Times New Roman" w:hAnsi="Times New Roman" w:eastAsia="仿宋" w:cs="Times New Roman"/>
          <w:color w:val="auto"/>
          <w:highlight w:val="none"/>
        </w:rPr>
        <w:t>显，气温升高、冰川与冻土消融、海平面上升、极端气候频现已严重威胁人类生存条件。为阻止全球变暖趋势，联合国制订了《气候变化框架公约》，旨在将温室气体浓度维持在一个稳定的水平。我国政府高度重视应对气候变化工作，习近平主席向世界承诺，中国将提高国家自主贡献力度，采取更加有力的政策和措施，二氧化碳排放力争于2030年前达到峰值，努力争取2060年前实现碳中和。随后，</w:t>
      </w:r>
      <w:r>
        <w:rPr>
          <w:rFonts w:hint="eastAsia" w:eastAsia="仿宋" w:cs="Times New Roman"/>
          <w:color w:val="auto"/>
          <w:highlight w:val="none"/>
          <w:lang w:eastAsia="zh-CN"/>
        </w:rPr>
        <w:t>碳达峰碳中和</w:t>
      </w:r>
      <w:r>
        <w:rPr>
          <w:rFonts w:hint="default" w:ascii="Times New Roman" w:hAnsi="Times New Roman" w:eastAsia="仿宋" w:cs="Times New Roman"/>
          <w:color w:val="auto"/>
          <w:highlight w:val="none"/>
        </w:rPr>
        <w:t>作为建设生态文明和美丽中国的重要组成部分，列入国家发展规划，</w:t>
      </w:r>
      <w:r>
        <w:rPr>
          <w:rFonts w:hint="default" w:ascii="Times New Roman" w:hAnsi="Times New Roman" w:eastAsia="仿宋" w:cs="Times New Roman"/>
          <w:color w:val="auto"/>
          <w:highlight w:val="none"/>
          <w:lang w:val="en-US" w:eastAsia="zh-CN"/>
        </w:rPr>
        <w:t>并</w:t>
      </w:r>
      <w:r>
        <w:rPr>
          <w:rFonts w:hint="default" w:ascii="Times New Roman" w:hAnsi="Times New Roman" w:eastAsia="仿宋" w:cs="Times New Roman"/>
          <w:color w:val="auto"/>
          <w:highlight w:val="none"/>
        </w:rPr>
        <w:t>开展了大量适应和自主减缓行动。</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众多温室气体排放源中，污水处理行业作为可控的人为排放源受到广泛关注。为有效控制城镇污水与再生水处理过程中的温室气体排放，必须探索建立可行的温室气体监测、核算、报告及控制方法。国际上，联合国政府间气候变化专门委员会（IPCC）于1996年发布《国家温室气体清单指南》（IPCC Guidelines for National Greenhouse Gas Inventories），该指南可以</w:t>
      </w:r>
      <w:r>
        <w:rPr>
          <w:rFonts w:hint="default" w:ascii="Times New Roman" w:hAnsi="Times New Roman" w:eastAsia="仿宋" w:cs="Times New Roman"/>
          <w:color w:val="auto"/>
          <w:highlight w:val="none"/>
          <w:lang w:val="en-US" w:eastAsia="zh-CN"/>
        </w:rPr>
        <w:t>对</w:t>
      </w:r>
      <w:r>
        <w:rPr>
          <w:rFonts w:hint="default" w:ascii="Times New Roman" w:hAnsi="Times New Roman" w:eastAsia="仿宋" w:cs="Times New Roman"/>
          <w:color w:val="auto"/>
          <w:highlight w:val="none"/>
        </w:rPr>
        <w:t>不同核算对象温室气体排放量进行核算。但该指南属于国家层面核算指南，主要面向国家和区域层面的温室气体清单编制工作，其中所采用的排放因子以及活动数据属于国家以及区域层面的数据，不能提供差异化的精细计算，更难以为后续温室气体排放控制提供依据。在我国地方层面，尚未制定相关标准。截至目前的相关研究也主要针对国家层面或城市层面的污水处理运行过程中的温室气体排放量进行核算与分析，缺少</w:t>
      </w:r>
      <w:r>
        <w:rPr>
          <w:rFonts w:hint="default" w:ascii="Times New Roman" w:hAnsi="Times New Roman" w:eastAsia="仿宋" w:cs="Times New Roman"/>
          <w:color w:val="auto"/>
          <w:highlight w:val="none"/>
          <w:lang w:val="en-US" w:eastAsia="zh-CN"/>
        </w:rPr>
        <w:t>区域或设施</w:t>
      </w:r>
      <w:r>
        <w:rPr>
          <w:rFonts w:hint="default" w:ascii="Times New Roman" w:hAnsi="Times New Roman" w:eastAsia="仿宋" w:cs="Times New Roman"/>
          <w:color w:val="auto"/>
          <w:highlight w:val="none"/>
        </w:rPr>
        <w:t>层面温室气体排放量的核算与报告标准。</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为落实</w:t>
      </w:r>
      <w:r>
        <w:rPr>
          <w:rFonts w:hint="eastAsia" w:eastAsia="仿宋" w:cs="Times New Roman"/>
          <w:color w:val="auto"/>
          <w:highlight w:val="none"/>
          <w:lang w:eastAsia="zh-CN"/>
        </w:rPr>
        <w:t>“双碳”</w:t>
      </w:r>
      <w:r>
        <w:rPr>
          <w:rFonts w:hint="default" w:ascii="Times New Roman" w:hAnsi="Times New Roman" w:eastAsia="仿宋" w:cs="Times New Roman"/>
          <w:color w:val="auto"/>
          <w:highlight w:val="none"/>
        </w:rPr>
        <w:t>战略，自2020年起国家及北京市相继出台多项政策，其中：2021年10月，中共中央、国务院印发了《关于</w:t>
      </w:r>
      <w:bookmarkStart w:id="35" w:name="lawyee_1915_13"/>
      <w:r>
        <w:rPr>
          <w:rFonts w:hint="default" w:ascii="Times New Roman" w:hAnsi="Times New Roman" w:eastAsia="仿宋" w:cs="Times New Roman"/>
          <w:color w:val="auto"/>
          <w:highlight w:val="none"/>
        </w:rPr>
        <w:t>完整准确全面贯彻新发展理念</w:t>
      </w:r>
      <w:bookmarkEnd w:id="35"/>
      <w:r>
        <w:rPr>
          <w:rFonts w:hint="default" w:ascii="Times New Roman" w:hAnsi="Times New Roman" w:eastAsia="仿宋" w:cs="Times New Roman"/>
          <w:color w:val="auto"/>
          <w:highlight w:val="none"/>
        </w:rPr>
        <w:t>做好碳达峰碳中和工作的意见》；2021年10月，国务院印发了《2030年前碳达峰行动方案》；2022年10月，</w:t>
      </w:r>
      <w:r>
        <w:rPr>
          <w:rFonts w:hint="eastAsia" w:eastAsia="仿宋" w:cs="Times New Roman"/>
          <w:color w:val="auto"/>
          <w:highlight w:val="none"/>
          <w:lang w:eastAsia="zh-CN"/>
        </w:rPr>
        <w:t>北京市人民政府</w:t>
      </w:r>
      <w:r>
        <w:rPr>
          <w:rFonts w:hint="default" w:ascii="Times New Roman" w:hAnsi="Times New Roman" w:eastAsia="仿宋" w:cs="Times New Roman"/>
          <w:color w:val="auto"/>
          <w:highlight w:val="none"/>
        </w:rPr>
        <w:t>印发了《北京市碳达峰实施方案》。这些政策系统规划了践行</w:t>
      </w:r>
      <w:r>
        <w:rPr>
          <w:rFonts w:hint="eastAsia" w:eastAsia="仿宋" w:cs="Times New Roman"/>
          <w:color w:val="auto"/>
          <w:highlight w:val="none"/>
          <w:lang w:eastAsia="zh-CN"/>
        </w:rPr>
        <w:t>“双碳”</w:t>
      </w:r>
      <w:r>
        <w:rPr>
          <w:rFonts w:hint="default" w:ascii="Times New Roman" w:hAnsi="Times New Roman" w:eastAsia="仿宋" w:cs="Times New Roman"/>
          <w:color w:val="auto"/>
          <w:highlight w:val="none"/>
        </w:rPr>
        <w:t>战略的时间表与路线图，其中均明确指出构建低碳法规标准体系的重要性。因此，建立适合我国国情、符合地方特点的温室气体排放核算与报告标准势在必行。</w:t>
      </w:r>
    </w:p>
    <w:p>
      <w:pPr>
        <w:pStyle w:val="3"/>
        <w:ind w:left="0"/>
        <w:rPr>
          <w:rFonts w:hint="eastAsia" w:ascii="Times New Roman" w:hAnsi="Times New Roman" w:eastAsia="仿宋" w:cs="Times New Roman"/>
          <w:color w:val="auto"/>
          <w:highlight w:val="none"/>
          <w:lang w:eastAsia="zh-CN"/>
        </w:rPr>
      </w:pPr>
      <w:bookmarkStart w:id="36" w:name="_Toc29016"/>
      <w:r>
        <w:rPr>
          <w:rFonts w:hint="eastAsia" w:eastAsia="仿宋" w:cs="Times New Roman"/>
          <w:color w:val="auto"/>
          <w:highlight w:val="none"/>
          <w:lang w:val="en-US" w:eastAsia="zh-CN"/>
        </w:rPr>
        <w:t xml:space="preserve">2.2 </w:t>
      </w:r>
      <w:r>
        <w:rPr>
          <w:rFonts w:hint="default" w:ascii="Times New Roman" w:hAnsi="Times New Roman" w:eastAsia="仿宋" w:cs="Times New Roman"/>
          <w:color w:val="auto"/>
          <w:highlight w:val="none"/>
        </w:rPr>
        <w:t xml:space="preserve"> 制</w:t>
      </w:r>
      <w:r>
        <w:rPr>
          <w:rFonts w:hint="eastAsia" w:eastAsia="仿宋" w:cs="Times New Roman"/>
          <w:color w:val="auto"/>
          <w:highlight w:val="none"/>
          <w:lang w:val="en-US" w:eastAsia="zh-CN"/>
        </w:rPr>
        <w:t>定</w:t>
      </w:r>
      <w:r>
        <w:rPr>
          <w:rFonts w:hint="default" w:ascii="Times New Roman" w:hAnsi="Times New Roman" w:eastAsia="仿宋" w:cs="Times New Roman"/>
          <w:color w:val="auto"/>
          <w:highlight w:val="none"/>
        </w:rPr>
        <w:t>标准的</w:t>
      </w:r>
      <w:r>
        <w:rPr>
          <w:rFonts w:hint="eastAsia" w:eastAsia="仿宋" w:cs="Times New Roman"/>
          <w:color w:val="auto"/>
          <w:highlight w:val="none"/>
          <w:lang w:val="en-US" w:eastAsia="zh-CN"/>
        </w:rPr>
        <w:t>意义</w:t>
      </w:r>
      <w:bookmarkEnd w:id="36"/>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编制《</w:t>
      </w:r>
      <w:r>
        <w:rPr>
          <w:rFonts w:hint="default" w:ascii="Times New Roman" w:hAnsi="Times New Roman" w:eastAsia="仿宋" w:cs="Times New Roman"/>
          <w:color w:val="auto"/>
          <w:highlight w:val="none"/>
          <w:lang w:eastAsia="zh-CN"/>
        </w:rPr>
        <w:t>温室气体排放核算指南 污水处理企业</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可</w:t>
      </w:r>
      <w:r>
        <w:rPr>
          <w:rFonts w:hint="default" w:ascii="Times New Roman" w:hAnsi="Times New Roman" w:eastAsia="仿宋" w:cs="Times New Roman"/>
          <w:color w:val="auto"/>
          <w:highlight w:val="none"/>
        </w:rPr>
        <w:t>为</w:t>
      </w:r>
      <w:r>
        <w:rPr>
          <w:rFonts w:hint="default" w:ascii="Times New Roman" w:hAnsi="Times New Roman" w:eastAsia="仿宋" w:cs="Times New Roman"/>
          <w:color w:val="auto"/>
          <w:highlight w:val="none"/>
          <w:lang w:val="en-US" w:eastAsia="zh-CN"/>
        </w:rPr>
        <w:t>本市</w:t>
      </w:r>
      <w:r>
        <w:rPr>
          <w:rFonts w:hint="default" w:ascii="Times New Roman" w:hAnsi="Times New Roman" w:eastAsia="仿宋" w:cs="Times New Roman"/>
          <w:color w:val="auto"/>
          <w:highlight w:val="none"/>
        </w:rPr>
        <w:t>污水</w:t>
      </w:r>
      <w:r>
        <w:rPr>
          <w:rFonts w:hint="eastAsia" w:eastAsia="仿宋" w:cs="Times New Roman"/>
          <w:color w:val="auto"/>
          <w:highlight w:val="none"/>
          <w:lang w:val="en-US" w:eastAsia="zh-CN"/>
        </w:rPr>
        <w:t>及污泥</w:t>
      </w:r>
      <w:r>
        <w:rPr>
          <w:rFonts w:hint="default" w:ascii="Times New Roman" w:hAnsi="Times New Roman" w:eastAsia="仿宋" w:cs="Times New Roman"/>
          <w:color w:val="auto"/>
          <w:highlight w:val="none"/>
        </w:rPr>
        <w:t>处理设施温室气体排放量核算提供依据，也为开展温室气体控制提供目标与手段，同时还能够为北京市主管部门建立并实施污水处理行业温室气体排放报告的相关制度奠定基础，有利于加快建立污水处理行业统一规范的温室气体排放核算体系。北京市作为我国首善之区，其污水处理</w:t>
      </w:r>
      <w:r>
        <w:rPr>
          <w:rFonts w:hint="default" w:ascii="Times New Roman" w:hAnsi="Times New Roman" w:eastAsia="仿宋" w:cs="Times New Roman"/>
          <w:color w:val="auto"/>
          <w:highlight w:val="none"/>
          <w:lang w:val="en-US" w:eastAsia="zh-CN"/>
        </w:rPr>
        <w:t>行业</w:t>
      </w:r>
      <w:r>
        <w:rPr>
          <w:rFonts w:hint="default" w:ascii="Times New Roman" w:hAnsi="Times New Roman" w:eastAsia="仿宋" w:cs="Times New Roman"/>
          <w:color w:val="auto"/>
          <w:highlight w:val="none"/>
        </w:rPr>
        <w:t>温室气体排放量核算标准的编制能够对全国污水处理行业开展低碳实践起到示范引领作用。</w:t>
      </w:r>
    </w:p>
    <w:p>
      <w:pPr>
        <w:ind w:left="0"/>
        <w:rPr>
          <w:rFonts w:hint="default" w:ascii="Times New Roman" w:hAnsi="Times New Roman" w:eastAsia="仿宋" w:cs="Times New Roman"/>
          <w:color w:val="auto"/>
          <w:highlight w:val="none"/>
        </w:rPr>
      </w:pPr>
    </w:p>
    <w:p>
      <w:pPr>
        <w:pStyle w:val="2"/>
        <w:numPr>
          <w:ilvl w:val="0"/>
          <w:numId w:val="5"/>
        </w:numPr>
        <w:spacing w:before="0" w:beforeLines="0" w:after="0" w:afterLines="0"/>
        <w:ind w:left="0"/>
        <w:rPr>
          <w:rFonts w:hint="default" w:ascii="Times New Roman" w:hAnsi="Times New Roman" w:eastAsia="仿宋" w:cs="Times New Roman"/>
          <w:color w:val="auto"/>
          <w:sz w:val="28"/>
          <w:szCs w:val="28"/>
          <w:highlight w:val="none"/>
          <w:lang w:val="en-US" w:eastAsia="zh-CN"/>
        </w:rPr>
      </w:pPr>
      <w:bookmarkStart w:id="37" w:name="_Toc15763"/>
      <w:r>
        <w:rPr>
          <w:rFonts w:hint="default" w:ascii="Times New Roman" w:hAnsi="Times New Roman" w:eastAsia="仿宋" w:cs="Times New Roman"/>
          <w:color w:val="auto"/>
          <w:sz w:val="28"/>
          <w:szCs w:val="28"/>
          <w:highlight w:val="none"/>
          <w:lang w:val="en-US" w:eastAsia="zh-CN"/>
        </w:rPr>
        <w:t>适用对象基本情况</w:t>
      </w:r>
      <w:bookmarkEnd w:id="37"/>
    </w:p>
    <w:p>
      <w:pPr>
        <w:ind w:left="0" w:leftChars="0" w:firstLine="480" w:firstLineChars="200"/>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lang w:val="en-US" w:eastAsia="zh-CN"/>
        </w:rPr>
        <w:t>北京市污水处理</w:t>
      </w:r>
      <w:r>
        <w:rPr>
          <w:rFonts w:hint="eastAsia" w:eastAsia="仿宋" w:cs="Times New Roman"/>
          <w:b w:val="0"/>
          <w:bCs w:val="0"/>
          <w:color w:val="auto"/>
          <w:highlight w:val="none"/>
          <w:lang w:val="en-US" w:eastAsia="zh-CN"/>
        </w:rPr>
        <w:t>工作</w:t>
      </w:r>
      <w:r>
        <w:rPr>
          <w:rFonts w:hint="default" w:ascii="Times New Roman" w:hAnsi="Times New Roman" w:eastAsia="仿宋" w:cs="Times New Roman"/>
          <w:b w:val="0"/>
          <w:bCs w:val="0"/>
          <w:color w:val="auto"/>
          <w:highlight w:val="none"/>
          <w:lang w:val="en-US" w:eastAsia="zh-CN"/>
        </w:rPr>
        <w:t>可追溯至上世纪50年代，经过数十年研究、建设、运行形成完备的污水收集、处理、利用系统，为构建首都水环境发挥重要作用。截至2023年，城镇污水处理厂共82座，设计处理规模</w:t>
      </w:r>
      <w:r>
        <w:rPr>
          <w:rFonts w:hint="eastAsia" w:eastAsia="仿宋" w:cs="Times New Roman"/>
          <w:b w:val="0"/>
          <w:bCs w:val="0"/>
          <w:color w:val="auto"/>
          <w:highlight w:val="none"/>
          <w:lang w:val="en-US" w:eastAsia="zh-CN"/>
        </w:rPr>
        <w:t>超过</w:t>
      </w:r>
      <w:r>
        <w:rPr>
          <w:rFonts w:hint="default" w:ascii="Times New Roman" w:hAnsi="Times New Roman" w:eastAsia="仿宋" w:cs="Times New Roman"/>
          <w:b w:val="0"/>
          <w:bCs w:val="0"/>
          <w:color w:val="auto"/>
          <w:highlight w:val="none"/>
          <w:lang w:val="en-US" w:eastAsia="zh-CN"/>
        </w:rPr>
        <w:t>72</w:t>
      </w:r>
      <w:r>
        <w:rPr>
          <w:rFonts w:hint="eastAsia" w:eastAsia="仿宋" w:cs="Times New Roman"/>
          <w:b w:val="0"/>
          <w:bCs w:val="0"/>
          <w:color w:val="auto"/>
          <w:highlight w:val="none"/>
          <w:lang w:val="en-US" w:eastAsia="zh-CN"/>
        </w:rPr>
        <w:t>0</w:t>
      </w:r>
      <w:r>
        <w:rPr>
          <w:rFonts w:hint="default" w:ascii="Times New Roman" w:hAnsi="Times New Roman" w:eastAsia="仿宋" w:cs="Times New Roman"/>
          <w:b w:val="0"/>
          <w:bCs w:val="0"/>
          <w:color w:val="auto"/>
          <w:highlight w:val="none"/>
          <w:lang w:val="en-US" w:eastAsia="zh-CN"/>
        </w:rPr>
        <w:t>万立方米/日，</w:t>
      </w:r>
      <w:r>
        <w:rPr>
          <w:rFonts w:hint="eastAsia" w:eastAsia="仿宋" w:cs="Times New Roman"/>
          <w:b w:val="0"/>
          <w:bCs w:val="0"/>
          <w:color w:val="auto"/>
          <w:highlight w:val="none"/>
          <w:lang w:val="en-US" w:eastAsia="zh-CN"/>
        </w:rPr>
        <w:t>年处理量21.6</w:t>
      </w:r>
      <w:r>
        <w:rPr>
          <w:rFonts w:hint="default" w:ascii="Times New Roman" w:hAnsi="Times New Roman" w:eastAsia="仿宋" w:cs="Times New Roman"/>
          <w:b w:val="0"/>
          <w:bCs w:val="0"/>
          <w:color w:val="auto"/>
          <w:highlight w:val="none"/>
          <w:lang w:val="en-US" w:eastAsia="zh-CN"/>
        </w:rPr>
        <w:t>亿立方米</w:t>
      </w:r>
      <w:r>
        <w:rPr>
          <w:rFonts w:hint="eastAsia" w:eastAsia="仿宋" w:cs="Times New Roman"/>
          <w:b w:val="0"/>
          <w:bCs w:val="0"/>
          <w:color w:val="auto"/>
          <w:highlight w:val="none"/>
          <w:lang w:val="en-US" w:eastAsia="zh-CN"/>
        </w:rPr>
        <w:t>，城镇污水处理厂主要采用活性污泥法处理工艺，其中AAO及其变形工艺、氧化沟工艺、MBR工艺、SBR工艺占比分别为75%、9%、6%及6%，主要工艺流程如图1所示</w:t>
      </w:r>
      <w:r>
        <w:rPr>
          <w:rFonts w:hint="default" w:ascii="Times New Roman" w:hAnsi="Times New Roman" w:eastAsia="仿宋" w:cs="Times New Roman"/>
          <w:b w:val="0"/>
          <w:bCs w:val="0"/>
          <w:color w:val="auto"/>
          <w:highlight w:val="none"/>
          <w:lang w:val="en-US" w:eastAsia="zh-CN"/>
        </w:rPr>
        <w:t>。</w:t>
      </w:r>
      <w:r>
        <w:rPr>
          <w:rFonts w:hint="eastAsia" w:eastAsia="仿宋" w:cs="Times New Roman"/>
          <w:b w:val="0"/>
          <w:bCs w:val="0"/>
          <w:color w:val="auto"/>
          <w:highlight w:val="none"/>
          <w:lang w:val="en-US" w:eastAsia="zh-CN"/>
        </w:rPr>
        <w:t>建成农村污水处理设施1200余座，日处理能力42</w:t>
      </w:r>
      <w:r>
        <w:rPr>
          <w:rFonts w:hint="default" w:ascii="Times New Roman" w:hAnsi="Times New Roman" w:eastAsia="仿宋" w:cs="Times New Roman"/>
          <w:b w:val="0"/>
          <w:bCs w:val="0"/>
          <w:color w:val="auto"/>
          <w:highlight w:val="none"/>
          <w:lang w:val="en-US" w:eastAsia="zh-CN"/>
        </w:rPr>
        <w:t>万立方米，</w:t>
      </w:r>
      <w:r>
        <w:rPr>
          <w:rFonts w:hint="eastAsia" w:eastAsia="仿宋" w:cs="Times New Roman"/>
          <w:b w:val="0"/>
          <w:bCs w:val="0"/>
          <w:color w:val="auto"/>
          <w:highlight w:val="none"/>
          <w:lang w:val="en-US" w:eastAsia="zh-CN"/>
        </w:rPr>
        <w:t>日处理规模在5</w:t>
      </w:r>
      <w:r>
        <w:rPr>
          <w:rFonts w:hint="default" w:ascii="Times New Roman" w:hAnsi="Times New Roman" w:eastAsia="仿宋" w:cs="Times New Roman"/>
          <w:b w:val="0"/>
          <w:bCs w:val="0"/>
          <w:color w:val="auto"/>
          <w:highlight w:val="none"/>
          <w:lang w:val="en-US" w:eastAsia="zh-CN"/>
        </w:rPr>
        <w:t>立方米</w:t>
      </w:r>
      <w:r>
        <w:rPr>
          <w:rFonts w:hint="eastAsia" w:eastAsia="仿宋" w:cs="Times New Roman"/>
          <w:b w:val="0"/>
          <w:bCs w:val="0"/>
          <w:color w:val="auto"/>
          <w:highlight w:val="none"/>
          <w:lang w:val="en-US" w:eastAsia="zh-CN"/>
        </w:rPr>
        <w:t>至500</w:t>
      </w:r>
      <w:r>
        <w:rPr>
          <w:rFonts w:hint="default" w:ascii="Times New Roman" w:hAnsi="Times New Roman" w:eastAsia="仿宋" w:cs="Times New Roman"/>
          <w:b w:val="0"/>
          <w:bCs w:val="0"/>
          <w:color w:val="auto"/>
          <w:highlight w:val="none"/>
          <w:lang w:val="en-US" w:eastAsia="zh-CN"/>
        </w:rPr>
        <w:t>立方米</w:t>
      </w:r>
      <w:r>
        <w:rPr>
          <w:rFonts w:hint="eastAsia" w:eastAsia="仿宋" w:cs="Times New Roman"/>
          <w:b w:val="0"/>
          <w:bCs w:val="0"/>
          <w:color w:val="auto"/>
          <w:highlight w:val="none"/>
          <w:lang w:val="en-US" w:eastAsia="zh-CN"/>
        </w:rPr>
        <w:t>的处理设施数量约占全部设施的90%，主要采用MBR等集约化处理工艺。</w:t>
      </w:r>
    </w:p>
    <w:p>
      <w:pPr>
        <w:ind w:left="0" w:leftChars="0" w:firstLine="480" w:firstLineChars="200"/>
        <w:rPr>
          <w:rFonts w:hint="default" w:eastAsia="仿宋" w:cs="Times New Roman"/>
          <w:b w:val="0"/>
          <w:bCs w:val="0"/>
          <w:color w:val="auto"/>
          <w:highlight w:val="none"/>
          <w:lang w:val="en-US" w:eastAsia="zh-CN"/>
        </w:rPr>
      </w:pPr>
      <w:bookmarkStart w:id="38" w:name="_Toc29265"/>
    </w:p>
    <w:p>
      <w:pPr>
        <w:ind w:left="0" w:leftChars="0" w:firstLine="0" w:firstLineChars="0"/>
        <w:rPr>
          <w:rFonts w:hint="default" w:ascii="Times New Roman" w:hAnsi="Times New Roman" w:eastAsia="仿宋" w:cs="Times New Roman"/>
          <w:b w:val="0"/>
          <w:bCs w:val="0"/>
          <w:color w:val="auto"/>
          <w:highlight w:val="none"/>
          <w:lang w:val="en-US" w:eastAsia="zh-CN"/>
        </w:rPr>
      </w:pPr>
      <w:r>
        <w:rPr>
          <w:color w:val="auto"/>
        </w:rPr>
        <w:drawing>
          <wp:inline distT="0" distB="0" distL="114300" distR="114300">
            <wp:extent cx="5272405" cy="2263775"/>
            <wp:effectExtent l="0" t="0" r="8255" b="165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7"/>
                    <a:stretch>
                      <a:fillRect/>
                    </a:stretch>
                  </pic:blipFill>
                  <pic:spPr>
                    <a:xfrm>
                      <a:off x="0" y="0"/>
                      <a:ext cx="5272405" cy="2263775"/>
                    </a:xfrm>
                    <a:prstGeom prst="rect">
                      <a:avLst/>
                    </a:prstGeom>
                    <a:noFill/>
                    <a:ln>
                      <a:noFill/>
                    </a:ln>
                  </pic:spPr>
                </pic:pic>
              </a:graphicData>
            </a:graphic>
          </wp:inline>
        </w:drawing>
      </w:r>
    </w:p>
    <w:p>
      <w:pPr>
        <w:ind w:left="0" w:firstLine="0" w:firstLineChars="0"/>
        <w:jc w:val="center"/>
        <w:rPr>
          <w:rFonts w:hint="eastAsia"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图1 北京市污水污泥处理工艺流程</w:t>
      </w:r>
    </w:p>
    <w:p>
      <w:pPr>
        <w:ind w:left="0" w:firstLine="480" w:firstLineChars="200"/>
        <w:jc w:val="left"/>
        <w:rPr>
          <w:rFonts w:hint="default"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本标准在核算方法及排放因子编制过程中充分考虑了北京市污水处理设施的特点，对计算公式及排放因子推荐值进行了针对性设置，适用于城镇污水处理设施及农村污水处理设施。考虑到农村污水处理设施处理规模小、污染物排放量及温室气体排放量低的特征，综合考虑温室气体排放量核算与报告工作的可行性、准确性、工作效率，本标准不对农村污水处理设施温室气体排放报告进行规定。</w:t>
      </w:r>
    </w:p>
    <w:bookmarkEnd w:id="38"/>
    <w:p>
      <w:pPr>
        <w:pStyle w:val="2"/>
        <w:spacing w:before="0" w:beforeLines="0" w:after="0" w:afterLines="0"/>
        <w:ind w:left="0"/>
        <w:rPr>
          <w:rFonts w:hint="default" w:ascii="Times New Roman" w:hAnsi="Times New Roman" w:eastAsia="仿宋" w:cs="Times New Roman"/>
          <w:color w:val="auto"/>
          <w:sz w:val="28"/>
          <w:szCs w:val="28"/>
          <w:highlight w:val="none"/>
          <w:lang w:val="en-US" w:eastAsia="zh-CN"/>
        </w:rPr>
      </w:pPr>
    </w:p>
    <w:p>
      <w:pPr>
        <w:pStyle w:val="2"/>
        <w:spacing w:before="0" w:beforeLines="0" w:after="0" w:afterLines="0"/>
        <w:ind w:left="0"/>
        <w:rPr>
          <w:rFonts w:hint="default" w:ascii="Times New Roman" w:hAnsi="Times New Roman" w:eastAsia="仿宋" w:cs="Times New Roman"/>
          <w:color w:val="auto"/>
          <w:sz w:val="28"/>
          <w:szCs w:val="28"/>
          <w:highlight w:val="none"/>
        </w:rPr>
      </w:pPr>
      <w:bookmarkStart w:id="39" w:name="_Toc21824"/>
      <w:r>
        <w:rPr>
          <w:rFonts w:hint="default" w:ascii="Times New Roman" w:hAnsi="Times New Roman" w:eastAsia="仿宋" w:cs="Times New Roman"/>
          <w:color w:val="auto"/>
          <w:sz w:val="28"/>
          <w:szCs w:val="28"/>
          <w:highlight w:val="none"/>
          <w:lang w:val="en-US" w:eastAsia="zh-CN"/>
        </w:rPr>
        <w:t>四、</w:t>
      </w:r>
      <w:r>
        <w:rPr>
          <w:rFonts w:hint="default" w:ascii="Times New Roman" w:hAnsi="Times New Roman" w:eastAsia="仿宋" w:cs="Times New Roman"/>
          <w:color w:val="auto"/>
          <w:sz w:val="28"/>
          <w:szCs w:val="28"/>
          <w:highlight w:val="none"/>
        </w:rPr>
        <w:t>主要</w:t>
      </w:r>
      <w:r>
        <w:rPr>
          <w:rFonts w:hint="default" w:ascii="Times New Roman" w:hAnsi="Times New Roman" w:eastAsia="仿宋" w:cs="Times New Roman"/>
          <w:color w:val="auto"/>
          <w:sz w:val="28"/>
          <w:szCs w:val="28"/>
          <w:highlight w:val="none"/>
          <w:lang w:val="en-US" w:eastAsia="zh-CN"/>
        </w:rPr>
        <w:t>起草</w:t>
      </w:r>
      <w:r>
        <w:rPr>
          <w:rFonts w:hint="default" w:ascii="Times New Roman" w:hAnsi="Times New Roman" w:eastAsia="仿宋" w:cs="Times New Roman"/>
          <w:color w:val="auto"/>
          <w:sz w:val="28"/>
          <w:szCs w:val="28"/>
          <w:highlight w:val="none"/>
        </w:rPr>
        <w:t>过程</w:t>
      </w:r>
      <w:bookmarkEnd w:id="39"/>
    </w:p>
    <w:p>
      <w:pPr>
        <w:pStyle w:val="3"/>
        <w:ind w:left="0"/>
        <w:rPr>
          <w:rFonts w:hint="default" w:ascii="Times New Roman" w:hAnsi="Times New Roman" w:eastAsia="仿宋" w:cs="Times New Roman"/>
          <w:color w:val="auto"/>
          <w:highlight w:val="none"/>
        </w:rPr>
      </w:pPr>
      <w:bookmarkStart w:id="40" w:name="_Toc24455"/>
      <w:bookmarkStart w:id="41" w:name="_Toc29776"/>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.1 启动会</w:t>
      </w:r>
      <w:bookmarkEnd w:id="40"/>
      <w:bookmarkEnd w:id="41"/>
    </w:p>
    <w:p>
      <w:pPr>
        <w:pStyle w:val="25"/>
        <w:ind w:left="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2024年3月7日，</w:t>
      </w:r>
      <w:r>
        <w:rPr>
          <w:rFonts w:hint="eastAsia" w:eastAsia="仿宋" w:cs="Times New Roman"/>
          <w:color w:val="auto"/>
          <w:highlight w:val="none"/>
          <w:lang w:val="en-US" w:eastAsia="zh-CN"/>
        </w:rPr>
        <w:t>由北京城市排水集团牵头</w:t>
      </w:r>
      <w:r>
        <w:rPr>
          <w:rFonts w:hint="default" w:ascii="Times New Roman" w:hAnsi="Times New Roman" w:eastAsia="仿宋" w:cs="Times New Roman"/>
          <w:color w:val="auto"/>
          <w:highlight w:val="none"/>
        </w:rPr>
        <w:t>组建标准编制组并召开启动会（</w:t>
      </w:r>
      <w:r>
        <w:rPr>
          <w:rFonts w:hint="default" w:ascii="Times New Roman" w:hAnsi="Times New Roman" w:eastAsia="仿宋" w:cs="Times New Roman"/>
          <w:color w:val="auto"/>
          <w:szCs w:val="28"/>
          <w:highlight w:val="none"/>
        </w:rPr>
        <w:t>首次工作会</w:t>
      </w:r>
      <w:r>
        <w:rPr>
          <w:rFonts w:hint="default" w:ascii="Times New Roman" w:hAnsi="Times New Roman" w:eastAsia="仿宋" w:cs="Times New Roman"/>
          <w:color w:val="auto"/>
          <w:highlight w:val="none"/>
        </w:rPr>
        <w:t>），明确了编制成员各自标准编制任务、标准工作计划，编制组</w:t>
      </w:r>
      <w:r>
        <w:rPr>
          <w:rFonts w:hint="eastAsia" w:eastAsia="仿宋" w:cs="Times New Roman"/>
          <w:color w:val="auto"/>
          <w:highlight w:val="none"/>
          <w:lang w:val="en-US" w:eastAsia="zh-CN"/>
        </w:rPr>
        <w:t>还</w:t>
      </w:r>
      <w:r>
        <w:rPr>
          <w:rFonts w:hint="default" w:ascii="Times New Roman" w:hAnsi="Times New Roman" w:eastAsia="仿宋" w:cs="Times New Roman"/>
          <w:color w:val="auto"/>
          <w:highlight w:val="none"/>
        </w:rPr>
        <w:t>对初稿进行了充分讨论，并形成了统一的修改意见。</w:t>
      </w:r>
    </w:p>
    <w:p>
      <w:pPr>
        <w:pStyle w:val="3"/>
        <w:ind w:left="0"/>
        <w:rPr>
          <w:rFonts w:hint="default" w:ascii="Times New Roman" w:hAnsi="Times New Roman" w:eastAsia="仿宋" w:cs="Times New Roman"/>
          <w:color w:val="auto"/>
          <w:highlight w:val="none"/>
        </w:rPr>
      </w:pPr>
      <w:bookmarkStart w:id="42" w:name="_Toc30546"/>
      <w:bookmarkStart w:id="43" w:name="_Toc4933"/>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.2 征求意见稿</w:t>
      </w:r>
      <w:bookmarkEnd w:id="42"/>
      <w:bookmarkEnd w:id="43"/>
    </w:p>
    <w:p>
      <w:pPr>
        <w:tabs>
          <w:tab w:val="left" w:pos="2805"/>
        </w:tabs>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2024年3月至8月，标准编制组开展工作组讨论稿编制，邀请行业专家进一步讨论</w:t>
      </w:r>
      <w:bookmarkStart w:id="44" w:name="lawyee_2944_2"/>
      <w:r>
        <w:rPr>
          <w:rFonts w:hint="default" w:ascii="Times New Roman" w:hAnsi="Times New Roman" w:eastAsia="仿宋" w:cs="Times New Roman"/>
          <w:color w:val="auto"/>
          <w:highlight w:val="none"/>
        </w:rPr>
        <w:t>并研</w:t>
      </w:r>
      <w:bookmarkEnd w:id="44"/>
      <w:r>
        <w:rPr>
          <w:rFonts w:hint="default" w:ascii="Times New Roman" w:hAnsi="Times New Roman" w:eastAsia="仿宋" w:cs="Times New Roman"/>
          <w:color w:val="auto"/>
          <w:highlight w:val="none"/>
        </w:rPr>
        <w:t>提意见。</w:t>
      </w:r>
    </w:p>
    <w:p>
      <w:pPr>
        <w:tabs>
          <w:tab w:val="left" w:pos="2805"/>
        </w:tabs>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2024年9月至</w:t>
      </w:r>
      <w:r>
        <w:rPr>
          <w:rFonts w:hint="default" w:ascii="Times New Roman" w:hAnsi="Times New Roman" w:eastAsia="仿宋" w:cs="Times New Roman"/>
          <w:color w:val="auto"/>
          <w:highlight w:val="none"/>
          <w:lang w:val="en-US" w:eastAsia="zh-CN"/>
        </w:rPr>
        <w:t>1</w:t>
      </w:r>
      <w:r>
        <w:rPr>
          <w:rFonts w:hint="eastAsia" w:eastAsia="仿宋" w:cs="Times New Roman"/>
          <w:color w:val="auto"/>
          <w:highlight w:val="none"/>
          <w:lang w:val="en-US" w:eastAsia="zh-CN"/>
        </w:rPr>
        <w:t>2</w:t>
      </w:r>
      <w:r>
        <w:rPr>
          <w:rFonts w:hint="default" w:ascii="Times New Roman" w:hAnsi="Times New Roman" w:eastAsia="仿宋" w:cs="Times New Roman"/>
          <w:color w:val="auto"/>
          <w:highlight w:val="none"/>
        </w:rPr>
        <w:t>月，标准编制组完成标准征求意见稿，稿件共</w:t>
      </w:r>
      <w:r>
        <w:rPr>
          <w:rFonts w:hint="eastAsia" w:eastAsia="仿宋" w:cs="Times New Roman"/>
          <w:color w:val="auto"/>
          <w:highlight w:val="none"/>
          <w:lang w:val="en-US" w:eastAsia="zh-CN"/>
        </w:rPr>
        <w:t>七</w:t>
      </w:r>
      <w:r>
        <w:rPr>
          <w:rFonts w:hint="default" w:ascii="Times New Roman" w:hAnsi="Times New Roman" w:eastAsia="仿宋" w:cs="Times New Roman"/>
          <w:color w:val="auto"/>
          <w:highlight w:val="none"/>
        </w:rPr>
        <w:t>章，分别对污水处理过程温室气体核算边界、核算范围、核算步骤及核算方法、数据质量管理、报告内容与格式等进行规定。本标准在前期实际监测研究工作的基础上，首次提出北京市污水处理温室气体排放因子，能够更加科学准确</w:t>
      </w:r>
      <w:r>
        <w:rPr>
          <w:rFonts w:hint="eastAsia" w:eastAsia="仿宋" w:cs="Times New Roman"/>
          <w:color w:val="auto"/>
          <w:highlight w:val="none"/>
          <w:lang w:eastAsia="zh-CN"/>
        </w:rPr>
        <w:t>反映</w:t>
      </w:r>
      <w:r>
        <w:rPr>
          <w:rFonts w:hint="default" w:ascii="Times New Roman" w:hAnsi="Times New Roman" w:eastAsia="仿宋" w:cs="Times New Roman"/>
          <w:color w:val="auto"/>
          <w:highlight w:val="none"/>
        </w:rPr>
        <w:t>北京地区污水处理过程温室气体排放水平。</w:t>
      </w:r>
    </w:p>
    <w:p>
      <w:pPr>
        <w:tabs>
          <w:tab w:val="left" w:pos="2805"/>
        </w:tabs>
        <w:ind w:left="0"/>
        <w:rPr>
          <w:rFonts w:hint="eastAsia" w:eastAsia="仿宋" w:cs="Times New Roman"/>
          <w:color w:val="auto"/>
          <w:highlight w:val="none"/>
          <w:lang w:val="en-US" w:eastAsia="zh-CN"/>
        </w:rPr>
      </w:pPr>
      <w:r>
        <w:rPr>
          <w:rFonts w:hint="eastAsia" w:eastAsia="仿宋" w:cs="Times New Roman"/>
          <w:color w:val="auto"/>
          <w:highlight w:val="none"/>
          <w:lang w:val="en-US" w:eastAsia="zh-CN"/>
        </w:rPr>
        <w:t>2025年3月至5月，北京市生态环境局向北京市水务局、北京排水协会、清华大学、北京工业大学、北控水务（中国）投资有限公司、北京首创生态环保集团股份有限公司、北京信通碧水再生水有限公司定向征求本标准意见，共收到意见建议45项，意见采纳36项，未采纳9项。</w:t>
      </w:r>
    </w:p>
    <w:p>
      <w:pPr>
        <w:pStyle w:val="3"/>
        <w:ind w:left="0"/>
        <w:rPr>
          <w:rFonts w:hint="eastAsia" w:ascii="Times New Roman" w:hAnsi="Times New Roman" w:eastAsia="仿宋" w:cs="Times New Roman"/>
          <w:color w:val="auto"/>
          <w:highlight w:val="none"/>
          <w:lang w:eastAsia="zh-CN"/>
        </w:rPr>
      </w:pPr>
      <w:bookmarkStart w:id="45" w:name="_Toc30373"/>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 xml:space="preserve">.3 </w:t>
      </w:r>
      <w:r>
        <w:rPr>
          <w:rFonts w:hint="eastAsia" w:eastAsia="仿宋" w:cs="Times New Roman"/>
          <w:color w:val="auto"/>
          <w:highlight w:val="none"/>
          <w:lang w:eastAsia="zh-CN"/>
        </w:rPr>
        <w:t>初审会</w:t>
      </w:r>
      <w:bookmarkEnd w:id="45"/>
    </w:p>
    <w:p>
      <w:pPr>
        <w:tabs>
          <w:tab w:val="left" w:pos="2805"/>
        </w:tabs>
        <w:ind w:left="0"/>
        <w:rPr>
          <w:rFonts w:hint="default" w:eastAsia="仿宋" w:cs="Times New Roman"/>
          <w:color w:val="auto"/>
          <w:highlight w:val="none"/>
          <w:lang w:val="en-US" w:eastAsia="zh-CN"/>
        </w:rPr>
      </w:pPr>
      <w:r>
        <w:rPr>
          <w:rFonts w:hint="eastAsia" w:eastAsia="仿宋" w:cs="Times New Roman"/>
          <w:color w:val="auto"/>
          <w:highlight w:val="none"/>
          <w:lang w:val="en-US" w:eastAsia="zh-CN"/>
        </w:rPr>
        <w:t>2025年6月20日北京市生态环境局组织召开了《温室气体排放核算指南 污水处理企业》地方标准初审会。来自中国环境科学研究院、清华大学、北京工业大学、北京市排水管理事务中心、北京市市政工程设计研究总院、首创生态环保集团及中国标准化研究院的七位专家参加了会议。北京市生态环境局法规与标准处、应对气候变化处相关负责同志参会。与会专家听取了起草单位关于本标准编制和相</w:t>
      </w:r>
      <w:bookmarkStart w:id="46" w:name="lawyee_3420_2"/>
      <w:r>
        <w:rPr>
          <w:rFonts w:hint="eastAsia" w:eastAsia="仿宋" w:cs="Times New Roman"/>
          <w:color w:val="auto"/>
          <w:highlight w:val="none"/>
          <w:lang w:val="en-US" w:eastAsia="zh-CN"/>
        </w:rPr>
        <w:t>关方</w:t>
      </w:r>
      <w:bookmarkEnd w:id="46"/>
      <w:r>
        <w:rPr>
          <w:rFonts w:hint="eastAsia" w:eastAsia="仿宋" w:cs="Times New Roman"/>
          <w:color w:val="auto"/>
          <w:highlight w:val="none"/>
          <w:lang w:val="en-US" w:eastAsia="zh-CN"/>
        </w:rPr>
        <w:t>征求意见处理情况的汇报，并对标准初审稿进行了逐章逐条审查。与会专家一致同意本标准通过初审，建议起草单位根据专家意见尽快完成修改，并提请公开征求意见。</w:t>
      </w:r>
    </w:p>
    <w:p>
      <w:pPr>
        <w:pStyle w:val="3"/>
        <w:ind w:left="0"/>
        <w:rPr>
          <w:rFonts w:hint="default" w:ascii="Times New Roman" w:hAnsi="Times New Roman" w:eastAsia="仿宋" w:cs="Times New Roman"/>
          <w:color w:val="auto"/>
          <w:highlight w:val="none"/>
        </w:rPr>
      </w:pPr>
      <w:bookmarkStart w:id="47" w:name="_Toc11702"/>
      <w:bookmarkStart w:id="48" w:name="_Toc6524"/>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w:t>
      </w:r>
      <w:r>
        <w:rPr>
          <w:rFonts w:hint="eastAsia" w:eastAsia="仿宋" w:cs="Times New Roman"/>
          <w:color w:val="auto"/>
          <w:highlight w:val="none"/>
          <w:lang w:val="en-US" w:eastAsia="zh-CN"/>
        </w:rPr>
        <w:t>4</w:t>
      </w:r>
      <w:r>
        <w:rPr>
          <w:rFonts w:hint="default" w:ascii="Times New Roman" w:hAnsi="Times New Roman" w:eastAsia="仿宋" w:cs="Times New Roman"/>
          <w:color w:val="auto"/>
          <w:highlight w:val="none"/>
        </w:rPr>
        <w:t xml:space="preserve"> 公开征求意见</w:t>
      </w:r>
      <w:bookmarkEnd w:id="47"/>
      <w:bookmarkEnd w:id="48"/>
    </w:p>
    <w:p>
      <w:pPr>
        <w:ind w:left="0"/>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待补充</w:t>
      </w:r>
      <w:r>
        <w:rPr>
          <w:rFonts w:hint="default" w:ascii="Times New Roman" w:hAnsi="Times New Roman" w:eastAsia="仿宋" w:cs="Times New Roman"/>
          <w:color w:val="auto"/>
          <w:highlight w:val="none"/>
          <w:lang w:eastAsia="zh-CN"/>
        </w:rPr>
        <w:t>）</w:t>
      </w:r>
    </w:p>
    <w:p>
      <w:pPr>
        <w:pStyle w:val="3"/>
        <w:ind w:left="0"/>
        <w:rPr>
          <w:rFonts w:hint="default" w:ascii="Times New Roman" w:hAnsi="Times New Roman" w:eastAsia="仿宋" w:cs="Times New Roman"/>
          <w:color w:val="auto"/>
          <w:highlight w:val="none"/>
        </w:rPr>
      </w:pPr>
      <w:bookmarkStart w:id="49" w:name="_Toc16162"/>
      <w:bookmarkStart w:id="50" w:name="_Toc22538"/>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w:t>
      </w:r>
      <w:r>
        <w:rPr>
          <w:rFonts w:hint="eastAsia" w:eastAsia="仿宋" w:cs="Times New Roman"/>
          <w:color w:val="auto"/>
          <w:highlight w:val="none"/>
          <w:lang w:val="en-US" w:eastAsia="zh-CN"/>
        </w:rPr>
        <w:t>5</w:t>
      </w:r>
      <w:r>
        <w:rPr>
          <w:rFonts w:hint="default" w:ascii="Times New Roman" w:hAnsi="Times New Roman" w:eastAsia="仿宋" w:cs="Times New Roman"/>
          <w:color w:val="auto"/>
          <w:highlight w:val="none"/>
        </w:rPr>
        <w:t xml:space="preserve"> 送审稿</w:t>
      </w:r>
      <w:bookmarkEnd w:id="49"/>
      <w:bookmarkEnd w:id="50"/>
    </w:p>
    <w:p>
      <w:pPr>
        <w:ind w:left="0"/>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待补充</w:t>
      </w:r>
      <w:r>
        <w:rPr>
          <w:rFonts w:hint="default" w:ascii="Times New Roman" w:hAnsi="Times New Roman" w:eastAsia="仿宋" w:cs="Times New Roman"/>
          <w:color w:val="auto"/>
          <w:highlight w:val="none"/>
          <w:lang w:eastAsia="zh-CN"/>
        </w:rPr>
        <w:t>）</w:t>
      </w:r>
    </w:p>
    <w:p>
      <w:pPr>
        <w:pStyle w:val="3"/>
        <w:ind w:left="0"/>
        <w:rPr>
          <w:rFonts w:hint="default" w:ascii="Times New Roman" w:hAnsi="Times New Roman" w:eastAsia="仿宋" w:cs="Times New Roman"/>
          <w:color w:val="auto"/>
          <w:highlight w:val="none"/>
        </w:rPr>
      </w:pPr>
      <w:bookmarkStart w:id="51" w:name="_Toc18482"/>
      <w:bookmarkStart w:id="52" w:name="_Toc6261"/>
      <w:bookmarkStart w:id="53" w:name="_Toc117260946"/>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w:t>
      </w:r>
      <w:r>
        <w:rPr>
          <w:rFonts w:hint="eastAsia" w:eastAsia="仿宋" w:cs="Times New Roman"/>
          <w:color w:val="auto"/>
          <w:highlight w:val="none"/>
          <w:lang w:val="en-US" w:eastAsia="zh-CN"/>
        </w:rPr>
        <w:t>6</w:t>
      </w:r>
      <w:r>
        <w:rPr>
          <w:rFonts w:hint="default" w:ascii="Times New Roman" w:hAnsi="Times New Roman" w:eastAsia="仿宋" w:cs="Times New Roman"/>
          <w:color w:val="auto"/>
          <w:highlight w:val="none"/>
        </w:rPr>
        <w:t xml:space="preserve"> 标准审查</w:t>
      </w:r>
      <w:bookmarkEnd w:id="51"/>
      <w:bookmarkEnd w:id="52"/>
    </w:p>
    <w:p>
      <w:pPr>
        <w:ind w:left="0"/>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待补充</w:t>
      </w:r>
      <w:r>
        <w:rPr>
          <w:rFonts w:hint="default" w:ascii="Times New Roman" w:hAnsi="Times New Roman" w:eastAsia="仿宋" w:cs="Times New Roman"/>
          <w:color w:val="auto"/>
          <w:highlight w:val="none"/>
          <w:lang w:eastAsia="zh-CN"/>
        </w:rPr>
        <w:t>）</w:t>
      </w:r>
    </w:p>
    <w:p>
      <w:pPr>
        <w:ind w:left="0" w:leftChars="0" w:firstLine="0" w:firstLineChars="0"/>
        <w:rPr>
          <w:rFonts w:hint="default" w:ascii="Times New Roman" w:hAnsi="Times New Roman" w:eastAsia="仿宋" w:cs="Times New Roman"/>
          <w:color w:val="auto"/>
          <w:highlight w:val="none"/>
        </w:rPr>
      </w:pPr>
    </w:p>
    <w:bookmarkEnd w:id="53"/>
    <w:p>
      <w:pPr>
        <w:pStyle w:val="2"/>
        <w:spacing w:before="0" w:beforeLines="0" w:after="0" w:afterLines="0"/>
        <w:ind w:left="0"/>
        <w:rPr>
          <w:rFonts w:hint="default" w:ascii="Times New Roman" w:hAnsi="Times New Roman" w:eastAsia="仿宋" w:cs="Times New Roman"/>
          <w:color w:val="auto"/>
          <w:sz w:val="28"/>
          <w:szCs w:val="28"/>
          <w:highlight w:val="none"/>
        </w:rPr>
      </w:pPr>
      <w:bookmarkStart w:id="54" w:name="_Toc51147813"/>
      <w:bookmarkStart w:id="55" w:name="_Toc117260951"/>
      <w:bookmarkStart w:id="56" w:name="_Toc3944"/>
      <w:bookmarkStart w:id="57" w:name="_Toc51147815"/>
      <w:r>
        <w:rPr>
          <w:rFonts w:hint="default" w:ascii="Times New Roman" w:hAnsi="Times New Roman" w:eastAsia="仿宋" w:cs="Times New Roman"/>
          <w:color w:val="auto"/>
          <w:sz w:val="28"/>
          <w:szCs w:val="28"/>
          <w:highlight w:val="none"/>
          <w:lang w:val="en-US" w:eastAsia="zh-CN"/>
        </w:rPr>
        <w:t>五</w:t>
      </w:r>
      <w:r>
        <w:rPr>
          <w:rFonts w:hint="default" w:ascii="Times New Roman" w:hAnsi="Times New Roman" w:eastAsia="仿宋" w:cs="Times New Roman"/>
          <w:color w:val="auto"/>
          <w:sz w:val="28"/>
          <w:szCs w:val="28"/>
          <w:highlight w:val="none"/>
        </w:rPr>
        <w:t>、制定标准的原则和依据，与现行</w:t>
      </w:r>
      <w:r>
        <w:rPr>
          <w:rFonts w:hint="eastAsia" w:eastAsia="仿宋" w:cs="Times New Roman"/>
          <w:color w:val="auto"/>
          <w:sz w:val="28"/>
          <w:szCs w:val="28"/>
          <w:highlight w:val="none"/>
          <w:lang w:eastAsia="zh-CN"/>
        </w:rPr>
        <w:t>法律法规</w:t>
      </w:r>
      <w:r>
        <w:rPr>
          <w:rFonts w:hint="default" w:ascii="Times New Roman" w:hAnsi="Times New Roman" w:eastAsia="仿宋" w:cs="Times New Roman"/>
          <w:color w:val="auto"/>
          <w:sz w:val="28"/>
          <w:szCs w:val="28"/>
          <w:highlight w:val="none"/>
        </w:rPr>
        <w:t>、标准的关系</w:t>
      </w:r>
      <w:bookmarkEnd w:id="54"/>
      <w:bookmarkEnd w:id="55"/>
      <w:r>
        <w:rPr>
          <w:rFonts w:hint="default" w:ascii="Times New Roman" w:hAnsi="Times New Roman" w:eastAsia="仿宋" w:cs="Times New Roman"/>
          <w:color w:val="auto"/>
          <w:sz w:val="28"/>
          <w:szCs w:val="28"/>
          <w:highlight w:val="none"/>
        </w:rPr>
        <w:t>，与国内外同类标准水平的对比情况</w:t>
      </w:r>
      <w:bookmarkEnd w:id="56"/>
    </w:p>
    <w:p>
      <w:pPr>
        <w:pStyle w:val="3"/>
        <w:ind w:left="0"/>
        <w:rPr>
          <w:rFonts w:hint="default" w:ascii="Times New Roman" w:hAnsi="Times New Roman" w:eastAsia="仿宋" w:cs="Times New Roman"/>
          <w:color w:val="auto"/>
          <w:highlight w:val="none"/>
        </w:rPr>
      </w:pPr>
      <w:bookmarkStart w:id="58" w:name="_Toc16628"/>
      <w:bookmarkStart w:id="59" w:name="_Toc24254"/>
      <w:r>
        <w:rPr>
          <w:rFonts w:hint="default" w:ascii="Times New Roman" w:hAnsi="Times New Roman" w:eastAsia="仿宋" w:cs="Times New Roman"/>
          <w:color w:val="auto"/>
          <w:highlight w:val="none"/>
          <w:lang w:val="en-US" w:eastAsia="zh-CN"/>
        </w:rPr>
        <w:t>5</w:t>
      </w:r>
      <w:r>
        <w:rPr>
          <w:rFonts w:hint="default" w:ascii="Times New Roman" w:hAnsi="Times New Roman" w:eastAsia="仿宋" w:cs="Times New Roman"/>
          <w:color w:val="auto"/>
          <w:highlight w:val="none"/>
        </w:rPr>
        <w:t>.1 编制原则</w:t>
      </w:r>
      <w:bookmarkEnd w:id="58"/>
      <w:bookmarkEnd w:id="59"/>
    </w:p>
    <w:p>
      <w:p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（1）相关性</w:t>
      </w: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本标准选择适应污水处理企业需求的温室气体</w:t>
      </w:r>
      <w:r>
        <w:rPr>
          <w:rFonts w:hint="default" w:ascii="Times New Roman" w:hAnsi="Times New Roman" w:eastAsia="仿宋" w:cs="Times New Roman"/>
          <w:color w:val="auto"/>
          <w:highlight w:val="none"/>
          <w:lang w:val="en-US" w:eastAsia="zh-CN"/>
        </w:rPr>
        <w:t>排放</w:t>
      </w:r>
      <w:r>
        <w:rPr>
          <w:rFonts w:hint="default" w:ascii="Times New Roman" w:hAnsi="Times New Roman" w:eastAsia="仿宋" w:cs="Times New Roman"/>
          <w:color w:val="auto"/>
          <w:highlight w:val="none"/>
        </w:rPr>
        <w:t>源数据和方法。</w:t>
      </w:r>
    </w:p>
    <w:p>
      <w:p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（2）完整性</w:t>
      </w: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本标准包括污水处理全流程以及所有核算内容的温室气体排放。</w:t>
      </w:r>
    </w:p>
    <w:p>
      <w:p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w:t>
      </w:r>
      <w:r>
        <w:rPr>
          <w:rFonts w:hint="eastAsia" w:eastAsia="仿宋" w:cs="Times New Roman"/>
          <w:color w:val="auto"/>
          <w:highlight w:val="none"/>
          <w:lang w:val="en-US" w:eastAsia="zh-CN"/>
        </w:rPr>
        <w:t>3</w:t>
      </w:r>
      <w:r>
        <w:rPr>
          <w:rFonts w:hint="default" w:ascii="Times New Roman" w:hAnsi="Times New Roman" w:eastAsia="仿宋" w:cs="Times New Roman"/>
          <w:color w:val="auto"/>
          <w:highlight w:val="none"/>
        </w:rPr>
        <w:t>）准确性</w:t>
      </w: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本标准对多次实测数据进行统计分析得到甲烷和氧化亚氮的本地排放因子推荐值，更符合北京地区实际情况。</w:t>
      </w:r>
    </w:p>
    <w:p>
      <w:p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w:t>
      </w:r>
      <w:r>
        <w:rPr>
          <w:rFonts w:hint="eastAsia" w:eastAsia="仿宋" w:cs="Times New Roman"/>
          <w:color w:val="auto"/>
          <w:highlight w:val="none"/>
          <w:lang w:val="en-US" w:eastAsia="zh-CN"/>
        </w:rPr>
        <w:t>4</w:t>
      </w:r>
      <w:r>
        <w:rPr>
          <w:rFonts w:hint="default" w:ascii="Times New Roman" w:hAnsi="Times New Roman" w:eastAsia="仿宋" w:cs="Times New Roman"/>
          <w:color w:val="auto"/>
          <w:highlight w:val="none"/>
        </w:rPr>
        <w:t>）可操作性</w:t>
      </w: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本标准对甲烷和氧化亚氮的排放因子依据实测结果给出推荐值，便于污水处理企业开展核算。</w:t>
      </w:r>
    </w:p>
    <w:p>
      <w:pPr>
        <w:pStyle w:val="3"/>
        <w:ind w:left="0"/>
        <w:rPr>
          <w:rFonts w:hint="default" w:ascii="Times New Roman" w:hAnsi="Times New Roman" w:eastAsia="仿宋" w:cs="Times New Roman"/>
          <w:color w:val="auto"/>
          <w:highlight w:val="none"/>
        </w:rPr>
      </w:pPr>
      <w:bookmarkStart w:id="60" w:name="_Toc23897"/>
      <w:bookmarkStart w:id="61" w:name="_Toc856"/>
      <w:r>
        <w:rPr>
          <w:rFonts w:hint="default" w:ascii="Times New Roman" w:hAnsi="Times New Roman" w:eastAsia="仿宋" w:cs="Times New Roman"/>
          <w:color w:val="auto"/>
          <w:highlight w:val="none"/>
          <w:lang w:val="en-US" w:eastAsia="zh-CN"/>
        </w:rPr>
        <w:t>5</w:t>
      </w:r>
      <w:r>
        <w:rPr>
          <w:rFonts w:hint="default" w:ascii="Times New Roman" w:hAnsi="Times New Roman" w:eastAsia="仿宋" w:cs="Times New Roman"/>
          <w:color w:val="auto"/>
          <w:highlight w:val="none"/>
        </w:rPr>
        <w:t>.2 编制依据</w:t>
      </w:r>
      <w:bookmarkEnd w:id="60"/>
      <w:bookmarkEnd w:id="61"/>
    </w:p>
    <w:p>
      <w:pPr>
        <w:ind w:left="480" w:hanging="480" w:hanging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（1）</w:t>
      </w:r>
      <w:r>
        <w:rPr>
          <w:rFonts w:hint="default" w:ascii="Times New Roman" w:hAnsi="Times New Roman" w:eastAsia="仿宋" w:cs="Times New Roman"/>
          <w:color w:val="auto"/>
          <w:highlight w:val="none"/>
          <w:lang w:val="en-US" w:eastAsia="zh-CN"/>
        </w:rPr>
        <w:t>相关政策要求</w:t>
      </w:r>
    </w:p>
    <w:p>
      <w:pPr>
        <w:ind w:left="0" w:leftChars="0" w:firstLine="480" w:firstLine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《北京市碳达峰实施方案》</w:t>
      </w:r>
      <w:r>
        <w:rPr>
          <w:rFonts w:hint="default" w:ascii="Times New Roman" w:hAnsi="Times New Roman" w:eastAsia="仿宋" w:cs="Times New Roman"/>
          <w:color w:val="auto"/>
          <w:highlight w:val="none"/>
          <w:lang w:val="en-US" w:eastAsia="zh-CN"/>
        </w:rPr>
        <w:t>于2022年10月颁布。《方案》第十九条指出，着力构建低碳法规标准体系。推动应对气候变化、节约能源、可再生能源利用和建筑绿色发展等方面地方性法规、制度的制修订。发挥标准约束引领作用，加快地方节能、低碳标准更新升级，逐步形成严于国家的节能、低碳标准体系，积极参与相关国际标准制定。落实国家节能、低碳产品标准标识制度，推动节能、低碳产品认证。</w:t>
      </w:r>
    </w:p>
    <w:p>
      <w:pPr>
        <w:ind w:left="0" w:leftChars="0" w:firstLine="480" w:firstLine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甲烷排放控制行动方案》于2023年11月颁布。《方案》要求研究建立甲烷排放核算、报告和核查制度。研究推进建立重点行业企业甲烷排放核算和报告制度，推动煤矿、油气田、养殖场、垃圾填埋场以及污水处理厂等大型排放源定期报告甲烷排放数据。结合国家和省级温室气体清单编制工作，逐步实现甲烷排放常态化核算。组织开展数据核查、抽查和现场检查工作，稳步提升甲烷排放数据质量。</w:t>
      </w:r>
    </w:p>
    <w:p>
      <w:pPr>
        <w:numPr>
          <w:ilvl w:val="0"/>
          <w:numId w:val="6"/>
        </w:numPr>
        <w:ind w:left="480" w:hanging="480" w:hanging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与相关标准关系</w:t>
      </w:r>
    </w:p>
    <w:p>
      <w:pPr>
        <w:ind w:left="0" w:leftChars="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本标准的编写按照《标准化工作导则 第1部分：标准化文件的结构和起草规则》GB/T 1.1的要求进行。</w:t>
      </w:r>
    </w:p>
    <w:p>
      <w:pPr>
        <w:ind w:left="0" w:leftChars="0"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highlight w:val="none"/>
          <w:lang w:val="en-US" w:eastAsia="zh-CN"/>
        </w:rPr>
        <w:t>本标准与</w:t>
      </w:r>
      <w:r>
        <w:rPr>
          <w:rFonts w:hint="eastAsia" w:eastAsia="仿宋" w:cs="Times New Roman"/>
          <w:color w:val="auto"/>
          <w:highlight w:val="none"/>
          <w:lang w:val="en-US" w:eastAsia="zh-CN"/>
        </w:rPr>
        <w:t>国家标准</w:t>
      </w:r>
      <w:r>
        <w:rPr>
          <w:rFonts w:hint="default" w:ascii="Times New Roman" w:hAnsi="Times New Roman" w:eastAsia="仿宋" w:cs="Times New Roman"/>
          <w:color w:val="auto"/>
          <w:highlight w:val="none"/>
        </w:rPr>
        <w:t>《温室气体报告核算与报告要求</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第X部分 生活污水处理企业</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征求意见稿</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》均明确了污水处理企业温室气体核算方法及报告要求，</w:t>
      </w:r>
      <w:r>
        <w:rPr>
          <w:rFonts w:hint="default" w:ascii="Times New Roman" w:hAnsi="Times New Roman" w:eastAsia="仿宋" w:cs="Times New Roman"/>
          <w:color w:val="auto"/>
          <w:highlight w:val="none"/>
          <w:lang w:val="en-US" w:eastAsia="zh-CN"/>
        </w:rPr>
        <w:t>两项标准的</w:t>
      </w:r>
      <w:r>
        <w:rPr>
          <w:rFonts w:hint="default" w:ascii="Times New Roman" w:hAnsi="Times New Roman" w:eastAsia="仿宋" w:cs="Times New Roman"/>
          <w:color w:val="auto"/>
          <w:highlight w:val="none"/>
        </w:rPr>
        <w:t>核算</w:t>
      </w:r>
      <w:r>
        <w:rPr>
          <w:rFonts w:hint="default" w:ascii="Times New Roman" w:hAnsi="Times New Roman" w:eastAsia="仿宋" w:cs="Times New Roman"/>
          <w:color w:val="auto"/>
          <w:highlight w:val="none"/>
          <w:lang w:val="en-US" w:eastAsia="zh-CN"/>
        </w:rPr>
        <w:t>思路一致</w:t>
      </w:r>
      <w:r>
        <w:rPr>
          <w:rFonts w:hint="default" w:ascii="Times New Roman" w:hAnsi="Times New Roman" w:eastAsia="仿宋" w:cs="Times New Roman"/>
          <w:color w:val="auto"/>
          <w:highlight w:val="none"/>
        </w:rPr>
        <w:t>。两者的主要区别在于：</w:t>
      </w:r>
      <w:r>
        <w:rPr>
          <w:rFonts w:hint="default" w:ascii="Times New Roman" w:hAnsi="Times New Roman" w:eastAsia="仿宋" w:cs="Times New Roman"/>
          <w:color w:val="auto"/>
          <w:highlight w:val="none"/>
          <w:lang w:val="en-US" w:eastAsia="zh-CN"/>
        </w:rPr>
        <w:t xml:space="preserve">首先，本标准作为《二氧化碳核算和报告要求 </w:t>
      </w:r>
      <w:bookmarkStart w:id="62" w:name="lawyee_4326_4"/>
      <w:r>
        <w:rPr>
          <w:rFonts w:hint="default" w:ascii="Times New Roman" w:hAnsi="Times New Roman" w:eastAsia="仿宋" w:cs="Times New Roman"/>
          <w:color w:val="auto"/>
          <w:highlight w:val="none"/>
          <w:lang w:val="en-US" w:eastAsia="zh-CN"/>
        </w:rPr>
        <w:t>其它行业</w:t>
      </w:r>
      <w:bookmarkEnd w:id="62"/>
      <w:r>
        <w:rPr>
          <w:rFonts w:hint="default" w:ascii="Times New Roman" w:hAnsi="Times New Roman" w:eastAsia="仿宋" w:cs="Times New Roman"/>
          <w:color w:val="auto"/>
          <w:highlight w:val="none"/>
          <w:lang w:val="en-US" w:eastAsia="zh-CN"/>
        </w:rPr>
        <w:t>》DB11/T 1787的</w:t>
      </w:r>
      <w:r>
        <w:rPr>
          <w:rFonts w:hint="eastAsia" w:eastAsia="仿宋" w:cs="Times New Roman"/>
          <w:color w:val="auto"/>
          <w:highlight w:val="none"/>
          <w:lang w:val="en-US" w:eastAsia="zh-CN"/>
        </w:rPr>
        <w:t>延伸</w:t>
      </w:r>
      <w:r>
        <w:rPr>
          <w:rFonts w:hint="default" w:ascii="Times New Roman" w:hAnsi="Times New Roman" w:eastAsia="仿宋" w:cs="Times New Roman"/>
          <w:color w:val="auto"/>
          <w:highlight w:val="none"/>
          <w:lang w:val="en-US" w:eastAsia="zh-CN"/>
        </w:rPr>
        <w:t>，框架结构与其保持一致。</w:t>
      </w:r>
      <w:bookmarkStart w:id="63" w:name="_Toc12643"/>
      <w:r>
        <w:rPr>
          <w:rFonts w:hint="default" w:ascii="Times New Roman" w:hAnsi="Times New Roman" w:eastAsia="仿宋" w:cs="Times New Roman"/>
          <w:b w:val="0"/>
          <w:bCs w:val="0"/>
          <w:color w:val="auto"/>
          <w:sz w:val="24"/>
          <w:szCs w:val="24"/>
          <w:highlight w:val="none"/>
          <w:lang w:val="en-US" w:eastAsia="zh-CN"/>
        </w:rPr>
        <w:t>其次，本标准紧密结合北京市的实际情况，对排放因子的结构及具体数据进行了专门测试及设定，确保了标准的适用性和精准性。具体而言，在核算外购电力碳排放方面，本标准与国家标准（征求意见稿）存在显著差异。北京市试点碳市场规定，重点排放单位通过市场化手段购买的绿电，其碳排放量按零核算。同样在甲烷及氧化亚氮排放因子的选取上，本标准也体现了本地化特色，所有数据均来自北京市污水污泥处理设施的实测结果，能够更准确反映北京市污水处理温室气体排放特征。</w:t>
      </w:r>
    </w:p>
    <w:p>
      <w:pPr>
        <w:ind w:left="0" w:leftChars="0" w:firstLine="0" w:firstLineChars="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lang w:val="en-US" w:eastAsia="zh-CN"/>
        </w:rPr>
        <w:t>5.3</w:t>
      </w:r>
      <w:r>
        <w:rPr>
          <w:rFonts w:hint="default" w:ascii="Times New Roman" w:hAnsi="Times New Roman" w:eastAsia="仿宋" w:cs="Times New Roman"/>
          <w:b/>
          <w:bCs/>
          <w:color w:val="auto"/>
          <w:sz w:val="24"/>
          <w:szCs w:val="24"/>
          <w:highlight w:val="none"/>
        </w:rPr>
        <w:t>与国内外同类标准水平的对比情况</w:t>
      </w:r>
      <w:bookmarkEnd w:id="63"/>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我国，污水处理企业温室气体核算领域目前存在标准空白，缺乏相应的国标、行标或地标。本标准通过在北京地区污水处理设施进行实测，率先提出了符合本地实际的排放因子推荐值，有效填补了这一空白。与此同时，相较于国际上通用的《IPCC 国家温室气体清单指南》</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其排放因子过于宽泛，难以为单个项目提供精确核算，本标准因其全面覆盖污水处理过程常见排放源及多种长流程工艺，展现出了一定的国际先进性。</w:t>
      </w:r>
    </w:p>
    <w:p>
      <w:pPr>
        <w:ind w:left="0"/>
        <w:rPr>
          <w:rFonts w:hint="default" w:ascii="Times New Roman" w:hAnsi="Times New Roman" w:eastAsia="仿宋" w:cs="Times New Roman"/>
          <w:color w:val="auto"/>
          <w:highlight w:val="none"/>
        </w:rPr>
      </w:pPr>
    </w:p>
    <w:bookmarkEnd w:id="57"/>
    <w:p>
      <w:pPr>
        <w:pStyle w:val="2"/>
        <w:spacing w:before="0" w:beforeLines="0" w:after="0" w:afterLines="0"/>
        <w:ind w:left="0"/>
        <w:rPr>
          <w:rFonts w:hint="default" w:ascii="Times New Roman" w:hAnsi="Times New Roman" w:eastAsia="仿宋" w:cs="Times New Roman"/>
          <w:color w:val="auto"/>
          <w:sz w:val="28"/>
          <w:szCs w:val="28"/>
          <w:highlight w:val="none"/>
        </w:rPr>
      </w:pPr>
      <w:bookmarkStart w:id="64" w:name="_Toc16414"/>
      <w:bookmarkStart w:id="65" w:name="_Toc117260954"/>
      <w:r>
        <w:rPr>
          <w:rFonts w:hint="default" w:ascii="Times New Roman" w:hAnsi="Times New Roman" w:eastAsia="仿宋" w:cs="Times New Roman"/>
          <w:color w:val="auto"/>
          <w:sz w:val="28"/>
          <w:szCs w:val="28"/>
          <w:highlight w:val="none"/>
          <w:lang w:val="en-US" w:eastAsia="zh-CN"/>
        </w:rPr>
        <w:t>六</w:t>
      </w:r>
      <w:r>
        <w:rPr>
          <w:rFonts w:hint="default" w:ascii="Times New Roman" w:hAnsi="Times New Roman" w:eastAsia="仿宋" w:cs="Times New Roman"/>
          <w:color w:val="auto"/>
          <w:sz w:val="28"/>
          <w:szCs w:val="28"/>
          <w:highlight w:val="none"/>
        </w:rPr>
        <w:t>、主要条款的说明，主要技术指标、参数、实验验证的论述</w:t>
      </w:r>
      <w:bookmarkEnd w:id="64"/>
    </w:p>
    <w:p>
      <w:pPr>
        <w:pStyle w:val="3"/>
        <w:ind w:left="0"/>
        <w:rPr>
          <w:rFonts w:hint="default" w:ascii="Times New Roman" w:hAnsi="Times New Roman" w:eastAsia="仿宋" w:cs="Times New Roman"/>
          <w:color w:val="auto"/>
          <w:highlight w:val="none"/>
        </w:rPr>
      </w:pPr>
      <w:bookmarkStart w:id="66" w:name="_Toc10421"/>
      <w:bookmarkStart w:id="67" w:name="_Toc20162"/>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.1 标准框架</w:t>
      </w:r>
      <w:bookmarkEnd w:id="65"/>
      <w:bookmarkEnd w:id="66"/>
      <w:bookmarkEnd w:id="67"/>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标准</w:t>
      </w:r>
      <w:bookmarkStart w:id="68" w:name="lawyee_4826_2"/>
      <w:r>
        <w:rPr>
          <w:rFonts w:hint="default" w:ascii="Times New Roman" w:hAnsi="Times New Roman" w:eastAsia="仿宋" w:cs="Times New Roman"/>
          <w:color w:val="auto"/>
          <w:highlight w:val="none"/>
        </w:rPr>
        <w:t>主体</w:t>
      </w:r>
      <w:bookmarkEnd w:id="68"/>
      <w:r>
        <w:rPr>
          <w:rFonts w:hint="default" w:ascii="Times New Roman" w:hAnsi="Times New Roman" w:eastAsia="仿宋" w:cs="Times New Roman"/>
          <w:color w:val="auto"/>
          <w:highlight w:val="none"/>
        </w:rPr>
        <w:t>内容包括范围、规范性引用文件、术语和定义、核算边界</w:t>
      </w:r>
      <w:r>
        <w:rPr>
          <w:rFonts w:hint="default" w:ascii="Times New Roman" w:hAnsi="Times New Roman" w:eastAsia="仿宋" w:cs="Times New Roman"/>
          <w:color w:val="auto"/>
          <w:highlight w:val="none"/>
          <w:lang w:val="en-US" w:eastAsia="zh-CN"/>
        </w:rPr>
        <w:t>及核算范围</w:t>
      </w:r>
      <w:r>
        <w:rPr>
          <w:rFonts w:hint="default" w:ascii="Times New Roman" w:hAnsi="Times New Roman" w:eastAsia="仿宋" w:cs="Times New Roman"/>
          <w:color w:val="auto"/>
          <w:highlight w:val="none"/>
        </w:rPr>
        <w:t>、核算步骤与核算方法、数据质量管理、报告</w:t>
      </w:r>
      <w:r>
        <w:rPr>
          <w:rFonts w:hint="default" w:ascii="Times New Roman" w:hAnsi="Times New Roman" w:eastAsia="仿宋" w:cs="Times New Roman"/>
          <w:color w:val="auto"/>
          <w:highlight w:val="none"/>
          <w:lang w:val="en-US" w:eastAsia="zh-CN"/>
        </w:rPr>
        <w:t>要求</w:t>
      </w:r>
      <w:r>
        <w:rPr>
          <w:rFonts w:hint="default" w:ascii="Times New Roman" w:hAnsi="Times New Roman" w:eastAsia="仿宋" w:cs="Times New Roman"/>
          <w:color w:val="auto"/>
          <w:highlight w:val="none"/>
        </w:rPr>
        <w:t>。</w:t>
      </w:r>
    </w:p>
    <w:p>
      <w:pPr>
        <w:pStyle w:val="3"/>
        <w:ind w:left="0"/>
        <w:rPr>
          <w:rFonts w:hint="default" w:ascii="Times New Roman" w:hAnsi="Times New Roman" w:eastAsia="仿宋" w:cs="Times New Roman"/>
          <w:color w:val="auto"/>
          <w:highlight w:val="none"/>
        </w:rPr>
      </w:pPr>
      <w:bookmarkStart w:id="69" w:name="_Toc32376"/>
      <w:bookmarkStart w:id="70" w:name="_Toc17905"/>
      <w:bookmarkStart w:id="71" w:name="_Toc117260955"/>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.2 范围</w:t>
      </w:r>
      <w:bookmarkEnd w:id="69"/>
      <w:bookmarkEnd w:id="70"/>
      <w:bookmarkEnd w:id="71"/>
    </w:p>
    <w:p>
      <w:pPr>
        <w:ind w:left="0"/>
        <w:rPr>
          <w:rFonts w:hint="default" w:ascii="Times New Roman" w:hAnsi="Times New Roman" w:eastAsia="仿宋" w:cs="Times New Roman"/>
          <w:color w:val="auto"/>
          <w:highlight w:val="none"/>
          <w:lang w:val="en-US" w:eastAsia="zh-CN"/>
        </w:rPr>
      </w:pPr>
      <w:bookmarkStart w:id="72" w:name="_Hlk103168943"/>
      <w:r>
        <w:rPr>
          <w:rFonts w:hint="default" w:ascii="Times New Roman" w:hAnsi="Times New Roman" w:eastAsia="仿宋" w:cs="Times New Roman"/>
          <w:color w:val="auto"/>
          <w:highlight w:val="none"/>
        </w:rPr>
        <w:t>本文件适用于以城镇污水处理为主营业务的企业进行温室气体排放量的核算与报告。</w:t>
      </w:r>
      <w:r>
        <w:rPr>
          <w:rFonts w:hint="default" w:ascii="Times New Roman" w:hAnsi="Times New Roman" w:eastAsia="仿宋" w:cs="Times New Roman"/>
          <w:color w:val="auto"/>
          <w:highlight w:val="none"/>
          <w:lang w:val="en-US" w:eastAsia="zh-CN"/>
        </w:rPr>
        <w:t>考虑到污水处理过程温室气体排放控制的需要，非独立法人的</w:t>
      </w:r>
      <w:r>
        <w:rPr>
          <w:rFonts w:hint="default" w:ascii="Times New Roman" w:hAnsi="Times New Roman" w:eastAsia="仿宋" w:cs="Times New Roman"/>
          <w:color w:val="auto"/>
          <w:highlight w:val="none"/>
        </w:rPr>
        <w:t>城镇污水处理厂可参考本标准进行温室气体排放量的核算</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用于控排方法评估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此外，考虑到农村污水处理设施处理规模小、温室气体排放量低的情况，本标准不要求农村污水处理设施运营方对温室气体排放情况进行报告，但农村污水处理设施运营方可参考本标准进行温室气体排放量的核算。</w:t>
      </w:r>
    </w:p>
    <w:bookmarkEnd w:id="72"/>
    <w:p>
      <w:pPr>
        <w:pStyle w:val="3"/>
        <w:ind w:left="0"/>
        <w:rPr>
          <w:rFonts w:hint="default" w:ascii="Times New Roman" w:hAnsi="Times New Roman" w:eastAsia="仿宋" w:cs="Times New Roman"/>
          <w:color w:val="auto"/>
          <w:highlight w:val="none"/>
        </w:rPr>
      </w:pPr>
      <w:bookmarkStart w:id="73" w:name="_Toc6505"/>
      <w:bookmarkStart w:id="74" w:name="_Toc117260956"/>
      <w:bookmarkStart w:id="75" w:name="_Toc24384"/>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.3 术语和定义</w:t>
      </w:r>
      <w:bookmarkEnd w:id="73"/>
      <w:bookmarkEnd w:id="74"/>
      <w:bookmarkEnd w:id="75"/>
    </w:p>
    <w:p>
      <w:pPr>
        <w:ind w:left="0"/>
        <w:rPr>
          <w:rFonts w:hint="default" w:eastAsia="仿宋" w:cs="Times New Roman"/>
          <w:color w:val="auto"/>
          <w:highlight w:val="none"/>
          <w:lang w:val="en-US" w:eastAsia="zh-CN"/>
        </w:rPr>
      </w:pPr>
      <w:r>
        <w:rPr>
          <w:rFonts w:hint="default" w:ascii="Times New Roman" w:hAnsi="Times New Roman" w:eastAsia="仿宋" w:cs="Times New Roman"/>
          <w:color w:val="auto"/>
          <w:highlight w:val="none"/>
        </w:rPr>
        <w:t>本标准定义了温室气体、报告主体、</w:t>
      </w:r>
      <w:r>
        <w:rPr>
          <w:rFonts w:hint="default" w:ascii="Times New Roman" w:hAnsi="Times New Roman" w:eastAsia="仿宋" w:cs="Times New Roman"/>
          <w:color w:val="auto"/>
          <w:highlight w:val="none"/>
          <w:lang w:val="en-US" w:eastAsia="zh-CN"/>
        </w:rPr>
        <w:t>污水</w:t>
      </w:r>
      <w:r>
        <w:rPr>
          <w:rFonts w:hint="default" w:ascii="Times New Roman" w:hAnsi="Times New Roman" w:eastAsia="仿宋" w:cs="Times New Roman"/>
          <w:color w:val="auto"/>
          <w:highlight w:val="none"/>
        </w:rPr>
        <w:t>处理、污泥处理、购入的电力、热力产生的排放、输出的电力、热力产生的排放、活动数据、排放因子、全球变暖潜势、二氧化碳当量10个术语。</w:t>
      </w:r>
      <w:bookmarkStart w:id="76" w:name="_Toc117260957"/>
      <w:r>
        <w:rPr>
          <w:rFonts w:hint="eastAsia" w:eastAsia="仿宋" w:cs="Times New Roman"/>
          <w:color w:val="auto"/>
          <w:highlight w:val="none"/>
          <w:lang w:val="en-US" w:eastAsia="zh-CN"/>
        </w:rPr>
        <w:t xml:space="preserve">术语定义参考了《工业企业温室气体排放核算和报告通则》GB/T 32150、《给水排水工程基本术语标准》GB/T 50125、《二氧化碳核算和报告要求 </w:t>
      </w:r>
      <w:bookmarkStart w:id="77" w:name="lawyee_5251_4"/>
      <w:r>
        <w:rPr>
          <w:rFonts w:hint="eastAsia" w:eastAsia="仿宋" w:cs="Times New Roman"/>
          <w:color w:val="auto"/>
          <w:highlight w:val="none"/>
          <w:lang w:val="en-US" w:eastAsia="zh-CN"/>
        </w:rPr>
        <w:t>其它行业</w:t>
      </w:r>
      <w:bookmarkEnd w:id="77"/>
      <w:r>
        <w:rPr>
          <w:rFonts w:hint="eastAsia" w:eastAsia="仿宋" w:cs="Times New Roman"/>
          <w:color w:val="auto"/>
          <w:highlight w:val="none"/>
          <w:lang w:val="en-US" w:eastAsia="zh-CN"/>
        </w:rPr>
        <w:t>》DB11/T 1787等标准并进行了针对性修改。</w:t>
      </w:r>
    </w:p>
    <w:p>
      <w:pPr>
        <w:pStyle w:val="3"/>
        <w:ind w:left="0"/>
        <w:rPr>
          <w:rFonts w:hint="default" w:ascii="Times New Roman" w:hAnsi="Times New Roman" w:eastAsia="仿宋" w:cs="Times New Roman"/>
          <w:color w:val="auto"/>
          <w:highlight w:val="none"/>
        </w:rPr>
      </w:pPr>
      <w:bookmarkStart w:id="78" w:name="_Toc8151"/>
      <w:bookmarkStart w:id="79" w:name="_Toc7727"/>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.4 核算边界</w:t>
      </w:r>
      <w:bookmarkEnd w:id="76"/>
      <w:r>
        <w:rPr>
          <w:rFonts w:hint="default" w:ascii="Times New Roman" w:hAnsi="Times New Roman" w:eastAsia="仿宋" w:cs="Times New Roman"/>
          <w:color w:val="auto"/>
          <w:highlight w:val="none"/>
        </w:rPr>
        <w:t>及核算范围</w:t>
      </w:r>
      <w:bookmarkEnd w:id="78"/>
      <w:bookmarkEnd w:id="79"/>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生活污水的处理流程包括管网收集输送和污水处理净化。管网</w:t>
      </w:r>
      <w:r>
        <w:rPr>
          <w:rFonts w:hint="default" w:ascii="Times New Roman" w:hAnsi="Times New Roman" w:eastAsia="仿宋" w:cs="Times New Roman"/>
          <w:color w:val="auto"/>
          <w:highlight w:val="none"/>
          <w:lang w:val="en-US" w:eastAsia="zh-CN"/>
        </w:rPr>
        <w:t>收集</w:t>
      </w:r>
      <w:r>
        <w:rPr>
          <w:rFonts w:hint="default" w:ascii="Times New Roman" w:hAnsi="Times New Roman" w:eastAsia="仿宋" w:cs="Times New Roman"/>
          <w:color w:val="auto"/>
          <w:highlight w:val="none"/>
        </w:rPr>
        <w:t>环节中，有机物在厌氧环境下分解产生甲烷，并通过检查井等形成无组织排放。虽然国际水协（IWA）、应用水研究基金会（STOWA）、水研究基金会（WRF）、清华大学</w:t>
      </w:r>
      <w:r>
        <w:rPr>
          <w:rFonts w:hint="default" w:ascii="Times New Roman" w:hAnsi="Times New Roman" w:eastAsia="仿宋" w:cs="Times New Roman"/>
          <w:color w:val="auto"/>
          <w:highlight w:val="none"/>
          <w:lang w:val="en-US" w:eastAsia="zh-CN"/>
        </w:rPr>
        <w:t>及</w:t>
      </w:r>
      <w:r>
        <w:rPr>
          <w:rFonts w:hint="default" w:ascii="Times New Roman" w:hAnsi="Times New Roman" w:eastAsia="仿宋" w:cs="Times New Roman"/>
          <w:color w:val="auto"/>
          <w:highlight w:val="none"/>
        </w:rPr>
        <w:t>西安交通大学等机构对此进行了</w:t>
      </w:r>
      <w:r>
        <w:rPr>
          <w:rFonts w:hint="default" w:ascii="Times New Roman" w:hAnsi="Times New Roman" w:eastAsia="仿宋" w:cs="Times New Roman"/>
          <w:color w:val="auto"/>
          <w:highlight w:val="none"/>
          <w:lang w:val="en-US" w:eastAsia="zh-CN"/>
        </w:rPr>
        <w:t>相关</w:t>
      </w:r>
      <w:r>
        <w:rPr>
          <w:rFonts w:hint="default" w:ascii="Times New Roman" w:hAnsi="Times New Roman" w:eastAsia="仿宋" w:cs="Times New Roman"/>
          <w:color w:val="auto"/>
          <w:highlight w:val="none"/>
        </w:rPr>
        <w:t>研究，但这些研究多在小规模或模拟条件下进行，未能覆盖大尺度城市管网，研究基础相对薄弱，难以形成科学系统的监测核算方法。而在污水处理净化环节，该过程是主要的温室气体排放源，既消耗大量能源，又释放甲烷与氧化亚氮。针对此环节的研究相对充分，技术基础扎实，能够支持精准核算。基于技术可行性与管理效率的考量，本标准将核算与报告边界设定为污水处理设施。该边界包括主要生产系统（再生水处理、污泥处理）、辅助生产系统（化验、机修、库房、运输等）以及附属生产系统（生产指挥系统、厂区相关服务设施等）。</w:t>
      </w:r>
    </w:p>
    <w:p>
      <w:pPr>
        <w:pStyle w:val="48"/>
        <w:ind w:left="0" w:leftChars="0" w:firstLine="0" w:firstLineChars="0"/>
        <w:jc w:val="left"/>
        <w:rPr>
          <w:rFonts w:hint="eastAsia" w:ascii="Times New Roman"/>
          <w:color w:val="auto"/>
        </w:rPr>
      </w:pPr>
      <w:r>
        <w:rPr>
          <w:color w:val="auto"/>
        </w:rPr>
        <w:drawing>
          <wp:inline distT="0" distB="0" distL="114300" distR="114300">
            <wp:extent cx="5288280" cy="3100070"/>
            <wp:effectExtent l="0" t="0" r="9525" b="317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8"/>
                    <a:stretch>
                      <a:fillRect/>
                    </a:stretch>
                  </pic:blipFill>
                  <pic:spPr>
                    <a:xfrm>
                      <a:off x="0" y="0"/>
                      <a:ext cx="5288280" cy="3100070"/>
                    </a:xfrm>
                    <a:prstGeom prst="rect">
                      <a:avLst/>
                    </a:prstGeom>
                    <a:noFill/>
                    <a:ln>
                      <a:noFill/>
                    </a:ln>
                  </pic:spPr>
                </pic:pic>
              </a:graphicData>
            </a:graphic>
          </wp:inline>
        </w:drawing>
      </w:r>
    </w:p>
    <w:p>
      <w:pPr>
        <w:ind w:left="0"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图2 温室气体排放核算边界示意图</w:t>
      </w:r>
    </w:p>
    <w:p>
      <w:pPr>
        <w:ind w:left="0" w:firstLine="480" w:firstLineChars="200"/>
        <w:jc w:val="lef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本标准的核算范围遵循《工业企业温室气体排放核算和报告通则》GB/T 32150的基本原则，即涵盖燃料燃烧、过程排放、外购电力及热力相关的排放。具体到污水处理设施，本标准界定的核算边界包括：化石燃料燃烧产生的二氧化碳排放、外购电力与热力产生的隐含二氧化碳排放、处理过程中</w:t>
      </w:r>
      <w:r>
        <w:rPr>
          <w:rFonts w:hint="default" w:ascii="Times New Roman" w:hAnsi="Times New Roman" w:eastAsia="仿宋" w:cs="Times New Roman"/>
          <w:color w:val="auto"/>
          <w:highlight w:val="none"/>
          <w:lang w:val="en-US" w:eastAsia="zh-CN"/>
        </w:rPr>
        <w:t>使用</w:t>
      </w:r>
      <w:r>
        <w:rPr>
          <w:rFonts w:hint="default" w:ascii="Times New Roman" w:hAnsi="Times New Roman" w:eastAsia="仿宋" w:cs="Times New Roman"/>
          <w:color w:val="auto"/>
          <w:highlight w:val="none"/>
        </w:rPr>
        <w:t>化石源碳源药剂产生的二氧化碳排放、污水污泥处理过程产生的甲烷和氧化亚氮排放以及设施向外输出的电力、热力所对应的二氧化碳排放。考虑到北京市部分城镇污水处理设施内设大规模污泥高级厌氧消化单元，这些单元不仅能产生大量沼气，</w:t>
      </w:r>
      <w:r>
        <w:rPr>
          <w:rFonts w:hint="default" w:ascii="Times New Roman" w:hAnsi="Times New Roman" w:eastAsia="仿宋" w:cs="Times New Roman"/>
          <w:color w:val="auto"/>
          <w:highlight w:val="none"/>
          <w:lang w:val="en-US" w:eastAsia="zh-CN"/>
        </w:rPr>
        <w:t>并</w:t>
      </w:r>
      <w:r>
        <w:rPr>
          <w:rFonts w:hint="default" w:ascii="Times New Roman" w:hAnsi="Times New Roman" w:eastAsia="仿宋" w:cs="Times New Roman"/>
          <w:color w:val="auto"/>
          <w:highlight w:val="none"/>
        </w:rPr>
        <w:t>配套建设热电联产设施以实现资源化利用。当这些设施产生的电力或热力输送至厂界外，为其他设施供能时，其对应的温室气体排放量应视为本项目的减排贡献。因此，本标准将污水处理设施向外输出的电力、热力所产生的温室气体排放扣除量纳入核算范围。</w:t>
      </w:r>
      <w:r>
        <w:rPr>
          <w:rFonts w:hint="default" w:ascii="Times New Roman" w:hAnsi="Times New Roman" w:eastAsia="仿宋" w:cs="Times New Roman"/>
          <w:b/>
          <w:bCs/>
          <w:color w:val="auto"/>
          <w:highlight w:val="none"/>
        </w:rPr>
        <w:t xml:space="preserve"> </w:t>
      </w:r>
    </w:p>
    <w:p>
      <w:pPr>
        <w:pStyle w:val="3"/>
        <w:ind w:left="0"/>
        <w:rPr>
          <w:rFonts w:hint="default" w:ascii="Times New Roman" w:hAnsi="Times New Roman" w:eastAsia="仿宋" w:cs="Times New Roman"/>
          <w:color w:val="auto"/>
          <w:highlight w:val="none"/>
        </w:rPr>
      </w:pPr>
      <w:bookmarkStart w:id="80" w:name="_Toc117260958"/>
      <w:bookmarkStart w:id="81" w:name="_Toc16824"/>
      <w:bookmarkStart w:id="82" w:name="_Toc27255"/>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5</w:t>
      </w:r>
      <w:r>
        <w:rPr>
          <w:rFonts w:hint="default" w:ascii="Times New Roman" w:hAnsi="Times New Roman" w:eastAsia="仿宋" w:cs="Times New Roman"/>
          <w:color w:val="auto"/>
          <w:highlight w:val="none"/>
        </w:rPr>
        <w:t xml:space="preserve"> 核算方法</w:t>
      </w:r>
      <w:bookmarkEnd w:id="80"/>
      <w:bookmarkEnd w:id="81"/>
      <w:bookmarkEnd w:id="82"/>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本标准采用排放因子法对温室气体排放量进行核算，为不具备监测条件的企业提供了北京地区</w:t>
      </w:r>
      <w:r>
        <w:rPr>
          <w:rFonts w:hint="default" w:ascii="Times New Roman" w:hAnsi="Times New Roman" w:eastAsia="仿宋" w:cs="Times New Roman"/>
          <w:color w:val="auto"/>
          <w:highlight w:val="none"/>
          <w:lang w:val="en-US" w:eastAsia="zh-CN"/>
        </w:rPr>
        <w:t>甲烷</w:t>
      </w:r>
      <w:r>
        <w:rPr>
          <w:rFonts w:hint="default" w:ascii="Times New Roman" w:hAnsi="Times New Roman" w:eastAsia="仿宋" w:cs="Times New Roman"/>
          <w:color w:val="auto"/>
          <w:highlight w:val="none"/>
        </w:rPr>
        <w:t>和</w:t>
      </w:r>
      <w:r>
        <w:rPr>
          <w:rFonts w:hint="default" w:ascii="Times New Roman" w:hAnsi="Times New Roman" w:eastAsia="仿宋" w:cs="Times New Roman"/>
          <w:color w:val="auto"/>
          <w:highlight w:val="none"/>
          <w:lang w:val="en-US" w:eastAsia="zh-CN"/>
        </w:rPr>
        <w:t>氧化亚氮</w:t>
      </w:r>
      <w:r>
        <w:rPr>
          <w:rFonts w:hint="default" w:ascii="Times New Roman" w:hAnsi="Times New Roman" w:eastAsia="仿宋" w:cs="Times New Roman"/>
          <w:color w:val="auto"/>
          <w:highlight w:val="none"/>
        </w:rPr>
        <w:t>排放因子推荐值，具有较强的可操作性。</w:t>
      </w:r>
    </w:p>
    <w:p>
      <w:pPr>
        <w:ind w:left="0" w:firstLine="0" w:firstLineChars="0"/>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（1）电力排放因子的确定：</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电网年平均供电的二氧化碳排放因子采用主管部门最新发布的数据或采用附录</w:t>
      </w:r>
      <w:r>
        <w:rPr>
          <w:rFonts w:hint="default" w:ascii="Times New Roman" w:hAnsi="Times New Roman" w:eastAsia="仿宋" w:cs="Times New Roman"/>
          <w:color w:val="auto"/>
          <w:highlight w:val="none"/>
          <w:lang w:val="en-US" w:eastAsia="zh-CN"/>
        </w:rPr>
        <w:t>B</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的推荐值，为0.604 t</w:t>
      </w: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CO</w:t>
      </w:r>
      <w:r>
        <w:rPr>
          <w:rFonts w:hint="default" w:ascii="Times New Roman" w:hAnsi="Times New Roman" w:eastAsia="仿宋" w:cs="Times New Roman"/>
          <w:color w:val="auto"/>
          <w:highlight w:val="none"/>
          <w:vertAlign w:val="subscript"/>
        </w:rPr>
        <w:t>2</w:t>
      </w:r>
      <w:r>
        <w:rPr>
          <w:rFonts w:hint="default" w:ascii="Times New Roman" w:hAnsi="Times New Roman" w:eastAsia="仿宋" w:cs="Times New Roman"/>
          <w:color w:val="auto"/>
          <w:highlight w:val="none"/>
        </w:rPr>
        <w:t>/MWh，此值是参考《二氧化碳核算和报告要求 其他行业》（DB11/T 1787-2020）的推荐值。</w:t>
      </w:r>
    </w:p>
    <w:p>
      <w:pPr>
        <w:numPr>
          <w:ilvl w:val="0"/>
          <w:numId w:val="7"/>
        </w:numPr>
        <w:ind w:left="0" w:firstLine="0" w:firstLineChars="0"/>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热力排放因子的确定：</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热力排放因子优先采用主管部门最新发布的数据或采用附录</w:t>
      </w:r>
      <w:r>
        <w:rPr>
          <w:rFonts w:hint="default" w:ascii="Times New Roman" w:hAnsi="Times New Roman" w:eastAsia="仿宋" w:cs="Times New Roman"/>
          <w:color w:val="auto"/>
          <w:highlight w:val="none"/>
          <w:lang w:val="en-US" w:eastAsia="zh-CN"/>
        </w:rPr>
        <w:t>B</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的推荐值，为0.11 t</w:t>
      </w: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highlight w:val="none"/>
        </w:rPr>
        <w:t>CO</w:t>
      </w:r>
      <w:r>
        <w:rPr>
          <w:rFonts w:hint="default" w:ascii="Times New Roman" w:hAnsi="Times New Roman" w:eastAsia="仿宋" w:cs="Times New Roman"/>
          <w:color w:val="auto"/>
          <w:highlight w:val="none"/>
          <w:vertAlign w:val="subscript"/>
        </w:rPr>
        <w:t>2</w:t>
      </w:r>
      <w:r>
        <w:rPr>
          <w:rFonts w:hint="default" w:ascii="Times New Roman" w:hAnsi="Times New Roman" w:eastAsia="仿宋" w:cs="Times New Roman"/>
          <w:color w:val="auto"/>
          <w:highlight w:val="none"/>
        </w:rPr>
        <w:t>/GJ，此值是参考《二氧化碳核算和报告要求 其他行业》（DB11/T 1787-2020）的推荐值。</w:t>
      </w:r>
    </w:p>
    <w:p>
      <w:pPr>
        <w:numPr>
          <w:ilvl w:val="0"/>
          <w:numId w:val="7"/>
        </w:numPr>
        <w:ind w:left="0" w:firstLine="0" w:firstLineChars="0"/>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碳源药剂二氧化碳排放因子的确定：</w:t>
      </w:r>
    </w:p>
    <w:p>
      <w:pPr>
        <w:widowControl w:val="0"/>
        <w:numPr>
          <w:ilvl w:val="0"/>
          <w:numId w:val="0"/>
        </w:numPr>
        <w:spacing w:line="360" w:lineRule="auto"/>
        <w:ind w:firstLine="480" w:firstLineChars="200"/>
        <w:jc w:val="both"/>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b w:val="0"/>
          <w:bCs w:val="0"/>
          <w:color w:val="auto"/>
          <w:highlight w:val="none"/>
        </w:rPr>
        <w:t>污水处理设施为保障反硝化等工艺效果，需投加碳源药剂，由此产生的排放应计入总量。碳源药剂投入后，约1/3用于微生物呼吸作用，产生二氧化碳；其余约2/3则用于合成代谢。因此，这部分</w:t>
      </w:r>
      <w:r>
        <w:rPr>
          <w:rFonts w:hint="default" w:ascii="Times New Roman" w:hAnsi="Times New Roman" w:eastAsia="仿宋" w:cs="Times New Roman"/>
          <w:b w:val="0"/>
          <w:bCs w:val="0"/>
          <w:color w:val="auto"/>
          <w:highlight w:val="none"/>
          <w:lang w:val="en-US" w:eastAsia="zh-CN"/>
        </w:rPr>
        <w:t>生化</w:t>
      </w:r>
      <w:r>
        <w:rPr>
          <w:rFonts w:hint="default" w:ascii="Times New Roman" w:hAnsi="Times New Roman" w:eastAsia="仿宋" w:cs="Times New Roman"/>
          <w:b w:val="0"/>
          <w:bCs w:val="0"/>
          <w:color w:val="auto"/>
          <w:highlight w:val="none"/>
        </w:rPr>
        <w:t>作用产生的二氧化碳排放被计入总量。但若使用的碳源来自非化石来源（如</w:t>
      </w:r>
      <w:r>
        <w:rPr>
          <w:rFonts w:hint="eastAsia" w:eastAsia="仿宋" w:cs="Times New Roman"/>
          <w:b w:val="0"/>
          <w:bCs w:val="0"/>
          <w:color w:val="auto"/>
          <w:highlight w:val="none"/>
          <w:lang w:eastAsia="zh-CN"/>
        </w:rPr>
        <w:t>：</w:t>
      </w:r>
      <w:r>
        <w:rPr>
          <w:rFonts w:hint="default" w:ascii="Times New Roman" w:hAnsi="Times New Roman" w:eastAsia="仿宋" w:cs="Times New Roman"/>
          <w:b w:val="0"/>
          <w:bCs w:val="0"/>
          <w:color w:val="auto"/>
          <w:highlight w:val="none"/>
        </w:rPr>
        <w:t>食品</w:t>
      </w:r>
      <w:r>
        <w:rPr>
          <w:rFonts w:hint="eastAsia" w:eastAsia="仿宋" w:cs="Times New Roman"/>
          <w:b w:val="0"/>
          <w:bCs w:val="0"/>
          <w:color w:val="auto"/>
          <w:highlight w:val="none"/>
          <w:lang w:val="en-US" w:eastAsia="zh-CN"/>
        </w:rPr>
        <w:t>加工</w:t>
      </w:r>
      <w:r>
        <w:rPr>
          <w:rFonts w:hint="default" w:ascii="Times New Roman" w:hAnsi="Times New Roman" w:eastAsia="仿宋" w:cs="Times New Roman"/>
          <w:b w:val="0"/>
          <w:bCs w:val="0"/>
          <w:color w:val="auto"/>
          <w:highlight w:val="none"/>
        </w:rPr>
        <w:t>废水等），则其产生的二氧化碳排放量将不计入。</w:t>
      </w:r>
    </w:p>
    <w:p>
      <w:pPr>
        <w:numPr>
          <w:ilvl w:val="0"/>
          <w:numId w:val="7"/>
        </w:numPr>
        <w:ind w:left="0" w:firstLine="0" w:firstLineChars="0"/>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污水处理</w:t>
      </w:r>
      <w:r>
        <w:rPr>
          <w:rFonts w:hint="default" w:ascii="Times New Roman" w:hAnsi="Times New Roman" w:eastAsia="仿宋" w:cs="Times New Roman"/>
          <w:b/>
          <w:bCs/>
          <w:color w:val="auto"/>
          <w:highlight w:val="none"/>
          <w:lang w:val="en-US" w:eastAsia="zh-CN"/>
        </w:rPr>
        <w:t>设施温室气体</w:t>
      </w:r>
      <w:r>
        <w:rPr>
          <w:rFonts w:hint="default" w:ascii="Times New Roman" w:hAnsi="Times New Roman" w:eastAsia="仿宋" w:cs="Times New Roman"/>
          <w:b/>
          <w:bCs/>
          <w:color w:val="auto"/>
          <w:highlight w:val="none"/>
        </w:rPr>
        <w:t>排放因子的确定：</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污水处理工艺以活性污泥法为主，根据反应器特征可细分为推流式（涵盖</w:t>
      </w:r>
      <w:r>
        <w:rPr>
          <w:rFonts w:hint="default" w:ascii="Times New Roman" w:hAnsi="Times New Roman" w:eastAsia="仿宋" w:cs="Times New Roman"/>
          <w:color w:val="auto"/>
          <w:highlight w:val="none"/>
          <w:lang w:val="en-US" w:eastAsia="zh-CN"/>
        </w:rPr>
        <w:t>空间与时间推流工艺，如：</w:t>
      </w:r>
      <w:r>
        <w:rPr>
          <w:rFonts w:hint="default" w:ascii="Times New Roman" w:hAnsi="Times New Roman" w:eastAsia="仿宋" w:cs="Times New Roman"/>
          <w:color w:val="auto"/>
          <w:highlight w:val="none"/>
        </w:rPr>
        <w:t>AO</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AAO、SBR、CASS等）和完全混合式（涵盖氧化沟及其变形工艺</w:t>
      </w: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如</w:t>
      </w:r>
      <w:r>
        <w:rPr>
          <w:rFonts w:hint="eastAsia" w:eastAsia="仿宋" w:cs="Times New Roman"/>
          <w:color w:val="auto"/>
          <w:highlight w:val="none"/>
          <w:lang w:eastAsia="zh-CN"/>
        </w:rPr>
        <w:t>：</w:t>
      </w:r>
      <w:r>
        <w:rPr>
          <w:rFonts w:hint="default" w:ascii="Times New Roman" w:hAnsi="Times New Roman" w:eastAsia="仿宋" w:cs="Times New Roman"/>
          <w:color w:val="auto"/>
          <w:highlight w:val="none"/>
        </w:rPr>
        <w:t>Carrousel、Orbal等）</w:t>
      </w:r>
      <w:r>
        <w:rPr>
          <w:rFonts w:hint="eastAsia" w:eastAsia="仿宋" w:cs="Times New Roman"/>
          <w:color w:val="auto"/>
          <w:highlight w:val="none"/>
          <w:lang w:eastAsia="zh-CN"/>
        </w:rPr>
        <w:t>。</w:t>
      </w:r>
      <w:r>
        <w:rPr>
          <w:rFonts w:hint="eastAsia" w:eastAsia="仿宋" w:cs="Times New Roman"/>
          <w:color w:val="auto"/>
          <w:highlight w:val="none"/>
          <w:lang w:val="en-US" w:eastAsia="zh-CN"/>
        </w:rPr>
        <w:t>北京市</w:t>
      </w:r>
      <w:r>
        <w:rPr>
          <w:rFonts w:hint="default" w:ascii="Times New Roman" w:hAnsi="Times New Roman" w:eastAsia="仿宋" w:cs="Times New Roman"/>
          <w:color w:val="auto"/>
          <w:highlight w:val="none"/>
        </w:rPr>
        <w:t>污水处理</w:t>
      </w:r>
      <w:r>
        <w:rPr>
          <w:rFonts w:hint="eastAsia" w:eastAsia="仿宋" w:cs="Times New Roman"/>
          <w:color w:val="auto"/>
          <w:highlight w:val="none"/>
          <w:lang w:val="en-US" w:eastAsia="zh-CN"/>
        </w:rPr>
        <w:t>工艺类型如表1所示</w:t>
      </w:r>
      <w:r>
        <w:rPr>
          <w:rFonts w:hint="default" w:ascii="Times New Roman" w:hAnsi="Times New Roman" w:eastAsia="仿宋" w:cs="Times New Roman"/>
          <w:color w:val="auto"/>
          <w:highlight w:val="none"/>
        </w:rPr>
        <w:t>。</w:t>
      </w:r>
    </w:p>
    <w:p>
      <w:pPr>
        <w:ind w:left="0"/>
        <w:rPr>
          <w:rFonts w:hint="default" w:ascii="Times New Roman" w:hAnsi="Times New Roman" w:eastAsia="仿宋" w:cs="Times New Roman"/>
          <w:color w:val="auto"/>
          <w:highlight w:val="none"/>
        </w:rPr>
      </w:pPr>
    </w:p>
    <w:p>
      <w:pPr>
        <w:ind w:left="0"/>
        <w:rPr>
          <w:rFonts w:hint="default" w:ascii="Times New Roman" w:hAnsi="Times New Roman" w:eastAsia="仿宋" w:cs="Times New Roman"/>
          <w:color w:val="auto"/>
          <w:highlight w:val="none"/>
        </w:rPr>
      </w:pPr>
    </w:p>
    <w:p>
      <w:pPr>
        <w:ind w:left="0" w:firstLine="0" w:firstLineChars="0"/>
        <w:jc w:val="center"/>
        <w:rPr>
          <w:rFonts w:hint="default" w:ascii="Times New Roman" w:hAnsi="Times New Roman" w:eastAsia="仿宋" w:cs="Times New Roman"/>
          <w:b w:val="0"/>
          <w:bCs w:val="0"/>
          <w:color w:val="auto"/>
          <w:highlight w:val="none"/>
          <w:lang w:val="en-US" w:eastAsia="zh-CN"/>
        </w:rPr>
      </w:pPr>
      <w:r>
        <w:rPr>
          <w:rFonts w:hint="default" w:ascii="Times New Roman" w:hAnsi="Times New Roman" w:eastAsia="仿宋" w:cs="Times New Roman"/>
          <w:color w:val="auto"/>
          <w:sz w:val="21"/>
          <w:szCs w:val="21"/>
          <w:highlight w:val="none"/>
        </w:rPr>
        <w:t xml:space="preserve">表1 </w:t>
      </w:r>
      <w:r>
        <w:rPr>
          <w:rFonts w:hint="default" w:ascii="Times New Roman" w:hAnsi="Times New Roman" w:eastAsia="仿宋" w:cs="Times New Roman"/>
          <w:color w:val="auto"/>
          <w:sz w:val="21"/>
          <w:szCs w:val="21"/>
          <w:highlight w:val="none"/>
          <w:lang w:val="en-US" w:eastAsia="zh-CN"/>
        </w:rPr>
        <w:t>北京市污水处理设施概况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9" w:type="dxa"/>
            <w:tcBorders>
              <w:top w:val="single" w:color="auto" w:sz="8" w:space="0"/>
              <w:left w:val="nil"/>
              <w:bottom w:val="single" w:color="auto" w:sz="8" w:space="0"/>
            </w:tcBorders>
            <w:shd w:val="clear" w:color="auto" w:fill="E7E6E6" w:themeFill="background2"/>
          </w:tcPr>
          <w:p>
            <w:pPr>
              <w:ind w:left="0" w:firstLine="0" w:firstLineChars="0"/>
              <w:jc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设施类型</w:t>
            </w:r>
          </w:p>
        </w:tc>
        <w:tc>
          <w:tcPr>
            <w:tcW w:w="2289" w:type="dxa"/>
            <w:tcBorders>
              <w:top w:val="single" w:color="auto" w:sz="8" w:space="0"/>
              <w:bottom w:val="single" w:color="auto" w:sz="8" w:space="0"/>
              <w:right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b w:val="0"/>
                <w:bCs w:val="0"/>
                <w:color w:val="auto"/>
                <w:sz w:val="18"/>
                <w:szCs w:val="18"/>
                <w:highlight w:val="none"/>
                <w:lang w:val="en-US" w:eastAsia="zh-CN"/>
              </w:rPr>
              <w:t>处理能力</w:t>
            </w:r>
            <w:r>
              <w:rPr>
                <w:rFonts w:hint="default" w:ascii="Times New Roman" w:hAnsi="Times New Roman" w:eastAsia="仿宋" w:cs="Times New Roman"/>
                <w:b w:val="0"/>
                <w:bCs w:val="0"/>
                <w:color w:val="auto"/>
                <w:sz w:val="18"/>
                <w:szCs w:val="18"/>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9"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AAO工艺及AAO+MBR/深度处理工艺</w:t>
            </w:r>
          </w:p>
        </w:tc>
        <w:tc>
          <w:tcPr>
            <w:tcW w:w="2289"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9"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氧化沟工艺及后续深度处理工艺</w:t>
            </w:r>
          </w:p>
        </w:tc>
        <w:tc>
          <w:tcPr>
            <w:tcW w:w="2289"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9"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MBR工艺</w:t>
            </w:r>
          </w:p>
        </w:tc>
        <w:tc>
          <w:tcPr>
            <w:tcW w:w="2289"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9" w:type="dxa"/>
            <w:tcBorders>
              <w:top w:val="dotted" w:color="auto" w:sz="4" w:space="0"/>
              <w:left w:val="nil"/>
              <w:bottom w:val="single" w:color="auto" w:sz="8" w:space="0"/>
              <w:right w:val="dotted" w:color="auto" w:sz="4" w:space="0"/>
            </w:tcBorders>
            <w:vAlign w:val="center"/>
          </w:tcPr>
          <w:p>
            <w:pPr>
              <w:widowControl/>
              <w:ind w:left="0" w:leftChars="0" w:hanging="3"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lang w:val="en-US" w:eastAsia="zh-CN"/>
              </w:rPr>
              <w:t>S</w:t>
            </w:r>
            <w:r>
              <w:rPr>
                <w:rFonts w:hint="default" w:ascii="Times New Roman" w:hAnsi="Times New Roman" w:eastAsia="仿宋" w:cs="Times New Roman"/>
                <w:color w:val="auto"/>
                <w:sz w:val="18"/>
                <w:szCs w:val="18"/>
                <w:highlight w:val="none"/>
              </w:rPr>
              <w:t>BR工艺</w:t>
            </w:r>
          </w:p>
        </w:tc>
        <w:tc>
          <w:tcPr>
            <w:tcW w:w="2289" w:type="dxa"/>
            <w:tcBorders>
              <w:top w:val="dotted" w:color="auto" w:sz="4" w:space="0"/>
              <w:left w:val="dotted" w:color="auto" w:sz="4" w:space="0"/>
              <w:bottom w:val="single" w:color="auto" w:sz="8" w:space="0"/>
              <w:right w:val="nil"/>
            </w:tcBorders>
            <w:vAlign w:val="center"/>
          </w:tcPr>
          <w:p>
            <w:pPr>
              <w:ind w:left="-2" w:leftChars="0" w:firstLine="0" w:firstLineChars="0"/>
              <w:jc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6%</w:t>
            </w:r>
          </w:p>
        </w:tc>
      </w:tr>
    </w:tbl>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研究证实，不同</w:t>
      </w:r>
      <w:r>
        <w:rPr>
          <w:rFonts w:hint="default" w:ascii="Times New Roman" w:hAnsi="Times New Roman" w:eastAsia="仿宋" w:cs="Times New Roman"/>
          <w:color w:val="auto"/>
          <w:highlight w:val="none"/>
          <w:lang w:val="en-US" w:eastAsia="zh-CN"/>
        </w:rPr>
        <w:t>工艺</w:t>
      </w:r>
      <w:r>
        <w:rPr>
          <w:rFonts w:hint="default" w:ascii="Times New Roman" w:hAnsi="Times New Roman" w:eastAsia="仿宋" w:cs="Times New Roman"/>
          <w:color w:val="auto"/>
          <w:highlight w:val="none"/>
        </w:rPr>
        <w:t>类型的氧化亚氮（N₂O）排放强度差异显著。本标准依据</w:t>
      </w:r>
      <w:r>
        <w:rPr>
          <w:rFonts w:hint="default" w:ascii="Times New Roman" w:hAnsi="Times New Roman" w:eastAsia="仿宋" w:cs="Times New Roman"/>
          <w:color w:val="auto"/>
          <w:highlight w:val="none"/>
          <w:lang w:val="en-US" w:eastAsia="zh-CN"/>
        </w:rPr>
        <w:t>工艺</w:t>
      </w:r>
      <w:r>
        <w:rPr>
          <w:rFonts w:hint="default" w:ascii="Times New Roman" w:hAnsi="Times New Roman" w:eastAsia="仿宋" w:cs="Times New Roman"/>
          <w:color w:val="auto"/>
          <w:highlight w:val="none"/>
        </w:rPr>
        <w:t>流态与动力学特点，为推流式和完全混合式工艺分别</w:t>
      </w:r>
      <w:r>
        <w:rPr>
          <w:rFonts w:hint="default" w:ascii="Times New Roman" w:hAnsi="Times New Roman" w:eastAsia="仿宋" w:cs="Times New Roman"/>
          <w:color w:val="auto"/>
          <w:highlight w:val="none"/>
          <w:lang w:val="en-US" w:eastAsia="zh-CN"/>
        </w:rPr>
        <w:t>测定并核算了氧化亚氮</w:t>
      </w:r>
      <w:bookmarkStart w:id="83" w:name="lawyee_6817_2"/>
      <w:r>
        <w:rPr>
          <w:rFonts w:hint="default" w:ascii="Times New Roman" w:hAnsi="Times New Roman" w:eastAsia="仿宋" w:cs="Times New Roman"/>
          <w:color w:val="auto"/>
          <w:highlight w:val="none"/>
          <w:lang w:val="en-US" w:eastAsia="zh-CN"/>
        </w:rPr>
        <w:t>本地</w:t>
      </w:r>
      <w:bookmarkEnd w:id="83"/>
      <w:r>
        <w:rPr>
          <w:rFonts w:hint="default" w:ascii="Times New Roman" w:hAnsi="Times New Roman" w:eastAsia="仿宋" w:cs="Times New Roman"/>
          <w:color w:val="auto"/>
          <w:highlight w:val="none"/>
        </w:rPr>
        <w:t>因子。</w:t>
      </w:r>
      <w:r>
        <w:rPr>
          <w:rFonts w:hint="eastAsia" w:eastAsia="仿宋" w:cs="Times New Roman"/>
          <w:color w:val="auto"/>
          <w:highlight w:val="none"/>
          <w:lang w:val="en-US" w:eastAsia="zh-CN"/>
        </w:rPr>
        <w:t>由于</w:t>
      </w:r>
      <w:r>
        <w:rPr>
          <w:rFonts w:hint="default" w:ascii="Times New Roman" w:hAnsi="Times New Roman" w:eastAsia="仿宋" w:cs="Times New Roman"/>
          <w:color w:val="auto"/>
          <w:highlight w:val="none"/>
          <w:lang w:val="en-US" w:eastAsia="zh-CN"/>
        </w:rPr>
        <w:t>没有</w:t>
      </w:r>
      <w:r>
        <w:rPr>
          <w:rFonts w:hint="default" w:ascii="Times New Roman" w:hAnsi="Times New Roman" w:eastAsia="仿宋" w:cs="Times New Roman"/>
          <w:color w:val="auto"/>
          <w:highlight w:val="none"/>
        </w:rPr>
        <w:t>证据表明各变形工艺间排放存在显著</w:t>
      </w:r>
      <w:r>
        <w:rPr>
          <w:rFonts w:hint="default" w:ascii="Times New Roman" w:hAnsi="Times New Roman" w:eastAsia="仿宋" w:cs="Times New Roman"/>
          <w:color w:val="auto"/>
          <w:highlight w:val="none"/>
          <w:lang w:val="en-US" w:eastAsia="zh-CN"/>
        </w:rPr>
        <w:t>差异</w:t>
      </w:r>
      <w:r>
        <w:rPr>
          <w:rFonts w:hint="default" w:ascii="Times New Roman" w:hAnsi="Times New Roman" w:eastAsia="仿宋" w:cs="Times New Roman"/>
          <w:color w:val="auto"/>
          <w:highlight w:val="none"/>
        </w:rPr>
        <w:t>，标准未对变形工艺</w:t>
      </w:r>
      <w:r>
        <w:rPr>
          <w:rFonts w:hint="eastAsia" w:eastAsia="仿宋" w:cs="Times New Roman"/>
          <w:color w:val="auto"/>
          <w:highlight w:val="none"/>
          <w:lang w:eastAsia="zh-CN"/>
        </w:rPr>
        <w:t>做</w:t>
      </w:r>
      <w:r>
        <w:rPr>
          <w:rFonts w:hint="default" w:ascii="Times New Roman" w:hAnsi="Times New Roman" w:eastAsia="仿宋" w:cs="Times New Roman"/>
          <w:color w:val="auto"/>
          <w:highlight w:val="none"/>
        </w:rPr>
        <w:t>进一步区分。另一方面，北京市部分污水处理设施为满足DB11 890标准要求，增设了</w:t>
      </w:r>
      <w:r>
        <w:rPr>
          <w:rFonts w:hint="default" w:ascii="Times New Roman" w:hAnsi="Times New Roman" w:eastAsia="仿宋" w:cs="Times New Roman"/>
          <w:color w:val="auto"/>
          <w:highlight w:val="none"/>
          <w:lang w:val="en-US" w:eastAsia="zh-CN"/>
        </w:rPr>
        <w:t>硝化</w:t>
      </w:r>
      <w:r>
        <w:rPr>
          <w:rFonts w:hint="default" w:ascii="Times New Roman" w:hAnsi="Times New Roman" w:eastAsia="仿宋" w:cs="Times New Roman"/>
          <w:color w:val="auto"/>
          <w:highlight w:val="none"/>
        </w:rPr>
        <w:t>滤池</w:t>
      </w:r>
      <w:r>
        <w:rPr>
          <w:rFonts w:hint="default" w:ascii="Times New Roman" w:hAnsi="Times New Roman" w:eastAsia="仿宋" w:cs="Times New Roman"/>
          <w:color w:val="auto"/>
          <w:highlight w:val="none"/>
          <w:lang w:val="en-US" w:eastAsia="zh-CN"/>
        </w:rPr>
        <w:t>等</w:t>
      </w:r>
      <w:r>
        <w:rPr>
          <w:rFonts w:hint="default" w:ascii="Times New Roman" w:hAnsi="Times New Roman" w:eastAsia="仿宋" w:cs="Times New Roman"/>
          <w:color w:val="auto"/>
          <w:highlight w:val="none"/>
        </w:rPr>
        <w:t>深度脱氮单元。鉴于生物膜法的</w:t>
      </w:r>
      <w:r>
        <w:rPr>
          <w:rFonts w:hint="default" w:ascii="Times New Roman" w:hAnsi="Times New Roman" w:eastAsia="仿宋" w:cs="Times New Roman"/>
          <w:color w:val="auto"/>
          <w:highlight w:val="none"/>
          <w:lang w:val="en-US" w:eastAsia="zh-CN"/>
        </w:rPr>
        <w:t>氧化亚氮</w:t>
      </w:r>
      <w:r>
        <w:rPr>
          <w:rFonts w:hint="default" w:ascii="Times New Roman" w:hAnsi="Times New Roman" w:eastAsia="仿宋" w:cs="Times New Roman"/>
          <w:color w:val="auto"/>
          <w:highlight w:val="none"/>
        </w:rPr>
        <w:t>排放特征有别于活性污泥法，本标准</w:t>
      </w:r>
      <w:r>
        <w:rPr>
          <w:rFonts w:hint="default" w:ascii="Times New Roman" w:hAnsi="Times New Roman" w:eastAsia="仿宋" w:cs="Times New Roman"/>
          <w:color w:val="auto"/>
          <w:highlight w:val="none"/>
          <w:lang w:val="en-US" w:eastAsia="zh-CN"/>
        </w:rPr>
        <w:t>同步对硝化滤池及反硝化滤池的氧化亚氮</w:t>
      </w:r>
      <w:r>
        <w:rPr>
          <w:rFonts w:hint="default" w:ascii="Times New Roman" w:hAnsi="Times New Roman" w:eastAsia="仿宋" w:cs="Times New Roman"/>
          <w:color w:val="auto"/>
          <w:highlight w:val="none"/>
        </w:rPr>
        <w:t>排放因子</w:t>
      </w:r>
      <w:r>
        <w:rPr>
          <w:rFonts w:hint="default" w:ascii="Times New Roman" w:hAnsi="Times New Roman" w:eastAsia="仿宋" w:cs="Times New Roman"/>
          <w:color w:val="auto"/>
          <w:highlight w:val="none"/>
          <w:lang w:val="en-US" w:eastAsia="zh-CN"/>
        </w:rPr>
        <w:t>进行了测试，并提供了氧化亚氮排放因子推荐值</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在对</w:t>
      </w:r>
      <w:r>
        <w:rPr>
          <w:rFonts w:hint="default" w:ascii="Times New Roman" w:hAnsi="Times New Roman" w:eastAsia="仿宋" w:cs="Times New Roman"/>
          <w:color w:val="auto"/>
          <w:highlight w:val="none"/>
        </w:rPr>
        <w:t>甲烷（CH₄）排放</w:t>
      </w:r>
      <w:r>
        <w:rPr>
          <w:rFonts w:hint="default" w:ascii="Times New Roman" w:hAnsi="Times New Roman" w:eastAsia="仿宋" w:cs="Times New Roman"/>
          <w:color w:val="auto"/>
          <w:highlight w:val="none"/>
          <w:lang w:val="en-US" w:eastAsia="zh-CN"/>
        </w:rPr>
        <w:t>规律研究过程中发现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污水处理厂甲烷排放强度主要与上游管网运行条件相关，与</w:t>
      </w:r>
      <w:r>
        <w:rPr>
          <w:rFonts w:hint="default" w:ascii="Times New Roman" w:hAnsi="Times New Roman" w:eastAsia="仿宋" w:cs="Times New Roman"/>
          <w:color w:val="auto"/>
          <w:highlight w:val="none"/>
        </w:rPr>
        <w:t>主要工艺类</w:t>
      </w:r>
      <w:r>
        <w:rPr>
          <w:rFonts w:hint="default" w:ascii="Times New Roman" w:hAnsi="Times New Roman" w:eastAsia="仿宋" w:cs="Times New Roman"/>
          <w:color w:val="auto"/>
          <w:highlight w:val="none"/>
          <w:lang w:val="en-US" w:eastAsia="zh-CN"/>
        </w:rPr>
        <w:t>型</w:t>
      </w:r>
      <w:r>
        <w:rPr>
          <w:rFonts w:hint="default" w:ascii="Times New Roman" w:hAnsi="Times New Roman" w:eastAsia="仿宋" w:cs="Times New Roman"/>
          <w:color w:val="auto"/>
          <w:highlight w:val="none"/>
        </w:rPr>
        <w:t>差异不显著，</w:t>
      </w:r>
      <w:r>
        <w:rPr>
          <w:rFonts w:hint="default" w:ascii="Times New Roman" w:hAnsi="Times New Roman" w:eastAsia="仿宋" w:cs="Times New Roman"/>
          <w:color w:val="auto"/>
          <w:highlight w:val="none"/>
          <w:lang w:val="en-US" w:eastAsia="zh-CN"/>
        </w:rPr>
        <w:t>本</w:t>
      </w:r>
      <w:r>
        <w:rPr>
          <w:rFonts w:hint="default" w:ascii="Times New Roman" w:hAnsi="Times New Roman" w:eastAsia="仿宋" w:cs="Times New Roman"/>
          <w:color w:val="auto"/>
          <w:highlight w:val="none"/>
        </w:rPr>
        <w:t>标准未进行工艺类别的区分。</w:t>
      </w:r>
      <w:r>
        <w:rPr>
          <w:rFonts w:hint="default" w:ascii="Times New Roman" w:hAnsi="Times New Roman" w:eastAsia="仿宋" w:cs="Times New Roman"/>
          <w:color w:val="auto"/>
          <w:highlight w:val="none"/>
          <w:lang w:val="en-US" w:eastAsia="zh-CN"/>
        </w:rPr>
        <w:t>本标准依据温室气体排放特征对排放因子进行分类，可以满足</w:t>
      </w:r>
      <w:r>
        <w:rPr>
          <w:rFonts w:hint="default" w:ascii="Times New Roman" w:hAnsi="Times New Roman" w:eastAsia="仿宋" w:cs="Times New Roman"/>
          <w:color w:val="auto"/>
          <w:highlight w:val="none"/>
        </w:rPr>
        <w:t>北京市</w:t>
      </w:r>
      <w:r>
        <w:rPr>
          <w:rFonts w:hint="default" w:ascii="Times New Roman" w:hAnsi="Times New Roman" w:eastAsia="仿宋" w:cs="Times New Roman"/>
          <w:color w:val="auto"/>
          <w:highlight w:val="none"/>
          <w:lang w:val="en-US" w:eastAsia="zh-CN"/>
        </w:rPr>
        <w:t>全部</w:t>
      </w:r>
      <w:r>
        <w:rPr>
          <w:rFonts w:hint="default" w:ascii="Times New Roman" w:hAnsi="Times New Roman" w:eastAsia="仿宋" w:cs="Times New Roman"/>
          <w:color w:val="auto"/>
          <w:highlight w:val="none"/>
        </w:rPr>
        <w:t>污水处理设施的核算需求。</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为确定实际排放因子，本标准对北京市典型污水处理设施开展了全周期监测。</w:t>
      </w:r>
    </w:p>
    <w:p>
      <w:p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实际</w:t>
      </w:r>
      <w:bookmarkStart w:id="84" w:name="lawyee_7133_3"/>
      <w:r>
        <w:rPr>
          <w:rFonts w:hint="default" w:ascii="Times New Roman" w:hAnsi="Times New Roman" w:eastAsia="仿宋" w:cs="Times New Roman"/>
          <w:color w:val="auto"/>
          <w:highlight w:val="none"/>
        </w:rPr>
        <w:t>监测时</w:t>
      </w:r>
      <w:bookmarkEnd w:id="84"/>
      <w:r>
        <w:rPr>
          <w:rFonts w:hint="default" w:ascii="Times New Roman" w:hAnsi="Times New Roman" w:eastAsia="仿宋" w:cs="Times New Roman"/>
          <w:color w:val="auto"/>
          <w:highlight w:val="none"/>
        </w:rPr>
        <w:t>先后开展了温室气体监测抽样与监测方法确定、样品分析方法比对、现场实际监测、排放因子分析等工作。在监测</w:t>
      </w:r>
      <w:bookmarkStart w:id="85" w:name="lawyee_7186_2"/>
      <w:r>
        <w:rPr>
          <w:rFonts w:hint="default" w:ascii="Times New Roman" w:hAnsi="Times New Roman" w:eastAsia="仿宋" w:cs="Times New Roman"/>
          <w:color w:val="auto"/>
          <w:highlight w:val="none"/>
        </w:rPr>
        <w:t>点位</w:t>
      </w:r>
      <w:bookmarkEnd w:id="85"/>
      <w:r>
        <w:rPr>
          <w:rFonts w:hint="default" w:ascii="Times New Roman" w:hAnsi="Times New Roman" w:eastAsia="仿宋" w:cs="Times New Roman"/>
          <w:color w:val="auto"/>
          <w:highlight w:val="none"/>
        </w:rPr>
        <w:t>空间点位选取上，覆盖了污水</w:t>
      </w:r>
      <w:r>
        <w:rPr>
          <w:rFonts w:hint="default" w:ascii="Times New Roman" w:hAnsi="Times New Roman" w:eastAsia="仿宋" w:cs="Times New Roman"/>
          <w:color w:val="auto"/>
          <w:highlight w:val="none"/>
          <w:vertAlign w:val="baseline"/>
        </w:rPr>
        <w:t>处理预处理、生化处理、深度处理全过程；在监测周期选取中，涵盖春、夏、秋、</w:t>
      </w:r>
      <w:r>
        <w:rPr>
          <w:rFonts w:hint="default" w:ascii="Times New Roman" w:hAnsi="Times New Roman" w:eastAsia="仿宋" w:cs="Times New Roman"/>
          <w:color w:val="auto"/>
          <w:highlight w:val="none"/>
        </w:rPr>
        <w:t>冬全周期。监测点位的时空设计能够体现甲烷及氧化亚氮排放的变化特征。</w:t>
      </w:r>
    </w:p>
    <w:p>
      <w:pPr>
        <w:ind w:left="0"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rPr>
        <w:drawing>
          <wp:inline distT="0" distB="0" distL="0" distR="0">
            <wp:extent cx="4319905" cy="2332355"/>
            <wp:effectExtent l="0" t="0" r="63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rcRect l="3756" r="2433" b="5545"/>
                    <a:stretch>
                      <a:fillRect/>
                    </a:stretch>
                  </pic:blipFill>
                  <pic:spPr>
                    <a:xfrm>
                      <a:off x="0" y="0"/>
                      <a:ext cx="4320000" cy="2332800"/>
                    </a:xfrm>
                    <a:prstGeom prst="rect">
                      <a:avLst/>
                    </a:prstGeom>
                    <a:ln>
                      <a:noFill/>
                    </a:ln>
                  </pic:spPr>
                </pic:pic>
              </a:graphicData>
            </a:graphic>
          </wp:inline>
        </w:drawing>
      </w:r>
    </w:p>
    <w:p>
      <w:pPr>
        <w:ind w:left="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图</w:t>
      </w:r>
      <w:r>
        <w:rPr>
          <w:rFonts w:hint="eastAsia"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推流式工艺监测点位布置方案</w:t>
      </w:r>
    </w:p>
    <w:p>
      <w:pPr>
        <w:ind w:left="0" w:firstLine="480" w:firstLine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在温室气体监测点位选择上，本标准对推流工艺采用密布点位的监测方式，强化重点排放点位监测密度，如图</w:t>
      </w:r>
      <w:r>
        <w:rPr>
          <w:rFonts w:hint="eastAsia" w:eastAsia="仿宋" w:cs="Times New Roman"/>
          <w:color w:val="auto"/>
          <w:highlight w:val="none"/>
          <w:lang w:val="en-US" w:eastAsia="zh-CN"/>
        </w:rPr>
        <w:t>3</w:t>
      </w:r>
      <w:r>
        <w:rPr>
          <w:rFonts w:hint="default" w:ascii="Times New Roman" w:hAnsi="Times New Roman" w:eastAsia="仿宋" w:cs="Times New Roman"/>
          <w:color w:val="auto"/>
          <w:highlight w:val="none"/>
          <w:lang w:val="en-US" w:eastAsia="zh-CN"/>
        </w:rPr>
        <w:t>所示。采样点覆盖初沉池、生化池、二沉池、反硝化滤池、硝化滤池全部处理单元。对于面积较大的生物反应池，采取沿廊道方向均匀布设，采样点间距15米~18米，在廊道两侧及具备采样条件的廊道中线设置采样点位；对于面积较小且均一性良好的生物滤池，选取1个~2个代表点位；对于辅流式沉淀池，沿径向设置不少于3个采样点位。对完全混合工艺依据区域间氧化还原</w:t>
      </w:r>
      <w:r>
        <w:rPr>
          <w:rFonts w:hint="eastAsia" w:eastAsia="仿宋" w:cs="Times New Roman"/>
          <w:color w:val="auto"/>
          <w:highlight w:val="none"/>
          <w:lang w:val="en-US" w:eastAsia="zh-CN"/>
        </w:rPr>
        <w:t>电位</w:t>
      </w:r>
      <w:r>
        <w:rPr>
          <w:rFonts w:hint="default" w:ascii="Times New Roman" w:hAnsi="Times New Roman" w:eastAsia="仿宋" w:cs="Times New Roman"/>
          <w:color w:val="auto"/>
          <w:highlight w:val="none"/>
          <w:lang w:val="en-US" w:eastAsia="zh-CN"/>
        </w:rPr>
        <w:t>（ORP）及溶解氧（DO）的差异对全混工艺进行了功能分区，并进行了点位设置</w:t>
      </w:r>
      <w:r>
        <w:rPr>
          <w:rFonts w:hint="eastAsia" w:eastAsia="仿宋" w:cs="Times New Roman"/>
          <w:color w:val="auto"/>
          <w:highlight w:val="none"/>
          <w:lang w:val="en-US" w:eastAsia="zh-CN"/>
        </w:rPr>
        <w:t>，</w:t>
      </w:r>
      <w:r>
        <w:rPr>
          <w:rFonts w:hint="default" w:ascii="Times New Roman" w:hAnsi="Times New Roman" w:eastAsia="仿宋" w:cs="Times New Roman"/>
          <w:color w:val="auto"/>
          <w:highlight w:val="none"/>
          <w:lang w:val="en-US" w:eastAsia="zh-CN"/>
        </w:rPr>
        <w:t>如图</w:t>
      </w:r>
      <w:r>
        <w:rPr>
          <w:rFonts w:hint="eastAsia" w:eastAsia="仿宋" w:cs="Times New Roman"/>
          <w:color w:val="auto"/>
          <w:highlight w:val="none"/>
          <w:lang w:val="en-US" w:eastAsia="zh-CN"/>
        </w:rPr>
        <w:t>4</w:t>
      </w:r>
      <w:r>
        <w:rPr>
          <w:rFonts w:hint="default" w:ascii="Times New Roman" w:hAnsi="Times New Roman" w:eastAsia="仿宋" w:cs="Times New Roman"/>
          <w:color w:val="auto"/>
          <w:highlight w:val="none"/>
          <w:lang w:val="en-US" w:eastAsia="zh-CN"/>
        </w:rPr>
        <w:t>所示。</w:t>
      </w:r>
    </w:p>
    <w:p>
      <w:pPr>
        <w:ind w:left="0" w:leftChars="0"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114300" distR="114300">
            <wp:extent cx="5277485" cy="2964815"/>
            <wp:effectExtent l="0" t="0" r="0" b="1905"/>
            <wp:docPr id="1545977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77314" name="图片 1"/>
                    <pic:cNvPicPr>
                      <a:picLocks noChangeAspect="1"/>
                    </pic:cNvPicPr>
                  </pic:nvPicPr>
                  <pic:blipFill>
                    <a:blip r:embed="rId20">
                      <a:clrChange>
                        <a:clrFrom>
                          <a:srgbClr val="FFFFFF">
                            <a:alpha val="100000"/>
                          </a:srgbClr>
                        </a:clrFrom>
                        <a:clrTo>
                          <a:srgbClr val="FFFFFF">
                            <a:alpha val="100000"/>
                            <a:alpha val="0"/>
                          </a:srgbClr>
                        </a:clrTo>
                      </a:clrChange>
                    </a:blip>
                    <a:srcRect b="4203"/>
                    <a:stretch>
                      <a:fillRect/>
                    </a:stretch>
                  </pic:blipFill>
                  <pic:spPr>
                    <a:xfrm>
                      <a:off x="0" y="0"/>
                      <a:ext cx="5277485" cy="2964815"/>
                    </a:xfrm>
                    <a:prstGeom prst="rect">
                      <a:avLst/>
                    </a:prstGeom>
                    <a:ln>
                      <a:noFill/>
                    </a:ln>
                  </pic:spPr>
                </pic:pic>
              </a:graphicData>
            </a:graphic>
          </wp:inline>
        </w:drawing>
      </w:r>
    </w:p>
    <w:p>
      <w:pPr>
        <w:ind w:left="0" w:leftChars="0" w:firstLine="0" w:firstLineChars="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rPr>
        <w:drawing>
          <wp:inline distT="0" distB="0" distL="114300" distR="114300">
            <wp:extent cx="5276850" cy="2240915"/>
            <wp:effectExtent l="0" t="0" r="381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1"/>
                    <a:stretch>
                      <a:fillRect/>
                    </a:stretch>
                  </pic:blipFill>
                  <pic:spPr>
                    <a:xfrm>
                      <a:off x="0" y="0"/>
                      <a:ext cx="5276850" cy="2240915"/>
                    </a:xfrm>
                    <a:prstGeom prst="rect">
                      <a:avLst/>
                    </a:prstGeom>
                    <a:noFill/>
                    <a:ln>
                      <a:noFill/>
                    </a:ln>
                  </pic:spPr>
                </pic:pic>
              </a:graphicData>
            </a:graphic>
          </wp:inline>
        </w:drawing>
      </w:r>
    </w:p>
    <w:p>
      <w:pPr>
        <w:ind w:left="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图</w:t>
      </w:r>
      <w:r>
        <w:rPr>
          <w:rFonts w:hint="eastAsia"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完全混合式工艺功能区划分及监测点位布置方案</w:t>
      </w:r>
    </w:p>
    <w:p>
      <w:pPr>
        <w:ind w:left="0" w:firstLine="480" w:firstLineChars="200"/>
        <w:jc w:val="left"/>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样品采集过程采用经典通量箱等方法。其中，在初沉池、生化池厌氧区、生化池缺氧区、二沉池、反硝化滤池的非曝</w:t>
      </w:r>
      <w:bookmarkStart w:id="86" w:name="lawyee_7635_2"/>
      <w:r>
        <w:rPr>
          <w:rFonts w:hint="default" w:ascii="Times New Roman" w:hAnsi="Times New Roman" w:eastAsia="仿宋" w:cs="Times New Roman"/>
          <w:color w:val="auto"/>
          <w:sz w:val="24"/>
          <w:szCs w:val="24"/>
          <w:highlight w:val="none"/>
          <w:lang w:val="en-US" w:eastAsia="zh-CN"/>
        </w:rPr>
        <w:t>气水</w:t>
      </w:r>
      <w:bookmarkEnd w:id="86"/>
      <w:r>
        <w:rPr>
          <w:rFonts w:hint="default" w:ascii="Times New Roman" w:hAnsi="Times New Roman" w:eastAsia="仿宋" w:cs="Times New Roman"/>
          <w:color w:val="auto"/>
          <w:sz w:val="24"/>
          <w:szCs w:val="24"/>
          <w:highlight w:val="none"/>
          <w:lang w:val="en-US" w:eastAsia="zh-CN"/>
        </w:rPr>
        <w:t>面采用静态箱法采集；在生化池好氧区及硝化滤池的曝</w:t>
      </w:r>
      <w:bookmarkStart w:id="87" w:name="lawyee_7661_2"/>
      <w:r>
        <w:rPr>
          <w:rFonts w:hint="default" w:ascii="Times New Roman" w:hAnsi="Times New Roman" w:eastAsia="仿宋" w:cs="Times New Roman"/>
          <w:color w:val="auto"/>
          <w:sz w:val="24"/>
          <w:szCs w:val="24"/>
          <w:highlight w:val="none"/>
          <w:lang w:val="en-US" w:eastAsia="zh-CN"/>
        </w:rPr>
        <w:t>气水</w:t>
      </w:r>
      <w:bookmarkEnd w:id="87"/>
      <w:r>
        <w:rPr>
          <w:rFonts w:hint="default" w:ascii="Times New Roman" w:hAnsi="Times New Roman" w:eastAsia="仿宋" w:cs="Times New Roman"/>
          <w:color w:val="auto"/>
          <w:sz w:val="24"/>
          <w:szCs w:val="24"/>
          <w:highlight w:val="none"/>
          <w:lang w:val="en-US" w:eastAsia="zh-CN"/>
        </w:rPr>
        <w:t>面采用气袋法采集；在氧化沟高流速水面采用动态箱法采集。如图</w:t>
      </w:r>
      <w:r>
        <w:rPr>
          <w:rFonts w:hint="eastAsia"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lang w:val="en-US" w:eastAsia="zh-CN"/>
        </w:rPr>
        <w:t>所示。</w:t>
      </w:r>
    </w:p>
    <w:p>
      <w:pPr>
        <w:numPr>
          <w:ilvl w:val="0"/>
          <w:numId w:val="8"/>
        </w:numPr>
        <w:spacing w:line="360" w:lineRule="auto"/>
        <w:ind w:left="0" w:leftChars="0" w:hanging="3"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drawing>
          <wp:inline distT="0" distB="0" distL="114300" distR="114300">
            <wp:extent cx="2566670" cy="1259840"/>
            <wp:effectExtent l="0" t="0" r="5080" b="8890"/>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22"/>
                    <a:stretch>
                      <a:fillRect/>
                    </a:stretch>
                  </pic:blipFill>
                  <pic:spPr>
                    <a:xfrm>
                      <a:off x="0" y="0"/>
                      <a:ext cx="2566670" cy="1259840"/>
                    </a:xfrm>
                    <a:prstGeom prst="rect">
                      <a:avLst/>
                    </a:prstGeom>
                  </pic:spPr>
                </pic:pic>
              </a:graphicData>
            </a:graphic>
          </wp:inline>
        </w:drawing>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rPr>
        <w:drawing>
          <wp:inline distT="0" distB="0" distL="0" distR="0">
            <wp:extent cx="1566545" cy="1619885"/>
            <wp:effectExtent l="0" t="0" r="1079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l="27446"/>
                    <a:stretch>
                      <a:fillRect/>
                    </a:stretch>
                  </pic:blipFill>
                  <pic:spPr>
                    <a:xfrm>
                      <a:off x="0" y="0"/>
                      <a:ext cx="1566545" cy="1619885"/>
                    </a:xfrm>
                    <a:prstGeom prst="rect">
                      <a:avLst/>
                    </a:prstGeom>
                    <a:noFill/>
                    <a:ln>
                      <a:noFill/>
                    </a:ln>
                  </pic:spPr>
                </pic:pic>
              </a:graphicData>
            </a:graphic>
          </wp:inline>
        </w:drawing>
      </w:r>
    </w:p>
    <w:p>
      <w:pPr>
        <w:pStyle w:val="59"/>
        <w:numPr>
          <w:ilvl w:val="0"/>
          <w:numId w:val="8"/>
        </w:numPr>
        <w:spacing w:line="360" w:lineRule="auto"/>
        <w:ind w:left="0" w:leftChars="0" w:hanging="3"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drawing>
          <wp:inline distT="0" distB="0" distL="114300" distR="114300">
            <wp:extent cx="2475230" cy="1440180"/>
            <wp:effectExtent l="0" t="0" r="10795"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24"/>
                    <a:stretch>
                      <a:fillRect/>
                    </a:stretch>
                  </pic:blipFill>
                  <pic:spPr>
                    <a:xfrm>
                      <a:off x="0" y="0"/>
                      <a:ext cx="2475230" cy="1440180"/>
                    </a:xfrm>
                    <a:prstGeom prst="rect">
                      <a:avLst/>
                    </a:prstGeom>
                  </pic:spPr>
                </pic:pic>
              </a:graphicData>
            </a:graphic>
          </wp:inline>
        </w:drawing>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4"/>
          <w:szCs w:val="24"/>
        </w:rPr>
        <w:drawing>
          <wp:inline distT="0" distB="0" distL="114300" distR="114300">
            <wp:extent cx="1586865" cy="1619885"/>
            <wp:effectExtent l="0" t="0" r="7620" b="8890"/>
            <wp:docPr id="5" name="图片 5" descr="IMG_20210907_14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10907_142912"/>
                    <pic:cNvPicPr>
                      <a:picLocks noChangeAspect="1"/>
                    </pic:cNvPicPr>
                  </pic:nvPicPr>
                  <pic:blipFill>
                    <a:blip r:embed="rId25"/>
                    <a:srcRect b="23430"/>
                    <a:stretch>
                      <a:fillRect/>
                    </a:stretch>
                  </pic:blipFill>
                  <pic:spPr>
                    <a:xfrm>
                      <a:off x="0" y="0"/>
                      <a:ext cx="1586865" cy="1619885"/>
                    </a:xfrm>
                    <a:prstGeom prst="rect">
                      <a:avLst/>
                    </a:prstGeom>
                  </pic:spPr>
                </pic:pic>
              </a:graphicData>
            </a:graphic>
          </wp:inline>
        </w:drawing>
      </w:r>
    </w:p>
    <w:p>
      <w:pPr>
        <w:pStyle w:val="59"/>
        <w:spacing w:line="360" w:lineRule="auto"/>
        <w:ind w:left="779" w:leftChars="0" w:hanging="779" w:hangingChars="37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图</w:t>
      </w:r>
      <w:r>
        <w:rPr>
          <w:rFonts w:hint="eastAsia" w:eastAsia="仿宋" w:cs="Times New Roman"/>
          <w:color w:val="auto"/>
          <w:sz w:val="21"/>
          <w:szCs w:val="21"/>
          <w:lang w:val="en-US" w:eastAsia="zh-CN"/>
        </w:rPr>
        <w:t>5</w:t>
      </w:r>
      <w:r>
        <w:rPr>
          <w:rFonts w:hint="default" w:ascii="Times New Roman" w:hAnsi="Times New Roman" w:eastAsia="仿宋" w:cs="Times New Roman"/>
          <w:color w:val="auto"/>
          <w:sz w:val="21"/>
          <w:szCs w:val="21"/>
        </w:rPr>
        <w:t xml:space="preserve">  </w:t>
      </w:r>
      <w:r>
        <w:rPr>
          <w:rFonts w:hint="default" w:ascii="Times New Roman" w:hAnsi="Times New Roman" w:eastAsia="仿宋" w:cs="Times New Roman"/>
          <w:color w:val="auto"/>
          <w:sz w:val="21"/>
          <w:szCs w:val="21"/>
          <w:lang w:val="en-US" w:eastAsia="zh-CN"/>
        </w:rPr>
        <w:t>温室气体样品</w:t>
      </w:r>
      <w:r>
        <w:rPr>
          <w:rFonts w:hint="default" w:ascii="Times New Roman" w:hAnsi="Times New Roman" w:eastAsia="仿宋" w:cs="Times New Roman"/>
          <w:color w:val="auto"/>
          <w:sz w:val="21"/>
          <w:szCs w:val="21"/>
        </w:rPr>
        <w:t>气体采集</w:t>
      </w:r>
    </w:p>
    <w:p>
      <w:pPr>
        <w:ind w:left="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温室气体样品分析采用经典</w:t>
      </w:r>
      <w:bookmarkStart w:id="88" w:name="lawyee_7741_2"/>
      <w:r>
        <w:rPr>
          <w:rFonts w:hint="default" w:ascii="Times New Roman" w:hAnsi="Times New Roman" w:eastAsia="仿宋" w:cs="Times New Roman"/>
          <w:color w:val="auto"/>
          <w:highlight w:val="none"/>
          <w:lang w:val="en-US" w:eastAsia="zh-CN"/>
        </w:rPr>
        <w:t>气相</w:t>
      </w:r>
      <w:bookmarkEnd w:id="88"/>
      <w:r>
        <w:rPr>
          <w:rFonts w:hint="default" w:ascii="Times New Roman" w:hAnsi="Times New Roman" w:eastAsia="仿宋" w:cs="Times New Roman"/>
          <w:color w:val="auto"/>
          <w:highlight w:val="none"/>
          <w:lang w:val="en-US" w:eastAsia="zh-CN"/>
        </w:rPr>
        <w:t>色谱法，检测器的分析测试条件如表2所示。</w:t>
      </w:r>
    </w:p>
    <w:p>
      <w:pPr>
        <w:pStyle w:val="59"/>
        <w:spacing w:line="360" w:lineRule="auto"/>
        <w:ind w:left="682" w:leftChars="0" w:hanging="682" w:hangingChars="325"/>
        <w:jc w:val="center"/>
        <w:rPr>
          <w:rFonts w:hint="default" w:ascii="Times New Roman" w:hAnsi="Times New Roman" w:eastAsia="仿宋" w:cs="Times New Roman"/>
          <w:color w:val="auto"/>
          <w:sz w:val="21"/>
          <w:szCs w:val="21"/>
        </w:rPr>
      </w:pPr>
    </w:p>
    <w:p>
      <w:pPr>
        <w:pStyle w:val="59"/>
        <w:spacing w:line="360" w:lineRule="auto"/>
        <w:ind w:left="682" w:leftChars="0" w:hanging="682" w:hangingChars="325"/>
        <w:jc w:val="center"/>
        <w:rPr>
          <w:rFonts w:hint="default" w:ascii="Times New Roman" w:hAnsi="Times New Roman" w:eastAsia="仿宋" w:cs="Times New Roman"/>
          <w:color w:val="auto"/>
          <w:sz w:val="21"/>
          <w:szCs w:val="21"/>
        </w:rPr>
      </w:pPr>
    </w:p>
    <w:p>
      <w:pPr>
        <w:pStyle w:val="59"/>
        <w:spacing w:line="360" w:lineRule="auto"/>
        <w:ind w:left="682" w:leftChars="0" w:hanging="682" w:hangingChars="32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  气相色谱分析测试条件</w:t>
      </w:r>
    </w:p>
    <w:tbl>
      <w:tblPr>
        <w:tblStyle w:val="26"/>
        <w:tblW w:w="5000" w:type="pct"/>
        <w:tblInd w:w="0" w:type="dxa"/>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3"/>
        <w:gridCol w:w="2918"/>
        <w:gridCol w:w="2917"/>
      </w:tblGrid>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tcBorders>
              <w:top w:val="single" w:color="000000" w:sz="12" w:space="0"/>
              <w:bottom w:val="single" w:color="000000" w:sz="8" w:space="0"/>
            </w:tcBorders>
            <w:shd w:val="clear" w:color="auto" w:fill="E7E6E6" w:themeFill="background2"/>
            <w:vAlign w:val="center"/>
          </w:tcPr>
          <w:p>
            <w:pPr>
              <w:spacing w:line="360" w:lineRule="auto"/>
              <w:ind w:left="59" w:leftChars="0" w:hanging="59" w:hangingChars="28"/>
              <w:jc w:val="center"/>
              <w:rPr>
                <w:rFonts w:hint="default" w:ascii="Times New Roman" w:hAnsi="Times New Roman" w:eastAsia="仿宋" w:cs="Times New Roman"/>
                <w:b/>
                <w:bCs/>
                <w:color w:val="auto"/>
                <w:kern w:val="0"/>
                <w:sz w:val="21"/>
                <w:szCs w:val="21"/>
              </w:rPr>
            </w:pPr>
            <w:bookmarkStart w:id="89" w:name="_Hlk120046140"/>
          </w:p>
        </w:tc>
        <w:tc>
          <w:tcPr>
            <w:tcW w:w="1711" w:type="pct"/>
            <w:tcBorders>
              <w:top w:val="single" w:color="000000" w:sz="12" w:space="0"/>
              <w:bottom w:val="single" w:color="000000" w:sz="8" w:space="0"/>
            </w:tcBorders>
            <w:shd w:val="clear" w:color="auto" w:fill="E7E6E6" w:themeFill="background2"/>
            <w:vAlign w:val="center"/>
          </w:tcPr>
          <w:p>
            <w:pPr>
              <w:spacing w:line="360" w:lineRule="auto"/>
              <w:ind w:left="782" w:leftChars="0" w:hanging="782" w:hangingChars="371"/>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氧化亚氮</w:t>
            </w:r>
          </w:p>
        </w:tc>
        <w:tc>
          <w:tcPr>
            <w:tcW w:w="1710" w:type="pct"/>
            <w:tcBorders>
              <w:top w:val="single" w:color="000000" w:sz="12" w:space="0"/>
              <w:bottom w:val="single" w:color="000000" w:sz="8" w:space="0"/>
            </w:tcBorders>
            <w:shd w:val="clear" w:color="auto" w:fill="E7E6E6" w:themeFill="background2"/>
            <w:vAlign w:val="center"/>
          </w:tcPr>
          <w:p>
            <w:pPr>
              <w:spacing w:line="360" w:lineRule="auto"/>
              <w:ind w:left="1022" w:leftChars="0" w:hanging="1022" w:hangingChars="485"/>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甲烷</w:t>
            </w:r>
          </w:p>
        </w:tc>
      </w:tr>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tcBorders>
              <w:top w:val="single" w:color="000000" w:sz="8" w:space="0"/>
              <w:bottom w:val="nil"/>
            </w:tcBorders>
            <w:vAlign w:val="center"/>
          </w:tcPr>
          <w:p>
            <w:pPr>
              <w:spacing w:line="360" w:lineRule="auto"/>
              <w:ind w:left="58" w:leftChars="0" w:hanging="58" w:hangingChars="28"/>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检测器</w:t>
            </w:r>
          </w:p>
        </w:tc>
        <w:tc>
          <w:tcPr>
            <w:tcW w:w="1711" w:type="pct"/>
            <w:tcBorders>
              <w:top w:val="single" w:color="000000" w:sz="8" w:space="0"/>
              <w:bottom w:val="nil"/>
            </w:tcBorders>
            <w:vAlign w:val="center"/>
          </w:tcPr>
          <w:p>
            <w:pPr>
              <w:spacing w:line="360" w:lineRule="auto"/>
              <w:ind w:left="779" w:leftChars="0" w:hanging="779" w:hangingChars="371"/>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电子捕获检测器（ECD）</w:t>
            </w:r>
          </w:p>
        </w:tc>
        <w:tc>
          <w:tcPr>
            <w:tcW w:w="1710" w:type="pct"/>
            <w:tcBorders>
              <w:top w:val="single" w:color="000000" w:sz="8" w:space="0"/>
              <w:bottom w:val="nil"/>
            </w:tcBorders>
            <w:vAlign w:val="center"/>
          </w:tcPr>
          <w:p>
            <w:pPr>
              <w:spacing w:line="360" w:lineRule="auto"/>
              <w:ind w:left="1018" w:leftChars="0" w:hanging="1018" w:hangingChars="485"/>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氢火焰离子检测器（FID）</w:t>
            </w:r>
          </w:p>
        </w:tc>
      </w:tr>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tcBorders>
              <w:top w:val="nil"/>
              <w:bottom w:val="nil"/>
            </w:tcBorders>
            <w:vAlign w:val="center"/>
          </w:tcPr>
          <w:p>
            <w:pPr>
              <w:spacing w:line="360" w:lineRule="auto"/>
              <w:ind w:left="58" w:leftChars="0" w:hanging="58" w:hangingChars="28"/>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色谱柱</w:t>
            </w:r>
          </w:p>
        </w:tc>
        <w:tc>
          <w:tcPr>
            <w:tcW w:w="1711" w:type="pct"/>
            <w:tcBorders>
              <w:top w:val="nil"/>
              <w:bottom w:val="nil"/>
            </w:tcBorders>
            <w:vAlign w:val="center"/>
          </w:tcPr>
          <w:p>
            <w:pPr>
              <w:spacing w:line="360" w:lineRule="auto"/>
              <w:ind w:left="779" w:leftChars="0" w:hanging="779" w:hangingChars="371"/>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Porapak Q</w:t>
            </w:r>
          </w:p>
        </w:tc>
        <w:tc>
          <w:tcPr>
            <w:tcW w:w="1710" w:type="pct"/>
            <w:tcBorders>
              <w:top w:val="nil"/>
              <w:bottom w:val="nil"/>
            </w:tcBorders>
            <w:vAlign w:val="center"/>
          </w:tcPr>
          <w:p>
            <w:pPr>
              <w:spacing w:line="360" w:lineRule="auto"/>
              <w:ind w:left="1018" w:leftChars="0" w:hanging="1018" w:hangingChars="485"/>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Porapak Q</w:t>
            </w:r>
          </w:p>
        </w:tc>
      </w:tr>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tcBorders>
              <w:top w:val="nil"/>
              <w:bottom w:val="nil"/>
            </w:tcBorders>
            <w:vAlign w:val="center"/>
          </w:tcPr>
          <w:p>
            <w:pPr>
              <w:spacing w:line="360" w:lineRule="auto"/>
              <w:ind w:left="58" w:leftChars="0" w:hanging="58" w:hangingChars="28"/>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载气</w:t>
            </w:r>
          </w:p>
        </w:tc>
        <w:tc>
          <w:tcPr>
            <w:tcW w:w="1711" w:type="pct"/>
            <w:tcBorders>
              <w:top w:val="nil"/>
              <w:bottom w:val="nil"/>
            </w:tcBorders>
            <w:vAlign w:val="center"/>
          </w:tcPr>
          <w:p>
            <w:pPr>
              <w:spacing w:line="360" w:lineRule="auto"/>
              <w:ind w:left="779" w:leftChars="0" w:hanging="779" w:hangingChars="371"/>
              <w:jc w:val="center"/>
              <w:rPr>
                <w:rFonts w:hint="default" w:ascii="Times New Roman" w:hAnsi="Times New Roman" w:eastAsia="仿宋" w:cs="Times New Roman"/>
                <w:bCs/>
                <w:color w:val="auto"/>
                <w:kern w:val="0"/>
                <w:sz w:val="21"/>
                <w:szCs w:val="21"/>
              </w:rPr>
            </w:pPr>
            <w:bookmarkStart w:id="90" w:name="lawyee_7851_4"/>
            <w:r>
              <w:rPr>
                <w:rFonts w:hint="default" w:ascii="Times New Roman" w:hAnsi="Times New Roman" w:eastAsia="仿宋" w:cs="Times New Roman"/>
                <w:bCs/>
                <w:color w:val="auto"/>
                <w:kern w:val="0"/>
                <w:sz w:val="21"/>
                <w:szCs w:val="21"/>
              </w:rPr>
              <w:t>高纯N</w:t>
            </w:r>
            <w:r>
              <w:rPr>
                <w:rFonts w:hint="default" w:ascii="Times New Roman" w:hAnsi="Times New Roman" w:eastAsia="仿宋" w:cs="Times New Roman"/>
                <w:bCs/>
                <w:color w:val="auto"/>
                <w:kern w:val="0"/>
                <w:sz w:val="21"/>
                <w:szCs w:val="21"/>
                <w:vertAlign w:val="subscript"/>
              </w:rPr>
              <w:t>2</w:t>
            </w:r>
            <w:bookmarkEnd w:id="90"/>
          </w:p>
        </w:tc>
        <w:tc>
          <w:tcPr>
            <w:tcW w:w="1710" w:type="pct"/>
            <w:tcBorders>
              <w:top w:val="nil"/>
              <w:bottom w:val="nil"/>
            </w:tcBorders>
            <w:vAlign w:val="center"/>
          </w:tcPr>
          <w:p>
            <w:pPr>
              <w:spacing w:line="360" w:lineRule="auto"/>
              <w:ind w:left="1018" w:leftChars="0" w:hanging="1018" w:hangingChars="485"/>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高纯N</w:t>
            </w:r>
            <w:r>
              <w:rPr>
                <w:rFonts w:hint="default" w:ascii="Times New Roman" w:hAnsi="Times New Roman" w:eastAsia="仿宋" w:cs="Times New Roman"/>
                <w:bCs/>
                <w:color w:val="auto"/>
                <w:kern w:val="0"/>
                <w:sz w:val="21"/>
                <w:szCs w:val="21"/>
                <w:vertAlign w:val="subscript"/>
              </w:rPr>
              <w:t>2</w:t>
            </w:r>
          </w:p>
        </w:tc>
      </w:tr>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tcBorders>
              <w:top w:val="nil"/>
            </w:tcBorders>
            <w:vAlign w:val="center"/>
          </w:tcPr>
          <w:p>
            <w:pPr>
              <w:spacing w:line="360" w:lineRule="auto"/>
              <w:ind w:left="58" w:leftChars="0" w:hanging="58" w:hangingChars="28"/>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平衡气</w:t>
            </w:r>
          </w:p>
        </w:tc>
        <w:tc>
          <w:tcPr>
            <w:tcW w:w="1711" w:type="pct"/>
            <w:tcBorders>
              <w:top w:val="nil"/>
            </w:tcBorders>
            <w:vAlign w:val="center"/>
          </w:tcPr>
          <w:p>
            <w:pPr>
              <w:spacing w:line="360" w:lineRule="auto"/>
              <w:ind w:left="779" w:leftChars="0" w:hanging="779" w:hangingChars="371"/>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color w:val="auto"/>
                <w:kern w:val="0"/>
                <w:sz w:val="21"/>
                <w:szCs w:val="21"/>
              </w:rPr>
              <w:t>Ar/CH</w:t>
            </w:r>
            <w:r>
              <w:rPr>
                <w:rFonts w:hint="default" w:ascii="Times New Roman" w:hAnsi="Times New Roman" w:eastAsia="仿宋" w:cs="Times New Roman"/>
                <w:color w:val="auto"/>
                <w:kern w:val="0"/>
                <w:sz w:val="21"/>
                <w:szCs w:val="21"/>
                <w:vertAlign w:val="subscript"/>
              </w:rPr>
              <w:t xml:space="preserve">4 </w:t>
            </w:r>
            <w:r>
              <w:rPr>
                <w:rFonts w:hint="default" w:ascii="Times New Roman" w:hAnsi="Times New Roman" w:eastAsia="仿宋" w:cs="Times New Roman"/>
                <w:color w:val="auto"/>
                <w:kern w:val="0"/>
                <w:sz w:val="21"/>
                <w:szCs w:val="21"/>
              </w:rPr>
              <w:t>(90%/10%)</w:t>
            </w:r>
          </w:p>
        </w:tc>
        <w:tc>
          <w:tcPr>
            <w:tcW w:w="1710" w:type="pct"/>
            <w:tcBorders>
              <w:top w:val="nil"/>
            </w:tcBorders>
            <w:vAlign w:val="center"/>
          </w:tcPr>
          <w:p>
            <w:pPr>
              <w:spacing w:line="360" w:lineRule="auto"/>
              <w:ind w:left="1018" w:leftChars="0" w:hanging="1018" w:hangingChars="485"/>
              <w:jc w:val="center"/>
              <w:rPr>
                <w:rFonts w:hint="default" w:ascii="Times New Roman" w:hAnsi="Times New Roman" w:eastAsia="仿宋" w:cs="Times New Roman"/>
                <w:color w:val="auto"/>
                <w:kern w:val="0"/>
                <w:sz w:val="21"/>
                <w:szCs w:val="21"/>
                <w:vertAlign w:val="subscript"/>
              </w:rPr>
            </w:pPr>
            <w:r>
              <w:rPr>
                <w:rFonts w:hint="default" w:ascii="Times New Roman" w:hAnsi="Times New Roman" w:eastAsia="仿宋" w:cs="Times New Roman"/>
                <w:bCs/>
                <w:color w:val="auto"/>
                <w:kern w:val="0"/>
                <w:sz w:val="21"/>
                <w:szCs w:val="21"/>
              </w:rPr>
              <w:t>高纯N</w:t>
            </w:r>
            <w:r>
              <w:rPr>
                <w:rFonts w:hint="default" w:ascii="Times New Roman" w:hAnsi="Times New Roman" w:eastAsia="仿宋" w:cs="Times New Roman"/>
                <w:bCs/>
                <w:color w:val="auto"/>
                <w:kern w:val="0"/>
                <w:sz w:val="21"/>
                <w:szCs w:val="21"/>
                <w:vertAlign w:val="subscript"/>
              </w:rPr>
              <w:t>2</w:t>
            </w:r>
          </w:p>
        </w:tc>
      </w:tr>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vAlign w:val="center"/>
          </w:tcPr>
          <w:p>
            <w:pPr>
              <w:spacing w:line="360" w:lineRule="auto"/>
              <w:ind w:left="58" w:leftChars="0" w:hanging="58" w:hangingChars="28"/>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检测</w:t>
            </w:r>
            <w:bookmarkStart w:id="91" w:name="lawyee_7891_1"/>
            <w:r>
              <w:rPr>
                <w:rFonts w:hint="default" w:ascii="Times New Roman" w:hAnsi="Times New Roman" w:eastAsia="仿宋" w:cs="Times New Roman"/>
                <w:bCs/>
                <w:color w:val="auto"/>
                <w:kern w:val="0"/>
                <w:sz w:val="21"/>
                <w:szCs w:val="21"/>
              </w:rPr>
              <w:t>器</w:t>
            </w:r>
            <w:bookmarkEnd w:id="91"/>
            <w:r>
              <w:rPr>
                <w:rFonts w:hint="default" w:ascii="Times New Roman" w:hAnsi="Times New Roman" w:eastAsia="仿宋" w:cs="Times New Roman"/>
                <w:bCs/>
                <w:color w:val="auto"/>
                <w:kern w:val="0"/>
                <w:sz w:val="21"/>
                <w:szCs w:val="21"/>
              </w:rPr>
              <w:t>温度</w:t>
            </w:r>
          </w:p>
        </w:tc>
        <w:tc>
          <w:tcPr>
            <w:tcW w:w="1711" w:type="pct"/>
            <w:vAlign w:val="center"/>
          </w:tcPr>
          <w:p>
            <w:pPr>
              <w:spacing w:line="360" w:lineRule="auto"/>
              <w:ind w:left="779" w:leftChars="0" w:hanging="779" w:hangingChars="371"/>
              <w:jc w:val="center"/>
              <w:rPr>
                <w:rFonts w:hint="default" w:ascii="Times New Roman" w:hAnsi="Times New Roman" w:eastAsia="仿宋" w:cs="Times New Roman"/>
                <w:bCs/>
                <w:color w:val="auto"/>
                <w:kern w:val="0"/>
                <w:sz w:val="21"/>
                <w:szCs w:val="21"/>
              </w:rPr>
            </w:pPr>
            <w:r>
              <w:rPr>
                <w:rFonts w:hint="eastAsia" w:eastAsia="仿宋" w:cs="Times New Roman"/>
                <w:bCs/>
                <w:color w:val="auto"/>
                <w:kern w:val="0"/>
                <w:sz w:val="21"/>
                <w:szCs w:val="21"/>
                <w:lang w:val="en-US" w:eastAsia="zh-CN"/>
              </w:rPr>
              <w:t>3</w:t>
            </w:r>
            <w:r>
              <w:rPr>
                <w:rFonts w:hint="default" w:ascii="Times New Roman" w:hAnsi="Times New Roman" w:eastAsia="仿宋" w:cs="Times New Roman"/>
                <w:bCs/>
                <w:color w:val="auto"/>
                <w:kern w:val="0"/>
                <w:sz w:val="21"/>
                <w:szCs w:val="21"/>
              </w:rPr>
              <w:t>50</w:t>
            </w:r>
            <w:r>
              <w:rPr>
                <w:rFonts w:hint="default" w:ascii="Times New Roman" w:hAnsi="Times New Roman" w:eastAsia="仿宋" w:cs="Times New Roman"/>
                <w:bCs/>
                <w:color w:val="auto"/>
                <w:kern w:val="0"/>
                <w:sz w:val="21"/>
                <w:szCs w:val="21"/>
                <w:vertAlign w:val="superscript"/>
              </w:rPr>
              <w:t>o</w:t>
            </w:r>
            <w:r>
              <w:rPr>
                <w:rFonts w:hint="default" w:ascii="Times New Roman" w:hAnsi="Times New Roman" w:eastAsia="仿宋" w:cs="Times New Roman"/>
                <w:bCs/>
                <w:color w:val="auto"/>
                <w:kern w:val="0"/>
                <w:sz w:val="21"/>
                <w:szCs w:val="21"/>
              </w:rPr>
              <w:t>C</w:t>
            </w:r>
          </w:p>
        </w:tc>
        <w:tc>
          <w:tcPr>
            <w:tcW w:w="1710" w:type="pct"/>
            <w:vAlign w:val="center"/>
          </w:tcPr>
          <w:p>
            <w:pPr>
              <w:spacing w:line="360" w:lineRule="auto"/>
              <w:ind w:left="1018" w:leftChars="0" w:hanging="1018" w:hangingChars="485"/>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250</w:t>
            </w:r>
            <w:r>
              <w:rPr>
                <w:rFonts w:hint="default" w:ascii="Times New Roman" w:hAnsi="Times New Roman" w:eastAsia="仿宋" w:cs="Times New Roman"/>
                <w:bCs/>
                <w:color w:val="auto"/>
                <w:kern w:val="0"/>
                <w:sz w:val="21"/>
                <w:szCs w:val="21"/>
                <w:vertAlign w:val="superscript"/>
              </w:rPr>
              <w:t>o</w:t>
            </w:r>
            <w:r>
              <w:rPr>
                <w:rFonts w:hint="default" w:ascii="Times New Roman" w:hAnsi="Times New Roman" w:eastAsia="仿宋" w:cs="Times New Roman"/>
                <w:bCs/>
                <w:color w:val="auto"/>
                <w:kern w:val="0"/>
                <w:sz w:val="21"/>
                <w:szCs w:val="21"/>
              </w:rPr>
              <w:t>C</w:t>
            </w:r>
          </w:p>
        </w:tc>
        <w:bookmarkStart w:id="92" w:name="lawyee_7907_1"/>
      </w:tr>
      <w:bookmarkEnd w:id="92"/>
      <w:tr>
        <w:tblPrEx>
          <w:tblBorders>
            <w:top w:val="single" w:color="000000" w:sz="18" w:space="0"/>
            <w:left w:val="none" w:color="auto" w:sz="0" w:space="0"/>
            <w:bottom w:val="single" w:color="00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79" w:type="pct"/>
            <w:tcBorders>
              <w:bottom w:val="single" w:color="000000" w:sz="12" w:space="0"/>
            </w:tcBorders>
            <w:vAlign w:val="center"/>
          </w:tcPr>
          <w:p>
            <w:pPr>
              <w:spacing w:line="360" w:lineRule="auto"/>
              <w:ind w:left="58" w:leftChars="0" w:hanging="58" w:hangingChars="28"/>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柱温</w:t>
            </w:r>
          </w:p>
        </w:tc>
        <w:tc>
          <w:tcPr>
            <w:tcW w:w="1711" w:type="pct"/>
            <w:tcBorders>
              <w:bottom w:val="single" w:color="000000" w:sz="12" w:space="0"/>
            </w:tcBorders>
            <w:vAlign w:val="center"/>
          </w:tcPr>
          <w:p>
            <w:pPr>
              <w:spacing w:line="360" w:lineRule="auto"/>
              <w:ind w:left="779" w:leftChars="0" w:hanging="779" w:hangingChars="371"/>
              <w:jc w:val="center"/>
              <w:rPr>
                <w:rFonts w:hint="default" w:ascii="Times New Roman" w:hAnsi="Times New Roman" w:eastAsia="仿宋" w:cs="Times New Roman"/>
                <w:bCs/>
                <w:color w:val="auto"/>
                <w:kern w:val="0"/>
                <w:sz w:val="21"/>
                <w:szCs w:val="21"/>
                <w:vertAlign w:val="subscript"/>
              </w:rPr>
            </w:pPr>
            <w:r>
              <w:rPr>
                <w:rFonts w:hint="default" w:ascii="Times New Roman" w:hAnsi="Times New Roman" w:eastAsia="仿宋" w:cs="Times New Roman"/>
                <w:bCs/>
                <w:color w:val="auto"/>
                <w:kern w:val="0"/>
                <w:sz w:val="21"/>
                <w:szCs w:val="21"/>
              </w:rPr>
              <w:t>72</w:t>
            </w:r>
            <w:r>
              <w:rPr>
                <w:rFonts w:hint="default" w:ascii="Times New Roman" w:hAnsi="Times New Roman" w:eastAsia="仿宋" w:cs="Times New Roman"/>
                <w:bCs/>
                <w:color w:val="auto"/>
                <w:kern w:val="0"/>
                <w:sz w:val="21"/>
                <w:szCs w:val="21"/>
                <w:vertAlign w:val="superscript"/>
              </w:rPr>
              <w:t>o</w:t>
            </w:r>
            <w:r>
              <w:rPr>
                <w:rFonts w:hint="default" w:ascii="Times New Roman" w:hAnsi="Times New Roman" w:eastAsia="仿宋" w:cs="Times New Roman"/>
                <w:bCs/>
                <w:color w:val="auto"/>
                <w:kern w:val="0"/>
                <w:sz w:val="21"/>
                <w:szCs w:val="21"/>
              </w:rPr>
              <w:t>C</w:t>
            </w:r>
          </w:p>
        </w:tc>
        <w:tc>
          <w:tcPr>
            <w:tcW w:w="1710" w:type="pct"/>
            <w:tcBorders>
              <w:bottom w:val="single" w:color="000000" w:sz="12" w:space="0"/>
            </w:tcBorders>
            <w:vAlign w:val="center"/>
          </w:tcPr>
          <w:p>
            <w:pPr>
              <w:spacing w:line="360" w:lineRule="auto"/>
              <w:ind w:left="1018" w:leftChars="0" w:hanging="1018" w:hangingChars="485"/>
              <w:jc w:val="center"/>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bCs/>
                <w:color w:val="auto"/>
                <w:kern w:val="0"/>
                <w:sz w:val="21"/>
                <w:szCs w:val="21"/>
              </w:rPr>
              <w:t>60</w:t>
            </w:r>
            <w:r>
              <w:rPr>
                <w:rFonts w:hint="default" w:ascii="Times New Roman" w:hAnsi="Times New Roman" w:eastAsia="仿宋" w:cs="Times New Roman"/>
                <w:bCs/>
                <w:color w:val="auto"/>
                <w:kern w:val="0"/>
                <w:sz w:val="21"/>
                <w:szCs w:val="21"/>
                <w:vertAlign w:val="superscript"/>
              </w:rPr>
              <w:t>o</w:t>
            </w:r>
            <w:r>
              <w:rPr>
                <w:rFonts w:hint="default" w:ascii="Times New Roman" w:hAnsi="Times New Roman" w:eastAsia="仿宋" w:cs="Times New Roman"/>
                <w:bCs/>
                <w:color w:val="auto"/>
                <w:kern w:val="0"/>
                <w:sz w:val="21"/>
                <w:szCs w:val="21"/>
              </w:rPr>
              <w:t>C</w:t>
            </w:r>
          </w:p>
        </w:tc>
      </w:tr>
      <w:bookmarkEnd w:id="89"/>
    </w:tbl>
    <w:p>
      <w:pPr>
        <w:ind w:left="0"/>
        <w:rPr>
          <w:rFonts w:hint="default" w:ascii="Times New Roman" w:hAnsi="Times New Roman" w:eastAsia="仿宋" w:cs="Times New Roman"/>
          <w:color w:val="auto"/>
          <w:highlight w:val="none"/>
          <w:lang w:val="en-US" w:eastAsia="zh-CN"/>
        </w:rPr>
      </w:pPr>
      <w:r>
        <w:rPr>
          <w:rFonts w:hint="eastAsia" w:eastAsia="仿宋" w:cs="Times New Roman"/>
          <w:color w:val="auto"/>
          <w:highlight w:val="none"/>
          <w:lang w:val="en-US" w:eastAsia="zh-CN"/>
        </w:rPr>
        <w:t>经全周期测定，</w:t>
      </w:r>
      <w:r>
        <w:rPr>
          <w:rFonts w:hint="default" w:ascii="Times New Roman" w:hAnsi="Times New Roman" w:eastAsia="仿宋" w:cs="Times New Roman"/>
          <w:color w:val="auto"/>
          <w:highlight w:val="none"/>
        </w:rPr>
        <w:t>污水处理</w:t>
      </w:r>
      <w:r>
        <w:rPr>
          <w:rFonts w:hint="default" w:ascii="Times New Roman" w:hAnsi="Times New Roman" w:eastAsia="仿宋" w:cs="Times New Roman"/>
          <w:color w:val="auto"/>
          <w:highlight w:val="none"/>
          <w:lang w:val="en-US" w:eastAsia="zh-CN"/>
        </w:rPr>
        <w:t>温室气体</w:t>
      </w:r>
      <w:r>
        <w:rPr>
          <w:rFonts w:hint="default" w:ascii="Times New Roman" w:hAnsi="Times New Roman" w:eastAsia="仿宋" w:cs="Times New Roman"/>
          <w:color w:val="auto"/>
          <w:highlight w:val="none"/>
        </w:rPr>
        <w:t>排放因子实测数据如表</w:t>
      </w:r>
      <w:r>
        <w:rPr>
          <w:rFonts w:hint="default"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所示，</w:t>
      </w:r>
      <w:r>
        <w:rPr>
          <w:rFonts w:hint="default" w:ascii="Times New Roman" w:hAnsi="Times New Roman" w:eastAsia="仿宋" w:cs="Times New Roman"/>
          <w:color w:val="auto"/>
          <w:highlight w:val="none"/>
          <w:lang w:val="en-US" w:eastAsia="zh-CN"/>
        </w:rPr>
        <w:t>确定排放因子时根据进水污染物波动情况进行了</w:t>
      </w:r>
      <w:r>
        <w:rPr>
          <w:rFonts w:hint="eastAsia" w:eastAsia="仿宋" w:cs="Times New Roman"/>
          <w:color w:val="auto"/>
          <w:highlight w:val="none"/>
          <w:lang w:val="en-US" w:eastAsia="zh-CN"/>
        </w:rPr>
        <w:t>负荷</w:t>
      </w:r>
      <w:r>
        <w:rPr>
          <w:rFonts w:hint="default" w:ascii="Times New Roman" w:hAnsi="Times New Roman" w:eastAsia="仿宋" w:cs="Times New Roman"/>
          <w:color w:val="auto"/>
          <w:highlight w:val="none"/>
          <w:lang w:val="en-US" w:eastAsia="zh-CN"/>
        </w:rPr>
        <w:t>加权处理。</w:t>
      </w:r>
    </w:p>
    <w:p>
      <w:pPr>
        <w:ind w:left="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表</w:t>
      </w:r>
      <w:r>
        <w:rPr>
          <w:rFonts w:hint="default" w:ascii="Times New Roman" w:hAnsi="Times New Roman" w:eastAsia="仿宋" w:cs="Times New Roman"/>
          <w:color w:val="auto"/>
          <w:sz w:val="21"/>
          <w:szCs w:val="21"/>
          <w:highlight w:val="none"/>
          <w:lang w:val="en-US" w:eastAsia="zh-CN"/>
        </w:rPr>
        <w:t>3</w:t>
      </w:r>
      <w:r>
        <w:rPr>
          <w:rFonts w:hint="default" w:ascii="Times New Roman" w:hAnsi="Times New Roman" w:eastAsia="仿宋" w:cs="Times New Roman"/>
          <w:color w:val="auto"/>
          <w:sz w:val="21"/>
          <w:szCs w:val="21"/>
          <w:highlight w:val="none"/>
        </w:rPr>
        <w:t xml:space="preserve"> 污水处理过程</w:t>
      </w:r>
      <w:r>
        <w:rPr>
          <w:rFonts w:hint="default" w:ascii="Times New Roman" w:hAnsi="Times New Roman" w:eastAsia="仿宋" w:cs="Times New Roman"/>
          <w:color w:val="auto"/>
          <w:sz w:val="21"/>
          <w:szCs w:val="21"/>
          <w:highlight w:val="none"/>
          <w:lang w:val="en-US" w:eastAsia="zh-CN"/>
        </w:rPr>
        <w:t>温室气体</w:t>
      </w:r>
      <w:r>
        <w:rPr>
          <w:rFonts w:hint="default" w:ascii="Times New Roman" w:hAnsi="Times New Roman" w:eastAsia="仿宋" w:cs="Times New Roman"/>
          <w:color w:val="auto"/>
          <w:sz w:val="21"/>
          <w:szCs w:val="21"/>
          <w:highlight w:val="none"/>
        </w:rPr>
        <w:t>排放因子</w:t>
      </w:r>
      <w:r>
        <w:rPr>
          <w:rFonts w:hint="default" w:ascii="Times New Roman" w:hAnsi="Times New Roman" w:eastAsia="仿宋" w:cs="Times New Roman"/>
          <w:color w:val="auto"/>
          <w:sz w:val="21"/>
          <w:szCs w:val="21"/>
          <w:highlight w:val="none"/>
          <w:lang w:val="en-US" w:eastAsia="zh-CN"/>
        </w:rPr>
        <w:t>监测数据</w:t>
      </w:r>
    </w:p>
    <w:tbl>
      <w:tblPr>
        <w:tblStyle w:val="26"/>
        <w:tblW w:w="4999"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66"/>
        <w:gridCol w:w="2050"/>
        <w:gridCol w:w="1764"/>
        <w:gridCol w:w="1764"/>
        <w:gridCol w:w="1772"/>
        <w:gridCol w:w="10"/>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4" w:type="pct"/>
            <w:vMerge w:val="restart"/>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val="0"/>
                <w:bCs w:val="0"/>
                <w:color w:val="auto"/>
                <w:kern w:val="0"/>
                <w:sz w:val="18"/>
                <w:szCs w:val="18"/>
                <w:highlight w:val="none"/>
                <w:lang w:bidi="ar"/>
              </w:rPr>
            </w:pPr>
            <w:r>
              <w:rPr>
                <w:rFonts w:hint="default" w:ascii="Times New Roman" w:hAnsi="Times New Roman" w:eastAsia="仿宋" w:cs="Times New Roman"/>
                <w:b w:val="0"/>
                <w:bCs w:val="0"/>
                <w:color w:val="auto"/>
                <w:kern w:val="0"/>
                <w:sz w:val="18"/>
                <w:szCs w:val="18"/>
                <w:highlight w:val="none"/>
                <w:lang w:bidi="ar"/>
              </w:rPr>
              <w:t>监测时间</w:t>
            </w:r>
          </w:p>
        </w:tc>
        <w:tc>
          <w:tcPr>
            <w:tcW w:w="1202" w:type="pct"/>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val="0"/>
                <w:bCs w:val="0"/>
                <w:color w:val="auto"/>
                <w:kern w:val="0"/>
                <w:sz w:val="18"/>
                <w:szCs w:val="18"/>
                <w:highlight w:val="none"/>
                <w:lang w:bidi="ar"/>
              </w:rPr>
            </w:pPr>
            <w:r>
              <w:rPr>
                <w:rStyle w:val="77"/>
                <w:rFonts w:hint="default" w:ascii="Times New Roman" w:hAnsi="Times New Roman" w:eastAsia="仿宋" w:cs="Times New Roman"/>
                <w:b w:val="0"/>
                <w:bCs w:val="0"/>
                <w:color w:val="auto"/>
                <w:sz w:val="18"/>
                <w:szCs w:val="18"/>
                <w:highlight w:val="none"/>
                <w:lang w:bidi="ar"/>
              </w:rPr>
              <w:t xml:space="preserve">甲烷排放因子 </w:t>
            </w:r>
          </w:p>
        </w:tc>
        <w:tc>
          <w:tcPr>
            <w:tcW w:w="3113" w:type="pct"/>
            <w:gridSpan w:val="4"/>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Style w:val="77"/>
                <w:rFonts w:hint="default" w:ascii="Times New Roman" w:hAnsi="Times New Roman" w:eastAsia="仿宋" w:cs="Times New Roman"/>
                <w:b w:val="0"/>
                <w:bCs w:val="0"/>
                <w:color w:val="auto"/>
                <w:sz w:val="21"/>
                <w:szCs w:val="21"/>
                <w:highlight w:val="none"/>
                <w:lang w:val="en-US" w:eastAsia="zh-CN" w:bidi="ar"/>
              </w:rPr>
            </w:pPr>
            <w:r>
              <w:rPr>
                <w:rStyle w:val="77"/>
                <w:rFonts w:hint="default" w:ascii="Times New Roman" w:hAnsi="Times New Roman" w:eastAsia="仿宋" w:cs="Times New Roman"/>
                <w:b w:val="0"/>
                <w:bCs w:val="0"/>
                <w:color w:val="auto"/>
                <w:sz w:val="21"/>
                <w:szCs w:val="21"/>
                <w:highlight w:val="none"/>
                <w:lang w:val="en-US" w:eastAsia="zh-CN" w:bidi="ar"/>
              </w:rPr>
              <w:t>氧化亚氮</w:t>
            </w:r>
            <w:r>
              <w:rPr>
                <w:rStyle w:val="77"/>
                <w:rFonts w:hint="default" w:ascii="Times New Roman" w:hAnsi="Times New Roman" w:eastAsia="仿宋" w:cs="Times New Roman"/>
                <w:b w:val="0"/>
                <w:bCs w:val="0"/>
                <w:color w:val="auto"/>
                <w:sz w:val="21"/>
                <w:szCs w:val="21"/>
                <w:highlight w:val="none"/>
                <w:lang w:bidi="ar"/>
              </w:rPr>
              <w:t xml:space="preserve">排放因子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84" w:type="pct"/>
            <w:vMerge w:val="continue"/>
            <w:tcBorders>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bCs/>
                <w:color w:val="auto"/>
                <w:kern w:val="0"/>
                <w:sz w:val="18"/>
                <w:szCs w:val="18"/>
                <w:highlight w:val="none"/>
                <w:lang w:bidi="ar"/>
              </w:rPr>
            </w:pPr>
          </w:p>
        </w:tc>
        <w:tc>
          <w:tcPr>
            <w:tcW w:w="1202" w:type="pct"/>
            <w:tcBorders>
              <w:top w:val="single" w:color="auto" w:sz="4" w:space="0"/>
              <w:tl2br w:val="nil"/>
              <w:tr2bl w:val="nil"/>
            </w:tcBorders>
            <w:shd w:val="clear" w:color="auto" w:fill="E7E6E6" w:themeFill="background2"/>
            <w:vAlign w:val="center"/>
          </w:tcPr>
          <w:p>
            <w:pPr>
              <w:widowControl/>
              <w:ind w:left="0" w:leftChars="0" w:firstLine="0" w:firstLineChars="0"/>
              <w:jc w:val="center"/>
              <w:textAlignment w:val="center"/>
              <w:rPr>
                <w:rStyle w:val="77"/>
                <w:rFonts w:hint="default" w:ascii="Times New Roman" w:hAnsi="Times New Roman" w:eastAsia="仿宋" w:cs="Times New Roman"/>
                <w:b/>
                <w:bCs/>
                <w:color w:val="auto"/>
                <w:sz w:val="18"/>
                <w:szCs w:val="18"/>
                <w:highlight w:val="none"/>
                <w:lang w:bidi="ar"/>
              </w:rPr>
            </w:pPr>
            <w:r>
              <w:rPr>
                <w:rFonts w:hint="default" w:ascii="Times New Roman" w:hAnsi="Times New Roman" w:eastAsia="仿宋" w:cs="Times New Roman"/>
                <w:color w:val="auto"/>
                <w:kern w:val="0"/>
                <w:sz w:val="18"/>
                <w:szCs w:val="18"/>
                <w:highlight w:val="none"/>
              </w:rPr>
              <w:t>10</w:t>
            </w:r>
            <w:r>
              <w:rPr>
                <w:rFonts w:hint="default" w:ascii="Times New Roman" w:hAnsi="Times New Roman" w:eastAsia="仿宋" w:cs="Times New Roman"/>
                <w:color w:val="auto"/>
                <w:kern w:val="0"/>
                <w:sz w:val="18"/>
                <w:szCs w:val="18"/>
                <w:highlight w:val="none"/>
                <w:vertAlign w:val="superscript"/>
              </w:rPr>
              <w:t>-3</w:t>
            </w:r>
            <w:r>
              <w:rPr>
                <w:rFonts w:hint="default" w:ascii="Times New Roman" w:hAnsi="Times New Roman" w:eastAsia="仿宋" w:cs="Times New Roman"/>
                <w:color w:val="auto"/>
                <w:sz w:val="18"/>
                <w:szCs w:val="18"/>
                <w:highlight w:val="none"/>
              </w:rPr>
              <w:t>kg</w:t>
            </w:r>
            <w:r>
              <w:rPr>
                <w:rFonts w:hint="default" w:ascii="Times New Roman" w:hAnsi="Times New Roman" w:eastAsia="仿宋" w:cs="Times New Roman"/>
                <w:color w:val="auto"/>
                <w:sz w:val="18"/>
                <w:szCs w:val="18"/>
                <w:highlight w:val="none"/>
                <w:lang w:val="en-US" w:eastAsia="zh-CN"/>
              </w:rPr>
              <w:t xml:space="preserve"> </w:t>
            </w:r>
            <w:r>
              <w:rPr>
                <w:rFonts w:hint="default" w:ascii="Times New Roman" w:hAnsi="Times New Roman" w:eastAsia="仿宋" w:cs="Times New Roman"/>
                <w:color w:val="auto"/>
                <w:sz w:val="18"/>
                <w:szCs w:val="18"/>
                <w:highlight w:val="none"/>
              </w:rPr>
              <w:t>CH</w:t>
            </w:r>
            <w:r>
              <w:rPr>
                <w:rFonts w:hint="default" w:ascii="Times New Roman" w:hAnsi="Times New Roman" w:eastAsia="仿宋" w:cs="Times New Roman"/>
                <w:color w:val="auto"/>
                <w:sz w:val="18"/>
                <w:szCs w:val="18"/>
                <w:highlight w:val="none"/>
                <w:vertAlign w:val="subscript"/>
              </w:rPr>
              <w:t>4</w:t>
            </w:r>
            <w:r>
              <w:rPr>
                <w:rFonts w:hint="default" w:ascii="Times New Roman" w:hAnsi="Times New Roman" w:eastAsia="仿宋" w:cs="Times New Roman"/>
                <w:color w:val="auto"/>
                <w:sz w:val="18"/>
                <w:szCs w:val="18"/>
                <w:highlight w:val="none"/>
              </w:rPr>
              <w:t xml:space="preserve"> /</w:t>
            </w:r>
            <w:r>
              <w:rPr>
                <w:rFonts w:hint="eastAsia" w:eastAsia="仿宋" w:cs="Times New Roman"/>
                <w:color w:val="auto"/>
                <w:sz w:val="18"/>
                <w:szCs w:val="18"/>
                <w:highlight w:val="none"/>
                <w:lang w:eastAsia="zh-CN"/>
              </w:rPr>
              <w:t>kg</w:t>
            </w:r>
            <w:r>
              <w:rPr>
                <w:rFonts w:hint="default" w:ascii="Times New Roman" w:hAnsi="Times New Roman" w:eastAsia="仿宋" w:cs="Times New Roman"/>
                <w:color w:val="auto"/>
                <w:sz w:val="18"/>
                <w:szCs w:val="18"/>
                <w:highlight w:val="none"/>
                <w:lang w:val="en-US" w:eastAsia="zh-CN"/>
              </w:rPr>
              <w:t xml:space="preserve"> </w:t>
            </w:r>
            <w:r>
              <w:rPr>
                <w:rFonts w:hint="default" w:ascii="Times New Roman" w:hAnsi="Times New Roman" w:eastAsia="仿宋" w:cs="Times New Roman"/>
                <w:color w:val="auto"/>
                <w:sz w:val="18"/>
                <w:szCs w:val="18"/>
                <w:highlight w:val="none"/>
              </w:rPr>
              <w:t>COD</w:t>
            </w:r>
            <w:r>
              <w:rPr>
                <w:rFonts w:hint="default" w:ascii="Times New Roman" w:hAnsi="Times New Roman" w:eastAsia="仿宋" w:cs="Times New Roman"/>
                <w:color w:val="auto"/>
                <w:sz w:val="18"/>
                <w:szCs w:val="18"/>
                <w:highlight w:val="none"/>
                <w:vertAlign w:val="subscript"/>
                <w:lang w:val="en-US" w:eastAsia="zh-CN"/>
              </w:rPr>
              <w:t>RE</w:t>
            </w:r>
          </w:p>
        </w:tc>
        <w:tc>
          <w:tcPr>
            <w:tcW w:w="3113" w:type="pct"/>
            <w:gridSpan w:val="4"/>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color w:val="auto"/>
                <w:kern w:val="0"/>
                <w:sz w:val="18"/>
                <w:szCs w:val="18"/>
                <w:highlight w:val="none"/>
              </w:rPr>
            </w:pPr>
            <w:r>
              <w:rPr>
                <w:rFonts w:hint="default" w:ascii="Times New Roman" w:hAnsi="Times New Roman" w:eastAsia="仿宋" w:cs="Times New Roman"/>
                <w:color w:val="auto"/>
                <w:kern w:val="0"/>
                <w:sz w:val="18"/>
                <w:szCs w:val="18"/>
                <w:highlight w:val="none"/>
              </w:rPr>
              <w:t>10</w:t>
            </w:r>
            <w:r>
              <w:rPr>
                <w:rFonts w:hint="default" w:ascii="Times New Roman" w:hAnsi="Times New Roman" w:eastAsia="仿宋" w:cs="Times New Roman"/>
                <w:color w:val="auto"/>
                <w:kern w:val="0"/>
                <w:sz w:val="18"/>
                <w:szCs w:val="18"/>
                <w:highlight w:val="none"/>
                <w:vertAlign w:val="superscript"/>
              </w:rPr>
              <w:t>-3</w:t>
            </w:r>
            <w:r>
              <w:rPr>
                <w:rFonts w:hint="default" w:ascii="Times New Roman" w:hAnsi="Times New Roman" w:eastAsia="仿宋" w:cs="Times New Roman"/>
                <w:color w:val="auto"/>
                <w:sz w:val="18"/>
                <w:szCs w:val="18"/>
                <w:highlight w:val="none"/>
              </w:rPr>
              <w:t>kg N</w:t>
            </w:r>
            <w:r>
              <w:rPr>
                <w:rFonts w:hint="default" w:ascii="Times New Roman" w:hAnsi="Times New Roman" w:eastAsia="仿宋" w:cs="Times New Roman"/>
                <w:color w:val="auto"/>
                <w:sz w:val="18"/>
                <w:szCs w:val="18"/>
                <w:highlight w:val="none"/>
                <w:vertAlign w:val="subscript"/>
              </w:rPr>
              <w:t>2</w:t>
            </w:r>
            <w:r>
              <w:rPr>
                <w:rFonts w:hint="default" w:ascii="Times New Roman" w:hAnsi="Times New Roman" w:eastAsia="仿宋" w:cs="Times New Roman"/>
                <w:color w:val="auto"/>
                <w:sz w:val="18"/>
                <w:szCs w:val="18"/>
                <w:highlight w:val="none"/>
              </w:rPr>
              <w:t>O /</w:t>
            </w:r>
            <w:r>
              <w:rPr>
                <w:rFonts w:hint="eastAsia" w:eastAsia="仿宋" w:cs="Times New Roman"/>
                <w:color w:val="auto"/>
                <w:sz w:val="18"/>
                <w:szCs w:val="18"/>
                <w:highlight w:val="none"/>
                <w:lang w:eastAsia="zh-CN"/>
              </w:rPr>
              <w:t>kg</w:t>
            </w:r>
            <w:r>
              <w:rPr>
                <w:rFonts w:hint="default" w:ascii="Times New Roman" w:hAnsi="Times New Roman" w:eastAsia="仿宋" w:cs="Times New Roman"/>
                <w:color w:val="auto"/>
                <w:sz w:val="18"/>
                <w:szCs w:val="18"/>
                <w:highlight w:val="none"/>
                <w:lang w:val="en-US" w:eastAsia="zh-CN"/>
              </w:rPr>
              <w:t xml:space="preserve"> T</w:t>
            </w:r>
            <w:r>
              <w:rPr>
                <w:rFonts w:hint="default" w:ascii="Times New Roman" w:hAnsi="Times New Roman" w:eastAsia="仿宋" w:cs="Times New Roman"/>
                <w:color w:val="auto"/>
                <w:sz w:val="18"/>
                <w:szCs w:val="18"/>
                <w:highlight w:val="none"/>
              </w:rPr>
              <w:t>N</w:t>
            </w:r>
            <w:r>
              <w:rPr>
                <w:rFonts w:hint="default" w:ascii="Times New Roman" w:hAnsi="Times New Roman" w:eastAsia="仿宋" w:cs="Times New Roman"/>
                <w:color w:val="auto"/>
                <w:sz w:val="18"/>
                <w:szCs w:val="18"/>
                <w:highlight w:val="none"/>
                <w:vertAlign w:val="subscript"/>
                <w:lang w:val="en-US" w:eastAsia="zh-CN"/>
              </w:rPr>
              <w:t>RE</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vMerge w:val="continue"/>
            <w:tcBorders>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bCs/>
                <w:color w:val="auto"/>
                <w:kern w:val="0"/>
                <w:sz w:val="18"/>
                <w:szCs w:val="18"/>
                <w:highlight w:val="none"/>
                <w:lang w:bidi="ar"/>
              </w:rPr>
            </w:pPr>
          </w:p>
        </w:tc>
        <w:tc>
          <w:tcPr>
            <w:tcW w:w="1202" w:type="pct"/>
            <w:tcBorders>
              <w:top w:val="single" w:color="auto" w:sz="4" w:space="0"/>
              <w:tl2br w:val="nil"/>
              <w:tr2bl w:val="nil"/>
            </w:tcBorders>
            <w:shd w:val="clear" w:color="auto" w:fill="E7E6E6" w:themeFill="background2"/>
            <w:vAlign w:val="center"/>
          </w:tcPr>
          <w:p>
            <w:pPr>
              <w:widowControl/>
              <w:ind w:left="0" w:leftChars="0" w:firstLine="0" w:firstLineChars="0"/>
              <w:jc w:val="center"/>
              <w:textAlignment w:val="center"/>
              <w:rPr>
                <w:rFonts w:hint="default" w:ascii="Times New Roman" w:hAnsi="Times New Roman" w:eastAsia="仿宋" w:cs="Times New Roman"/>
                <w:color w:val="auto"/>
                <w:kern w:val="0"/>
                <w:sz w:val="18"/>
                <w:szCs w:val="18"/>
                <w:highlight w:val="none"/>
                <w:lang w:val="en-US" w:eastAsia="zh-CN"/>
              </w:rPr>
            </w:pPr>
            <w:r>
              <w:rPr>
                <w:rFonts w:hint="default" w:ascii="Times New Roman" w:hAnsi="Times New Roman" w:eastAsia="仿宋" w:cs="Times New Roman"/>
                <w:color w:val="auto"/>
                <w:kern w:val="0"/>
                <w:sz w:val="18"/>
                <w:szCs w:val="18"/>
                <w:highlight w:val="none"/>
                <w:lang w:val="en-US" w:eastAsia="zh-CN"/>
              </w:rPr>
              <w:t>-</w:t>
            </w:r>
          </w:p>
        </w:tc>
        <w:tc>
          <w:tcPr>
            <w:tcW w:w="1034" w:type="pct"/>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推流式</w:t>
            </w:r>
          </w:p>
        </w:tc>
        <w:tc>
          <w:tcPr>
            <w:tcW w:w="1034" w:type="pct"/>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完全混合式</w:t>
            </w:r>
          </w:p>
        </w:tc>
        <w:tc>
          <w:tcPr>
            <w:tcW w:w="1039" w:type="pct"/>
            <w:tcBorders>
              <w:top w:val="single" w:color="auto" w:sz="4" w:space="0"/>
              <w:tl2br w:val="nil"/>
              <w:tr2bl w:val="nil"/>
            </w:tcBorders>
            <w:shd w:val="clear" w:color="auto" w:fill="E7E6E6" w:themeFill="background2"/>
            <w:vAlign w:val="center"/>
          </w:tcPr>
          <w:p>
            <w:pPr>
              <w:widowControl/>
              <w:ind w:left="-2" w:leftChars="0" w:firstLine="0" w:firstLineChars="0"/>
              <w:jc w:val="center"/>
              <w:textAlignment w:val="center"/>
              <w:rPr>
                <w:rFonts w:hint="default" w:ascii="Times New Roman" w:hAnsi="Times New Roman" w:eastAsia="仿宋" w:cs="Times New Roman"/>
                <w:color w:val="auto"/>
                <w:kern w:val="0"/>
                <w:sz w:val="21"/>
                <w:szCs w:val="21"/>
                <w:highlight w:val="none"/>
                <w:lang w:val="en-US" w:eastAsia="zh-CN" w:bidi="ar-SA"/>
              </w:rPr>
            </w:pPr>
            <w:r>
              <w:rPr>
                <w:rFonts w:hint="eastAsia" w:eastAsia="仿宋" w:cs="Times New Roman"/>
                <w:color w:val="auto"/>
                <w:kern w:val="0"/>
                <w:sz w:val="21"/>
                <w:szCs w:val="21"/>
                <w:highlight w:val="none"/>
                <w:lang w:val="en-US" w:eastAsia="zh-CN" w:bidi="ar-SA"/>
              </w:rPr>
              <w:t>生物滤池</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bottom w:val="dotted" w:color="auto" w:sz="4" w:space="0"/>
              <w:right w:val="dotted" w:color="auto" w:sz="4" w:space="0"/>
              <w:tl2br w:val="nil"/>
              <w:tr2bl w:val="nil"/>
            </w:tcBorders>
            <w:shd w:val="clear" w:color="auto" w:fill="auto"/>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1月</w:t>
            </w:r>
          </w:p>
        </w:tc>
        <w:tc>
          <w:tcPr>
            <w:tcW w:w="2050" w:type="dxa"/>
            <w:tcBorders>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1.7 </w:t>
            </w:r>
          </w:p>
        </w:tc>
        <w:tc>
          <w:tcPr>
            <w:tcW w:w="1764" w:type="dxa"/>
            <w:tcBorders>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6.5 </w:t>
            </w:r>
          </w:p>
        </w:tc>
        <w:tc>
          <w:tcPr>
            <w:tcW w:w="1764" w:type="dxa"/>
            <w:tcBorders>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0.7 </w:t>
            </w:r>
          </w:p>
        </w:tc>
        <w:tc>
          <w:tcPr>
            <w:tcW w:w="1772" w:type="dxa"/>
            <w:tcBorders>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42.0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lang w:val="en-US" w:eastAsia="zh-CN"/>
              </w:rPr>
              <w:t>2月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1.4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4.9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0.4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30.5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3月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1.3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3.1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0.5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18.1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416"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4月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0.9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0.5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1.2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0.7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5月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bidi="ar"/>
              </w:rPr>
            </w:pPr>
            <w:r>
              <w:rPr>
                <w:rFonts w:hint="default" w:ascii="Times New Roman" w:hAnsi="Times New Roman" w:eastAsia="宋体" w:cs="Times New Roman"/>
                <w:i w:val="0"/>
                <w:iCs w:val="0"/>
                <w:color w:val="auto"/>
                <w:kern w:val="0"/>
                <w:sz w:val="22"/>
                <w:szCs w:val="22"/>
                <w:u w:val="none"/>
                <w:lang w:val="en-US" w:eastAsia="zh-CN" w:bidi="ar"/>
              </w:rPr>
              <w:t xml:space="preserve">4.1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20.2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2.2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4.7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6月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bidi="ar"/>
              </w:rPr>
            </w:pPr>
            <w:r>
              <w:rPr>
                <w:rFonts w:hint="default" w:ascii="Times New Roman" w:hAnsi="Times New Roman" w:eastAsia="宋体" w:cs="Times New Roman"/>
                <w:i w:val="0"/>
                <w:iCs w:val="0"/>
                <w:color w:val="auto"/>
                <w:kern w:val="0"/>
                <w:sz w:val="22"/>
                <w:szCs w:val="22"/>
                <w:u w:val="none"/>
                <w:lang w:val="en-US" w:eastAsia="zh-CN" w:bidi="ar"/>
              </w:rPr>
              <w:t xml:space="preserve">10.1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11.3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1.9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15.5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7月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bidi="ar"/>
              </w:rPr>
            </w:pPr>
            <w:r>
              <w:rPr>
                <w:rFonts w:hint="default" w:ascii="Times New Roman" w:hAnsi="Times New Roman" w:eastAsia="宋体" w:cs="Times New Roman"/>
                <w:i w:val="0"/>
                <w:iCs w:val="0"/>
                <w:color w:val="auto"/>
                <w:kern w:val="0"/>
                <w:sz w:val="22"/>
                <w:szCs w:val="22"/>
                <w:u w:val="none"/>
                <w:lang w:val="en-US" w:eastAsia="zh-CN" w:bidi="ar"/>
              </w:rPr>
              <w:t xml:space="preserve">16.1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2.0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1.5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24.5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8月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bidi="ar"/>
              </w:rPr>
            </w:pPr>
            <w:r>
              <w:rPr>
                <w:rFonts w:hint="default" w:ascii="Times New Roman" w:hAnsi="Times New Roman" w:eastAsia="宋体" w:cs="Times New Roman"/>
                <w:i w:val="0"/>
                <w:iCs w:val="0"/>
                <w:color w:val="auto"/>
                <w:kern w:val="0"/>
                <w:sz w:val="22"/>
                <w:szCs w:val="22"/>
                <w:u w:val="none"/>
                <w:lang w:val="en-US" w:eastAsia="zh-CN" w:bidi="ar"/>
              </w:rPr>
              <w:t xml:space="preserve">6.2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5.2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1.0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1.8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9月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4.5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9.0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2.5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5.2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10月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2.1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1.6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0.3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5.4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11月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1.8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3.8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1.0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52.4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0" w:leftChars="0" w:hanging="3" w:firstLineChars="0"/>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仿宋" w:cs="Times New Roman"/>
                <w:color w:val="auto"/>
                <w:sz w:val="18"/>
                <w:szCs w:val="18"/>
                <w:highlight w:val="none"/>
                <w:lang w:val="en-US" w:eastAsia="zh-CN"/>
              </w:rPr>
              <w:t>12月</w:t>
            </w:r>
          </w:p>
        </w:tc>
        <w:tc>
          <w:tcPr>
            <w:tcW w:w="2050"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宋体" w:cs="Times New Roman"/>
                <w:i w:val="0"/>
                <w:iCs w:val="0"/>
                <w:color w:val="auto"/>
                <w:kern w:val="0"/>
                <w:sz w:val="22"/>
                <w:szCs w:val="22"/>
                <w:u w:val="none"/>
                <w:lang w:val="en-US" w:eastAsia="zh-CN" w:bidi="ar"/>
              </w:rPr>
              <w:t xml:space="preserve">1.9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30.4 </w:t>
            </w:r>
          </w:p>
        </w:tc>
        <w:tc>
          <w:tcPr>
            <w:tcW w:w="1764"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0"/>
                <w:sz w:val="18"/>
                <w:szCs w:val="18"/>
                <w:highlight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1.0 </w:t>
            </w:r>
          </w:p>
        </w:tc>
        <w:tc>
          <w:tcPr>
            <w:tcW w:w="1772" w:type="dxa"/>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78.9 </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gridAfter w:val="1"/>
          <w:wAfter w:w="5" w:type="pct"/>
          <w:trHeight w:val="397" w:hRule="atLeast"/>
        </w:trPr>
        <w:tc>
          <w:tcPr>
            <w:tcW w:w="684" w:type="pct"/>
            <w:tcBorders>
              <w:top w:val="dotted" w:color="auto" w:sz="4" w:space="0"/>
              <w:bottom w:val="single" w:color="auto" w:sz="4" w:space="0"/>
              <w:right w:val="dotted" w:color="auto" w:sz="4" w:space="0"/>
              <w:tl2br w:val="nil"/>
              <w:tr2bl w:val="nil"/>
            </w:tcBorders>
            <w:shd w:val="clear" w:color="auto" w:fill="E7E6E6" w:themeFill="background2"/>
            <w:vAlign w:val="center"/>
          </w:tcPr>
          <w:p>
            <w:pPr>
              <w:widowControl/>
              <w:ind w:left="0" w:leftChars="0" w:hanging="3"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平均值</w:t>
            </w:r>
          </w:p>
        </w:tc>
        <w:tc>
          <w:tcPr>
            <w:tcW w:w="2050" w:type="dxa"/>
            <w:tcBorders>
              <w:top w:val="dotted" w:color="auto" w:sz="4" w:space="0"/>
              <w:left w:val="dotted" w:color="auto" w:sz="4" w:space="0"/>
              <w:bottom w:val="single" w:color="auto" w:sz="4" w:space="0"/>
              <w:right w:val="dotted" w:color="auto" w:sz="4" w:space="0"/>
              <w:tl2br w:val="nil"/>
              <w:tr2bl w:val="nil"/>
            </w:tcBorders>
            <w:shd w:val="clear" w:color="auto" w:fill="E7E6E6" w:themeFill="background2"/>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4.3 </w:t>
            </w:r>
          </w:p>
        </w:tc>
        <w:tc>
          <w:tcPr>
            <w:tcW w:w="1764" w:type="dxa"/>
            <w:tcBorders>
              <w:top w:val="dotted" w:color="auto" w:sz="4" w:space="0"/>
              <w:left w:val="dotted" w:color="auto" w:sz="4" w:space="0"/>
              <w:bottom w:val="single" w:color="auto" w:sz="4" w:space="0"/>
              <w:right w:val="dotted" w:color="auto" w:sz="4" w:space="0"/>
              <w:tl2br w:val="nil"/>
              <w:tr2bl w:val="nil"/>
            </w:tcBorders>
            <w:shd w:val="clear" w:color="auto" w:fill="E7E6E6" w:themeFill="background2"/>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8.2 </w:t>
            </w:r>
          </w:p>
        </w:tc>
        <w:tc>
          <w:tcPr>
            <w:tcW w:w="1764" w:type="dxa"/>
            <w:tcBorders>
              <w:top w:val="dotted" w:color="auto" w:sz="4" w:space="0"/>
              <w:left w:val="dotted" w:color="auto" w:sz="4" w:space="0"/>
              <w:bottom w:val="single" w:color="auto" w:sz="4" w:space="0"/>
              <w:right w:val="dotted" w:color="auto" w:sz="4" w:space="0"/>
              <w:tl2br w:val="nil"/>
              <w:tr2bl w:val="nil"/>
            </w:tcBorders>
            <w:shd w:val="clear" w:color="auto" w:fill="E7E6E6" w:themeFill="background2"/>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1.2 </w:t>
            </w:r>
          </w:p>
        </w:tc>
        <w:tc>
          <w:tcPr>
            <w:tcW w:w="1772" w:type="dxa"/>
            <w:tcBorders>
              <w:top w:val="dotted" w:color="auto" w:sz="4" w:space="0"/>
              <w:left w:val="dotted" w:color="auto" w:sz="4" w:space="0"/>
              <w:bottom w:val="single" w:color="auto" w:sz="4" w:space="0"/>
              <w:right w:val="dotted" w:color="auto" w:sz="4" w:space="0"/>
              <w:tl2br w:val="nil"/>
              <w:tr2bl w:val="nil"/>
            </w:tcBorders>
            <w:shd w:val="clear" w:color="auto" w:fill="E7E6E6" w:themeFill="background2"/>
            <w:vAlign w:val="center"/>
          </w:tcPr>
          <w:p>
            <w:pPr>
              <w:keepNext w:val="0"/>
              <w:keepLines w:val="0"/>
              <w:widowControl/>
              <w:suppressLineNumbers w:val="0"/>
              <w:ind w:left="778" w:leftChars="0" w:hanging="778" w:hangingChars="354"/>
              <w:jc w:val="center"/>
              <w:textAlignment w:val="center"/>
              <w:rPr>
                <w:rFonts w:hint="default" w:ascii="Times New Roman" w:hAnsi="Times New Roman" w:eastAsia="仿宋"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23.3 </w:t>
            </w:r>
          </w:p>
        </w:tc>
      </w:tr>
    </w:tbl>
    <w:p>
      <w:pPr>
        <w:ind w:left="0" w:firstLine="0" w:firstLineChars="0"/>
        <w:rPr>
          <w:rFonts w:hint="default" w:ascii="Times New Roman" w:hAnsi="Times New Roman" w:eastAsia="仿宋" w:cs="Times New Roman"/>
          <w:b/>
          <w:bCs/>
          <w:color w:val="auto"/>
          <w:highlight w:val="none"/>
        </w:rPr>
      </w:pPr>
      <w:r>
        <w:rPr>
          <w:rFonts w:hint="default" w:ascii="Times New Roman" w:hAnsi="Times New Roman" w:eastAsia="仿宋" w:cs="Times New Roman"/>
          <w:b/>
          <w:bCs/>
          <w:color w:val="auto"/>
          <w:highlight w:val="none"/>
        </w:rPr>
        <w:t>（5）污泥厌氧消化处理</w:t>
      </w:r>
      <w:r>
        <w:rPr>
          <w:rFonts w:hint="default" w:ascii="Times New Roman" w:hAnsi="Times New Roman" w:eastAsia="仿宋" w:cs="Times New Roman"/>
          <w:b/>
          <w:bCs/>
          <w:color w:val="auto"/>
          <w:highlight w:val="none"/>
          <w:lang w:val="en-US" w:eastAsia="zh-CN"/>
        </w:rPr>
        <w:t>设施</w:t>
      </w:r>
      <w:r>
        <w:rPr>
          <w:rFonts w:hint="default" w:ascii="Times New Roman" w:hAnsi="Times New Roman" w:eastAsia="仿宋" w:cs="Times New Roman"/>
          <w:b/>
          <w:bCs/>
          <w:color w:val="auto"/>
          <w:highlight w:val="none"/>
        </w:rPr>
        <w:t>甲烷</w:t>
      </w:r>
      <w:r>
        <w:rPr>
          <w:rFonts w:hint="default" w:ascii="Times New Roman" w:hAnsi="Times New Roman" w:eastAsia="仿宋" w:cs="Times New Roman"/>
          <w:b/>
          <w:bCs/>
          <w:color w:val="auto"/>
          <w:highlight w:val="none"/>
          <w:lang w:val="en-US" w:eastAsia="zh-CN"/>
        </w:rPr>
        <w:t>排放</w:t>
      </w:r>
      <w:r>
        <w:rPr>
          <w:rFonts w:hint="default" w:ascii="Times New Roman" w:hAnsi="Times New Roman" w:eastAsia="仿宋" w:cs="Times New Roman"/>
          <w:b/>
          <w:bCs/>
          <w:color w:val="auto"/>
          <w:highlight w:val="none"/>
        </w:rPr>
        <w:t>因子</w:t>
      </w:r>
      <w:r>
        <w:rPr>
          <w:rFonts w:hint="default" w:ascii="Times New Roman" w:hAnsi="Times New Roman" w:eastAsia="仿宋" w:cs="Times New Roman"/>
          <w:b/>
          <w:bCs/>
          <w:color w:val="auto"/>
          <w:highlight w:val="none"/>
          <w:lang w:val="en-US" w:eastAsia="zh-CN"/>
        </w:rPr>
        <w:t>的确定</w:t>
      </w:r>
      <w:r>
        <w:rPr>
          <w:rFonts w:hint="default" w:ascii="Times New Roman" w:hAnsi="Times New Roman" w:eastAsia="仿宋" w:cs="Times New Roman"/>
          <w:b/>
          <w:bCs/>
          <w:color w:val="auto"/>
          <w:highlight w:val="none"/>
        </w:rPr>
        <w:t>：</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污泥厌氧消化系统产生的沼气在产生、输送、净化、利用等过程均可能产生逸散。IPCC报告指出，厌氧消化产生的甲烷逸散通常在0%~10%之间。近年来，相关机构在对沼气系统实测研究的基础上，表明IPCC数据可能存在排放量高估的可能，欧洲的沼气系统甲烷逸散量主要集中在0%~2%之间。在运营良好，即未发生安全阀释放、储气罐</w:t>
      </w:r>
      <w:bookmarkStart w:id="93" w:name="lawyee_8597_2"/>
      <w:r>
        <w:rPr>
          <w:rFonts w:hint="default" w:ascii="Times New Roman" w:hAnsi="Times New Roman" w:eastAsia="仿宋" w:cs="Times New Roman"/>
          <w:color w:val="auto"/>
          <w:highlight w:val="none"/>
        </w:rPr>
        <w:t>泄露</w:t>
      </w:r>
      <w:bookmarkEnd w:id="93"/>
      <w:r>
        <w:rPr>
          <w:rFonts w:hint="default" w:ascii="Times New Roman" w:hAnsi="Times New Roman" w:eastAsia="仿宋" w:cs="Times New Roman"/>
          <w:color w:val="auto"/>
          <w:highlight w:val="none"/>
        </w:rPr>
        <w:t>的厌氧消化系统，可忽略甲烷排放；未良好运营的消化设施，甲烷</w:t>
      </w:r>
      <w:r>
        <w:rPr>
          <w:rFonts w:hint="default" w:ascii="Times New Roman" w:hAnsi="Times New Roman" w:eastAsia="仿宋" w:cs="Times New Roman"/>
          <w:color w:val="auto"/>
          <w:highlight w:val="none"/>
          <w:lang w:val="en-US" w:eastAsia="zh-CN"/>
        </w:rPr>
        <w:t>排放量</w:t>
      </w:r>
      <w:r>
        <w:rPr>
          <w:rFonts w:hint="default" w:ascii="Times New Roman" w:hAnsi="Times New Roman" w:eastAsia="仿宋" w:cs="Times New Roman"/>
          <w:color w:val="auto"/>
          <w:highlight w:val="none"/>
        </w:rPr>
        <w:t>宜采用实测值。</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针对消化池、沼气储存及利用系统等大型构筑物，需采用</w:t>
      </w:r>
      <w:r>
        <w:rPr>
          <w:rFonts w:hint="eastAsia" w:eastAsia="仿宋" w:cs="Times New Roman"/>
          <w:color w:val="auto"/>
          <w:highlight w:val="none"/>
          <w:lang w:val="en-US" w:eastAsia="zh-CN"/>
        </w:rPr>
        <w:t>高精度走航监测耦合扩散模型反演</w:t>
      </w:r>
      <w:r>
        <w:rPr>
          <w:rFonts w:hint="default" w:ascii="Times New Roman" w:hAnsi="Times New Roman" w:eastAsia="仿宋" w:cs="Times New Roman"/>
          <w:color w:val="auto"/>
          <w:highlight w:val="none"/>
        </w:rPr>
        <w:t>等方法。</w:t>
      </w:r>
      <w:r>
        <w:rPr>
          <w:rFonts w:hint="eastAsia" w:eastAsia="仿宋" w:cs="Times New Roman"/>
          <w:color w:val="auto"/>
          <w:highlight w:val="none"/>
          <w:lang w:val="en-US" w:eastAsia="zh-CN"/>
        </w:rPr>
        <w:t>北京市已</w:t>
      </w:r>
      <w:r>
        <w:rPr>
          <w:rFonts w:hint="default" w:ascii="Times New Roman" w:hAnsi="Times New Roman" w:eastAsia="仿宋" w:cs="Times New Roman"/>
          <w:color w:val="auto"/>
          <w:highlight w:val="none"/>
        </w:rPr>
        <w:t>在此领域</w:t>
      </w:r>
      <w:r>
        <w:rPr>
          <w:rFonts w:hint="eastAsia" w:eastAsia="仿宋" w:cs="Times New Roman"/>
          <w:color w:val="auto"/>
          <w:highlight w:val="none"/>
          <w:lang w:val="en-US" w:eastAsia="zh-CN"/>
        </w:rPr>
        <w:t>开展验证性测试，获得部分监测数据，但系统性监测</w:t>
      </w:r>
      <w:r>
        <w:rPr>
          <w:rFonts w:hint="default" w:ascii="Times New Roman" w:hAnsi="Times New Roman" w:eastAsia="仿宋" w:cs="Times New Roman"/>
          <w:color w:val="auto"/>
          <w:highlight w:val="none"/>
        </w:rPr>
        <w:t>尚缺少可靠实践。为此，本标准在确定</w:t>
      </w:r>
      <w:r>
        <w:rPr>
          <w:rFonts w:hint="eastAsia" w:eastAsia="仿宋" w:cs="Times New Roman"/>
          <w:color w:val="auto"/>
          <w:highlight w:val="none"/>
          <w:lang w:val="en-US" w:eastAsia="zh-CN"/>
        </w:rPr>
        <w:t>厌氧</w:t>
      </w:r>
      <w:r>
        <w:rPr>
          <w:rFonts w:hint="default" w:ascii="Times New Roman" w:hAnsi="Times New Roman" w:eastAsia="仿宋" w:cs="Times New Roman"/>
          <w:color w:val="auto"/>
          <w:highlight w:val="none"/>
        </w:rPr>
        <w:t>消化</w:t>
      </w:r>
      <w:r>
        <w:rPr>
          <w:rFonts w:hint="eastAsia" w:eastAsia="仿宋" w:cs="Times New Roman"/>
          <w:color w:val="auto"/>
          <w:highlight w:val="none"/>
          <w:lang w:val="en-US" w:eastAsia="zh-CN"/>
        </w:rPr>
        <w:t>甲烷排放</w:t>
      </w:r>
      <w:r>
        <w:rPr>
          <w:rFonts w:hint="default" w:ascii="Times New Roman" w:hAnsi="Times New Roman" w:eastAsia="仿宋" w:cs="Times New Roman"/>
          <w:color w:val="auto"/>
          <w:highlight w:val="none"/>
        </w:rPr>
        <w:t>因子时，</w:t>
      </w:r>
      <w:r>
        <w:rPr>
          <w:rFonts w:hint="eastAsia" w:eastAsia="仿宋" w:cs="Times New Roman"/>
          <w:color w:val="auto"/>
          <w:highlight w:val="none"/>
          <w:lang w:val="en-US" w:eastAsia="zh-CN"/>
        </w:rPr>
        <w:t>仍</w:t>
      </w:r>
      <w:r>
        <w:rPr>
          <w:rFonts w:hint="default" w:ascii="Times New Roman" w:hAnsi="Times New Roman" w:eastAsia="仿宋" w:cs="Times New Roman"/>
          <w:color w:val="auto"/>
          <w:highlight w:val="none"/>
        </w:rPr>
        <w:t>采用文献调研数据，</w:t>
      </w:r>
      <w:r>
        <w:rPr>
          <w:rFonts w:hint="eastAsia" w:eastAsia="仿宋" w:cs="Times New Roman"/>
          <w:color w:val="auto"/>
          <w:highlight w:val="none"/>
          <w:lang w:val="en-US" w:eastAsia="zh-CN"/>
        </w:rPr>
        <w:t>并</w:t>
      </w:r>
      <w:r>
        <w:rPr>
          <w:rFonts w:hint="default" w:ascii="Times New Roman" w:hAnsi="Times New Roman" w:eastAsia="仿宋" w:cs="Times New Roman"/>
          <w:color w:val="auto"/>
          <w:highlight w:val="none"/>
        </w:rPr>
        <w:t>选取甲烷排放中位值作为</w:t>
      </w:r>
      <w:r>
        <w:rPr>
          <w:rFonts w:hint="eastAsia" w:eastAsia="仿宋" w:cs="Times New Roman"/>
          <w:color w:val="auto"/>
          <w:highlight w:val="none"/>
          <w:lang w:val="en-US" w:eastAsia="zh-CN"/>
        </w:rPr>
        <w:t>推荐</w:t>
      </w:r>
      <w:r>
        <w:rPr>
          <w:rFonts w:hint="default" w:ascii="Times New Roman" w:hAnsi="Times New Roman" w:eastAsia="仿宋" w:cs="Times New Roman"/>
          <w:color w:val="auto"/>
          <w:highlight w:val="none"/>
        </w:rPr>
        <w:t>因子。</w:t>
      </w:r>
    </w:p>
    <w:p>
      <w:pPr>
        <w:ind w:left="0"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表</w:t>
      </w:r>
      <w:r>
        <w:rPr>
          <w:rFonts w:hint="eastAsia"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厌氧消化设施</w:t>
      </w:r>
      <w:r>
        <w:rPr>
          <w:rFonts w:hint="default" w:ascii="Times New Roman" w:hAnsi="Times New Roman" w:eastAsia="仿宋" w:cs="Times New Roman"/>
          <w:color w:val="auto"/>
          <w:sz w:val="21"/>
          <w:szCs w:val="21"/>
          <w:highlight w:val="none"/>
        </w:rPr>
        <w:t>甲烷</w:t>
      </w:r>
      <w:r>
        <w:rPr>
          <w:rFonts w:hint="default" w:ascii="Times New Roman" w:hAnsi="Times New Roman" w:eastAsia="仿宋" w:cs="Times New Roman"/>
          <w:color w:val="auto"/>
          <w:sz w:val="21"/>
          <w:szCs w:val="21"/>
          <w:highlight w:val="none"/>
          <w:lang w:val="en-US" w:eastAsia="zh-CN"/>
        </w:rPr>
        <w:t>排放</w:t>
      </w:r>
      <w:r>
        <w:rPr>
          <w:rFonts w:hint="default" w:ascii="Times New Roman" w:hAnsi="Times New Roman" w:eastAsia="仿宋" w:cs="Times New Roman"/>
          <w:color w:val="auto"/>
          <w:sz w:val="21"/>
          <w:szCs w:val="21"/>
          <w:highlight w:val="none"/>
        </w:rPr>
        <w:t>因子</w:t>
      </w:r>
    </w:p>
    <w:tbl>
      <w:tblPr>
        <w:tblStyle w:val="26"/>
        <w:tblW w:w="4997" w:type="pct"/>
        <w:tblInd w:w="0" w:type="dxa"/>
        <w:tblLayout w:type="autofit"/>
        <w:tblCellMar>
          <w:top w:w="0" w:type="dxa"/>
          <w:left w:w="108" w:type="dxa"/>
          <w:bottom w:w="0" w:type="dxa"/>
          <w:right w:w="108" w:type="dxa"/>
        </w:tblCellMar>
      </w:tblPr>
      <w:tblGrid>
        <w:gridCol w:w="2484"/>
        <w:gridCol w:w="2810"/>
        <w:gridCol w:w="3229"/>
      </w:tblGrid>
      <w:tr>
        <w:tblPrEx>
          <w:tblCellMar>
            <w:top w:w="0" w:type="dxa"/>
            <w:left w:w="108" w:type="dxa"/>
            <w:bottom w:w="0" w:type="dxa"/>
            <w:right w:w="108" w:type="dxa"/>
          </w:tblCellMar>
        </w:tblPrEx>
        <w:trPr>
          <w:trHeight w:val="397" w:hRule="atLeast"/>
        </w:trPr>
        <w:tc>
          <w:tcPr>
            <w:tcW w:w="1457" w:type="pct"/>
            <w:tcBorders>
              <w:top w:val="single" w:color="auto" w:sz="8" w:space="0"/>
              <w:left w:val="nil"/>
              <w:bottom w:val="single" w:color="auto" w:sz="8" w:space="0"/>
              <w:right w:val="single" w:color="auto" w:sz="8" w:space="0"/>
            </w:tcBorders>
            <w:shd w:val="clear" w:color="auto" w:fill="E7E6E6" w:themeFill="background2"/>
            <w:noWrap/>
            <w:vAlign w:val="center"/>
          </w:tcPr>
          <w:p>
            <w:pPr>
              <w:widowControl/>
              <w:ind w:left="0" w:hanging="3" w:firstLineChars="0"/>
              <w:jc w:val="center"/>
              <w:textAlignment w:val="center"/>
              <w:rPr>
                <w:rFonts w:hint="default" w:ascii="Times New Roman" w:hAnsi="Times New Roman" w:eastAsia="仿宋" w:cs="Times New Roman"/>
                <w:b/>
                <w:bCs/>
                <w:color w:val="auto"/>
                <w:sz w:val="18"/>
                <w:szCs w:val="18"/>
                <w:highlight w:val="none"/>
              </w:rPr>
            </w:pPr>
          </w:p>
        </w:tc>
        <w:tc>
          <w:tcPr>
            <w:tcW w:w="1648" w:type="pct"/>
            <w:tcBorders>
              <w:top w:val="single" w:color="auto" w:sz="8" w:space="0"/>
              <w:left w:val="single" w:color="auto" w:sz="8" w:space="0"/>
              <w:bottom w:val="single" w:color="auto" w:sz="8" w:space="0"/>
              <w:right w:val="single" w:color="auto" w:sz="8" w:space="0"/>
            </w:tcBorders>
            <w:shd w:val="clear" w:color="auto" w:fill="E7E6E6" w:themeFill="background2"/>
            <w:noWrap/>
            <w:vAlign w:val="center"/>
          </w:tcPr>
          <w:p>
            <w:pPr>
              <w:widowControl/>
              <w:ind w:left="0" w:firstLine="0" w:firstLineChars="0"/>
              <w:jc w:val="center"/>
              <w:textAlignment w:val="center"/>
              <w:rPr>
                <w:rFonts w:hint="default" w:ascii="Times New Roman" w:hAnsi="Times New Roman" w:eastAsia="仿宋" w:cs="Times New Roman"/>
                <w:b w:val="0"/>
                <w:bCs w:val="0"/>
                <w:color w:val="auto"/>
                <w:sz w:val="18"/>
                <w:szCs w:val="18"/>
                <w:highlight w:val="none"/>
              </w:rPr>
            </w:pPr>
            <w:r>
              <w:rPr>
                <w:rStyle w:val="77"/>
                <w:rFonts w:hint="default" w:ascii="Times New Roman" w:hAnsi="Times New Roman" w:eastAsia="仿宋" w:cs="Times New Roman"/>
                <w:b w:val="0"/>
                <w:bCs w:val="0"/>
                <w:color w:val="auto"/>
                <w:sz w:val="18"/>
                <w:szCs w:val="18"/>
                <w:highlight w:val="none"/>
                <w:lang w:bidi="ar"/>
              </w:rPr>
              <w:t>混凝土设施</w:t>
            </w:r>
          </w:p>
        </w:tc>
        <w:tc>
          <w:tcPr>
            <w:tcW w:w="1893" w:type="pct"/>
            <w:tcBorders>
              <w:top w:val="single" w:color="auto" w:sz="8" w:space="0"/>
              <w:left w:val="single" w:color="auto" w:sz="8" w:space="0"/>
              <w:bottom w:val="single" w:color="auto" w:sz="8" w:space="0"/>
            </w:tcBorders>
            <w:shd w:val="clear" w:color="auto" w:fill="E7E6E6" w:themeFill="background2"/>
            <w:noWrap/>
            <w:vAlign w:val="center"/>
          </w:tcPr>
          <w:p>
            <w:pPr>
              <w:widowControl/>
              <w:ind w:left="0" w:hanging="3" w:firstLineChars="0"/>
              <w:jc w:val="center"/>
              <w:textAlignment w:val="center"/>
              <w:rPr>
                <w:rStyle w:val="77"/>
                <w:rFonts w:hint="default" w:ascii="Times New Roman" w:hAnsi="Times New Roman" w:eastAsia="仿宋" w:cs="Times New Roman"/>
                <w:b w:val="0"/>
                <w:bCs w:val="0"/>
                <w:color w:val="auto"/>
                <w:sz w:val="18"/>
                <w:szCs w:val="18"/>
                <w:highlight w:val="none"/>
                <w:lang w:bidi="ar"/>
              </w:rPr>
            </w:pPr>
            <w:r>
              <w:rPr>
                <w:rStyle w:val="77"/>
                <w:rFonts w:hint="default" w:ascii="Times New Roman" w:hAnsi="Times New Roman" w:eastAsia="仿宋" w:cs="Times New Roman"/>
                <w:b w:val="0"/>
                <w:bCs w:val="0"/>
                <w:color w:val="auto"/>
                <w:sz w:val="18"/>
                <w:szCs w:val="18"/>
                <w:highlight w:val="none"/>
                <w:lang w:bidi="ar"/>
              </w:rPr>
              <w:t>双膜气柜</w:t>
            </w:r>
          </w:p>
        </w:tc>
      </w:tr>
      <w:tr>
        <w:tblPrEx>
          <w:tblCellMar>
            <w:top w:w="0" w:type="dxa"/>
            <w:left w:w="108" w:type="dxa"/>
            <w:bottom w:w="0" w:type="dxa"/>
            <w:right w:w="108" w:type="dxa"/>
          </w:tblCellMar>
        </w:tblPrEx>
        <w:trPr>
          <w:trHeight w:val="397" w:hRule="atLeast"/>
        </w:trPr>
        <w:tc>
          <w:tcPr>
            <w:tcW w:w="1457" w:type="pct"/>
            <w:tcBorders>
              <w:top w:val="single" w:color="auto" w:sz="8" w:space="0"/>
              <w:left w:val="nil"/>
              <w:bottom w:val="dotted" w:color="auto" w:sz="4" w:space="0"/>
              <w:right w:val="dotted" w:color="auto" w:sz="4" w:space="0"/>
            </w:tcBorders>
            <w:shd w:val="clear" w:color="auto" w:fill="auto"/>
            <w:noWrap/>
            <w:vAlign w:val="center"/>
          </w:tcPr>
          <w:p>
            <w:pPr>
              <w:widowControl/>
              <w:ind w:left="0" w:leftChars="0" w:hanging="3" w:firstLineChars="0"/>
              <w:jc w:val="center"/>
              <w:textAlignment w:val="center"/>
              <w:rPr>
                <w:rFonts w:hint="default" w:ascii="Times New Roman" w:hAnsi="Times New Roman" w:eastAsia="仿宋" w:cs="Times New Roman"/>
                <w:color w:val="auto"/>
                <w:sz w:val="18"/>
                <w:szCs w:val="18"/>
                <w:highlight w:val="yellow"/>
              </w:rPr>
            </w:pPr>
            <w:r>
              <w:rPr>
                <w:rFonts w:hint="default" w:ascii="Times New Roman" w:hAnsi="Times New Roman" w:eastAsia="仿宋" w:cs="Times New Roman"/>
                <w:color w:val="auto"/>
                <w:sz w:val="18"/>
                <w:szCs w:val="18"/>
                <w:highlight w:val="none"/>
              </w:rPr>
              <w:t>平均值</w:t>
            </w:r>
          </w:p>
        </w:tc>
        <w:tc>
          <w:tcPr>
            <w:tcW w:w="1648" w:type="pct"/>
            <w:tcBorders>
              <w:top w:val="single" w:color="auto" w:sz="8" w:space="0"/>
              <w:left w:val="dotted" w:color="auto" w:sz="4" w:space="0"/>
              <w:bottom w:val="dotted" w:color="auto" w:sz="4" w:space="0"/>
              <w:right w:val="dotted" w:color="auto" w:sz="4" w:space="0"/>
            </w:tcBorders>
            <w:shd w:val="clear" w:color="auto" w:fill="auto"/>
            <w:noWrap/>
            <w:vAlign w:val="center"/>
          </w:tcPr>
          <w:p>
            <w:pPr>
              <w:ind w:left="0" w:leftChars="0" w:firstLine="0" w:firstLineChars="0"/>
              <w:jc w:val="center"/>
              <w:rPr>
                <w:rFonts w:hint="default" w:ascii="Times New Roman" w:hAnsi="Times New Roman" w:eastAsia="仿宋" w:cs="Times New Roman"/>
                <w:color w:val="auto"/>
                <w:sz w:val="18"/>
                <w:szCs w:val="18"/>
                <w:highlight w:val="yellow"/>
              </w:rPr>
            </w:pPr>
            <w:r>
              <w:rPr>
                <w:rFonts w:hint="default" w:ascii="Times New Roman" w:hAnsi="Times New Roman" w:eastAsia="仿宋" w:cs="Times New Roman"/>
                <w:color w:val="auto"/>
                <w:sz w:val="18"/>
                <w:szCs w:val="18"/>
                <w:highlight w:val="none"/>
              </w:rPr>
              <w:t>0.366%</w:t>
            </w:r>
          </w:p>
        </w:tc>
        <w:tc>
          <w:tcPr>
            <w:tcW w:w="1893" w:type="pct"/>
            <w:tcBorders>
              <w:top w:val="single" w:color="auto" w:sz="8" w:space="0"/>
              <w:left w:val="dotted" w:color="auto" w:sz="4" w:space="0"/>
              <w:bottom w:val="dotted" w:color="auto" w:sz="4" w:space="0"/>
            </w:tcBorders>
            <w:shd w:val="clear" w:color="auto" w:fill="auto"/>
            <w:noWrap/>
            <w:vAlign w:val="center"/>
          </w:tcPr>
          <w:p>
            <w:pPr>
              <w:widowControl/>
              <w:ind w:left="0" w:leftChars="0" w:hanging="3" w:firstLineChars="0"/>
              <w:jc w:val="center"/>
              <w:textAlignment w:val="center"/>
              <w:rPr>
                <w:rFonts w:hint="default" w:ascii="Times New Roman" w:hAnsi="Times New Roman" w:eastAsia="仿宋" w:cs="Times New Roman"/>
                <w:color w:val="auto"/>
                <w:sz w:val="18"/>
                <w:szCs w:val="18"/>
                <w:highlight w:val="yellow"/>
              </w:rPr>
            </w:pPr>
            <w:r>
              <w:rPr>
                <w:rFonts w:hint="default" w:ascii="Times New Roman" w:hAnsi="Times New Roman" w:eastAsia="仿宋" w:cs="Times New Roman"/>
                <w:color w:val="auto"/>
                <w:sz w:val="18"/>
                <w:szCs w:val="18"/>
                <w:highlight w:val="none"/>
              </w:rPr>
              <w:t>0.150%</w:t>
            </w:r>
          </w:p>
        </w:tc>
      </w:tr>
      <w:tr>
        <w:tblPrEx>
          <w:tblCellMar>
            <w:top w:w="0" w:type="dxa"/>
            <w:left w:w="108" w:type="dxa"/>
            <w:bottom w:w="0" w:type="dxa"/>
            <w:right w:w="108" w:type="dxa"/>
          </w:tblCellMar>
        </w:tblPrEx>
        <w:trPr>
          <w:trHeight w:val="397" w:hRule="atLeast"/>
        </w:trPr>
        <w:tc>
          <w:tcPr>
            <w:tcW w:w="1457" w:type="pct"/>
            <w:tcBorders>
              <w:top w:val="dotted" w:color="auto" w:sz="4" w:space="0"/>
              <w:left w:val="nil"/>
              <w:bottom w:val="single" w:color="auto" w:sz="8" w:space="0"/>
              <w:right w:val="dotted" w:color="auto" w:sz="4" w:space="0"/>
            </w:tcBorders>
            <w:shd w:val="clear" w:color="auto" w:fill="auto"/>
            <w:noWrap/>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中位值</w:t>
            </w:r>
          </w:p>
        </w:tc>
        <w:tc>
          <w:tcPr>
            <w:tcW w:w="1648" w:type="pct"/>
            <w:tcBorders>
              <w:top w:val="dotted" w:color="auto" w:sz="4" w:space="0"/>
              <w:left w:val="dotted" w:color="auto" w:sz="4" w:space="0"/>
              <w:bottom w:val="single" w:color="auto" w:sz="8" w:space="0"/>
              <w:right w:val="dotted" w:color="auto" w:sz="4" w:space="0"/>
            </w:tcBorders>
            <w:shd w:val="clear" w:color="auto" w:fill="auto"/>
            <w:noWrap/>
            <w:vAlign w:val="center"/>
          </w:tcPr>
          <w:p>
            <w:pPr>
              <w:ind w:left="0" w:firstLine="0" w:firstLineChars="0"/>
              <w:jc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0.278%</w:t>
            </w:r>
          </w:p>
        </w:tc>
        <w:tc>
          <w:tcPr>
            <w:tcW w:w="1893" w:type="pct"/>
            <w:tcBorders>
              <w:top w:val="dotted" w:color="auto" w:sz="4" w:space="0"/>
              <w:left w:val="dotted" w:color="auto" w:sz="4" w:space="0"/>
              <w:bottom w:val="single" w:color="auto" w:sz="8" w:space="0"/>
            </w:tcBorders>
            <w:shd w:val="clear" w:color="auto" w:fill="auto"/>
            <w:noWrap/>
            <w:vAlign w:val="center"/>
          </w:tcPr>
          <w:p>
            <w:pPr>
              <w:widowControl/>
              <w:ind w:left="19" w:hanging="16" w:hangingChars="9"/>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sz w:val="18"/>
                <w:szCs w:val="18"/>
                <w:highlight w:val="none"/>
              </w:rPr>
              <w:t>0.016%</w:t>
            </w:r>
          </w:p>
        </w:tc>
      </w:tr>
    </w:tbl>
    <w:p>
      <w:p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highlight w:val="none"/>
        </w:rPr>
        <w:t>（6）污泥好氧</w:t>
      </w:r>
      <w:r>
        <w:rPr>
          <w:rFonts w:hint="default" w:ascii="Times New Roman" w:hAnsi="Times New Roman" w:eastAsia="仿宋" w:cs="Times New Roman"/>
          <w:b/>
          <w:bCs/>
          <w:color w:val="auto"/>
          <w:highlight w:val="none"/>
          <w:lang w:val="en-US" w:eastAsia="zh-CN"/>
        </w:rPr>
        <w:t>发酵处理设施温室气体</w:t>
      </w:r>
      <w:r>
        <w:rPr>
          <w:rFonts w:hint="default" w:ascii="Times New Roman" w:hAnsi="Times New Roman" w:eastAsia="仿宋" w:cs="Times New Roman"/>
          <w:b/>
          <w:bCs/>
          <w:color w:val="auto"/>
          <w:highlight w:val="none"/>
        </w:rPr>
        <w:t>排放因子的确定：</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为确定好氧</w:t>
      </w:r>
      <w:r>
        <w:rPr>
          <w:rFonts w:hint="default" w:ascii="Times New Roman" w:hAnsi="Times New Roman" w:eastAsia="仿宋" w:cs="Times New Roman"/>
          <w:color w:val="auto"/>
          <w:highlight w:val="none"/>
          <w:lang w:val="en-US" w:eastAsia="zh-CN"/>
        </w:rPr>
        <w:t>发酵</w:t>
      </w:r>
      <w:r>
        <w:rPr>
          <w:rFonts w:hint="default" w:ascii="Times New Roman" w:hAnsi="Times New Roman" w:eastAsia="仿宋" w:cs="Times New Roman"/>
          <w:color w:val="auto"/>
          <w:highlight w:val="none"/>
        </w:rPr>
        <w:t>工艺甲烷与氧化亚氮排放因子，编制组在北京市选取典型污泥好氧</w:t>
      </w:r>
      <w:r>
        <w:rPr>
          <w:rFonts w:hint="default" w:ascii="Times New Roman" w:hAnsi="Times New Roman" w:eastAsia="仿宋" w:cs="Times New Roman"/>
          <w:color w:val="auto"/>
          <w:highlight w:val="none"/>
          <w:lang w:val="en-US" w:eastAsia="zh-CN"/>
        </w:rPr>
        <w:t>发酵</w:t>
      </w:r>
      <w:r>
        <w:rPr>
          <w:rFonts w:hint="default" w:ascii="Times New Roman" w:hAnsi="Times New Roman" w:eastAsia="仿宋" w:cs="Times New Roman"/>
          <w:color w:val="auto"/>
          <w:highlight w:val="none"/>
        </w:rPr>
        <w:t>处理设施开展温室气体排放情况检测，研究样点选取方法、非二氧化碳温室气体时空排放规律。根据监测获得甲烷与氧化亚氮排放因子如表</w:t>
      </w:r>
      <w:r>
        <w:rPr>
          <w:rFonts w:hint="eastAsia" w:eastAsia="仿宋" w:cs="Times New Roman"/>
          <w:color w:val="auto"/>
          <w:highlight w:val="none"/>
          <w:lang w:val="en-US" w:eastAsia="zh-CN"/>
        </w:rPr>
        <w:t>5</w:t>
      </w:r>
      <w:r>
        <w:rPr>
          <w:rFonts w:hint="default" w:ascii="Times New Roman" w:hAnsi="Times New Roman" w:eastAsia="仿宋" w:cs="Times New Roman"/>
          <w:color w:val="auto"/>
          <w:highlight w:val="none"/>
        </w:rPr>
        <w:t>所示</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本标准采用监测数据</w:t>
      </w:r>
      <w:r>
        <w:rPr>
          <w:rFonts w:hint="default" w:ascii="Times New Roman" w:hAnsi="Times New Roman" w:eastAsia="仿宋" w:cs="Times New Roman"/>
          <w:color w:val="auto"/>
          <w:highlight w:val="none"/>
          <w:lang w:val="en-US" w:eastAsia="zh-CN"/>
        </w:rPr>
        <w:t>平</w:t>
      </w:r>
      <w:r>
        <w:rPr>
          <w:rFonts w:hint="default" w:ascii="Times New Roman" w:hAnsi="Times New Roman" w:eastAsia="仿宋" w:cs="Times New Roman"/>
          <w:color w:val="auto"/>
          <w:highlight w:val="none"/>
        </w:rPr>
        <w:t>均值作为推荐值</w:t>
      </w:r>
      <w:r>
        <w:rPr>
          <w:rFonts w:hint="default" w:ascii="Times New Roman" w:hAnsi="Times New Roman" w:eastAsia="仿宋" w:cs="Times New Roman"/>
          <w:color w:val="auto"/>
          <w:sz w:val="18"/>
          <w:szCs w:val="18"/>
          <w:highlight w:val="none"/>
          <w:shd w:val="clear" w:color="auto" w:fill="FFFFFF"/>
          <w:lang w:eastAsia="zh-CN"/>
        </w:rPr>
        <w:t>。</w:t>
      </w:r>
    </w:p>
    <w:p>
      <w:pPr>
        <w:ind w:left="0"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表</w:t>
      </w:r>
      <w:r>
        <w:rPr>
          <w:rFonts w:hint="eastAsia" w:eastAsia="仿宋" w:cs="Times New Roman"/>
          <w:color w:val="auto"/>
          <w:sz w:val="21"/>
          <w:szCs w:val="21"/>
          <w:highlight w:val="none"/>
          <w:lang w:val="en-US" w:eastAsia="zh-CN"/>
        </w:rPr>
        <w:t>5</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好氧发酵设施</w:t>
      </w:r>
      <w:r>
        <w:rPr>
          <w:rFonts w:hint="default" w:ascii="Times New Roman" w:hAnsi="Times New Roman" w:eastAsia="仿宋" w:cs="Times New Roman"/>
          <w:color w:val="auto"/>
          <w:sz w:val="21"/>
          <w:szCs w:val="21"/>
          <w:highlight w:val="none"/>
        </w:rPr>
        <w:t>温室气体排放因子</w:t>
      </w:r>
    </w:p>
    <w:tbl>
      <w:tblPr>
        <w:tblStyle w:val="26"/>
        <w:tblW w:w="4998"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476"/>
        <w:gridCol w:w="2822"/>
        <w:gridCol w:w="3227"/>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vMerge w:val="restart"/>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bCs/>
                <w:color w:val="auto"/>
                <w:kern w:val="0"/>
                <w:sz w:val="18"/>
                <w:szCs w:val="18"/>
                <w:highlight w:val="none"/>
                <w:lang w:bidi="ar"/>
              </w:rPr>
            </w:pPr>
            <w:r>
              <w:rPr>
                <w:rFonts w:hint="default" w:ascii="Times New Roman" w:hAnsi="Times New Roman" w:eastAsia="仿宋" w:cs="Times New Roman"/>
                <w:b w:val="0"/>
                <w:bCs w:val="0"/>
                <w:color w:val="auto"/>
                <w:kern w:val="0"/>
                <w:sz w:val="18"/>
                <w:szCs w:val="18"/>
                <w:highlight w:val="none"/>
                <w:lang w:bidi="ar"/>
              </w:rPr>
              <w:t>监测样品</w:t>
            </w:r>
          </w:p>
        </w:tc>
        <w:tc>
          <w:tcPr>
            <w:tcW w:w="1655" w:type="pct"/>
            <w:tcBorders>
              <w:top w:val="single" w:color="auto" w:sz="4" w:space="0"/>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val="0"/>
                <w:bCs w:val="0"/>
                <w:color w:val="auto"/>
                <w:kern w:val="0"/>
                <w:sz w:val="18"/>
                <w:szCs w:val="18"/>
                <w:highlight w:val="none"/>
                <w:lang w:bidi="ar"/>
              </w:rPr>
            </w:pPr>
            <w:r>
              <w:rPr>
                <w:rStyle w:val="77"/>
                <w:rFonts w:hint="default" w:ascii="Times New Roman" w:hAnsi="Times New Roman" w:eastAsia="仿宋" w:cs="Times New Roman"/>
                <w:b w:val="0"/>
                <w:bCs w:val="0"/>
                <w:color w:val="auto"/>
                <w:sz w:val="18"/>
                <w:szCs w:val="18"/>
                <w:highlight w:val="none"/>
                <w:lang w:bidi="ar"/>
              </w:rPr>
              <w:t>甲烷排放因子</w:t>
            </w:r>
          </w:p>
        </w:tc>
        <w:tc>
          <w:tcPr>
            <w:tcW w:w="1892" w:type="pct"/>
            <w:tcBorders>
              <w:top w:val="single" w:color="auto" w:sz="4" w:space="0"/>
              <w:tl2br w:val="nil"/>
              <w:tr2bl w:val="nil"/>
            </w:tcBorders>
            <w:shd w:val="clear" w:color="auto" w:fill="E7E6E6" w:themeFill="background2"/>
            <w:noWrap/>
            <w:vAlign w:val="center"/>
          </w:tcPr>
          <w:p>
            <w:pPr>
              <w:widowControl/>
              <w:ind w:left="-2" w:firstLine="0" w:firstLineChars="0"/>
              <w:jc w:val="center"/>
              <w:textAlignment w:val="center"/>
              <w:rPr>
                <w:rFonts w:hint="default" w:ascii="Times New Roman" w:hAnsi="Times New Roman" w:eastAsia="仿宋" w:cs="Times New Roman"/>
                <w:b w:val="0"/>
                <w:bCs w:val="0"/>
                <w:color w:val="auto"/>
                <w:kern w:val="0"/>
                <w:sz w:val="18"/>
                <w:szCs w:val="18"/>
                <w:highlight w:val="none"/>
                <w:lang w:bidi="ar"/>
              </w:rPr>
            </w:pPr>
            <w:r>
              <w:rPr>
                <w:rStyle w:val="77"/>
                <w:rFonts w:hint="default" w:ascii="Times New Roman" w:hAnsi="Times New Roman" w:eastAsia="仿宋" w:cs="Times New Roman"/>
                <w:b w:val="0"/>
                <w:bCs w:val="0"/>
                <w:color w:val="auto"/>
                <w:sz w:val="18"/>
                <w:szCs w:val="18"/>
                <w:highlight w:val="none"/>
                <w:lang w:bidi="ar"/>
              </w:rPr>
              <w:t>氧化亚氮排放因子</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vMerge w:val="continue"/>
            <w:tcBorders>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b/>
                <w:bCs/>
                <w:color w:val="auto"/>
                <w:kern w:val="0"/>
                <w:sz w:val="18"/>
                <w:szCs w:val="18"/>
                <w:highlight w:val="none"/>
                <w:lang w:bidi="ar"/>
              </w:rPr>
            </w:pPr>
          </w:p>
        </w:tc>
        <w:tc>
          <w:tcPr>
            <w:tcW w:w="1655" w:type="pct"/>
            <w:tcBorders>
              <w:tl2br w:val="nil"/>
              <w:tr2bl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color w:val="auto"/>
                <w:kern w:val="0"/>
                <w:sz w:val="18"/>
                <w:szCs w:val="18"/>
                <w:highlight w:val="none"/>
                <w:lang w:bidi="ar"/>
              </w:rPr>
            </w:pPr>
            <w:r>
              <w:rPr>
                <w:rStyle w:val="77"/>
                <w:rFonts w:hint="default" w:ascii="Times New Roman" w:hAnsi="Times New Roman" w:eastAsia="仿宋" w:cs="Times New Roman"/>
                <w:color w:val="auto"/>
                <w:sz w:val="18"/>
                <w:szCs w:val="18"/>
                <w:highlight w:val="none"/>
                <w:lang w:eastAsia="zh-CN" w:bidi="ar"/>
              </w:rPr>
              <w:t>kg</w:t>
            </w:r>
            <w:r>
              <w:rPr>
                <w:rStyle w:val="77"/>
                <w:rFonts w:hint="default" w:ascii="Times New Roman" w:hAnsi="Times New Roman" w:eastAsia="仿宋" w:cs="Times New Roman"/>
                <w:color w:val="auto"/>
                <w:sz w:val="18"/>
                <w:szCs w:val="18"/>
                <w:highlight w:val="none"/>
                <w:lang w:val="en-US" w:eastAsia="zh-CN" w:bidi="ar"/>
              </w:rPr>
              <w:t xml:space="preserve"> </w:t>
            </w:r>
            <w:r>
              <w:rPr>
                <w:rStyle w:val="77"/>
                <w:rFonts w:hint="default" w:ascii="Times New Roman" w:hAnsi="Times New Roman" w:eastAsia="仿宋" w:cs="Times New Roman"/>
                <w:color w:val="auto"/>
                <w:sz w:val="18"/>
                <w:szCs w:val="18"/>
                <w:highlight w:val="none"/>
                <w:lang w:bidi="ar"/>
              </w:rPr>
              <w:t>CH</w:t>
            </w:r>
            <w:r>
              <w:rPr>
                <w:rStyle w:val="77"/>
                <w:rFonts w:hint="default" w:ascii="Times New Roman" w:hAnsi="Times New Roman" w:eastAsia="仿宋" w:cs="Times New Roman"/>
                <w:color w:val="auto"/>
                <w:sz w:val="18"/>
                <w:szCs w:val="18"/>
                <w:highlight w:val="none"/>
                <w:vertAlign w:val="subscript"/>
                <w:lang w:bidi="ar"/>
              </w:rPr>
              <w:t>4</w:t>
            </w:r>
            <w:r>
              <w:rPr>
                <w:rStyle w:val="77"/>
                <w:rFonts w:hint="default" w:ascii="Times New Roman" w:hAnsi="Times New Roman" w:eastAsia="仿宋" w:cs="Times New Roman"/>
                <w:color w:val="auto"/>
                <w:sz w:val="18"/>
                <w:szCs w:val="18"/>
                <w:highlight w:val="none"/>
                <w:lang w:bidi="ar"/>
              </w:rPr>
              <w:t>/t</w:t>
            </w:r>
            <w:r>
              <w:rPr>
                <w:rStyle w:val="77"/>
                <w:rFonts w:hint="default" w:ascii="Times New Roman" w:hAnsi="Times New Roman" w:eastAsia="仿宋" w:cs="Times New Roman"/>
                <w:color w:val="auto"/>
                <w:sz w:val="18"/>
                <w:szCs w:val="18"/>
                <w:highlight w:val="none"/>
                <w:lang w:val="en-US" w:eastAsia="zh-CN" w:bidi="ar"/>
              </w:rPr>
              <w:t xml:space="preserve"> </w:t>
            </w:r>
            <w:r>
              <w:rPr>
                <w:rStyle w:val="77"/>
                <w:rFonts w:hint="default" w:ascii="Times New Roman" w:hAnsi="Times New Roman" w:eastAsia="仿宋" w:cs="Times New Roman"/>
                <w:color w:val="auto"/>
                <w:sz w:val="18"/>
                <w:szCs w:val="18"/>
                <w:highlight w:val="none"/>
                <w:lang w:bidi="ar"/>
              </w:rPr>
              <w:t>DS</w:t>
            </w:r>
          </w:p>
        </w:tc>
        <w:tc>
          <w:tcPr>
            <w:tcW w:w="1892" w:type="pct"/>
            <w:tcBorders>
              <w:tl2br w:val="nil"/>
              <w:tr2bl w:val="nil"/>
            </w:tcBorders>
            <w:shd w:val="clear" w:color="auto" w:fill="E7E6E6" w:themeFill="background2"/>
            <w:noWrap/>
            <w:vAlign w:val="center"/>
          </w:tcPr>
          <w:p>
            <w:pPr>
              <w:widowControl/>
              <w:ind w:left="-2" w:firstLine="0" w:firstLineChars="0"/>
              <w:jc w:val="center"/>
              <w:textAlignment w:val="center"/>
              <w:rPr>
                <w:rFonts w:hint="default" w:ascii="Times New Roman" w:hAnsi="Times New Roman" w:eastAsia="仿宋" w:cs="Times New Roman"/>
                <w:color w:val="auto"/>
                <w:kern w:val="0"/>
                <w:sz w:val="18"/>
                <w:szCs w:val="18"/>
                <w:highlight w:val="none"/>
                <w:lang w:bidi="ar"/>
              </w:rPr>
            </w:pPr>
            <w:r>
              <w:rPr>
                <w:rStyle w:val="77"/>
                <w:rFonts w:hint="default" w:ascii="Times New Roman" w:hAnsi="Times New Roman" w:eastAsia="仿宋" w:cs="Times New Roman"/>
                <w:color w:val="auto"/>
                <w:sz w:val="18"/>
                <w:szCs w:val="18"/>
                <w:highlight w:val="none"/>
                <w:lang w:eastAsia="zh-CN" w:bidi="ar"/>
              </w:rPr>
              <w:t>kg</w:t>
            </w:r>
            <w:r>
              <w:rPr>
                <w:rStyle w:val="77"/>
                <w:rFonts w:hint="default" w:ascii="Times New Roman" w:hAnsi="Times New Roman" w:eastAsia="仿宋" w:cs="Times New Roman"/>
                <w:color w:val="auto"/>
                <w:sz w:val="18"/>
                <w:szCs w:val="18"/>
                <w:highlight w:val="none"/>
                <w:lang w:val="en-US" w:eastAsia="zh-CN" w:bidi="ar"/>
              </w:rPr>
              <w:t xml:space="preserve"> </w:t>
            </w:r>
            <w:r>
              <w:rPr>
                <w:rStyle w:val="77"/>
                <w:rFonts w:hint="default" w:ascii="Times New Roman" w:hAnsi="Times New Roman" w:eastAsia="仿宋" w:cs="Times New Roman"/>
                <w:color w:val="auto"/>
                <w:sz w:val="18"/>
                <w:szCs w:val="18"/>
                <w:highlight w:val="none"/>
                <w:lang w:bidi="ar"/>
              </w:rPr>
              <w:t>N</w:t>
            </w:r>
            <w:r>
              <w:rPr>
                <w:rStyle w:val="77"/>
                <w:rFonts w:hint="default" w:ascii="Times New Roman" w:hAnsi="Times New Roman" w:eastAsia="仿宋" w:cs="Times New Roman"/>
                <w:color w:val="auto"/>
                <w:sz w:val="18"/>
                <w:szCs w:val="18"/>
                <w:highlight w:val="none"/>
                <w:vertAlign w:val="subscript"/>
                <w:lang w:bidi="ar"/>
              </w:rPr>
              <w:t>2</w:t>
            </w:r>
            <w:r>
              <w:rPr>
                <w:rStyle w:val="77"/>
                <w:rFonts w:hint="default" w:ascii="Times New Roman" w:hAnsi="Times New Roman" w:eastAsia="仿宋" w:cs="Times New Roman"/>
                <w:color w:val="auto"/>
                <w:sz w:val="18"/>
                <w:szCs w:val="18"/>
                <w:highlight w:val="none"/>
                <w:lang w:bidi="ar"/>
              </w:rPr>
              <w:t>O/t</w:t>
            </w:r>
            <w:r>
              <w:rPr>
                <w:rStyle w:val="77"/>
                <w:rFonts w:hint="default" w:ascii="Times New Roman" w:hAnsi="Times New Roman" w:eastAsia="仿宋" w:cs="Times New Roman"/>
                <w:color w:val="auto"/>
                <w:sz w:val="18"/>
                <w:szCs w:val="18"/>
                <w:highlight w:val="none"/>
                <w:lang w:val="en-US" w:eastAsia="zh-CN" w:bidi="ar"/>
              </w:rPr>
              <w:t xml:space="preserve"> </w:t>
            </w:r>
            <w:r>
              <w:rPr>
                <w:rStyle w:val="77"/>
                <w:rFonts w:hint="default" w:ascii="Times New Roman" w:hAnsi="Times New Roman" w:eastAsia="仿宋" w:cs="Times New Roman"/>
                <w:color w:val="auto"/>
                <w:sz w:val="18"/>
                <w:szCs w:val="18"/>
                <w:highlight w:val="none"/>
                <w:lang w:bidi="ar"/>
              </w:rPr>
              <w:t>DS</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tcBorders>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bidi="ar"/>
              </w:rPr>
              <w:t>冬季</w:t>
            </w:r>
          </w:p>
        </w:tc>
        <w:tc>
          <w:tcPr>
            <w:tcW w:w="1655" w:type="pct"/>
            <w:tcBorders>
              <w:left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20"/>
                <w:szCs w:val="20"/>
                <w:highlight w:val="none"/>
                <w:lang w:bidi="ar"/>
              </w:rPr>
              <w:t>0.0</w:t>
            </w:r>
            <w:r>
              <w:rPr>
                <w:rFonts w:hint="default" w:ascii="Times New Roman" w:hAnsi="Times New Roman" w:eastAsia="仿宋" w:cs="Times New Roman"/>
                <w:color w:val="auto"/>
                <w:kern w:val="0"/>
                <w:sz w:val="20"/>
                <w:szCs w:val="20"/>
                <w:highlight w:val="none"/>
                <w:lang w:val="en-US" w:eastAsia="zh-CN" w:bidi="ar"/>
              </w:rPr>
              <w:t>89</w:t>
            </w:r>
          </w:p>
        </w:tc>
        <w:tc>
          <w:tcPr>
            <w:tcW w:w="1892" w:type="pct"/>
            <w:tcBorders>
              <w:left w:val="dotted" w:color="auto" w:sz="4" w:space="0"/>
              <w:bottom w:val="dotted" w:color="auto" w:sz="4" w:space="0"/>
              <w:tl2br w:val="nil"/>
              <w:tr2bl w:val="nil"/>
            </w:tcBorders>
            <w:shd w:val="clear" w:color="auto" w:fill="auto"/>
            <w:noWrap/>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kern w:val="0"/>
                <w:sz w:val="18"/>
                <w:szCs w:val="18"/>
                <w:highlight w:val="none"/>
                <w:lang w:bidi="ar"/>
              </w:rPr>
              <w:t>0.4</w:t>
            </w:r>
            <w:r>
              <w:rPr>
                <w:rFonts w:hint="default" w:ascii="Times New Roman" w:hAnsi="Times New Roman" w:eastAsia="仿宋" w:cs="Times New Roman"/>
                <w:color w:val="auto"/>
                <w:kern w:val="0"/>
                <w:sz w:val="18"/>
                <w:szCs w:val="18"/>
                <w:highlight w:val="none"/>
                <w:lang w:val="en-US" w:eastAsia="zh-CN" w:bidi="ar"/>
              </w:rPr>
              <w:t>64</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bidi="ar"/>
              </w:rPr>
              <w:t>春季</w:t>
            </w:r>
          </w:p>
        </w:tc>
        <w:tc>
          <w:tcPr>
            <w:tcW w:w="1655" w:type="pct"/>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0.658</w:t>
            </w:r>
          </w:p>
        </w:tc>
        <w:tc>
          <w:tcPr>
            <w:tcW w:w="1892" w:type="pct"/>
            <w:tcBorders>
              <w:top w:val="dotted" w:color="auto" w:sz="4" w:space="0"/>
              <w:left w:val="dotted" w:color="auto" w:sz="4" w:space="0"/>
              <w:bottom w:val="dotted" w:color="auto" w:sz="4" w:space="0"/>
              <w:tl2br w:val="nil"/>
              <w:tr2bl w:val="nil"/>
            </w:tcBorders>
            <w:shd w:val="clear" w:color="auto" w:fill="auto"/>
            <w:noWrap/>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kern w:val="0"/>
                <w:sz w:val="18"/>
                <w:szCs w:val="18"/>
                <w:highlight w:val="none"/>
                <w:lang w:bidi="ar"/>
              </w:rPr>
              <w:t>0.4</w:t>
            </w:r>
            <w:r>
              <w:rPr>
                <w:rFonts w:hint="default" w:ascii="Times New Roman" w:hAnsi="Times New Roman" w:eastAsia="仿宋" w:cs="Times New Roman"/>
                <w:color w:val="auto"/>
                <w:kern w:val="0"/>
                <w:sz w:val="18"/>
                <w:szCs w:val="18"/>
                <w:highlight w:val="none"/>
                <w:lang w:val="en-US" w:eastAsia="zh-CN" w:bidi="ar"/>
              </w:rPr>
              <w:t>60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bidi="ar"/>
              </w:rPr>
              <w:t>夏季</w:t>
            </w:r>
          </w:p>
        </w:tc>
        <w:tc>
          <w:tcPr>
            <w:tcW w:w="1655" w:type="pct"/>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0.657</w:t>
            </w:r>
          </w:p>
        </w:tc>
        <w:tc>
          <w:tcPr>
            <w:tcW w:w="1892" w:type="pct"/>
            <w:tcBorders>
              <w:top w:val="dotted" w:color="auto" w:sz="4" w:space="0"/>
              <w:left w:val="dotted" w:color="auto" w:sz="4" w:space="0"/>
              <w:bottom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kern w:val="0"/>
                <w:sz w:val="18"/>
                <w:szCs w:val="18"/>
                <w:highlight w:val="none"/>
                <w:lang w:bidi="ar"/>
              </w:rPr>
              <w:t>0.</w:t>
            </w:r>
            <w:r>
              <w:rPr>
                <w:rFonts w:hint="default" w:ascii="Times New Roman" w:hAnsi="Times New Roman" w:eastAsia="仿宋" w:cs="Times New Roman"/>
                <w:color w:val="auto"/>
                <w:kern w:val="0"/>
                <w:sz w:val="18"/>
                <w:szCs w:val="18"/>
                <w:highlight w:val="none"/>
                <w:lang w:val="en-US" w:eastAsia="zh-CN" w:bidi="ar"/>
              </w:rPr>
              <w:t>157</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tcBorders>
              <w:top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color w:val="auto"/>
                <w:kern w:val="0"/>
                <w:sz w:val="18"/>
                <w:szCs w:val="18"/>
                <w:highlight w:val="none"/>
                <w:lang w:bidi="ar"/>
              </w:rPr>
              <w:t>秋季</w:t>
            </w:r>
          </w:p>
        </w:tc>
        <w:tc>
          <w:tcPr>
            <w:tcW w:w="1655" w:type="pct"/>
            <w:tcBorders>
              <w:top w:val="dotted" w:color="auto" w:sz="4" w:space="0"/>
              <w:left w:val="dotted" w:color="auto" w:sz="4" w:space="0"/>
              <w:bottom w:val="dotted"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0.605</w:t>
            </w:r>
          </w:p>
        </w:tc>
        <w:tc>
          <w:tcPr>
            <w:tcW w:w="1892" w:type="pct"/>
            <w:tcBorders>
              <w:top w:val="dotted" w:color="auto" w:sz="4" w:space="0"/>
              <w:left w:val="dotted" w:color="auto" w:sz="4" w:space="0"/>
              <w:bottom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kern w:val="0"/>
                <w:sz w:val="18"/>
                <w:szCs w:val="18"/>
                <w:highlight w:val="none"/>
                <w:lang w:bidi="ar"/>
              </w:rPr>
              <w:t>1.</w:t>
            </w:r>
            <w:r>
              <w:rPr>
                <w:rFonts w:hint="default" w:ascii="Times New Roman" w:hAnsi="Times New Roman" w:eastAsia="仿宋" w:cs="Times New Roman"/>
                <w:color w:val="auto"/>
                <w:kern w:val="0"/>
                <w:sz w:val="18"/>
                <w:szCs w:val="18"/>
                <w:highlight w:val="none"/>
                <w:lang w:val="en-US" w:eastAsia="zh-CN" w:bidi="ar"/>
              </w:rPr>
              <w:t>070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52" w:type="pct"/>
            <w:tcBorders>
              <w:top w:val="dotted" w:color="auto" w:sz="4" w:space="0"/>
              <w:bottom w:val="single"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eastAsia="zh-CN"/>
              </w:rPr>
            </w:pPr>
            <w:r>
              <w:rPr>
                <w:rFonts w:hint="default" w:ascii="Times New Roman" w:hAnsi="Times New Roman" w:eastAsia="仿宋" w:cs="Times New Roman"/>
                <w:color w:val="auto"/>
                <w:kern w:val="0"/>
                <w:sz w:val="18"/>
                <w:szCs w:val="18"/>
                <w:highlight w:val="none"/>
                <w:lang w:val="en-US" w:eastAsia="zh-CN" w:bidi="ar"/>
              </w:rPr>
              <w:t>平均值</w:t>
            </w:r>
          </w:p>
        </w:tc>
        <w:tc>
          <w:tcPr>
            <w:tcW w:w="1655" w:type="pct"/>
            <w:tcBorders>
              <w:top w:val="dotted" w:color="auto" w:sz="4" w:space="0"/>
              <w:left w:val="dotted" w:color="auto" w:sz="4" w:space="0"/>
              <w:bottom w:val="single" w:color="auto" w:sz="4" w:space="0"/>
              <w:right w:val="dotted"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0.480</w:t>
            </w:r>
          </w:p>
        </w:tc>
        <w:tc>
          <w:tcPr>
            <w:tcW w:w="1892" w:type="pct"/>
            <w:tcBorders>
              <w:top w:val="dotted" w:color="auto" w:sz="4" w:space="0"/>
              <w:left w:val="dotted" w:color="auto" w:sz="4" w:space="0"/>
              <w:bottom w:val="single" w:color="auto" w:sz="4" w:space="0"/>
              <w:tl2br w:val="nil"/>
              <w:tr2bl w:val="nil"/>
            </w:tcBorders>
            <w:shd w:val="clear" w:color="auto" w:fill="auto"/>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lang w:val="en-US" w:eastAsia="zh-CN"/>
              </w:rPr>
            </w:pPr>
            <w:r>
              <w:rPr>
                <w:rFonts w:hint="default" w:ascii="Times New Roman" w:hAnsi="Times New Roman" w:eastAsia="仿宋" w:cs="Times New Roman"/>
                <w:color w:val="auto"/>
                <w:sz w:val="18"/>
                <w:szCs w:val="18"/>
                <w:highlight w:val="none"/>
                <w:lang w:val="en-US" w:eastAsia="zh-CN"/>
              </w:rPr>
              <w:t>0.538</w:t>
            </w:r>
          </w:p>
        </w:tc>
      </w:tr>
    </w:tbl>
    <w:p>
      <w:pPr>
        <w:numPr>
          <w:ilvl w:val="0"/>
          <w:numId w:val="9"/>
        </w:numPr>
        <w:ind w:left="0" w:firstLine="0" w:firstLineChars="0"/>
        <w:rPr>
          <w:rFonts w:hint="default" w:ascii="Times New Roman" w:hAnsi="Times New Roman" w:eastAsia="仿宋" w:cs="Times New Roman"/>
          <w:color w:val="auto"/>
          <w:highlight w:val="none"/>
        </w:rPr>
      </w:pPr>
      <w:bookmarkStart w:id="94" w:name="_Toc117260959"/>
      <w:r>
        <w:rPr>
          <w:rFonts w:hint="default" w:ascii="Times New Roman" w:hAnsi="Times New Roman" w:eastAsia="仿宋" w:cs="Times New Roman"/>
          <w:b/>
          <w:bCs/>
          <w:color w:val="auto"/>
          <w:highlight w:val="none"/>
        </w:rPr>
        <w:t>污泥焚烧处理</w:t>
      </w:r>
      <w:r>
        <w:rPr>
          <w:rFonts w:hint="default" w:ascii="Times New Roman" w:hAnsi="Times New Roman" w:eastAsia="仿宋" w:cs="Times New Roman"/>
          <w:b/>
          <w:bCs/>
          <w:color w:val="auto"/>
          <w:highlight w:val="none"/>
          <w:lang w:val="en-US" w:eastAsia="zh-CN"/>
        </w:rPr>
        <w:t>设施温室气体</w:t>
      </w:r>
      <w:r>
        <w:rPr>
          <w:rFonts w:hint="default" w:ascii="Times New Roman" w:hAnsi="Times New Roman" w:eastAsia="仿宋" w:cs="Times New Roman"/>
          <w:b/>
          <w:bCs/>
          <w:color w:val="auto"/>
          <w:highlight w:val="none"/>
        </w:rPr>
        <w:t>排放因子的确定：</w:t>
      </w:r>
    </w:p>
    <w:p>
      <w:pPr>
        <w:ind w:left="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由于北京市污泥处理主要采用厌氧消化方式，</w:t>
      </w:r>
      <w:r>
        <w:rPr>
          <w:rFonts w:hint="eastAsia" w:eastAsia="仿宋" w:cs="Times New Roman"/>
          <w:color w:val="auto"/>
          <w:sz w:val="24"/>
          <w:szCs w:val="24"/>
          <w:highlight w:val="none"/>
          <w:lang w:eastAsia="zh-CN"/>
        </w:rPr>
        <w:t>截至</w:t>
      </w:r>
      <w:r>
        <w:rPr>
          <w:rFonts w:hint="default" w:ascii="Times New Roman" w:hAnsi="Times New Roman" w:eastAsia="仿宋" w:cs="Times New Roman"/>
          <w:color w:val="auto"/>
          <w:sz w:val="24"/>
          <w:szCs w:val="24"/>
          <w:highlight w:val="none"/>
          <w:lang w:val="en-US" w:eastAsia="zh-CN"/>
        </w:rPr>
        <w:t>目前</w:t>
      </w:r>
      <w:r>
        <w:rPr>
          <w:rFonts w:hint="default" w:ascii="Times New Roman" w:hAnsi="Times New Roman" w:eastAsia="仿宋" w:cs="Times New Roman"/>
          <w:color w:val="auto"/>
          <w:sz w:val="24"/>
          <w:szCs w:val="24"/>
          <w:highlight w:val="none"/>
        </w:rPr>
        <w:t>污泥焚烧处理仅限于顺义污泥处理项目，受监测条件限制，尚缺少长期、稳定、可靠排放的实际排放监测，故本标准焚烧排放因子采用IPCC污泥焚烧温室气体排放的</w:t>
      </w:r>
      <w:r>
        <w:rPr>
          <w:rFonts w:hint="eastAsia" w:eastAsia="仿宋" w:cs="Times New Roman"/>
          <w:color w:val="auto"/>
          <w:sz w:val="24"/>
          <w:szCs w:val="24"/>
          <w:highlight w:val="none"/>
          <w:lang w:val="en-US" w:eastAsia="zh-CN"/>
        </w:rPr>
        <w:t>推荐</w:t>
      </w:r>
      <w:r>
        <w:rPr>
          <w:rFonts w:hint="default" w:ascii="Times New Roman" w:hAnsi="Times New Roman" w:eastAsia="仿宋" w:cs="Times New Roman"/>
          <w:color w:val="auto"/>
          <w:sz w:val="24"/>
          <w:szCs w:val="24"/>
          <w:highlight w:val="none"/>
        </w:rPr>
        <w:t>值。</w:t>
      </w:r>
    </w:p>
    <w:p>
      <w:pPr>
        <w:numPr>
          <w:ilvl w:val="0"/>
          <w:numId w:val="9"/>
        </w:numPr>
        <w:ind w:left="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highlight w:val="none"/>
        </w:rPr>
        <w:t>输出电力、热力排放因子的确定：</w:t>
      </w:r>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当污水处理企业向边界外输出电力、热力及甲烷时，其排放因子选取电力、热力及甲烷生产过程的排放因子。其中：输出电力排放因子与电力排放因子相同，输出热力排放因子与热力排放因子相同。</w:t>
      </w:r>
    </w:p>
    <w:p>
      <w:pPr>
        <w:pStyle w:val="3"/>
        <w:ind w:left="0"/>
        <w:rPr>
          <w:rFonts w:hint="default" w:ascii="Times New Roman" w:hAnsi="Times New Roman" w:eastAsia="仿宋" w:cs="Times New Roman"/>
          <w:color w:val="auto"/>
          <w:highlight w:val="none"/>
          <w:lang w:val="en-US" w:eastAsia="zh-CN"/>
        </w:rPr>
      </w:pPr>
      <w:bookmarkStart w:id="95" w:name="_Toc11605"/>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 xml:space="preserve"> </w:t>
      </w:r>
      <w:bookmarkEnd w:id="95"/>
      <w:r>
        <w:rPr>
          <w:rFonts w:hint="eastAsia" w:eastAsia="仿宋" w:cs="Times New Roman"/>
          <w:color w:val="auto"/>
          <w:highlight w:val="none"/>
          <w:lang w:val="en-US" w:eastAsia="zh-CN"/>
        </w:rPr>
        <w:t>输入的溶解性甲烷</w:t>
      </w:r>
    </w:p>
    <w:p>
      <w:pPr>
        <w:ind w:left="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考虑到排水管道内产生的甲烷会溶解</w:t>
      </w:r>
      <w:r>
        <w:rPr>
          <w:rFonts w:hint="eastAsia" w:eastAsia="仿宋" w:cs="Times New Roman"/>
          <w:color w:val="auto"/>
          <w:highlight w:val="none"/>
          <w:lang w:val="en-US" w:eastAsia="zh-CN"/>
        </w:rPr>
        <w:t>在污水处理厂</w:t>
      </w:r>
      <w:r>
        <w:rPr>
          <w:rFonts w:hint="default" w:ascii="Times New Roman" w:hAnsi="Times New Roman" w:eastAsia="仿宋" w:cs="Times New Roman"/>
          <w:color w:val="auto"/>
          <w:highlight w:val="none"/>
          <w:lang w:val="en-US" w:eastAsia="zh-CN"/>
        </w:rPr>
        <w:t>进水</w:t>
      </w:r>
      <w:r>
        <w:rPr>
          <w:rFonts w:hint="eastAsia" w:eastAsia="仿宋" w:cs="Times New Roman"/>
          <w:color w:val="auto"/>
          <w:highlight w:val="none"/>
          <w:lang w:val="en-US" w:eastAsia="zh-CN"/>
        </w:rPr>
        <w:t>中，</w:t>
      </w:r>
      <w:r>
        <w:rPr>
          <w:rFonts w:hint="default" w:ascii="Times New Roman" w:hAnsi="Times New Roman" w:eastAsia="仿宋" w:cs="Times New Roman"/>
          <w:color w:val="auto"/>
          <w:highlight w:val="none"/>
          <w:lang w:val="en-US" w:eastAsia="zh-CN"/>
        </w:rPr>
        <w:t>并在</w:t>
      </w:r>
      <w:r>
        <w:rPr>
          <w:rFonts w:hint="eastAsia" w:eastAsia="仿宋" w:cs="Times New Roman"/>
          <w:color w:val="auto"/>
          <w:highlight w:val="none"/>
          <w:lang w:val="en-US" w:eastAsia="zh-CN"/>
        </w:rPr>
        <w:t>后续</w:t>
      </w:r>
      <w:r>
        <w:rPr>
          <w:rFonts w:hint="default" w:ascii="Times New Roman" w:hAnsi="Times New Roman" w:eastAsia="仿宋" w:cs="Times New Roman"/>
          <w:color w:val="auto"/>
          <w:highlight w:val="none"/>
          <w:lang w:val="en-US" w:eastAsia="zh-CN"/>
        </w:rPr>
        <w:t>处理过程中释放，准确追踪这部分甲烷来源对制定控排措施至关重要。因此，本标准设立信息项报告机制，鼓励企业监测并上报进水溶解性甲烷数据。这不仅为精确溯源和合理确定控排方法奠定了基础，也为将来制定管网甲烷排放核算标准提供了必要的数据支撑和接口。测定方法可参照《海水中溶解性甲烷的测定 顶空平衡-气相色谱法》（HY/T 262-2018）。</w:t>
      </w:r>
    </w:p>
    <w:p>
      <w:pPr>
        <w:pStyle w:val="3"/>
        <w:ind w:left="0"/>
        <w:rPr>
          <w:rFonts w:hint="default" w:ascii="Times New Roman" w:hAnsi="Times New Roman" w:eastAsia="仿宋" w:cs="Times New Roman"/>
          <w:color w:val="auto"/>
          <w:highlight w:val="none"/>
        </w:rPr>
      </w:pPr>
      <w:bookmarkStart w:id="96" w:name="_Toc25807"/>
      <w:bookmarkStart w:id="97" w:name="_Toc10926"/>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7</w:t>
      </w:r>
      <w:r>
        <w:rPr>
          <w:rFonts w:hint="default" w:ascii="Times New Roman" w:hAnsi="Times New Roman" w:eastAsia="仿宋" w:cs="Times New Roman"/>
          <w:color w:val="auto"/>
          <w:highlight w:val="none"/>
        </w:rPr>
        <w:t xml:space="preserve"> 数据质量管理</w:t>
      </w:r>
      <w:bookmarkEnd w:id="94"/>
      <w:bookmarkEnd w:id="96"/>
      <w:bookmarkEnd w:id="97"/>
    </w:p>
    <w:p>
      <w:pPr>
        <w:ind w:left="0"/>
        <w:rPr>
          <w:rFonts w:hint="default" w:ascii="Times New Roman" w:hAnsi="Times New Roman" w:eastAsia="仿宋" w:cs="Times New Roman"/>
          <w:color w:val="auto"/>
          <w:highlight w:val="none"/>
          <w:lang w:val="en-US" w:eastAsia="zh-CN"/>
        </w:rPr>
      </w:pPr>
      <w:r>
        <w:rPr>
          <w:rFonts w:hint="eastAsia" w:eastAsia="仿宋" w:cs="Times New Roman"/>
          <w:color w:val="auto"/>
          <w:highlight w:val="none"/>
          <w:lang w:val="en-US" w:eastAsia="zh-CN"/>
        </w:rPr>
        <w:t>本标准从建立核算与报告制度、活动数据与排放因子管理、计量监测管理、数据记录管理、数据审核管理五个方面对数据质量管理提出具体要求，与《二氧化碳核算和报告要求 其他行业》DB11/T 1787管理思路总体保持一致，但对数据质量控制计划进行了针对性完善。</w:t>
      </w:r>
    </w:p>
    <w:p>
      <w:pPr>
        <w:pStyle w:val="3"/>
        <w:ind w:left="0"/>
        <w:rPr>
          <w:rFonts w:hint="default" w:ascii="Times New Roman" w:hAnsi="Times New Roman" w:eastAsia="仿宋" w:cs="Times New Roman"/>
          <w:color w:val="auto"/>
          <w:highlight w:val="none"/>
        </w:rPr>
      </w:pPr>
      <w:bookmarkStart w:id="98" w:name="_Toc117260960"/>
      <w:bookmarkStart w:id="99" w:name="_Toc6292"/>
      <w:bookmarkStart w:id="100" w:name="_Toc10038"/>
      <w:r>
        <w:rPr>
          <w:rFonts w:hint="default" w:ascii="Times New Roman" w:hAnsi="Times New Roman" w:eastAsia="仿宋" w:cs="Times New Roman"/>
          <w:color w:val="auto"/>
          <w:highlight w:val="none"/>
          <w:lang w:val="en-US" w:eastAsia="zh-CN"/>
        </w:rPr>
        <w:t>6</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highlight w:val="none"/>
          <w:lang w:val="en-US" w:eastAsia="zh-CN"/>
        </w:rPr>
        <w:t>8</w:t>
      </w:r>
      <w:r>
        <w:rPr>
          <w:rFonts w:hint="default" w:ascii="Times New Roman" w:hAnsi="Times New Roman" w:eastAsia="仿宋" w:cs="Times New Roman"/>
          <w:color w:val="auto"/>
          <w:highlight w:val="none"/>
        </w:rPr>
        <w:t xml:space="preserve"> 报告内容和格式</w:t>
      </w:r>
      <w:bookmarkEnd w:id="98"/>
      <w:bookmarkEnd w:id="99"/>
      <w:bookmarkEnd w:id="100"/>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本标准规定了污水处理企业温室气体排放核算报告应包含的主要内容，具体包括：报告主体基本信息、温室气体排放量、活动数据及来源、排放因子及其来源以及真实性声明。</w:t>
      </w:r>
    </w:p>
    <w:p>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default" w:ascii="Times New Roman" w:hAnsi="Times New Roman" w:eastAsia="仿宋" w:cs="Times New Roman"/>
          <w:color w:val="auto"/>
          <w:highlight w:val="none"/>
        </w:rPr>
      </w:pPr>
      <w:bookmarkStart w:id="101" w:name="_Toc117260961"/>
    </w:p>
    <w:p>
      <w:pPr>
        <w:pStyle w:val="2"/>
        <w:numPr>
          <w:ilvl w:val="0"/>
          <w:numId w:val="10"/>
        </w:numPr>
        <w:spacing w:before="0" w:beforeLines="0" w:after="0" w:afterLines="0"/>
        <w:ind w:left="0"/>
        <w:rPr>
          <w:rFonts w:hint="default" w:ascii="Times New Roman" w:hAnsi="Times New Roman" w:eastAsia="仿宋" w:cs="Times New Roman"/>
          <w:color w:val="auto"/>
          <w:sz w:val="30"/>
          <w:szCs w:val="30"/>
          <w:highlight w:val="none"/>
        </w:rPr>
      </w:pPr>
      <w:bookmarkStart w:id="102" w:name="_Toc8023"/>
      <w:r>
        <w:rPr>
          <w:rFonts w:hint="eastAsia" w:eastAsia="仿宋"/>
          <w:color w:val="auto"/>
          <w:lang w:val="en-US" w:eastAsia="zh-CN"/>
        </w:rPr>
        <w:t>公平竞争审查情况</w:t>
      </w:r>
      <w:bookmarkEnd w:id="102"/>
    </w:p>
    <w:p>
      <w:pPr>
        <w:numPr>
          <w:ilvl w:val="0"/>
          <w:numId w:val="0"/>
        </w:numPr>
        <w:ind w:firstLine="480" w:firstLineChars="200"/>
        <w:rPr>
          <w:rFonts w:hint="default" w:ascii="Times New Roman" w:hAnsi="Times New Roman" w:eastAsia="仿宋" w:cs="Times New Roman"/>
          <w:color w:val="auto"/>
          <w:lang w:val="en-US" w:eastAsia="zh-CN"/>
        </w:rPr>
      </w:pPr>
      <w:r>
        <w:rPr>
          <w:rFonts w:hint="eastAsia" w:eastAsia="仿宋" w:cs="Times New Roman"/>
          <w:color w:val="auto"/>
          <w:lang w:val="en-US" w:eastAsia="zh-CN"/>
        </w:rPr>
        <w:t>本标注主要规定了城镇污水处理企业温室气体核算方法及报告要求，</w:t>
      </w:r>
      <w:r>
        <w:rPr>
          <w:rFonts w:hint="default" w:ascii="Times New Roman" w:hAnsi="Times New Roman" w:eastAsia="仿宋" w:cs="Times New Roman"/>
          <w:color w:val="auto"/>
          <w:lang w:val="en-US" w:eastAsia="zh-CN"/>
        </w:rPr>
        <w:t>不涉及经营者经济活动情况</w:t>
      </w:r>
      <w:r>
        <w:rPr>
          <w:rFonts w:hint="eastAsia" w:eastAsia="仿宋" w:cs="Times New Roman"/>
          <w:color w:val="auto"/>
          <w:lang w:val="en-US" w:eastAsia="zh-CN"/>
        </w:rPr>
        <w:t>，不存在妨碍公平竞争相关内容。</w:t>
      </w:r>
    </w:p>
    <w:p>
      <w:pPr>
        <w:rPr>
          <w:rFonts w:hint="default"/>
          <w:color w:val="auto"/>
        </w:rPr>
      </w:pPr>
    </w:p>
    <w:p>
      <w:pPr>
        <w:pStyle w:val="2"/>
        <w:numPr>
          <w:ilvl w:val="0"/>
          <w:numId w:val="10"/>
        </w:numPr>
        <w:spacing w:before="0" w:beforeLines="0" w:after="0" w:afterLines="0"/>
        <w:ind w:left="0"/>
        <w:rPr>
          <w:rFonts w:hint="default" w:ascii="Times New Roman" w:hAnsi="Times New Roman" w:eastAsia="仿宋" w:cs="Times New Roman"/>
          <w:color w:val="auto"/>
          <w:sz w:val="30"/>
          <w:szCs w:val="30"/>
          <w:highlight w:val="none"/>
        </w:rPr>
      </w:pPr>
      <w:bookmarkStart w:id="103" w:name="_Toc21192"/>
      <w:r>
        <w:rPr>
          <w:rFonts w:hint="default" w:ascii="Times New Roman" w:hAnsi="Times New Roman" w:eastAsia="仿宋" w:cs="Times New Roman"/>
          <w:color w:val="auto"/>
          <w:sz w:val="30"/>
          <w:szCs w:val="30"/>
          <w:highlight w:val="none"/>
        </w:rPr>
        <w:t>重大意见分歧的处理依据和结果</w:t>
      </w:r>
      <w:bookmarkEnd w:id="103"/>
    </w:p>
    <w:p>
      <w:pPr>
        <w:numPr>
          <w:ilvl w:val="0"/>
          <w:numId w:val="0"/>
        </w:numPr>
        <w:ind w:firstLine="480"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本标准在定向征求意见期间，收到</w:t>
      </w:r>
      <w:bookmarkStart w:id="104" w:name="lawyee_9896_1"/>
      <w:r>
        <w:rPr>
          <w:rFonts w:hint="default" w:ascii="Times New Roman" w:hAnsi="Times New Roman" w:eastAsia="仿宋" w:cs="Times New Roman"/>
          <w:color w:val="auto"/>
          <w:lang w:val="en-US" w:eastAsia="zh-CN"/>
        </w:rPr>
        <w:t>三</w:t>
      </w:r>
      <w:bookmarkEnd w:id="104"/>
      <w:r>
        <w:rPr>
          <w:rFonts w:hint="default" w:ascii="Times New Roman" w:hAnsi="Times New Roman" w:eastAsia="仿宋" w:cs="Times New Roman"/>
          <w:color w:val="auto"/>
          <w:lang w:val="en-US" w:eastAsia="zh-CN"/>
        </w:rPr>
        <w:t>份拟将药剂生产过程产生的排放量纳入核算范围的建议，本标准未予</w:t>
      </w:r>
      <w:r>
        <w:rPr>
          <w:rFonts w:hint="eastAsia" w:eastAsia="仿宋" w:cs="Times New Roman"/>
          <w:color w:val="auto"/>
          <w:lang w:val="en-US" w:eastAsia="zh-CN"/>
        </w:rPr>
        <w:t>采纳</w:t>
      </w:r>
      <w:r>
        <w:rPr>
          <w:rFonts w:hint="default" w:ascii="Times New Roman" w:hAnsi="Times New Roman" w:eastAsia="仿宋" w:cs="Times New Roman"/>
          <w:color w:val="auto"/>
          <w:lang w:val="en-US" w:eastAsia="zh-CN"/>
        </w:rPr>
        <w:t>，主要理由如下：</w:t>
      </w:r>
    </w:p>
    <w:p>
      <w:pPr>
        <w:numPr>
          <w:ilvl w:val="0"/>
          <w:numId w:val="11"/>
        </w:numPr>
        <w:ind w:left="0" w:leftChars="0" w:firstLine="0" w:firstLineChars="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药剂生产过程产生的排放量属于范围三排放。除药剂生产过程产生的排放外，污水处理过程所涉及的范围三排放还包含污泥或渣砂运输产生的排放、污泥处置过程产生的排放等。理想的核算过程应包含范围一至范围三的全部排放，但相对于范围</w:t>
      </w:r>
      <w:bookmarkStart w:id="105" w:name="lawyee_10045_2"/>
      <w:r>
        <w:rPr>
          <w:rFonts w:hint="default" w:ascii="Times New Roman" w:hAnsi="Times New Roman" w:eastAsia="仿宋" w:cs="Times New Roman"/>
          <w:color w:val="auto"/>
          <w:lang w:val="en-US" w:eastAsia="zh-CN"/>
        </w:rPr>
        <w:t>一及</w:t>
      </w:r>
      <w:bookmarkEnd w:id="105"/>
      <w:r>
        <w:rPr>
          <w:rFonts w:hint="default" w:ascii="Times New Roman" w:hAnsi="Times New Roman" w:eastAsia="仿宋" w:cs="Times New Roman"/>
          <w:color w:val="auto"/>
          <w:lang w:val="en-US" w:eastAsia="zh-CN"/>
        </w:rPr>
        <w:t>范围二排放，范围三排放核算尚不成熟，不宜将范围三排放纳入核算。</w:t>
      </w:r>
    </w:p>
    <w:p>
      <w:pPr>
        <w:numPr>
          <w:ilvl w:val="0"/>
          <w:numId w:val="11"/>
        </w:numPr>
        <w:ind w:left="0" w:leftChars="0" w:firstLine="0" w:firstLineChars="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目前，我国尚缺乏系统的产品碳</w:t>
      </w:r>
      <w:bookmarkStart w:id="106" w:name="lawyee_10093_2"/>
      <w:r>
        <w:rPr>
          <w:rFonts w:hint="default" w:ascii="Times New Roman" w:hAnsi="Times New Roman" w:eastAsia="仿宋" w:cs="Times New Roman"/>
          <w:color w:val="auto"/>
          <w:lang w:val="en-US" w:eastAsia="zh-CN"/>
        </w:rPr>
        <w:t>足迹</w:t>
      </w:r>
      <w:bookmarkEnd w:id="106"/>
      <w:r>
        <w:rPr>
          <w:rFonts w:hint="default" w:ascii="Times New Roman" w:hAnsi="Times New Roman" w:eastAsia="仿宋" w:cs="Times New Roman"/>
          <w:color w:val="auto"/>
          <w:lang w:val="en-US" w:eastAsia="zh-CN"/>
        </w:rPr>
        <w:t>清单，这导致在核算药剂生产环节的碳排放时，缺少公认的排放因子。编制组通过调研发现，不同来源的排放因子差异巨大，使得核算结果具有较强的不确定性，难以实现精确核算。表</w:t>
      </w:r>
      <w:r>
        <w:rPr>
          <w:rFonts w:hint="eastAsia" w:eastAsia="仿宋" w:cs="Times New Roman"/>
          <w:color w:val="auto"/>
          <w:lang w:val="en-US" w:eastAsia="zh-CN"/>
        </w:rPr>
        <w:t>6</w:t>
      </w:r>
      <w:r>
        <w:rPr>
          <w:rFonts w:hint="default" w:ascii="Times New Roman" w:hAnsi="Times New Roman" w:eastAsia="仿宋" w:cs="Times New Roman"/>
          <w:color w:val="auto"/>
          <w:lang w:val="en-US" w:eastAsia="zh-CN"/>
        </w:rPr>
        <w:t>展示了药剂生产过程排放因子的调研数据。</w:t>
      </w:r>
    </w:p>
    <w:p>
      <w:pPr>
        <w:ind w:left="0" w:firstLine="0" w:firstLineChars="0"/>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21"/>
          <w:szCs w:val="21"/>
          <w:highlight w:val="none"/>
        </w:rPr>
        <w:t>表</w:t>
      </w:r>
      <w:r>
        <w:rPr>
          <w:rFonts w:hint="eastAsia" w:eastAsia="仿宋" w:cs="Times New Roman"/>
          <w:color w:val="auto"/>
          <w:highlight w:val="none"/>
          <w:lang w:val="en-US" w:eastAsia="zh-CN"/>
        </w:rPr>
        <w:t>6</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主要化学药剂排放因子</w:t>
      </w:r>
    </w:p>
    <w:p>
      <w:pPr>
        <w:numPr>
          <w:ilvl w:val="0"/>
          <w:numId w:val="0"/>
        </w:numPr>
        <w:ind w:leftChars="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drawing>
          <wp:inline distT="0" distB="0" distL="114300" distR="114300">
            <wp:extent cx="5273675" cy="4283075"/>
            <wp:effectExtent l="0" t="0" r="6985" b="3175"/>
            <wp:docPr id="1" name="图片 1" descr="175075067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750677207"/>
                    <pic:cNvPicPr>
                      <a:picLocks noChangeAspect="1"/>
                    </pic:cNvPicPr>
                  </pic:nvPicPr>
                  <pic:blipFill>
                    <a:blip r:embed="rId26"/>
                    <a:stretch>
                      <a:fillRect/>
                    </a:stretch>
                  </pic:blipFill>
                  <pic:spPr>
                    <a:xfrm>
                      <a:off x="0" y="0"/>
                      <a:ext cx="5273675" cy="4283075"/>
                    </a:xfrm>
                    <a:prstGeom prst="rect">
                      <a:avLst/>
                    </a:prstGeom>
                  </pic:spPr>
                </pic:pic>
              </a:graphicData>
            </a:graphic>
          </wp:inline>
        </w:drawing>
      </w:r>
    </w:p>
    <w:p>
      <w:pPr>
        <w:numPr>
          <w:ilvl w:val="0"/>
          <w:numId w:val="11"/>
        </w:numPr>
        <w:ind w:left="0" w:leftChars="0" w:firstLine="0" w:firstLineChars="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编制组对北京市典型污水处理设施在化学药剂使用过程中的碳排放进行了研究，结果如表</w:t>
      </w:r>
      <w:r>
        <w:rPr>
          <w:rFonts w:hint="eastAsia" w:eastAsia="仿宋" w:cs="Times New Roman"/>
          <w:color w:val="auto"/>
          <w:lang w:val="en-US" w:eastAsia="zh-CN"/>
        </w:rPr>
        <w:t>7</w:t>
      </w:r>
      <w:r>
        <w:rPr>
          <w:rFonts w:hint="default" w:ascii="Times New Roman" w:hAnsi="Times New Roman" w:eastAsia="仿宋" w:cs="Times New Roman"/>
          <w:color w:val="auto"/>
          <w:lang w:val="en-US" w:eastAsia="zh-CN"/>
        </w:rPr>
        <w:t>所示。数据显示，药剂生产环节的碳排放量仅占总排放量的约7%，占比相对不高。</w:t>
      </w:r>
    </w:p>
    <w:p>
      <w:pPr>
        <w:ind w:left="0"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表</w:t>
      </w:r>
      <w:r>
        <w:rPr>
          <w:rFonts w:hint="eastAsia" w:eastAsia="仿宋" w:cs="Times New Roman"/>
          <w:color w:val="auto"/>
          <w:highlight w:val="none"/>
          <w:lang w:val="en-US" w:eastAsia="zh-CN"/>
        </w:rPr>
        <w:t>7</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污水处理化学</w:t>
      </w:r>
      <w:r>
        <w:rPr>
          <w:rFonts w:hint="default" w:ascii="Times New Roman" w:hAnsi="Times New Roman" w:eastAsia="仿宋" w:cs="Times New Roman"/>
          <w:color w:val="auto"/>
          <w:sz w:val="21"/>
          <w:szCs w:val="21"/>
          <w:highlight w:val="none"/>
        </w:rPr>
        <w:t>药剂使用过程</w:t>
      </w:r>
      <w:r>
        <w:rPr>
          <w:rFonts w:hint="default" w:ascii="Times New Roman" w:hAnsi="Times New Roman" w:eastAsia="仿宋" w:cs="Times New Roman"/>
          <w:color w:val="auto"/>
          <w:sz w:val="21"/>
          <w:szCs w:val="21"/>
          <w:highlight w:val="none"/>
          <w:lang w:val="en-US" w:eastAsia="zh-CN"/>
        </w:rPr>
        <w:t>温室气体</w:t>
      </w:r>
      <w:r>
        <w:rPr>
          <w:rFonts w:hint="default" w:ascii="Times New Roman" w:hAnsi="Times New Roman" w:eastAsia="仿宋" w:cs="Times New Roman"/>
          <w:color w:val="auto"/>
          <w:sz w:val="21"/>
          <w:szCs w:val="21"/>
          <w:highlight w:val="none"/>
        </w:rPr>
        <w:t>排放</w:t>
      </w:r>
      <w:r>
        <w:rPr>
          <w:rFonts w:hint="default" w:ascii="Times New Roman" w:hAnsi="Times New Roman" w:eastAsia="仿宋" w:cs="Times New Roman"/>
          <w:color w:val="auto"/>
          <w:sz w:val="21"/>
          <w:szCs w:val="21"/>
          <w:highlight w:val="none"/>
          <w:lang w:val="en-US" w:eastAsia="zh-CN"/>
        </w:rPr>
        <w:t>量</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4" w:type="dxa"/>
            <w:tcBorders>
              <w:top w:val="single" w:color="auto" w:sz="8" w:space="0"/>
              <w:left w:val="nil"/>
              <w:bottom w:val="single" w:color="auto" w:sz="8" w:space="0"/>
            </w:tcBorders>
            <w:shd w:val="clear" w:color="auto" w:fill="E7E6E6" w:themeFill="background2"/>
          </w:tcPr>
          <w:p>
            <w:pPr>
              <w:ind w:left="0" w:firstLine="0" w:firstLineChars="0"/>
              <w:jc w:val="center"/>
              <w:rPr>
                <w:rFonts w:hint="default" w:ascii="Times New Roman" w:hAnsi="Times New Roman" w:eastAsia="仿宋" w:cs="Times New Roman"/>
                <w:color w:val="auto"/>
                <w:sz w:val="18"/>
                <w:szCs w:val="18"/>
                <w:highlight w:val="none"/>
              </w:rPr>
            </w:pPr>
          </w:p>
        </w:tc>
        <w:tc>
          <w:tcPr>
            <w:tcW w:w="4264" w:type="dxa"/>
            <w:tcBorders>
              <w:top w:val="single" w:color="auto" w:sz="8" w:space="0"/>
              <w:bottom w:val="single" w:color="auto" w:sz="8" w:space="0"/>
              <w:right w:val="nil"/>
            </w:tcBorders>
            <w:shd w:val="clear" w:color="auto" w:fill="E7E6E6" w:themeFill="background2"/>
            <w:vAlign w:val="center"/>
          </w:tcPr>
          <w:p>
            <w:pPr>
              <w:widowControl/>
              <w:ind w:left="-2" w:firstLine="0" w:firstLineChars="0"/>
              <w:jc w:val="center"/>
              <w:textAlignment w:val="center"/>
              <w:rPr>
                <w:rFonts w:hint="default" w:ascii="Times New Roman" w:hAnsi="Times New Roman" w:eastAsia="仿宋" w:cs="Times New Roman"/>
                <w:color w:val="auto"/>
                <w:sz w:val="18"/>
                <w:szCs w:val="18"/>
                <w:highlight w:val="none"/>
              </w:rPr>
            </w:pPr>
            <w:r>
              <w:rPr>
                <w:rFonts w:hint="default" w:ascii="Times New Roman" w:hAnsi="Times New Roman" w:eastAsia="仿宋" w:cs="Times New Roman"/>
                <w:b w:val="0"/>
                <w:bCs w:val="0"/>
                <w:color w:val="auto"/>
                <w:sz w:val="18"/>
                <w:szCs w:val="18"/>
                <w:highlight w:val="none"/>
              </w:rPr>
              <w:t>排放占比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4" w:type="dxa"/>
            <w:tcBorders>
              <w:top w:val="single" w:color="auto" w:sz="8" w:space="0"/>
              <w:left w:val="nil"/>
              <w:bottom w:val="dotted" w:color="auto" w:sz="4" w:space="0"/>
              <w:right w:val="dotted" w:color="auto" w:sz="4" w:space="0"/>
            </w:tcBorders>
            <w:vAlign w:val="center"/>
          </w:tcPr>
          <w:p>
            <w:pPr>
              <w:widowControl/>
              <w:ind w:left="0" w:hanging="3" w:firstLineChars="0"/>
              <w:textAlignment w:val="center"/>
              <w:rPr>
                <w:rFonts w:hint="default" w:ascii="Times New Roman" w:hAnsi="Times New Roman" w:eastAsia="仿宋" w:cs="Times New Roman"/>
                <w:color w:val="auto"/>
                <w:sz w:val="18"/>
                <w:szCs w:val="18"/>
                <w:highlight w:val="none"/>
              </w:rPr>
            </w:pPr>
            <w:r>
              <w:rPr>
                <w:rStyle w:val="78"/>
                <w:rFonts w:hint="default" w:ascii="Times New Roman" w:hAnsi="Times New Roman" w:eastAsia="仿宋" w:cs="Times New Roman"/>
                <w:color w:val="auto"/>
                <w:sz w:val="18"/>
                <w:szCs w:val="18"/>
                <w:highlight w:val="none"/>
                <w:lang w:bidi="ar"/>
              </w:rPr>
              <w:t>化学药剂占总排放比例：</w:t>
            </w:r>
          </w:p>
        </w:tc>
        <w:tc>
          <w:tcPr>
            <w:tcW w:w="4264" w:type="dxa"/>
            <w:tcBorders>
              <w:top w:val="single" w:color="auto" w:sz="8"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rPr>
            </w:pPr>
            <w:r>
              <w:rPr>
                <w:rStyle w:val="77"/>
                <w:rFonts w:hint="default" w:ascii="Times New Roman" w:hAnsi="Times New Roman" w:eastAsia="仿宋" w:cs="Times New Roman"/>
                <w:color w:val="auto"/>
                <w:sz w:val="18"/>
                <w:szCs w:val="18"/>
                <w:highlight w:val="none"/>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4"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Style w:val="78"/>
                <w:rFonts w:hint="default" w:ascii="Times New Roman" w:hAnsi="Times New Roman" w:eastAsia="仿宋" w:cs="Times New Roman"/>
                <w:color w:val="auto"/>
                <w:sz w:val="18"/>
                <w:szCs w:val="18"/>
                <w:highlight w:val="none"/>
                <w:lang w:bidi="ar"/>
              </w:rPr>
              <w:t>碳源类药剂占化学药剂排放比例</w:t>
            </w:r>
          </w:p>
        </w:tc>
        <w:tc>
          <w:tcPr>
            <w:tcW w:w="4264"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rPr>
            </w:pPr>
            <w:r>
              <w:rPr>
                <w:rStyle w:val="77"/>
                <w:rFonts w:hint="default" w:ascii="Times New Roman" w:hAnsi="Times New Roman" w:eastAsia="仿宋" w:cs="Times New Roman"/>
                <w:color w:val="auto"/>
                <w:sz w:val="18"/>
                <w:szCs w:val="18"/>
                <w:highlight w:val="none"/>
                <w:lang w:bidi="ar"/>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264"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Style w:val="78"/>
                <w:rFonts w:hint="default" w:ascii="Times New Roman" w:hAnsi="Times New Roman" w:eastAsia="仿宋" w:cs="Times New Roman"/>
                <w:color w:val="auto"/>
                <w:sz w:val="18"/>
                <w:szCs w:val="18"/>
                <w:highlight w:val="none"/>
                <w:lang w:bidi="ar"/>
              </w:rPr>
              <w:t>化学除磷类药剂占化学药剂排放比例</w:t>
            </w:r>
          </w:p>
        </w:tc>
        <w:tc>
          <w:tcPr>
            <w:tcW w:w="4264"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rPr>
            </w:pPr>
            <w:r>
              <w:rPr>
                <w:rStyle w:val="77"/>
                <w:rFonts w:hint="default" w:ascii="Times New Roman" w:hAnsi="Times New Roman" w:eastAsia="仿宋" w:cs="Times New Roman"/>
                <w:color w:val="auto"/>
                <w:sz w:val="18"/>
                <w:szCs w:val="18"/>
                <w:highlight w:val="none"/>
                <w:lang w:bidi="ar"/>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4"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Style w:val="78"/>
                <w:rFonts w:hint="default" w:ascii="Times New Roman" w:hAnsi="Times New Roman" w:eastAsia="仿宋" w:cs="Times New Roman"/>
                <w:color w:val="auto"/>
                <w:sz w:val="18"/>
                <w:szCs w:val="18"/>
                <w:highlight w:val="none"/>
                <w:lang w:bidi="ar"/>
              </w:rPr>
              <w:t>消毒类药剂占化学药剂排放比例</w:t>
            </w:r>
          </w:p>
        </w:tc>
        <w:tc>
          <w:tcPr>
            <w:tcW w:w="4264"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rPr>
            </w:pPr>
            <w:r>
              <w:rPr>
                <w:rStyle w:val="77"/>
                <w:rFonts w:hint="default" w:ascii="Times New Roman" w:hAnsi="Times New Roman" w:eastAsia="仿宋" w:cs="Times New Roman"/>
                <w:color w:val="auto"/>
                <w:sz w:val="18"/>
                <w:szCs w:val="18"/>
                <w:highlight w:val="none"/>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4" w:type="dxa"/>
            <w:tcBorders>
              <w:top w:val="dotted" w:color="auto" w:sz="4" w:space="0"/>
              <w:left w:val="nil"/>
              <w:bottom w:val="dotted" w:color="auto" w:sz="4"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Style w:val="78"/>
                <w:rFonts w:hint="default" w:ascii="Times New Roman" w:hAnsi="Times New Roman" w:eastAsia="仿宋" w:cs="Times New Roman"/>
                <w:color w:val="auto"/>
                <w:sz w:val="18"/>
                <w:szCs w:val="18"/>
                <w:highlight w:val="none"/>
                <w:lang w:bidi="ar"/>
              </w:rPr>
              <w:t>脱水类药剂占化学药剂排放比例</w:t>
            </w:r>
          </w:p>
        </w:tc>
        <w:tc>
          <w:tcPr>
            <w:tcW w:w="4264" w:type="dxa"/>
            <w:tcBorders>
              <w:top w:val="dotted" w:color="auto" w:sz="4" w:space="0"/>
              <w:left w:val="dotted" w:color="auto" w:sz="4" w:space="0"/>
              <w:bottom w:val="dotted" w:color="auto" w:sz="4"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rPr>
            </w:pPr>
            <w:r>
              <w:rPr>
                <w:rStyle w:val="77"/>
                <w:rFonts w:hint="default" w:ascii="Times New Roman" w:hAnsi="Times New Roman" w:eastAsia="仿宋" w:cs="Times New Roman"/>
                <w:color w:val="auto"/>
                <w:sz w:val="18"/>
                <w:szCs w:val="18"/>
                <w:highlight w:val="none"/>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4" w:type="dxa"/>
            <w:tcBorders>
              <w:top w:val="dotted" w:color="auto" w:sz="4" w:space="0"/>
              <w:left w:val="nil"/>
              <w:bottom w:val="single" w:color="auto" w:sz="8" w:space="0"/>
              <w:right w:val="dotted" w:color="auto" w:sz="4" w:space="0"/>
            </w:tcBorders>
            <w:vAlign w:val="center"/>
          </w:tcPr>
          <w:p>
            <w:pPr>
              <w:widowControl/>
              <w:ind w:left="0" w:hanging="3" w:firstLineChars="0"/>
              <w:jc w:val="center"/>
              <w:textAlignment w:val="center"/>
              <w:rPr>
                <w:rFonts w:hint="default" w:ascii="Times New Roman" w:hAnsi="Times New Roman" w:eastAsia="仿宋" w:cs="Times New Roman"/>
                <w:color w:val="auto"/>
                <w:sz w:val="18"/>
                <w:szCs w:val="18"/>
                <w:highlight w:val="none"/>
              </w:rPr>
            </w:pPr>
            <w:r>
              <w:rPr>
                <w:rStyle w:val="78"/>
                <w:rFonts w:hint="default" w:ascii="Times New Roman" w:hAnsi="Times New Roman" w:eastAsia="仿宋" w:cs="Times New Roman"/>
                <w:color w:val="auto"/>
                <w:sz w:val="18"/>
                <w:szCs w:val="18"/>
                <w:highlight w:val="none"/>
                <w:lang w:bidi="ar"/>
              </w:rPr>
              <w:t>其他药剂占化学药剂排放比例</w:t>
            </w:r>
          </w:p>
        </w:tc>
        <w:tc>
          <w:tcPr>
            <w:tcW w:w="4264" w:type="dxa"/>
            <w:tcBorders>
              <w:top w:val="dotted" w:color="auto" w:sz="4" w:space="0"/>
              <w:left w:val="dotted" w:color="auto" w:sz="4" w:space="0"/>
              <w:bottom w:val="single" w:color="auto" w:sz="8" w:space="0"/>
              <w:right w:val="nil"/>
            </w:tcBorders>
            <w:vAlign w:val="center"/>
          </w:tcPr>
          <w:p>
            <w:pPr>
              <w:ind w:left="-2" w:firstLine="0" w:firstLineChars="0"/>
              <w:jc w:val="center"/>
              <w:rPr>
                <w:rFonts w:hint="default" w:ascii="Times New Roman" w:hAnsi="Times New Roman" w:eastAsia="仿宋" w:cs="Times New Roman"/>
                <w:color w:val="auto"/>
                <w:sz w:val="18"/>
                <w:szCs w:val="18"/>
                <w:highlight w:val="none"/>
              </w:rPr>
            </w:pPr>
            <w:r>
              <w:rPr>
                <w:rStyle w:val="77"/>
                <w:rFonts w:hint="default" w:ascii="Times New Roman" w:hAnsi="Times New Roman" w:eastAsia="仿宋" w:cs="Times New Roman"/>
                <w:color w:val="auto"/>
                <w:sz w:val="18"/>
                <w:szCs w:val="18"/>
                <w:highlight w:val="none"/>
                <w:lang w:bidi="ar"/>
              </w:rPr>
              <w:t>7.0%</w:t>
            </w:r>
          </w:p>
        </w:tc>
      </w:tr>
    </w:tbl>
    <w:p>
      <w:pPr>
        <w:ind w:left="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在综合考虑核算结果的准确性与核算工作的效率后，本标准暂未将药剂生产过程产生的碳排放纳入核算范围。</w:t>
      </w:r>
    </w:p>
    <w:p>
      <w:pPr>
        <w:ind w:left="0"/>
        <w:rPr>
          <w:rFonts w:hint="default" w:ascii="Times New Roman" w:hAnsi="Times New Roman" w:eastAsia="仿宋" w:cs="Times New Roman"/>
          <w:color w:val="auto"/>
          <w:lang w:val="en-US" w:eastAsia="zh-CN"/>
        </w:rPr>
      </w:pPr>
    </w:p>
    <w:bookmarkEnd w:id="101"/>
    <w:p>
      <w:pPr>
        <w:pStyle w:val="2"/>
        <w:spacing w:before="0" w:beforeLines="0" w:after="0" w:afterLines="0"/>
        <w:ind w:left="0"/>
        <w:rPr>
          <w:rFonts w:hint="default" w:ascii="Times New Roman" w:hAnsi="Times New Roman" w:eastAsia="仿宋" w:cs="Times New Roman"/>
          <w:color w:val="auto"/>
          <w:sz w:val="30"/>
          <w:szCs w:val="30"/>
          <w:highlight w:val="none"/>
        </w:rPr>
      </w:pPr>
      <w:bookmarkStart w:id="107" w:name="_Toc6012"/>
      <w:r>
        <w:rPr>
          <w:rFonts w:hint="eastAsia" w:eastAsia="仿宋" w:cs="Times New Roman"/>
          <w:color w:val="auto"/>
          <w:sz w:val="30"/>
          <w:szCs w:val="30"/>
          <w:highlight w:val="none"/>
          <w:lang w:eastAsia="zh-CN"/>
        </w:rPr>
        <w:t>九</w:t>
      </w:r>
      <w:r>
        <w:rPr>
          <w:rFonts w:hint="default" w:ascii="Times New Roman" w:hAnsi="Times New Roman" w:eastAsia="仿宋" w:cs="Times New Roman"/>
          <w:color w:val="auto"/>
          <w:sz w:val="30"/>
          <w:szCs w:val="30"/>
          <w:highlight w:val="none"/>
        </w:rPr>
        <w:t>、作为推荐性标准或者强制性标准的建议及其理由</w:t>
      </w:r>
      <w:bookmarkEnd w:id="107"/>
    </w:p>
    <w:p>
      <w:pPr>
        <w:ind w:left="0"/>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highlight w:val="none"/>
          <w:lang w:val="en-US" w:eastAsia="zh-CN"/>
        </w:rPr>
        <w:t>本标准根据温室气体排放机理及长期监测数据，提出了污水处理行业温室气体核算方法，提供了温室气体排放因子分类方法及本地化排放因子</w:t>
      </w:r>
      <w:r>
        <w:rPr>
          <w:rFonts w:hint="eastAsia" w:eastAsia="仿宋" w:cs="Times New Roman"/>
          <w:color w:val="auto"/>
          <w:highlight w:val="none"/>
          <w:lang w:val="en-US" w:eastAsia="zh-CN"/>
        </w:rPr>
        <w:t>推荐</w:t>
      </w:r>
      <w:r>
        <w:rPr>
          <w:rFonts w:hint="default" w:ascii="Times New Roman" w:hAnsi="Times New Roman" w:eastAsia="仿宋" w:cs="Times New Roman"/>
          <w:color w:val="auto"/>
          <w:highlight w:val="none"/>
          <w:lang w:val="en-US" w:eastAsia="zh-CN"/>
        </w:rPr>
        <w:t>数据，明确了城镇污水处理行业企业温室气体报告的要求，为污水处理行业温室气体准确核算与规范报告提供了依据。</w:t>
      </w:r>
      <w:r>
        <w:rPr>
          <w:rFonts w:hint="default" w:ascii="Times New Roman" w:hAnsi="Times New Roman" w:eastAsia="仿宋" w:cs="Times New Roman"/>
          <w:color w:val="auto"/>
          <w:highlight w:val="none"/>
        </w:rPr>
        <w:t>建议将本标准作为推荐性标准推行</w:t>
      </w:r>
      <w:r>
        <w:rPr>
          <w:rFonts w:hint="default" w:ascii="Times New Roman" w:hAnsi="Times New Roman" w:eastAsia="仿宋" w:cs="Times New Roman"/>
          <w:color w:val="auto"/>
          <w:highlight w:val="none"/>
          <w:lang w:eastAsia="zh-CN"/>
        </w:rPr>
        <w:t>。</w:t>
      </w:r>
    </w:p>
    <w:p>
      <w:pPr>
        <w:pStyle w:val="2"/>
        <w:spacing w:before="0" w:beforeLines="0" w:after="0" w:afterLines="0"/>
        <w:ind w:left="0"/>
        <w:rPr>
          <w:rFonts w:hint="default" w:ascii="Times New Roman" w:hAnsi="Times New Roman" w:eastAsia="仿宋" w:cs="Times New Roman"/>
          <w:color w:val="auto"/>
          <w:sz w:val="30"/>
          <w:szCs w:val="30"/>
          <w:highlight w:val="none"/>
          <w:lang w:val="en-US" w:eastAsia="zh-CN"/>
        </w:rPr>
      </w:pPr>
      <w:bookmarkStart w:id="108" w:name="_Toc6581"/>
      <w:r>
        <w:rPr>
          <w:rFonts w:hint="default" w:ascii="Times New Roman" w:hAnsi="Times New Roman" w:eastAsia="仿宋" w:cs="Times New Roman"/>
          <w:color w:val="auto"/>
          <w:sz w:val="30"/>
          <w:szCs w:val="30"/>
          <w:highlight w:val="none"/>
        </w:rPr>
        <w:t>十、实施标准的措施</w:t>
      </w:r>
      <w:r>
        <w:rPr>
          <w:rFonts w:hint="default" w:ascii="Times New Roman" w:hAnsi="Times New Roman" w:eastAsia="仿宋" w:cs="Times New Roman"/>
          <w:color w:val="auto"/>
          <w:sz w:val="30"/>
          <w:szCs w:val="30"/>
          <w:highlight w:val="none"/>
          <w:lang w:val="en-US" w:eastAsia="zh-CN"/>
        </w:rPr>
        <w:t>建议</w:t>
      </w:r>
      <w:bookmarkEnd w:id="108"/>
    </w:p>
    <w:p>
      <w:pPr>
        <w:ind w:left="0" w:leftChars="0" w:firstLine="48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本标准的颁布与实施，可以加强</w:t>
      </w:r>
      <w:r>
        <w:rPr>
          <w:rFonts w:hint="default" w:ascii="Times New Roman" w:hAnsi="Times New Roman" w:eastAsia="仿宋" w:cs="Times New Roman"/>
          <w:color w:val="auto"/>
          <w:highlight w:val="none"/>
          <w:lang w:val="en-US" w:eastAsia="zh-CN"/>
        </w:rPr>
        <w:t>污水处理</w:t>
      </w:r>
      <w:r>
        <w:rPr>
          <w:rFonts w:hint="default" w:ascii="Times New Roman" w:hAnsi="Times New Roman" w:eastAsia="仿宋" w:cs="Times New Roman"/>
          <w:color w:val="auto"/>
          <w:highlight w:val="none"/>
        </w:rPr>
        <w:t>行业企业</w:t>
      </w:r>
      <w:r>
        <w:rPr>
          <w:rFonts w:hint="default" w:ascii="Times New Roman" w:hAnsi="Times New Roman" w:eastAsia="仿宋" w:cs="Times New Roman"/>
          <w:color w:val="auto"/>
          <w:highlight w:val="none"/>
          <w:lang w:val="en-US" w:eastAsia="zh-CN"/>
        </w:rPr>
        <w:t>温室气体</w:t>
      </w:r>
      <w:r>
        <w:rPr>
          <w:rFonts w:hint="default" w:ascii="Times New Roman" w:hAnsi="Times New Roman" w:eastAsia="仿宋" w:cs="Times New Roman"/>
          <w:color w:val="auto"/>
          <w:highlight w:val="none"/>
        </w:rPr>
        <w:t>排放核算和报告工作的标准化和规范化，进一步提升</w:t>
      </w:r>
      <w:r>
        <w:rPr>
          <w:rFonts w:hint="default" w:ascii="Times New Roman" w:hAnsi="Times New Roman" w:eastAsia="仿宋" w:cs="Times New Roman"/>
          <w:color w:val="auto"/>
          <w:highlight w:val="none"/>
          <w:lang w:val="en-US" w:eastAsia="zh-CN"/>
        </w:rPr>
        <w:t>污水处理</w:t>
      </w:r>
      <w:r>
        <w:rPr>
          <w:rFonts w:hint="default" w:ascii="Times New Roman" w:hAnsi="Times New Roman" w:eastAsia="仿宋" w:cs="Times New Roman"/>
          <w:color w:val="auto"/>
          <w:highlight w:val="none"/>
        </w:rPr>
        <w:t>行业企业</w:t>
      </w:r>
      <w:r>
        <w:rPr>
          <w:rFonts w:hint="default" w:ascii="Times New Roman" w:hAnsi="Times New Roman" w:eastAsia="仿宋" w:cs="Times New Roman"/>
          <w:color w:val="auto"/>
          <w:highlight w:val="none"/>
          <w:lang w:val="en-US" w:eastAsia="zh-CN"/>
        </w:rPr>
        <w:t>温室气体</w:t>
      </w:r>
      <w:bookmarkStart w:id="109" w:name="lawyee_10764_2"/>
      <w:r>
        <w:rPr>
          <w:rFonts w:hint="default" w:ascii="Times New Roman" w:hAnsi="Times New Roman" w:eastAsia="仿宋" w:cs="Times New Roman"/>
          <w:color w:val="auto"/>
          <w:highlight w:val="none"/>
          <w:lang w:val="en-US" w:eastAsia="zh-CN"/>
        </w:rPr>
        <w:t>控排</w:t>
      </w:r>
      <w:bookmarkEnd w:id="109"/>
      <w:r>
        <w:rPr>
          <w:rFonts w:hint="default" w:ascii="Times New Roman" w:hAnsi="Times New Roman" w:eastAsia="仿宋" w:cs="Times New Roman"/>
          <w:color w:val="auto"/>
          <w:highlight w:val="none"/>
        </w:rPr>
        <w:t>能力，为北京市生态文明建设</w:t>
      </w:r>
      <w:r>
        <w:rPr>
          <w:rFonts w:hint="eastAsia" w:eastAsia="仿宋" w:cs="Times New Roman"/>
          <w:color w:val="auto"/>
          <w:highlight w:val="none"/>
          <w:lang w:eastAsia="zh-CN"/>
        </w:rPr>
        <w:t>作</w:t>
      </w:r>
      <w:r>
        <w:rPr>
          <w:rFonts w:hint="default" w:ascii="Times New Roman" w:hAnsi="Times New Roman" w:eastAsia="仿宋" w:cs="Times New Roman"/>
          <w:color w:val="auto"/>
          <w:highlight w:val="none"/>
        </w:rPr>
        <w:t>出贡献，因此建议：</w:t>
      </w:r>
    </w:p>
    <w:p>
      <w:pPr>
        <w:numPr>
          <w:ilvl w:val="0"/>
          <w:numId w:val="12"/>
        </w:numPr>
        <w:ind w:left="0" w:leftChars="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加强本标准的宣贯工作，将本标准作为</w:t>
      </w:r>
      <w:r>
        <w:rPr>
          <w:rFonts w:hint="default" w:ascii="Times New Roman" w:hAnsi="Times New Roman" w:eastAsia="仿宋" w:cs="Times New Roman"/>
          <w:color w:val="auto"/>
          <w:highlight w:val="none"/>
          <w:lang w:val="en-US" w:eastAsia="zh-CN"/>
        </w:rPr>
        <w:t>污水处理</w:t>
      </w:r>
      <w:r>
        <w:rPr>
          <w:rFonts w:hint="default" w:ascii="Times New Roman" w:hAnsi="Times New Roman" w:eastAsia="仿宋" w:cs="Times New Roman"/>
          <w:color w:val="auto"/>
          <w:highlight w:val="none"/>
        </w:rPr>
        <w:t>企业</w:t>
      </w:r>
      <w:r>
        <w:rPr>
          <w:rFonts w:hint="default" w:ascii="Times New Roman" w:hAnsi="Times New Roman" w:eastAsia="仿宋" w:cs="Times New Roman"/>
          <w:color w:val="auto"/>
          <w:highlight w:val="none"/>
          <w:lang w:val="en-US" w:eastAsia="zh-CN"/>
        </w:rPr>
        <w:t>温室气体</w:t>
      </w:r>
      <w:r>
        <w:rPr>
          <w:rFonts w:hint="default" w:ascii="Times New Roman" w:hAnsi="Times New Roman" w:eastAsia="仿宋" w:cs="Times New Roman"/>
          <w:color w:val="auto"/>
          <w:highlight w:val="none"/>
        </w:rPr>
        <w:t>排放核算和报告的依据。</w:t>
      </w:r>
    </w:p>
    <w:p>
      <w:pPr>
        <w:numPr>
          <w:ilvl w:val="0"/>
          <w:numId w:val="12"/>
        </w:numPr>
        <w:ind w:left="0" w:leftChars="0" w:firstLine="0" w:firstLineChars="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污水处理</w:t>
      </w:r>
      <w:r>
        <w:rPr>
          <w:rFonts w:hint="default" w:ascii="Times New Roman" w:hAnsi="Times New Roman" w:eastAsia="仿宋" w:cs="Times New Roman"/>
          <w:color w:val="auto"/>
          <w:highlight w:val="none"/>
        </w:rPr>
        <w:t>企业应根据本标准</w:t>
      </w:r>
      <w:r>
        <w:rPr>
          <w:rFonts w:hint="eastAsia" w:eastAsia="仿宋" w:cs="Times New Roman"/>
          <w:color w:val="auto"/>
          <w:highlight w:val="none"/>
          <w:lang w:val="en-US" w:eastAsia="zh-CN"/>
        </w:rPr>
        <w:t>规定建立温室气体核算与报告工作机制，确保核算数据准确、报告规范。</w:t>
      </w:r>
    </w:p>
    <w:p>
      <w:pPr>
        <w:pStyle w:val="2"/>
        <w:spacing w:before="0" w:beforeLines="0" w:after="0" w:afterLines="0"/>
        <w:ind w:left="0"/>
        <w:rPr>
          <w:rFonts w:hint="default" w:ascii="Times New Roman" w:hAnsi="Times New Roman" w:eastAsia="仿宋" w:cs="Times New Roman"/>
          <w:color w:val="auto"/>
          <w:sz w:val="30"/>
          <w:szCs w:val="30"/>
          <w:highlight w:val="none"/>
        </w:rPr>
      </w:pPr>
      <w:bookmarkStart w:id="110" w:name="_Toc32418"/>
      <w:r>
        <w:rPr>
          <w:rFonts w:hint="default" w:ascii="Times New Roman" w:hAnsi="Times New Roman" w:eastAsia="仿宋" w:cs="Times New Roman"/>
          <w:color w:val="auto"/>
          <w:sz w:val="30"/>
          <w:szCs w:val="30"/>
          <w:highlight w:val="none"/>
        </w:rPr>
        <w:t>十一、其他应说明的事项</w:t>
      </w:r>
      <w:bookmarkEnd w:id="110"/>
    </w:p>
    <w:p>
      <w:pPr>
        <w:ind w:left="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本标准不涉及专利、独家垄断等情况。</w:t>
      </w:r>
    </w:p>
    <w:sectPr>
      <w:headerReference r:id="rId14" w:type="default"/>
      <w:footerReference r:id="rId15" w:type="default"/>
      <w:pgSz w:w="11906" w:h="16838"/>
      <w:pgMar w:top="1440" w:right="1797" w:bottom="1440" w:left="1797" w:header="851" w:footer="992" w:gutter="0"/>
      <w:pgNumType w:start="1"/>
      <w:cols w:space="720"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Times New Roman"/>
    <w:panose1 w:val="020B0604020202020204"/>
    <w:charset w:val="86"/>
    <w:family w:val="swiss"/>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rPr>
        <w:rStyle w:val="29"/>
        <w:sz w:val="24"/>
      </w:rPr>
      <w:instrText xml:space="preserve">PAGE  </w:instrText>
    </w:r>
    <w:r>
      <w:fldChar w:fldCharType="separate"/>
    </w:r>
    <w:r>
      <w:rPr>
        <w:rStyle w:val="29"/>
        <w:sz w:val="24"/>
      </w:rPr>
      <w:t>- 2 -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05848"/>
    </w:sdtPr>
    <w:sdtContent>
      <w:p>
        <w:pPr>
          <w:pStyle w:val="16"/>
          <w:jc w:val="right"/>
        </w:pPr>
        <w:r>
          <w:fldChar w:fldCharType="begin"/>
        </w:r>
        <w:r>
          <w:instrText xml:space="preserve">PAGE   \* MERGEFORMAT</w:instrText>
        </w:r>
        <w:r>
          <w:fldChar w:fldCharType="separate"/>
        </w:r>
        <w:r>
          <w:rPr>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1043"/>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97E1A"/>
    <w:multiLevelType w:val="singleLevel"/>
    <w:tmpl w:val="97897E1A"/>
    <w:lvl w:ilvl="0" w:tentative="0">
      <w:start w:val="2"/>
      <w:numFmt w:val="chineseCounting"/>
      <w:suff w:val="nothing"/>
      <w:lvlText w:val="%1、"/>
      <w:lvlJc w:val="left"/>
      <w:rPr>
        <w:rFonts w:hint="eastAsia"/>
      </w:rPr>
    </w:lvl>
  </w:abstractNum>
  <w:abstractNum w:abstractNumId="1">
    <w:nsid w:val="980E430B"/>
    <w:multiLevelType w:val="singleLevel"/>
    <w:tmpl w:val="980E430B"/>
    <w:lvl w:ilvl="0" w:tentative="0">
      <w:start w:val="1"/>
      <w:numFmt w:val="decimal"/>
      <w:suff w:val="nothing"/>
      <w:lvlText w:val="%1、"/>
      <w:lvlJc w:val="left"/>
    </w:lvl>
  </w:abstractNum>
  <w:abstractNum w:abstractNumId="2">
    <w:nsid w:val="A4FEF67F"/>
    <w:multiLevelType w:val="singleLevel"/>
    <w:tmpl w:val="A4FEF67F"/>
    <w:lvl w:ilvl="0" w:tentative="0">
      <w:start w:val="1"/>
      <w:numFmt w:val="upperLetter"/>
      <w:suff w:val="space"/>
      <w:lvlText w:val="%1）"/>
      <w:lvlJc w:val="left"/>
      <w:rPr>
        <w:rFonts w:hint="default"/>
        <w:sz w:val="21"/>
        <w:szCs w:val="21"/>
      </w:rPr>
    </w:lvl>
  </w:abstractNum>
  <w:abstractNum w:abstractNumId="3">
    <w:nsid w:val="A9A656E5"/>
    <w:multiLevelType w:val="singleLevel"/>
    <w:tmpl w:val="A9A656E5"/>
    <w:lvl w:ilvl="0" w:tentative="0">
      <w:start w:val="2"/>
      <w:numFmt w:val="decimal"/>
      <w:suff w:val="nothing"/>
      <w:lvlText w:val="（%1）"/>
      <w:lvlJc w:val="left"/>
    </w:lvl>
  </w:abstractNum>
  <w:abstractNum w:abstractNumId="4">
    <w:nsid w:val="D52DEFEF"/>
    <w:multiLevelType w:val="singleLevel"/>
    <w:tmpl w:val="D52DEFEF"/>
    <w:lvl w:ilvl="0" w:tentative="0">
      <w:start w:val="3"/>
      <w:numFmt w:val="chineseCounting"/>
      <w:suff w:val="nothing"/>
      <w:lvlText w:val="%1、"/>
      <w:lvlJc w:val="left"/>
      <w:rPr>
        <w:rFonts w:hint="eastAsia"/>
      </w:rPr>
    </w:lvl>
  </w:abstractNum>
  <w:abstractNum w:abstractNumId="5">
    <w:nsid w:val="EAA4BD03"/>
    <w:multiLevelType w:val="singleLevel"/>
    <w:tmpl w:val="EAA4BD03"/>
    <w:lvl w:ilvl="0" w:tentative="0">
      <w:start w:val="7"/>
      <w:numFmt w:val="decimal"/>
      <w:suff w:val="nothing"/>
      <w:lvlText w:val="（%1）"/>
      <w:lvlJc w:val="left"/>
    </w:lvl>
  </w:abstractNum>
  <w:abstractNum w:abstractNumId="6">
    <w:nsid w:val="FB7F59DC"/>
    <w:multiLevelType w:val="singleLevel"/>
    <w:tmpl w:val="FB7F59DC"/>
    <w:lvl w:ilvl="0" w:tentative="0">
      <w:start w:val="7"/>
      <w:numFmt w:val="chineseCounting"/>
      <w:suff w:val="nothing"/>
      <w:lvlText w:val="%1、"/>
      <w:lvlJc w:val="left"/>
      <w:rPr>
        <w:rFonts w:hint="eastAsia"/>
      </w:rPr>
    </w:lvl>
  </w:abstractNum>
  <w:abstractNum w:abstractNumId="7">
    <w:nsid w:val="1FC91163"/>
    <w:multiLevelType w:val="multilevel"/>
    <w:tmpl w:val="1FC91163"/>
    <w:lvl w:ilvl="0" w:tentative="0">
      <w:start w:val="1"/>
      <w:numFmt w:val="decimal"/>
      <w:pStyle w:val="6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5"/>
      <w:suff w:val="nothing"/>
      <w:lvlText w:val="%1.%2.%3　"/>
      <w:lvlJc w:val="left"/>
      <w:pPr>
        <w:ind w:left="141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6344787"/>
    <w:multiLevelType w:val="multilevel"/>
    <w:tmpl w:val="26344787"/>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3A15786A"/>
    <w:multiLevelType w:val="multilevel"/>
    <w:tmpl w:val="3A15786A"/>
    <w:lvl w:ilvl="0" w:tentative="0">
      <w:start w:val="1"/>
      <w:numFmt w:val="lowerLetter"/>
      <w:pStyle w:val="69"/>
      <w:lvlText w:val="%1）"/>
      <w:lvlJc w:val="left"/>
      <w:pPr>
        <w:ind w:left="840" w:hanging="360"/>
      </w:pPr>
      <w:rPr>
        <w:rFonts w:hint="default" w:ascii="Times New Roman" w:hAnsi="Times New Roman" w:eastAsia="仿宋" w:cs="Times New Roman"/>
        <w:i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46260FA"/>
    <w:multiLevelType w:val="multilevel"/>
    <w:tmpl w:val="646260FA"/>
    <w:lvl w:ilvl="0" w:tentative="0">
      <w:start w:val="1"/>
      <w:numFmt w:val="decimal"/>
      <w:pStyle w:val="58"/>
      <w:suff w:val="nothing"/>
      <w:lvlText w:val="表%1　"/>
      <w:lvlJc w:val="left"/>
      <w:pPr>
        <w:ind w:left="0" w:firstLine="0"/>
      </w:pPr>
      <w:rPr>
        <w:rFonts w:hint="eastAsia" w:ascii="黑体" w:hAnsi="Times New Roman" w:eastAsia="黑体"/>
        <w:b w:val="0"/>
        <w:i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708E473E"/>
    <w:multiLevelType w:val="singleLevel"/>
    <w:tmpl w:val="708E473E"/>
    <w:lvl w:ilvl="0" w:tentative="0">
      <w:start w:val="2"/>
      <w:numFmt w:val="decimal"/>
      <w:suff w:val="nothing"/>
      <w:lvlText w:val="（%1）"/>
      <w:lvlJc w:val="left"/>
    </w:lvl>
  </w:abstractNum>
  <w:num w:numId="1">
    <w:abstractNumId w:val="7"/>
  </w:num>
  <w:num w:numId="2">
    <w:abstractNumId w:val="10"/>
  </w:num>
  <w:num w:numId="3">
    <w:abstractNumId w:val="9"/>
  </w:num>
  <w:num w:numId="4">
    <w:abstractNumId w:val="0"/>
  </w:num>
  <w:num w:numId="5">
    <w:abstractNumId w:val="4"/>
  </w:num>
  <w:num w:numId="6">
    <w:abstractNumId w:val="3"/>
  </w:num>
  <w:num w:numId="7">
    <w:abstractNumId w:val="11"/>
  </w:num>
  <w:num w:numId="8">
    <w:abstractNumId w:val="2"/>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0ZmQ2YTZiNTRhMGUyMDI5MzVkZmU3NTVmZjU0NGIifQ=="/>
  </w:docVars>
  <w:rsids>
    <w:rsidRoot w:val="001D3D23"/>
    <w:rsid w:val="000009CE"/>
    <w:rsid w:val="00001225"/>
    <w:rsid w:val="00001D8D"/>
    <w:rsid w:val="00001F3B"/>
    <w:rsid w:val="000022F7"/>
    <w:rsid w:val="000029F7"/>
    <w:rsid w:val="000031DD"/>
    <w:rsid w:val="00003253"/>
    <w:rsid w:val="0000389D"/>
    <w:rsid w:val="00004F1D"/>
    <w:rsid w:val="00005175"/>
    <w:rsid w:val="00005A42"/>
    <w:rsid w:val="000064AF"/>
    <w:rsid w:val="00006B91"/>
    <w:rsid w:val="00006D58"/>
    <w:rsid w:val="000072F4"/>
    <w:rsid w:val="00010574"/>
    <w:rsid w:val="00010FFC"/>
    <w:rsid w:val="0001133A"/>
    <w:rsid w:val="000127CD"/>
    <w:rsid w:val="000127E4"/>
    <w:rsid w:val="00012E0D"/>
    <w:rsid w:val="00013884"/>
    <w:rsid w:val="00014AE8"/>
    <w:rsid w:val="000153DC"/>
    <w:rsid w:val="000155F8"/>
    <w:rsid w:val="00015BB7"/>
    <w:rsid w:val="00015FCE"/>
    <w:rsid w:val="000161DB"/>
    <w:rsid w:val="0001758E"/>
    <w:rsid w:val="000176BD"/>
    <w:rsid w:val="000204D3"/>
    <w:rsid w:val="00021590"/>
    <w:rsid w:val="000222B4"/>
    <w:rsid w:val="0002246B"/>
    <w:rsid w:val="000227CA"/>
    <w:rsid w:val="00024AE4"/>
    <w:rsid w:val="00025247"/>
    <w:rsid w:val="00026281"/>
    <w:rsid w:val="000279EE"/>
    <w:rsid w:val="000315AF"/>
    <w:rsid w:val="00032CD2"/>
    <w:rsid w:val="00033067"/>
    <w:rsid w:val="00037439"/>
    <w:rsid w:val="00037B18"/>
    <w:rsid w:val="00041313"/>
    <w:rsid w:val="00043731"/>
    <w:rsid w:val="000440AA"/>
    <w:rsid w:val="00044284"/>
    <w:rsid w:val="00044638"/>
    <w:rsid w:val="00044937"/>
    <w:rsid w:val="00045ABE"/>
    <w:rsid w:val="00050811"/>
    <w:rsid w:val="0005258B"/>
    <w:rsid w:val="000536AF"/>
    <w:rsid w:val="00054DF9"/>
    <w:rsid w:val="000557F8"/>
    <w:rsid w:val="0005601D"/>
    <w:rsid w:val="0005653E"/>
    <w:rsid w:val="000579C9"/>
    <w:rsid w:val="00060535"/>
    <w:rsid w:val="00061BBE"/>
    <w:rsid w:val="00062CA8"/>
    <w:rsid w:val="00065B3E"/>
    <w:rsid w:val="0006675E"/>
    <w:rsid w:val="00067B4D"/>
    <w:rsid w:val="000700AB"/>
    <w:rsid w:val="00070841"/>
    <w:rsid w:val="00071D60"/>
    <w:rsid w:val="00071E7B"/>
    <w:rsid w:val="000728EB"/>
    <w:rsid w:val="00072A74"/>
    <w:rsid w:val="00072FD8"/>
    <w:rsid w:val="00073933"/>
    <w:rsid w:val="00074D6C"/>
    <w:rsid w:val="00075CFC"/>
    <w:rsid w:val="00080277"/>
    <w:rsid w:val="00081CFE"/>
    <w:rsid w:val="0008223D"/>
    <w:rsid w:val="00082D98"/>
    <w:rsid w:val="00083592"/>
    <w:rsid w:val="000837C0"/>
    <w:rsid w:val="000838D8"/>
    <w:rsid w:val="00084310"/>
    <w:rsid w:val="00084D0E"/>
    <w:rsid w:val="00085EBE"/>
    <w:rsid w:val="00086110"/>
    <w:rsid w:val="00086344"/>
    <w:rsid w:val="00087069"/>
    <w:rsid w:val="00090B77"/>
    <w:rsid w:val="00090DDF"/>
    <w:rsid w:val="0009108B"/>
    <w:rsid w:val="0009239B"/>
    <w:rsid w:val="00092B83"/>
    <w:rsid w:val="00092BD5"/>
    <w:rsid w:val="0009314A"/>
    <w:rsid w:val="0009355E"/>
    <w:rsid w:val="00093AA5"/>
    <w:rsid w:val="00093FA5"/>
    <w:rsid w:val="000944AB"/>
    <w:rsid w:val="0009466B"/>
    <w:rsid w:val="0009566A"/>
    <w:rsid w:val="0009659E"/>
    <w:rsid w:val="00097472"/>
    <w:rsid w:val="00097681"/>
    <w:rsid w:val="00097842"/>
    <w:rsid w:val="000A08B3"/>
    <w:rsid w:val="000A110D"/>
    <w:rsid w:val="000A1140"/>
    <w:rsid w:val="000A3B78"/>
    <w:rsid w:val="000A4E06"/>
    <w:rsid w:val="000A6531"/>
    <w:rsid w:val="000A6970"/>
    <w:rsid w:val="000A71DF"/>
    <w:rsid w:val="000A78A8"/>
    <w:rsid w:val="000A7F05"/>
    <w:rsid w:val="000B0125"/>
    <w:rsid w:val="000B0320"/>
    <w:rsid w:val="000B1481"/>
    <w:rsid w:val="000B279E"/>
    <w:rsid w:val="000B425D"/>
    <w:rsid w:val="000B42D6"/>
    <w:rsid w:val="000B4610"/>
    <w:rsid w:val="000B5DE3"/>
    <w:rsid w:val="000C1C5E"/>
    <w:rsid w:val="000C21CC"/>
    <w:rsid w:val="000C311C"/>
    <w:rsid w:val="000D09C9"/>
    <w:rsid w:val="000D0AF0"/>
    <w:rsid w:val="000D1F5B"/>
    <w:rsid w:val="000D2084"/>
    <w:rsid w:val="000D256A"/>
    <w:rsid w:val="000D25A4"/>
    <w:rsid w:val="000D2B47"/>
    <w:rsid w:val="000D31CE"/>
    <w:rsid w:val="000D3522"/>
    <w:rsid w:val="000D4B19"/>
    <w:rsid w:val="000D52C6"/>
    <w:rsid w:val="000D76AA"/>
    <w:rsid w:val="000E0B28"/>
    <w:rsid w:val="000E14C6"/>
    <w:rsid w:val="000E227E"/>
    <w:rsid w:val="000E2FB9"/>
    <w:rsid w:val="000E4754"/>
    <w:rsid w:val="000E483C"/>
    <w:rsid w:val="000E4A2C"/>
    <w:rsid w:val="000E4FED"/>
    <w:rsid w:val="000E5E9F"/>
    <w:rsid w:val="000E5F49"/>
    <w:rsid w:val="000E61F2"/>
    <w:rsid w:val="000E6DBE"/>
    <w:rsid w:val="000F18E3"/>
    <w:rsid w:val="000F1A1B"/>
    <w:rsid w:val="000F2F77"/>
    <w:rsid w:val="000F3ABE"/>
    <w:rsid w:val="000F56CB"/>
    <w:rsid w:val="000F7B28"/>
    <w:rsid w:val="00100489"/>
    <w:rsid w:val="00100F4A"/>
    <w:rsid w:val="001037FB"/>
    <w:rsid w:val="00104141"/>
    <w:rsid w:val="00104371"/>
    <w:rsid w:val="0010500F"/>
    <w:rsid w:val="00106A5C"/>
    <w:rsid w:val="00107113"/>
    <w:rsid w:val="00107C1D"/>
    <w:rsid w:val="00111456"/>
    <w:rsid w:val="001115F2"/>
    <w:rsid w:val="00111925"/>
    <w:rsid w:val="00111D6A"/>
    <w:rsid w:val="00111FAD"/>
    <w:rsid w:val="00112495"/>
    <w:rsid w:val="001128E3"/>
    <w:rsid w:val="0011337A"/>
    <w:rsid w:val="0011394D"/>
    <w:rsid w:val="00113C42"/>
    <w:rsid w:val="00114C48"/>
    <w:rsid w:val="00115235"/>
    <w:rsid w:val="00116648"/>
    <w:rsid w:val="001177C9"/>
    <w:rsid w:val="00117F07"/>
    <w:rsid w:val="001210BC"/>
    <w:rsid w:val="00121534"/>
    <w:rsid w:val="00122371"/>
    <w:rsid w:val="001226B3"/>
    <w:rsid w:val="00123130"/>
    <w:rsid w:val="001234BA"/>
    <w:rsid w:val="00123FB1"/>
    <w:rsid w:val="00124B61"/>
    <w:rsid w:val="001253EA"/>
    <w:rsid w:val="00125409"/>
    <w:rsid w:val="001259F2"/>
    <w:rsid w:val="00125B98"/>
    <w:rsid w:val="00126672"/>
    <w:rsid w:val="00127643"/>
    <w:rsid w:val="00127CC6"/>
    <w:rsid w:val="00132732"/>
    <w:rsid w:val="00132EF9"/>
    <w:rsid w:val="001335D6"/>
    <w:rsid w:val="00133913"/>
    <w:rsid w:val="00134B89"/>
    <w:rsid w:val="001352E3"/>
    <w:rsid w:val="00136006"/>
    <w:rsid w:val="0013659D"/>
    <w:rsid w:val="001365D3"/>
    <w:rsid w:val="00137471"/>
    <w:rsid w:val="00140A5D"/>
    <w:rsid w:val="00140BE8"/>
    <w:rsid w:val="00141CB1"/>
    <w:rsid w:val="001427B6"/>
    <w:rsid w:val="001428DB"/>
    <w:rsid w:val="001430F1"/>
    <w:rsid w:val="00143179"/>
    <w:rsid w:val="0014356A"/>
    <w:rsid w:val="00144466"/>
    <w:rsid w:val="00145D38"/>
    <w:rsid w:val="00147886"/>
    <w:rsid w:val="00150AC9"/>
    <w:rsid w:val="00151680"/>
    <w:rsid w:val="00151FBA"/>
    <w:rsid w:val="001521F7"/>
    <w:rsid w:val="00152431"/>
    <w:rsid w:val="00152663"/>
    <w:rsid w:val="001542FA"/>
    <w:rsid w:val="00154A0E"/>
    <w:rsid w:val="00155CC7"/>
    <w:rsid w:val="001609C9"/>
    <w:rsid w:val="00160CD4"/>
    <w:rsid w:val="0016199C"/>
    <w:rsid w:val="00162231"/>
    <w:rsid w:val="00162DB4"/>
    <w:rsid w:val="001633B8"/>
    <w:rsid w:val="00163427"/>
    <w:rsid w:val="0016388A"/>
    <w:rsid w:val="001646CD"/>
    <w:rsid w:val="0016527E"/>
    <w:rsid w:val="00165EDD"/>
    <w:rsid w:val="00167866"/>
    <w:rsid w:val="001701C7"/>
    <w:rsid w:val="00170311"/>
    <w:rsid w:val="001704A4"/>
    <w:rsid w:val="001718E2"/>
    <w:rsid w:val="00171DFE"/>
    <w:rsid w:val="0017206A"/>
    <w:rsid w:val="00173011"/>
    <w:rsid w:val="00174580"/>
    <w:rsid w:val="00174626"/>
    <w:rsid w:val="00174C66"/>
    <w:rsid w:val="001755BA"/>
    <w:rsid w:val="00175A73"/>
    <w:rsid w:val="00175B58"/>
    <w:rsid w:val="0017620F"/>
    <w:rsid w:val="00176987"/>
    <w:rsid w:val="00177192"/>
    <w:rsid w:val="001774EE"/>
    <w:rsid w:val="0017773D"/>
    <w:rsid w:val="001777ED"/>
    <w:rsid w:val="00180E28"/>
    <w:rsid w:val="00181D28"/>
    <w:rsid w:val="00182788"/>
    <w:rsid w:val="00182BB0"/>
    <w:rsid w:val="00182D2A"/>
    <w:rsid w:val="00185B92"/>
    <w:rsid w:val="00186048"/>
    <w:rsid w:val="00192159"/>
    <w:rsid w:val="00192CE3"/>
    <w:rsid w:val="00192DF3"/>
    <w:rsid w:val="001942B0"/>
    <w:rsid w:val="00194CE0"/>
    <w:rsid w:val="00194EA4"/>
    <w:rsid w:val="00195229"/>
    <w:rsid w:val="0019630F"/>
    <w:rsid w:val="00196C4E"/>
    <w:rsid w:val="0019701A"/>
    <w:rsid w:val="0019750D"/>
    <w:rsid w:val="001A2450"/>
    <w:rsid w:val="001A2A30"/>
    <w:rsid w:val="001A45F0"/>
    <w:rsid w:val="001A51E1"/>
    <w:rsid w:val="001A5A49"/>
    <w:rsid w:val="001A6862"/>
    <w:rsid w:val="001A6A89"/>
    <w:rsid w:val="001A743A"/>
    <w:rsid w:val="001B072B"/>
    <w:rsid w:val="001B1924"/>
    <w:rsid w:val="001B2ACC"/>
    <w:rsid w:val="001B3A77"/>
    <w:rsid w:val="001B4A48"/>
    <w:rsid w:val="001B4EC4"/>
    <w:rsid w:val="001B66D9"/>
    <w:rsid w:val="001B6E54"/>
    <w:rsid w:val="001B709C"/>
    <w:rsid w:val="001C19B7"/>
    <w:rsid w:val="001C1DE5"/>
    <w:rsid w:val="001C1F6B"/>
    <w:rsid w:val="001C208A"/>
    <w:rsid w:val="001C494C"/>
    <w:rsid w:val="001C6E39"/>
    <w:rsid w:val="001C7136"/>
    <w:rsid w:val="001D0880"/>
    <w:rsid w:val="001D3389"/>
    <w:rsid w:val="001D3639"/>
    <w:rsid w:val="001D366F"/>
    <w:rsid w:val="001D3D23"/>
    <w:rsid w:val="001D42DF"/>
    <w:rsid w:val="001D44B4"/>
    <w:rsid w:val="001D7A70"/>
    <w:rsid w:val="001E1529"/>
    <w:rsid w:val="001E5112"/>
    <w:rsid w:val="001E7F84"/>
    <w:rsid w:val="001F0312"/>
    <w:rsid w:val="001F0A9A"/>
    <w:rsid w:val="001F1B02"/>
    <w:rsid w:val="001F1F1D"/>
    <w:rsid w:val="001F312F"/>
    <w:rsid w:val="001F3615"/>
    <w:rsid w:val="001F43B1"/>
    <w:rsid w:val="001F5067"/>
    <w:rsid w:val="001F5701"/>
    <w:rsid w:val="001F59AA"/>
    <w:rsid w:val="001F62D4"/>
    <w:rsid w:val="001F7282"/>
    <w:rsid w:val="001F7A5D"/>
    <w:rsid w:val="00201ABA"/>
    <w:rsid w:val="002021BF"/>
    <w:rsid w:val="002042E8"/>
    <w:rsid w:val="002057E3"/>
    <w:rsid w:val="00205C1A"/>
    <w:rsid w:val="0020660E"/>
    <w:rsid w:val="00206BEB"/>
    <w:rsid w:val="002071DC"/>
    <w:rsid w:val="00210BFB"/>
    <w:rsid w:val="00211634"/>
    <w:rsid w:val="00211E06"/>
    <w:rsid w:val="00213385"/>
    <w:rsid w:val="00213B85"/>
    <w:rsid w:val="00213B98"/>
    <w:rsid w:val="0021584B"/>
    <w:rsid w:val="0021594A"/>
    <w:rsid w:val="002159E7"/>
    <w:rsid w:val="00215DE1"/>
    <w:rsid w:val="00217464"/>
    <w:rsid w:val="00221177"/>
    <w:rsid w:val="0022130E"/>
    <w:rsid w:val="002218D3"/>
    <w:rsid w:val="002231B5"/>
    <w:rsid w:val="0022344E"/>
    <w:rsid w:val="00223586"/>
    <w:rsid w:val="0022371A"/>
    <w:rsid w:val="0022374B"/>
    <w:rsid w:val="00224C9D"/>
    <w:rsid w:val="00225105"/>
    <w:rsid w:val="00225874"/>
    <w:rsid w:val="0022688A"/>
    <w:rsid w:val="00227ED6"/>
    <w:rsid w:val="00232DD5"/>
    <w:rsid w:val="002338B8"/>
    <w:rsid w:val="0023447E"/>
    <w:rsid w:val="002358A6"/>
    <w:rsid w:val="00235CFC"/>
    <w:rsid w:val="00236F5B"/>
    <w:rsid w:val="00237105"/>
    <w:rsid w:val="0024139A"/>
    <w:rsid w:val="002416CC"/>
    <w:rsid w:val="00243D59"/>
    <w:rsid w:val="00244088"/>
    <w:rsid w:val="00245BEC"/>
    <w:rsid w:val="00245F7F"/>
    <w:rsid w:val="002468CF"/>
    <w:rsid w:val="00246C72"/>
    <w:rsid w:val="00247714"/>
    <w:rsid w:val="00247B90"/>
    <w:rsid w:val="00247D69"/>
    <w:rsid w:val="00250378"/>
    <w:rsid w:val="00250589"/>
    <w:rsid w:val="00252AF0"/>
    <w:rsid w:val="00253059"/>
    <w:rsid w:val="00253DA9"/>
    <w:rsid w:val="002549EC"/>
    <w:rsid w:val="00256156"/>
    <w:rsid w:val="0025620C"/>
    <w:rsid w:val="0025780F"/>
    <w:rsid w:val="00257A63"/>
    <w:rsid w:val="00261072"/>
    <w:rsid w:val="0026167D"/>
    <w:rsid w:val="0026174A"/>
    <w:rsid w:val="002619F9"/>
    <w:rsid w:val="00261D99"/>
    <w:rsid w:val="0026205F"/>
    <w:rsid w:val="0026271D"/>
    <w:rsid w:val="00264470"/>
    <w:rsid w:val="002651C1"/>
    <w:rsid w:val="00266A9F"/>
    <w:rsid w:val="002673DD"/>
    <w:rsid w:val="00267894"/>
    <w:rsid w:val="00270813"/>
    <w:rsid w:val="00270D99"/>
    <w:rsid w:val="00271463"/>
    <w:rsid w:val="0027222A"/>
    <w:rsid w:val="00273951"/>
    <w:rsid w:val="00273AE1"/>
    <w:rsid w:val="00273EDF"/>
    <w:rsid w:val="00273F4F"/>
    <w:rsid w:val="00274365"/>
    <w:rsid w:val="00274866"/>
    <w:rsid w:val="00274E2F"/>
    <w:rsid w:val="00275A9D"/>
    <w:rsid w:val="00276CDC"/>
    <w:rsid w:val="0027737F"/>
    <w:rsid w:val="00277C8E"/>
    <w:rsid w:val="00277CA3"/>
    <w:rsid w:val="00280B50"/>
    <w:rsid w:val="0028164E"/>
    <w:rsid w:val="00282957"/>
    <w:rsid w:val="002829FF"/>
    <w:rsid w:val="002865EB"/>
    <w:rsid w:val="002872B6"/>
    <w:rsid w:val="00287F36"/>
    <w:rsid w:val="0029083B"/>
    <w:rsid w:val="002909CA"/>
    <w:rsid w:val="00294060"/>
    <w:rsid w:val="0029447D"/>
    <w:rsid w:val="00294FCC"/>
    <w:rsid w:val="00295B65"/>
    <w:rsid w:val="00296269"/>
    <w:rsid w:val="002A2C14"/>
    <w:rsid w:val="002A2D57"/>
    <w:rsid w:val="002A5692"/>
    <w:rsid w:val="002A623E"/>
    <w:rsid w:val="002A7E7C"/>
    <w:rsid w:val="002B2E39"/>
    <w:rsid w:val="002B373F"/>
    <w:rsid w:val="002B3A62"/>
    <w:rsid w:val="002B3F09"/>
    <w:rsid w:val="002B4279"/>
    <w:rsid w:val="002B4601"/>
    <w:rsid w:val="002B4C52"/>
    <w:rsid w:val="002B51DE"/>
    <w:rsid w:val="002B57F0"/>
    <w:rsid w:val="002B5A94"/>
    <w:rsid w:val="002B69EA"/>
    <w:rsid w:val="002C0342"/>
    <w:rsid w:val="002C0FA9"/>
    <w:rsid w:val="002C1C08"/>
    <w:rsid w:val="002C228E"/>
    <w:rsid w:val="002C2BD2"/>
    <w:rsid w:val="002C2EB9"/>
    <w:rsid w:val="002C5ADE"/>
    <w:rsid w:val="002C6431"/>
    <w:rsid w:val="002C75BF"/>
    <w:rsid w:val="002D20B2"/>
    <w:rsid w:val="002D26AA"/>
    <w:rsid w:val="002D2A51"/>
    <w:rsid w:val="002D3C76"/>
    <w:rsid w:val="002D522A"/>
    <w:rsid w:val="002D56F2"/>
    <w:rsid w:val="002D58F6"/>
    <w:rsid w:val="002D6346"/>
    <w:rsid w:val="002D72F7"/>
    <w:rsid w:val="002D75E9"/>
    <w:rsid w:val="002D7D0E"/>
    <w:rsid w:val="002E02C5"/>
    <w:rsid w:val="002E216A"/>
    <w:rsid w:val="002E2C31"/>
    <w:rsid w:val="002E5014"/>
    <w:rsid w:val="002E6281"/>
    <w:rsid w:val="002E6C2C"/>
    <w:rsid w:val="002F070A"/>
    <w:rsid w:val="002F3746"/>
    <w:rsid w:val="002F4B1E"/>
    <w:rsid w:val="002F69FB"/>
    <w:rsid w:val="002F714D"/>
    <w:rsid w:val="002F7198"/>
    <w:rsid w:val="002F745C"/>
    <w:rsid w:val="002F7E4C"/>
    <w:rsid w:val="00300781"/>
    <w:rsid w:val="00300B12"/>
    <w:rsid w:val="003039AC"/>
    <w:rsid w:val="0030424E"/>
    <w:rsid w:val="0030563A"/>
    <w:rsid w:val="00305930"/>
    <w:rsid w:val="003068C2"/>
    <w:rsid w:val="00307CB0"/>
    <w:rsid w:val="00307E00"/>
    <w:rsid w:val="0031083F"/>
    <w:rsid w:val="0031175B"/>
    <w:rsid w:val="003121C2"/>
    <w:rsid w:val="0031222E"/>
    <w:rsid w:val="003166BA"/>
    <w:rsid w:val="003172A1"/>
    <w:rsid w:val="00317467"/>
    <w:rsid w:val="003179FA"/>
    <w:rsid w:val="00317D2B"/>
    <w:rsid w:val="00317E96"/>
    <w:rsid w:val="003211B3"/>
    <w:rsid w:val="00321A17"/>
    <w:rsid w:val="00321D9F"/>
    <w:rsid w:val="0032206D"/>
    <w:rsid w:val="0032323A"/>
    <w:rsid w:val="003258C7"/>
    <w:rsid w:val="00326782"/>
    <w:rsid w:val="00326F6A"/>
    <w:rsid w:val="00331BC4"/>
    <w:rsid w:val="003327E2"/>
    <w:rsid w:val="00333138"/>
    <w:rsid w:val="003333BE"/>
    <w:rsid w:val="0033414A"/>
    <w:rsid w:val="00334763"/>
    <w:rsid w:val="00334F4F"/>
    <w:rsid w:val="0033515C"/>
    <w:rsid w:val="003351E5"/>
    <w:rsid w:val="003357B8"/>
    <w:rsid w:val="00335F79"/>
    <w:rsid w:val="00337FCD"/>
    <w:rsid w:val="00340A33"/>
    <w:rsid w:val="0034197D"/>
    <w:rsid w:val="003426E4"/>
    <w:rsid w:val="0034271B"/>
    <w:rsid w:val="00342DF7"/>
    <w:rsid w:val="00343043"/>
    <w:rsid w:val="00343CE0"/>
    <w:rsid w:val="0034497E"/>
    <w:rsid w:val="003459E0"/>
    <w:rsid w:val="00345A64"/>
    <w:rsid w:val="00345D18"/>
    <w:rsid w:val="0034687A"/>
    <w:rsid w:val="00346CD5"/>
    <w:rsid w:val="003474C2"/>
    <w:rsid w:val="00347E34"/>
    <w:rsid w:val="0035018A"/>
    <w:rsid w:val="00350805"/>
    <w:rsid w:val="00350E16"/>
    <w:rsid w:val="00352AD1"/>
    <w:rsid w:val="00353CB9"/>
    <w:rsid w:val="00354016"/>
    <w:rsid w:val="0035461E"/>
    <w:rsid w:val="00354D1F"/>
    <w:rsid w:val="00356257"/>
    <w:rsid w:val="00357AF0"/>
    <w:rsid w:val="00357E4F"/>
    <w:rsid w:val="003603CF"/>
    <w:rsid w:val="00360EFB"/>
    <w:rsid w:val="00360FE4"/>
    <w:rsid w:val="00361FE8"/>
    <w:rsid w:val="003621D2"/>
    <w:rsid w:val="00364F3B"/>
    <w:rsid w:val="00365245"/>
    <w:rsid w:val="003652A4"/>
    <w:rsid w:val="003652A8"/>
    <w:rsid w:val="0036596E"/>
    <w:rsid w:val="0036776F"/>
    <w:rsid w:val="00367E7A"/>
    <w:rsid w:val="003713C0"/>
    <w:rsid w:val="00371407"/>
    <w:rsid w:val="00371D99"/>
    <w:rsid w:val="00371E19"/>
    <w:rsid w:val="00372296"/>
    <w:rsid w:val="003731AB"/>
    <w:rsid w:val="003736E5"/>
    <w:rsid w:val="00373D4D"/>
    <w:rsid w:val="00373ED3"/>
    <w:rsid w:val="003752F2"/>
    <w:rsid w:val="00375764"/>
    <w:rsid w:val="0037633D"/>
    <w:rsid w:val="00376828"/>
    <w:rsid w:val="003776F0"/>
    <w:rsid w:val="0037773D"/>
    <w:rsid w:val="00377979"/>
    <w:rsid w:val="00380746"/>
    <w:rsid w:val="00380A20"/>
    <w:rsid w:val="00381CB6"/>
    <w:rsid w:val="00381D6B"/>
    <w:rsid w:val="003830CC"/>
    <w:rsid w:val="00383B2E"/>
    <w:rsid w:val="00384102"/>
    <w:rsid w:val="003859A3"/>
    <w:rsid w:val="003865D6"/>
    <w:rsid w:val="00386921"/>
    <w:rsid w:val="00386F3A"/>
    <w:rsid w:val="00387AC1"/>
    <w:rsid w:val="0039062C"/>
    <w:rsid w:val="0039086B"/>
    <w:rsid w:val="0039123C"/>
    <w:rsid w:val="00391E70"/>
    <w:rsid w:val="00391FB4"/>
    <w:rsid w:val="0039306D"/>
    <w:rsid w:val="00393377"/>
    <w:rsid w:val="003933AF"/>
    <w:rsid w:val="003940DC"/>
    <w:rsid w:val="00394535"/>
    <w:rsid w:val="003947F9"/>
    <w:rsid w:val="0039514F"/>
    <w:rsid w:val="00396091"/>
    <w:rsid w:val="0039610D"/>
    <w:rsid w:val="0039620C"/>
    <w:rsid w:val="003966D6"/>
    <w:rsid w:val="00396C38"/>
    <w:rsid w:val="00397073"/>
    <w:rsid w:val="00397674"/>
    <w:rsid w:val="003A0917"/>
    <w:rsid w:val="003A1295"/>
    <w:rsid w:val="003A13CC"/>
    <w:rsid w:val="003A15F1"/>
    <w:rsid w:val="003A18AE"/>
    <w:rsid w:val="003A1A11"/>
    <w:rsid w:val="003A1B83"/>
    <w:rsid w:val="003A216C"/>
    <w:rsid w:val="003A24A4"/>
    <w:rsid w:val="003A352F"/>
    <w:rsid w:val="003A3CC6"/>
    <w:rsid w:val="003A4EBC"/>
    <w:rsid w:val="003A5F55"/>
    <w:rsid w:val="003A6083"/>
    <w:rsid w:val="003A75B0"/>
    <w:rsid w:val="003A7779"/>
    <w:rsid w:val="003A7F87"/>
    <w:rsid w:val="003B0589"/>
    <w:rsid w:val="003B116D"/>
    <w:rsid w:val="003B2740"/>
    <w:rsid w:val="003B2DBB"/>
    <w:rsid w:val="003B3D96"/>
    <w:rsid w:val="003B4065"/>
    <w:rsid w:val="003B4405"/>
    <w:rsid w:val="003B6261"/>
    <w:rsid w:val="003B6898"/>
    <w:rsid w:val="003B6AB6"/>
    <w:rsid w:val="003C0BC9"/>
    <w:rsid w:val="003C1093"/>
    <w:rsid w:val="003C1366"/>
    <w:rsid w:val="003C2B5F"/>
    <w:rsid w:val="003C3371"/>
    <w:rsid w:val="003C34F0"/>
    <w:rsid w:val="003C439D"/>
    <w:rsid w:val="003C46BE"/>
    <w:rsid w:val="003C54CA"/>
    <w:rsid w:val="003C5C50"/>
    <w:rsid w:val="003C5F1D"/>
    <w:rsid w:val="003C7702"/>
    <w:rsid w:val="003D05F6"/>
    <w:rsid w:val="003D08AD"/>
    <w:rsid w:val="003D134F"/>
    <w:rsid w:val="003D1824"/>
    <w:rsid w:val="003D1C18"/>
    <w:rsid w:val="003D1C5A"/>
    <w:rsid w:val="003D2EBD"/>
    <w:rsid w:val="003D31E8"/>
    <w:rsid w:val="003D336C"/>
    <w:rsid w:val="003D3480"/>
    <w:rsid w:val="003D549C"/>
    <w:rsid w:val="003D55FF"/>
    <w:rsid w:val="003D5E1F"/>
    <w:rsid w:val="003D646A"/>
    <w:rsid w:val="003D71B8"/>
    <w:rsid w:val="003D76B6"/>
    <w:rsid w:val="003E1721"/>
    <w:rsid w:val="003E1F56"/>
    <w:rsid w:val="003E2496"/>
    <w:rsid w:val="003E2564"/>
    <w:rsid w:val="003E25CB"/>
    <w:rsid w:val="003E263F"/>
    <w:rsid w:val="003E28B3"/>
    <w:rsid w:val="003E3EA8"/>
    <w:rsid w:val="003E3F81"/>
    <w:rsid w:val="003E566D"/>
    <w:rsid w:val="003E666D"/>
    <w:rsid w:val="003E7B46"/>
    <w:rsid w:val="003E7DB0"/>
    <w:rsid w:val="003E7E36"/>
    <w:rsid w:val="003F08B6"/>
    <w:rsid w:val="003F0D3F"/>
    <w:rsid w:val="003F1404"/>
    <w:rsid w:val="003F678A"/>
    <w:rsid w:val="003F6979"/>
    <w:rsid w:val="003F7C95"/>
    <w:rsid w:val="004005CA"/>
    <w:rsid w:val="0040239E"/>
    <w:rsid w:val="0040425F"/>
    <w:rsid w:val="004042C8"/>
    <w:rsid w:val="004047DF"/>
    <w:rsid w:val="00404E53"/>
    <w:rsid w:val="00406050"/>
    <w:rsid w:val="004100F8"/>
    <w:rsid w:val="00410FFB"/>
    <w:rsid w:val="00412882"/>
    <w:rsid w:val="00412913"/>
    <w:rsid w:val="004136C6"/>
    <w:rsid w:val="004143D8"/>
    <w:rsid w:val="004162D9"/>
    <w:rsid w:val="0041654F"/>
    <w:rsid w:val="00416FDF"/>
    <w:rsid w:val="00417DC5"/>
    <w:rsid w:val="004206F5"/>
    <w:rsid w:val="004210AB"/>
    <w:rsid w:val="00422064"/>
    <w:rsid w:val="00423905"/>
    <w:rsid w:val="00424FFC"/>
    <w:rsid w:val="00425A75"/>
    <w:rsid w:val="00426743"/>
    <w:rsid w:val="00430FF5"/>
    <w:rsid w:val="00432822"/>
    <w:rsid w:val="00432D04"/>
    <w:rsid w:val="004334CA"/>
    <w:rsid w:val="004340BB"/>
    <w:rsid w:val="00434195"/>
    <w:rsid w:val="00434713"/>
    <w:rsid w:val="00437937"/>
    <w:rsid w:val="004401E1"/>
    <w:rsid w:val="0044032B"/>
    <w:rsid w:val="00440799"/>
    <w:rsid w:val="00440BB6"/>
    <w:rsid w:val="00440D71"/>
    <w:rsid w:val="00441604"/>
    <w:rsid w:val="00442D59"/>
    <w:rsid w:val="00443ABD"/>
    <w:rsid w:val="004447EA"/>
    <w:rsid w:val="004462A1"/>
    <w:rsid w:val="00446DE2"/>
    <w:rsid w:val="00446F15"/>
    <w:rsid w:val="0044788C"/>
    <w:rsid w:val="00447A4C"/>
    <w:rsid w:val="00450294"/>
    <w:rsid w:val="00450F36"/>
    <w:rsid w:val="00451719"/>
    <w:rsid w:val="00452EE8"/>
    <w:rsid w:val="00453065"/>
    <w:rsid w:val="00454665"/>
    <w:rsid w:val="00454ED4"/>
    <w:rsid w:val="0045509B"/>
    <w:rsid w:val="004562F3"/>
    <w:rsid w:val="004570ED"/>
    <w:rsid w:val="004571BE"/>
    <w:rsid w:val="0046064C"/>
    <w:rsid w:val="00460E30"/>
    <w:rsid w:val="004627D7"/>
    <w:rsid w:val="00462CA2"/>
    <w:rsid w:val="004639A2"/>
    <w:rsid w:val="00463F54"/>
    <w:rsid w:val="00465712"/>
    <w:rsid w:val="0046573F"/>
    <w:rsid w:val="00465940"/>
    <w:rsid w:val="004666E6"/>
    <w:rsid w:val="00466E29"/>
    <w:rsid w:val="0047087A"/>
    <w:rsid w:val="00470883"/>
    <w:rsid w:val="00471BB8"/>
    <w:rsid w:val="00472429"/>
    <w:rsid w:val="00473EE4"/>
    <w:rsid w:val="004740B5"/>
    <w:rsid w:val="00474820"/>
    <w:rsid w:val="004765D8"/>
    <w:rsid w:val="00476B98"/>
    <w:rsid w:val="00477B0C"/>
    <w:rsid w:val="00477DE1"/>
    <w:rsid w:val="0048013B"/>
    <w:rsid w:val="00480FE5"/>
    <w:rsid w:val="00481345"/>
    <w:rsid w:val="004819F1"/>
    <w:rsid w:val="004827D7"/>
    <w:rsid w:val="00482C4B"/>
    <w:rsid w:val="004836C9"/>
    <w:rsid w:val="00483730"/>
    <w:rsid w:val="004837F3"/>
    <w:rsid w:val="00483DC5"/>
    <w:rsid w:val="00485264"/>
    <w:rsid w:val="00485AB9"/>
    <w:rsid w:val="00486094"/>
    <w:rsid w:val="00487228"/>
    <w:rsid w:val="00487B56"/>
    <w:rsid w:val="00487CA9"/>
    <w:rsid w:val="00487EB2"/>
    <w:rsid w:val="00490B57"/>
    <w:rsid w:val="00490D7E"/>
    <w:rsid w:val="00490EAC"/>
    <w:rsid w:val="004912CB"/>
    <w:rsid w:val="004929C6"/>
    <w:rsid w:val="0049339D"/>
    <w:rsid w:val="004952AC"/>
    <w:rsid w:val="00495424"/>
    <w:rsid w:val="00495BA2"/>
    <w:rsid w:val="00495DD3"/>
    <w:rsid w:val="004967CC"/>
    <w:rsid w:val="00496B86"/>
    <w:rsid w:val="00497640"/>
    <w:rsid w:val="004A0298"/>
    <w:rsid w:val="004A09CF"/>
    <w:rsid w:val="004A1430"/>
    <w:rsid w:val="004A1AAD"/>
    <w:rsid w:val="004A1DA9"/>
    <w:rsid w:val="004A2F33"/>
    <w:rsid w:val="004A44A6"/>
    <w:rsid w:val="004A50B5"/>
    <w:rsid w:val="004A511D"/>
    <w:rsid w:val="004A5257"/>
    <w:rsid w:val="004A5C8A"/>
    <w:rsid w:val="004A5E7C"/>
    <w:rsid w:val="004A5EAA"/>
    <w:rsid w:val="004A689E"/>
    <w:rsid w:val="004A766C"/>
    <w:rsid w:val="004B10AC"/>
    <w:rsid w:val="004B1418"/>
    <w:rsid w:val="004B1A23"/>
    <w:rsid w:val="004B1DA4"/>
    <w:rsid w:val="004B29A3"/>
    <w:rsid w:val="004B2A34"/>
    <w:rsid w:val="004B3347"/>
    <w:rsid w:val="004B44DC"/>
    <w:rsid w:val="004B5C64"/>
    <w:rsid w:val="004B6206"/>
    <w:rsid w:val="004B68CF"/>
    <w:rsid w:val="004C00F7"/>
    <w:rsid w:val="004C041E"/>
    <w:rsid w:val="004C04A6"/>
    <w:rsid w:val="004C1B54"/>
    <w:rsid w:val="004C27BD"/>
    <w:rsid w:val="004C67A3"/>
    <w:rsid w:val="004C6CC5"/>
    <w:rsid w:val="004C7803"/>
    <w:rsid w:val="004C7D14"/>
    <w:rsid w:val="004D1021"/>
    <w:rsid w:val="004D1298"/>
    <w:rsid w:val="004D19FD"/>
    <w:rsid w:val="004D28E2"/>
    <w:rsid w:val="004D2A78"/>
    <w:rsid w:val="004D2D07"/>
    <w:rsid w:val="004D3659"/>
    <w:rsid w:val="004D41F8"/>
    <w:rsid w:val="004D45F9"/>
    <w:rsid w:val="004D4A11"/>
    <w:rsid w:val="004D6597"/>
    <w:rsid w:val="004D673B"/>
    <w:rsid w:val="004D6E4E"/>
    <w:rsid w:val="004D750A"/>
    <w:rsid w:val="004D7632"/>
    <w:rsid w:val="004D7D04"/>
    <w:rsid w:val="004E0660"/>
    <w:rsid w:val="004E06DC"/>
    <w:rsid w:val="004E1D7B"/>
    <w:rsid w:val="004E2090"/>
    <w:rsid w:val="004E365B"/>
    <w:rsid w:val="004E3EFD"/>
    <w:rsid w:val="004E5510"/>
    <w:rsid w:val="004E60D3"/>
    <w:rsid w:val="004E6B2C"/>
    <w:rsid w:val="004E6E3A"/>
    <w:rsid w:val="004F0BE4"/>
    <w:rsid w:val="004F1BF6"/>
    <w:rsid w:val="004F4648"/>
    <w:rsid w:val="004F4CAE"/>
    <w:rsid w:val="004F50BA"/>
    <w:rsid w:val="004F5735"/>
    <w:rsid w:val="004F7928"/>
    <w:rsid w:val="00500138"/>
    <w:rsid w:val="00500B3A"/>
    <w:rsid w:val="005015F2"/>
    <w:rsid w:val="00501D34"/>
    <w:rsid w:val="00501EF6"/>
    <w:rsid w:val="0050352C"/>
    <w:rsid w:val="00503538"/>
    <w:rsid w:val="005051B4"/>
    <w:rsid w:val="005058C2"/>
    <w:rsid w:val="005072DA"/>
    <w:rsid w:val="0050795D"/>
    <w:rsid w:val="00507FF1"/>
    <w:rsid w:val="00510B82"/>
    <w:rsid w:val="00511ED5"/>
    <w:rsid w:val="0051269C"/>
    <w:rsid w:val="00515BF2"/>
    <w:rsid w:val="005177BB"/>
    <w:rsid w:val="005201F9"/>
    <w:rsid w:val="0052116C"/>
    <w:rsid w:val="0052181E"/>
    <w:rsid w:val="005222EA"/>
    <w:rsid w:val="00523075"/>
    <w:rsid w:val="0052372E"/>
    <w:rsid w:val="005244C8"/>
    <w:rsid w:val="00524ABD"/>
    <w:rsid w:val="0052540C"/>
    <w:rsid w:val="00525A09"/>
    <w:rsid w:val="00525A35"/>
    <w:rsid w:val="00525E25"/>
    <w:rsid w:val="00525FF4"/>
    <w:rsid w:val="005268B0"/>
    <w:rsid w:val="00526A68"/>
    <w:rsid w:val="00527E38"/>
    <w:rsid w:val="0053032D"/>
    <w:rsid w:val="00531028"/>
    <w:rsid w:val="005335E4"/>
    <w:rsid w:val="00534BE9"/>
    <w:rsid w:val="005360B2"/>
    <w:rsid w:val="005367EA"/>
    <w:rsid w:val="00536B07"/>
    <w:rsid w:val="00536E62"/>
    <w:rsid w:val="00537FA4"/>
    <w:rsid w:val="00540444"/>
    <w:rsid w:val="005408D9"/>
    <w:rsid w:val="0054339F"/>
    <w:rsid w:val="00543511"/>
    <w:rsid w:val="005450A5"/>
    <w:rsid w:val="0054523C"/>
    <w:rsid w:val="0054698B"/>
    <w:rsid w:val="00546AF9"/>
    <w:rsid w:val="005472B9"/>
    <w:rsid w:val="00547923"/>
    <w:rsid w:val="00551DFA"/>
    <w:rsid w:val="00551EC7"/>
    <w:rsid w:val="00552EE7"/>
    <w:rsid w:val="005538AF"/>
    <w:rsid w:val="00554080"/>
    <w:rsid w:val="00554721"/>
    <w:rsid w:val="00554EDB"/>
    <w:rsid w:val="00556105"/>
    <w:rsid w:val="005565AA"/>
    <w:rsid w:val="00557711"/>
    <w:rsid w:val="00557F51"/>
    <w:rsid w:val="00560123"/>
    <w:rsid w:val="0056084B"/>
    <w:rsid w:val="005619EF"/>
    <w:rsid w:val="005624ED"/>
    <w:rsid w:val="00562C05"/>
    <w:rsid w:val="00565E10"/>
    <w:rsid w:val="00566699"/>
    <w:rsid w:val="005708CD"/>
    <w:rsid w:val="00571075"/>
    <w:rsid w:val="005726EB"/>
    <w:rsid w:val="00577D82"/>
    <w:rsid w:val="0058015F"/>
    <w:rsid w:val="00580173"/>
    <w:rsid w:val="005807D3"/>
    <w:rsid w:val="00580829"/>
    <w:rsid w:val="00581715"/>
    <w:rsid w:val="00582671"/>
    <w:rsid w:val="0058270B"/>
    <w:rsid w:val="00582B0F"/>
    <w:rsid w:val="00583681"/>
    <w:rsid w:val="00584184"/>
    <w:rsid w:val="005843E7"/>
    <w:rsid w:val="00585673"/>
    <w:rsid w:val="00586842"/>
    <w:rsid w:val="00591A06"/>
    <w:rsid w:val="00591A96"/>
    <w:rsid w:val="00593312"/>
    <w:rsid w:val="005953B5"/>
    <w:rsid w:val="005956E7"/>
    <w:rsid w:val="0059683D"/>
    <w:rsid w:val="00596FF2"/>
    <w:rsid w:val="005977A6"/>
    <w:rsid w:val="005A1507"/>
    <w:rsid w:val="005A2266"/>
    <w:rsid w:val="005A2398"/>
    <w:rsid w:val="005A2511"/>
    <w:rsid w:val="005A2FBE"/>
    <w:rsid w:val="005A456C"/>
    <w:rsid w:val="005A4614"/>
    <w:rsid w:val="005A486D"/>
    <w:rsid w:val="005A51CB"/>
    <w:rsid w:val="005A5362"/>
    <w:rsid w:val="005A55DE"/>
    <w:rsid w:val="005A5A01"/>
    <w:rsid w:val="005A615E"/>
    <w:rsid w:val="005A743F"/>
    <w:rsid w:val="005A78AD"/>
    <w:rsid w:val="005B0458"/>
    <w:rsid w:val="005B17EC"/>
    <w:rsid w:val="005B1C44"/>
    <w:rsid w:val="005B31E3"/>
    <w:rsid w:val="005B4587"/>
    <w:rsid w:val="005B4D77"/>
    <w:rsid w:val="005B5AD4"/>
    <w:rsid w:val="005C0674"/>
    <w:rsid w:val="005C11CE"/>
    <w:rsid w:val="005C2662"/>
    <w:rsid w:val="005C2895"/>
    <w:rsid w:val="005C325C"/>
    <w:rsid w:val="005C3681"/>
    <w:rsid w:val="005C5B29"/>
    <w:rsid w:val="005C7A60"/>
    <w:rsid w:val="005D0BFF"/>
    <w:rsid w:val="005D1F75"/>
    <w:rsid w:val="005D2F4D"/>
    <w:rsid w:val="005D3334"/>
    <w:rsid w:val="005D3387"/>
    <w:rsid w:val="005D4B34"/>
    <w:rsid w:val="005D4B76"/>
    <w:rsid w:val="005D544C"/>
    <w:rsid w:val="005D5649"/>
    <w:rsid w:val="005D5914"/>
    <w:rsid w:val="005E0F7E"/>
    <w:rsid w:val="005E291D"/>
    <w:rsid w:val="005E2E5E"/>
    <w:rsid w:val="005E3896"/>
    <w:rsid w:val="005E3E62"/>
    <w:rsid w:val="005E57C4"/>
    <w:rsid w:val="005E5A9B"/>
    <w:rsid w:val="005E7174"/>
    <w:rsid w:val="005E7AD0"/>
    <w:rsid w:val="005E7CB7"/>
    <w:rsid w:val="005F002E"/>
    <w:rsid w:val="005F05AF"/>
    <w:rsid w:val="005F0DB0"/>
    <w:rsid w:val="005F29F1"/>
    <w:rsid w:val="005F3770"/>
    <w:rsid w:val="005F4438"/>
    <w:rsid w:val="005F554B"/>
    <w:rsid w:val="005F5C90"/>
    <w:rsid w:val="00600465"/>
    <w:rsid w:val="00601436"/>
    <w:rsid w:val="006014E9"/>
    <w:rsid w:val="00603BA5"/>
    <w:rsid w:val="00603F34"/>
    <w:rsid w:val="00603FE8"/>
    <w:rsid w:val="0060467D"/>
    <w:rsid w:val="00604CA6"/>
    <w:rsid w:val="00605C03"/>
    <w:rsid w:val="00607A14"/>
    <w:rsid w:val="006104CB"/>
    <w:rsid w:val="00611428"/>
    <w:rsid w:val="00611490"/>
    <w:rsid w:val="00611FD1"/>
    <w:rsid w:val="006124B6"/>
    <w:rsid w:val="006128DD"/>
    <w:rsid w:val="00613C48"/>
    <w:rsid w:val="00613CB9"/>
    <w:rsid w:val="006141EE"/>
    <w:rsid w:val="0061449D"/>
    <w:rsid w:val="00614725"/>
    <w:rsid w:val="00614D43"/>
    <w:rsid w:val="006158C8"/>
    <w:rsid w:val="006159FA"/>
    <w:rsid w:val="00616D99"/>
    <w:rsid w:val="00616EBF"/>
    <w:rsid w:val="00620C36"/>
    <w:rsid w:val="006214CA"/>
    <w:rsid w:val="006216AF"/>
    <w:rsid w:val="00622D14"/>
    <w:rsid w:val="00622E73"/>
    <w:rsid w:val="00623878"/>
    <w:rsid w:val="00623C9A"/>
    <w:rsid w:val="0062408E"/>
    <w:rsid w:val="006241E1"/>
    <w:rsid w:val="0062454D"/>
    <w:rsid w:val="0062468E"/>
    <w:rsid w:val="00624B5E"/>
    <w:rsid w:val="006254B9"/>
    <w:rsid w:val="0062595C"/>
    <w:rsid w:val="006265C5"/>
    <w:rsid w:val="00627505"/>
    <w:rsid w:val="00627E7A"/>
    <w:rsid w:val="00627F07"/>
    <w:rsid w:val="00630201"/>
    <w:rsid w:val="00632FD5"/>
    <w:rsid w:val="00633F6E"/>
    <w:rsid w:val="0063426D"/>
    <w:rsid w:val="00634739"/>
    <w:rsid w:val="0063500A"/>
    <w:rsid w:val="00636E04"/>
    <w:rsid w:val="0063704A"/>
    <w:rsid w:val="006370C3"/>
    <w:rsid w:val="0063794B"/>
    <w:rsid w:val="00637EA0"/>
    <w:rsid w:val="006415E3"/>
    <w:rsid w:val="006418CE"/>
    <w:rsid w:val="00643D09"/>
    <w:rsid w:val="00643F62"/>
    <w:rsid w:val="0064640E"/>
    <w:rsid w:val="00646B55"/>
    <w:rsid w:val="00647682"/>
    <w:rsid w:val="00647840"/>
    <w:rsid w:val="00650F7C"/>
    <w:rsid w:val="006528B9"/>
    <w:rsid w:val="006528DE"/>
    <w:rsid w:val="00654BEB"/>
    <w:rsid w:val="00655ED0"/>
    <w:rsid w:val="00655FB1"/>
    <w:rsid w:val="00656038"/>
    <w:rsid w:val="0065675E"/>
    <w:rsid w:val="00662600"/>
    <w:rsid w:val="00664522"/>
    <w:rsid w:val="006652C9"/>
    <w:rsid w:val="00665B6A"/>
    <w:rsid w:val="00665B9D"/>
    <w:rsid w:val="006662B7"/>
    <w:rsid w:val="00667F4A"/>
    <w:rsid w:val="006714ED"/>
    <w:rsid w:val="00671660"/>
    <w:rsid w:val="00673C6E"/>
    <w:rsid w:val="00674F61"/>
    <w:rsid w:val="006758BF"/>
    <w:rsid w:val="00677386"/>
    <w:rsid w:val="00680749"/>
    <w:rsid w:val="0068092A"/>
    <w:rsid w:val="00681030"/>
    <w:rsid w:val="006810C7"/>
    <w:rsid w:val="0068266E"/>
    <w:rsid w:val="0068326B"/>
    <w:rsid w:val="00684D6B"/>
    <w:rsid w:val="0068679E"/>
    <w:rsid w:val="0068690C"/>
    <w:rsid w:val="00690508"/>
    <w:rsid w:val="00690B40"/>
    <w:rsid w:val="00690E78"/>
    <w:rsid w:val="006925F6"/>
    <w:rsid w:val="006939AE"/>
    <w:rsid w:val="00693D47"/>
    <w:rsid w:val="00694681"/>
    <w:rsid w:val="006967B2"/>
    <w:rsid w:val="006A0138"/>
    <w:rsid w:val="006A01C5"/>
    <w:rsid w:val="006A03B8"/>
    <w:rsid w:val="006A1B9E"/>
    <w:rsid w:val="006A2229"/>
    <w:rsid w:val="006A424D"/>
    <w:rsid w:val="006A5076"/>
    <w:rsid w:val="006A52BA"/>
    <w:rsid w:val="006A600A"/>
    <w:rsid w:val="006A63B6"/>
    <w:rsid w:val="006B1494"/>
    <w:rsid w:val="006B258E"/>
    <w:rsid w:val="006B3B9C"/>
    <w:rsid w:val="006B519B"/>
    <w:rsid w:val="006B58F3"/>
    <w:rsid w:val="006B6491"/>
    <w:rsid w:val="006B75ED"/>
    <w:rsid w:val="006C0A00"/>
    <w:rsid w:val="006C2CE6"/>
    <w:rsid w:val="006C41C4"/>
    <w:rsid w:val="006C6188"/>
    <w:rsid w:val="006C6411"/>
    <w:rsid w:val="006C6DA3"/>
    <w:rsid w:val="006C73C1"/>
    <w:rsid w:val="006C77EC"/>
    <w:rsid w:val="006C7AF8"/>
    <w:rsid w:val="006C7BA5"/>
    <w:rsid w:val="006C7C26"/>
    <w:rsid w:val="006C7F83"/>
    <w:rsid w:val="006D02D3"/>
    <w:rsid w:val="006D1AED"/>
    <w:rsid w:val="006D2058"/>
    <w:rsid w:val="006D2CA3"/>
    <w:rsid w:val="006D33A1"/>
    <w:rsid w:val="006D33D5"/>
    <w:rsid w:val="006D3490"/>
    <w:rsid w:val="006D394C"/>
    <w:rsid w:val="006D5357"/>
    <w:rsid w:val="006D6D25"/>
    <w:rsid w:val="006D742A"/>
    <w:rsid w:val="006E11D1"/>
    <w:rsid w:val="006E1312"/>
    <w:rsid w:val="006E2D8B"/>
    <w:rsid w:val="006E34A1"/>
    <w:rsid w:val="006E4FF6"/>
    <w:rsid w:val="006E66DF"/>
    <w:rsid w:val="006E6FC8"/>
    <w:rsid w:val="006F0548"/>
    <w:rsid w:val="006F1705"/>
    <w:rsid w:val="006F17E0"/>
    <w:rsid w:val="006F1BC0"/>
    <w:rsid w:val="006F1C98"/>
    <w:rsid w:val="006F1DB7"/>
    <w:rsid w:val="006F21E1"/>
    <w:rsid w:val="006F2752"/>
    <w:rsid w:val="006F338D"/>
    <w:rsid w:val="006F33DF"/>
    <w:rsid w:val="006F35CE"/>
    <w:rsid w:val="006F3A02"/>
    <w:rsid w:val="006F7157"/>
    <w:rsid w:val="00701F44"/>
    <w:rsid w:val="007023DF"/>
    <w:rsid w:val="00702A3F"/>
    <w:rsid w:val="00703303"/>
    <w:rsid w:val="007038E9"/>
    <w:rsid w:val="00704378"/>
    <w:rsid w:val="00704A13"/>
    <w:rsid w:val="00706B18"/>
    <w:rsid w:val="00707632"/>
    <w:rsid w:val="00707751"/>
    <w:rsid w:val="00707BF5"/>
    <w:rsid w:val="00707C8E"/>
    <w:rsid w:val="0071017E"/>
    <w:rsid w:val="007104CA"/>
    <w:rsid w:val="00712C61"/>
    <w:rsid w:val="00713077"/>
    <w:rsid w:val="0071393A"/>
    <w:rsid w:val="0071405F"/>
    <w:rsid w:val="0071473C"/>
    <w:rsid w:val="00716836"/>
    <w:rsid w:val="0071704C"/>
    <w:rsid w:val="00717B72"/>
    <w:rsid w:val="00720C71"/>
    <w:rsid w:val="00720D3E"/>
    <w:rsid w:val="00721D8E"/>
    <w:rsid w:val="00722033"/>
    <w:rsid w:val="00722822"/>
    <w:rsid w:val="00722A9D"/>
    <w:rsid w:val="00722B25"/>
    <w:rsid w:val="007271D1"/>
    <w:rsid w:val="007307DC"/>
    <w:rsid w:val="00730FF5"/>
    <w:rsid w:val="0073114D"/>
    <w:rsid w:val="0073122F"/>
    <w:rsid w:val="007316D6"/>
    <w:rsid w:val="00732D8F"/>
    <w:rsid w:val="00733954"/>
    <w:rsid w:val="00733B9C"/>
    <w:rsid w:val="00735F04"/>
    <w:rsid w:val="00736631"/>
    <w:rsid w:val="00737735"/>
    <w:rsid w:val="00740C04"/>
    <w:rsid w:val="007419A9"/>
    <w:rsid w:val="00742FDE"/>
    <w:rsid w:val="00743193"/>
    <w:rsid w:val="007438C8"/>
    <w:rsid w:val="007442AD"/>
    <w:rsid w:val="0074573F"/>
    <w:rsid w:val="00745A47"/>
    <w:rsid w:val="00746026"/>
    <w:rsid w:val="00746A87"/>
    <w:rsid w:val="00747449"/>
    <w:rsid w:val="007475F1"/>
    <w:rsid w:val="00750311"/>
    <w:rsid w:val="007514F1"/>
    <w:rsid w:val="0075171B"/>
    <w:rsid w:val="00754CCD"/>
    <w:rsid w:val="00754E4C"/>
    <w:rsid w:val="00755DA1"/>
    <w:rsid w:val="00757652"/>
    <w:rsid w:val="00757B9E"/>
    <w:rsid w:val="00761237"/>
    <w:rsid w:val="00761B93"/>
    <w:rsid w:val="00762C9A"/>
    <w:rsid w:val="007632D3"/>
    <w:rsid w:val="00764597"/>
    <w:rsid w:val="007648F1"/>
    <w:rsid w:val="00764AE4"/>
    <w:rsid w:val="00764E9E"/>
    <w:rsid w:val="00765A9F"/>
    <w:rsid w:val="00765EC1"/>
    <w:rsid w:val="007668B8"/>
    <w:rsid w:val="007669EB"/>
    <w:rsid w:val="00767653"/>
    <w:rsid w:val="00770479"/>
    <w:rsid w:val="007712F6"/>
    <w:rsid w:val="007718CA"/>
    <w:rsid w:val="0077192F"/>
    <w:rsid w:val="0077261A"/>
    <w:rsid w:val="0077292E"/>
    <w:rsid w:val="00773282"/>
    <w:rsid w:val="0077417D"/>
    <w:rsid w:val="0077531B"/>
    <w:rsid w:val="007754DD"/>
    <w:rsid w:val="00776CFA"/>
    <w:rsid w:val="00776CFE"/>
    <w:rsid w:val="00777692"/>
    <w:rsid w:val="007779F6"/>
    <w:rsid w:val="00780D56"/>
    <w:rsid w:val="00782E10"/>
    <w:rsid w:val="00782E8F"/>
    <w:rsid w:val="007830E1"/>
    <w:rsid w:val="00783671"/>
    <w:rsid w:val="007836DD"/>
    <w:rsid w:val="007848FB"/>
    <w:rsid w:val="00784FBD"/>
    <w:rsid w:val="00786170"/>
    <w:rsid w:val="00787D1A"/>
    <w:rsid w:val="00787E0B"/>
    <w:rsid w:val="0079131A"/>
    <w:rsid w:val="00791723"/>
    <w:rsid w:val="00792204"/>
    <w:rsid w:val="00792C2C"/>
    <w:rsid w:val="00792D81"/>
    <w:rsid w:val="00793337"/>
    <w:rsid w:val="007934D1"/>
    <w:rsid w:val="007949C1"/>
    <w:rsid w:val="00794B47"/>
    <w:rsid w:val="007956F0"/>
    <w:rsid w:val="0079598F"/>
    <w:rsid w:val="00795DDD"/>
    <w:rsid w:val="00796121"/>
    <w:rsid w:val="00796533"/>
    <w:rsid w:val="00796799"/>
    <w:rsid w:val="0079693F"/>
    <w:rsid w:val="007977B0"/>
    <w:rsid w:val="00797D90"/>
    <w:rsid w:val="007A02F3"/>
    <w:rsid w:val="007A08F7"/>
    <w:rsid w:val="007A148D"/>
    <w:rsid w:val="007A25D3"/>
    <w:rsid w:val="007A26A0"/>
    <w:rsid w:val="007A348D"/>
    <w:rsid w:val="007A37BD"/>
    <w:rsid w:val="007A4835"/>
    <w:rsid w:val="007A513D"/>
    <w:rsid w:val="007A75C0"/>
    <w:rsid w:val="007A7AEF"/>
    <w:rsid w:val="007B051B"/>
    <w:rsid w:val="007B05BD"/>
    <w:rsid w:val="007B07B8"/>
    <w:rsid w:val="007B0C34"/>
    <w:rsid w:val="007B0D41"/>
    <w:rsid w:val="007B12E8"/>
    <w:rsid w:val="007B2492"/>
    <w:rsid w:val="007B33F3"/>
    <w:rsid w:val="007B3ADA"/>
    <w:rsid w:val="007B484C"/>
    <w:rsid w:val="007B55C6"/>
    <w:rsid w:val="007C014E"/>
    <w:rsid w:val="007C0469"/>
    <w:rsid w:val="007C10EE"/>
    <w:rsid w:val="007C1905"/>
    <w:rsid w:val="007C1C5E"/>
    <w:rsid w:val="007C1DC8"/>
    <w:rsid w:val="007C2C27"/>
    <w:rsid w:val="007C3F74"/>
    <w:rsid w:val="007C4AA6"/>
    <w:rsid w:val="007C4C59"/>
    <w:rsid w:val="007C4C69"/>
    <w:rsid w:val="007C54E6"/>
    <w:rsid w:val="007C577E"/>
    <w:rsid w:val="007C61EE"/>
    <w:rsid w:val="007C698E"/>
    <w:rsid w:val="007C7189"/>
    <w:rsid w:val="007C741A"/>
    <w:rsid w:val="007D1C2F"/>
    <w:rsid w:val="007D2254"/>
    <w:rsid w:val="007D5918"/>
    <w:rsid w:val="007D5D61"/>
    <w:rsid w:val="007D66E3"/>
    <w:rsid w:val="007D7654"/>
    <w:rsid w:val="007D7D81"/>
    <w:rsid w:val="007E0070"/>
    <w:rsid w:val="007E2869"/>
    <w:rsid w:val="007E2BCA"/>
    <w:rsid w:val="007E32D7"/>
    <w:rsid w:val="007E36FB"/>
    <w:rsid w:val="007E4C9F"/>
    <w:rsid w:val="007E73FA"/>
    <w:rsid w:val="007E7B7A"/>
    <w:rsid w:val="007F054C"/>
    <w:rsid w:val="007F06D5"/>
    <w:rsid w:val="007F06E9"/>
    <w:rsid w:val="007F0AE1"/>
    <w:rsid w:val="007F0E7D"/>
    <w:rsid w:val="007F1ACC"/>
    <w:rsid w:val="007F30E4"/>
    <w:rsid w:val="007F32CD"/>
    <w:rsid w:val="007F3468"/>
    <w:rsid w:val="007F4A49"/>
    <w:rsid w:val="007F577E"/>
    <w:rsid w:val="007F78DE"/>
    <w:rsid w:val="007F7AF8"/>
    <w:rsid w:val="008012DD"/>
    <w:rsid w:val="0080184D"/>
    <w:rsid w:val="00801928"/>
    <w:rsid w:val="00803E7A"/>
    <w:rsid w:val="008047B1"/>
    <w:rsid w:val="008052E9"/>
    <w:rsid w:val="00812538"/>
    <w:rsid w:val="00812663"/>
    <w:rsid w:val="008132C3"/>
    <w:rsid w:val="00814172"/>
    <w:rsid w:val="00814A27"/>
    <w:rsid w:val="00814CF0"/>
    <w:rsid w:val="00814F76"/>
    <w:rsid w:val="0081511D"/>
    <w:rsid w:val="008162B3"/>
    <w:rsid w:val="008168F6"/>
    <w:rsid w:val="0082010C"/>
    <w:rsid w:val="00820211"/>
    <w:rsid w:val="00820883"/>
    <w:rsid w:val="0082254F"/>
    <w:rsid w:val="00822609"/>
    <w:rsid w:val="00823E6B"/>
    <w:rsid w:val="00825415"/>
    <w:rsid w:val="008259DC"/>
    <w:rsid w:val="00825CF1"/>
    <w:rsid w:val="00825FBB"/>
    <w:rsid w:val="008267D1"/>
    <w:rsid w:val="00826911"/>
    <w:rsid w:val="00826C02"/>
    <w:rsid w:val="00826E7B"/>
    <w:rsid w:val="00827D31"/>
    <w:rsid w:val="00827F45"/>
    <w:rsid w:val="00830554"/>
    <w:rsid w:val="008312C5"/>
    <w:rsid w:val="00831835"/>
    <w:rsid w:val="00831BFB"/>
    <w:rsid w:val="00832EBC"/>
    <w:rsid w:val="00832F78"/>
    <w:rsid w:val="008335A3"/>
    <w:rsid w:val="00834357"/>
    <w:rsid w:val="00834E69"/>
    <w:rsid w:val="00834F2C"/>
    <w:rsid w:val="0083511D"/>
    <w:rsid w:val="00835A4D"/>
    <w:rsid w:val="00835DA7"/>
    <w:rsid w:val="00836013"/>
    <w:rsid w:val="0083677E"/>
    <w:rsid w:val="008370FB"/>
    <w:rsid w:val="008373C8"/>
    <w:rsid w:val="0083779C"/>
    <w:rsid w:val="00837A20"/>
    <w:rsid w:val="0084070F"/>
    <w:rsid w:val="00841E1F"/>
    <w:rsid w:val="008420E0"/>
    <w:rsid w:val="00842FA9"/>
    <w:rsid w:val="008432A3"/>
    <w:rsid w:val="0084430E"/>
    <w:rsid w:val="00846409"/>
    <w:rsid w:val="00847203"/>
    <w:rsid w:val="00850D71"/>
    <w:rsid w:val="008535BB"/>
    <w:rsid w:val="008537A7"/>
    <w:rsid w:val="008537FA"/>
    <w:rsid w:val="00854066"/>
    <w:rsid w:val="00854169"/>
    <w:rsid w:val="00860DA0"/>
    <w:rsid w:val="008615CC"/>
    <w:rsid w:val="00862989"/>
    <w:rsid w:val="00863294"/>
    <w:rsid w:val="00863BC2"/>
    <w:rsid w:val="008650F8"/>
    <w:rsid w:val="00865493"/>
    <w:rsid w:val="00865790"/>
    <w:rsid w:val="008657B9"/>
    <w:rsid w:val="00866FF7"/>
    <w:rsid w:val="00867E2E"/>
    <w:rsid w:val="00867FE3"/>
    <w:rsid w:val="00872974"/>
    <w:rsid w:val="00872C66"/>
    <w:rsid w:val="00872C7A"/>
    <w:rsid w:val="00873831"/>
    <w:rsid w:val="00873A5F"/>
    <w:rsid w:val="008740C9"/>
    <w:rsid w:val="00874D3E"/>
    <w:rsid w:val="008750E6"/>
    <w:rsid w:val="00875790"/>
    <w:rsid w:val="00875C54"/>
    <w:rsid w:val="00875DAD"/>
    <w:rsid w:val="00876964"/>
    <w:rsid w:val="0087780A"/>
    <w:rsid w:val="00877B13"/>
    <w:rsid w:val="008803B6"/>
    <w:rsid w:val="00880B46"/>
    <w:rsid w:val="00880B8C"/>
    <w:rsid w:val="00882280"/>
    <w:rsid w:val="00882356"/>
    <w:rsid w:val="008845CC"/>
    <w:rsid w:val="00884AAD"/>
    <w:rsid w:val="008855D6"/>
    <w:rsid w:val="00886918"/>
    <w:rsid w:val="0089140D"/>
    <w:rsid w:val="0089152E"/>
    <w:rsid w:val="008915E0"/>
    <w:rsid w:val="0089223F"/>
    <w:rsid w:val="00892BAE"/>
    <w:rsid w:val="00893876"/>
    <w:rsid w:val="00893E2A"/>
    <w:rsid w:val="00894301"/>
    <w:rsid w:val="008952F1"/>
    <w:rsid w:val="00896879"/>
    <w:rsid w:val="00896E42"/>
    <w:rsid w:val="00897F80"/>
    <w:rsid w:val="008A011A"/>
    <w:rsid w:val="008A1283"/>
    <w:rsid w:val="008A16AC"/>
    <w:rsid w:val="008A1894"/>
    <w:rsid w:val="008A31E7"/>
    <w:rsid w:val="008A415A"/>
    <w:rsid w:val="008A4A4B"/>
    <w:rsid w:val="008A5FC7"/>
    <w:rsid w:val="008A6B66"/>
    <w:rsid w:val="008A7B7F"/>
    <w:rsid w:val="008B09BD"/>
    <w:rsid w:val="008B274F"/>
    <w:rsid w:val="008B2F42"/>
    <w:rsid w:val="008B385F"/>
    <w:rsid w:val="008B528F"/>
    <w:rsid w:val="008C14E3"/>
    <w:rsid w:val="008C15CB"/>
    <w:rsid w:val="008C17AB"/>
    <w:rsid w:val="008C30ED"/>
    <w:rsid w:val="008C4072"/>
    <w:rsid w:val="008C455C"/>
    <w:rsid w:val="008C562E"/>
    <w:rsid w:val="008C5FE0"/>
    <w:rsid w:val="008C6BC0"/>
    <w:rsid w:val="008C7C51"/>
    <w:rsid w:val="008D02E8"/>
    <w:rsid w:val="008D0789"/>
    <w:rsid w:val="008D0FF0"/>
    <w:rsid w:val="008D1FE4"/>
    <w:rsid w:val="008D2B8D"/>
    <w:rsid w:val="008D4C41"/>
    <w:rsid w:val="008D4E25"/>
    <w:rsid w:val="008D5014"/>
    <w:rsid w:val="008D674C"/>
    <w:rsid w:val="008D6C0A"/>
    <w:rsid w:val="008E06E8"/>
    <w:rsid w:val="008E1EC8"/>
    <w:rsid w:val="008E217E"/>
    <w:rsid w:val="008E2763"/>
    <w:rsid w:val="008E3E16"/>
    <w:rsid w:val="008E40C2"/>
    <w:rsid w:val="008E420D"/>
    <w:rsid w:val="008E474D"/>
    <w:rsid w:val="008E5405"/>
    <w:rsid w:val="008E54F5"/>
    <w:rsid w:val="008E61CB"/>
    <w:rsid w:val="008E62B0"/>
    <w:rsid w:val="008F2D25"/>
    <w:rsid w:val="008F3664"/>
    <w:rsid w:val="008F3737"/>
    <w:rsid w:val="008F39C8"/>
    <w:rsid w:val="008F3FE0"/>
    <w:rsid w:val="008F4368"/>
    <w:rsid w:val="008F478A"/>
    <w:rsid w:val="008F618C"/>
    <w:rsid w:val="008F6666"/>
    <w:rsid w:val="00901F00"/>
    <w:rsid w:val="0090418D"/>
    <w:rsid w:val="009042EE"/>
    <w:rsid w:val="00904303"/>
    <w:rsid w:val="009045B3"/>
    <w:rsid w:val="00904856"/>
    <w:rsid w:val="00905013"/>
    <w:rsid w:val="00905EFD"/>
    <w:rsid w:val="009064FA"/>
    <w:rsid w:val="0091028A"/>
    <w:rsid w:val="009119E5"/>
    <w:rsid w:val="00911CE0"/>
    <w:rsid w:val="00912FD4"/>
    <w:rsid w:val="00913C8D"/>
    <w:rsid w:val="009147D5"/>
    <w:rsid w:val="009148C3"/>
    <w:rsid w:val="00915E37"/>
    <w:rsid w:val="009170F6"/>
    <w:rsid w:val="00917964"/>
    <w:rsid w:val="00917B97"/>
    <w:rsid w:val="009200A9"/>
    <w:rsid w:val="00920CD3"/>
    <w:rsid w:val="00920EC1"/>
    <w:rsid w:val="009212D8"/>
    <w:rsid w:val="0092174D"/>
    <w:rsid w:val="00921B99"/>
    <w:rsid w:val="00922650"/>
    <w:rsid w:val="00922707"/>
    <w:rsid w:val="00923519"/>
    <w:rsid w:val="009240EC"/>
    <w:rsid w:val="009244E6"/>
    <w:rsid w:val="00924811"/>
    <w:rsid w:val="00925F9E"/>
    <w:rsid w:val="00926229"/>
    <w:rsid w:val="009269CA"/>
    <w:rsid w:val="00926D37"/>
    <w:rsid w:val="0092722C"/>
    <w:rsid w:val="00931C3F"/>
    <w:rsid w:val="00931EFE"/>
    <w:rsid w:val="00932864"/>
    <w:rsid w:val="00933C84"/>
    <w:rsid w:val="00934E9F"/>
    <w:rsid w:val="00935043"/>
    <w:rsid w:val="0093508A"/>
    <w:rsid w:val="009352FB"/>
    <w:rsid w:val="00937CBA"/>
    <w:rsid w:val="009418D0"/>
    <w:rsid w:val="0094243D"/>
    <w:rsid w:val="00942976"/>
    <w:rsid w:val="0094432F"/>
    <w:rsid w:val="0094433B"/>
    <w:rsid w:val="009445D0"/>
    <w:rsid w:val="0094478A"/>
    <w:rsid w:val="00946B97"/>
    <w:rsid w:val="00947A54"/>
    <w:rsid w:val="009522D0"/>
    <w:rsid w:val="0095306D"/>
    <w:rsid w:val="00953EF6"/>
    <w:rsid w:val="009546DC"/>
    <w:rsid w:val="00955102"/>
    <w:rsid w:val="00955475"/>
    <w:rsid w:val="00955F84"/>
    <w:rsid w:val="009563F1"/>
    <w:rsid w:val="00957069"/>
    <w:rsid w:val="0095778D"/>
    <w:rsid w:val="00957C28"/>
    <w:rsid w:val="00957C4C"/>
    <w:rsid w:val="009602A5"/>
    <w:rsid w:val="0096037C"/>
    <w:rsid w:val="00960BDF"/>
    <w:rsid w:val="00961385"/>
    <w:rsid w:val="00961E44"/>
    <w:rsid w:val="00961EE8"/>
    <w:rsid w:val="00963705"/>
    <w:rsid w:val="0096384A"/>
    <w:rsid w:val="00964FE0"/>
    <w:rsid w:val="009651E5"/>
    <w:rsid w:val="00965757"/>
    <w:rsid w:val="0096625A"/>
    <w:rsid w:val="00966B60"/>
    <w:rsid w:val="00967E85"/>
    <w:rsid w:val="00970C6F"/>
    <w:rsid w:val="0097182B"/>
    <w:rsid w:val="00972384"/>
    <w:rsid w:val="0097436B"/>
    <w:rsid w:val="0097448D"/>
    <w:rsid w:val="00974659"/>
    <w:rsid w:val="009755D4"/>
    <w:rsid w:val="0097569E"/>
    <w:rsid w:val="0097622E"/>
    <w:rsid w:val="00977C2A"/>
    <w:rsid w:val="00980F3C"/>
    <w:rsid w:val="009813ED"/>
    <w:rsid w:val="009819B3"/>
    <w:rsid w:val="009819C2"/>
    <w:rsid w:val="00981A52"/>
    <w:rsid w:val="0098247E"/>
    <w:rsid w:val="009824EE"/>
    <w:rsid w:val="0098270C"/>
    <w:rsid w:val="00984AD1"/>
    <w:rsid w:val="009850B3"/>
    <w:rsid w:val="00985827"/>
    <w:rsid w:val="00986891"/>
    <w:rsid w:val="00987086"/>
    <w:rsid w:val="00987178"/>
    <w:rsid w:val="00987AA8"/>
    <w:rsid w:val="00990496"/>
    <w:rsid w:val="0099085F"/>
    <w:rsid w:val="0099330D"/>
    <w:rsid w:val="00993625"/>
    <w:rsid w:val="00993BB6"/>
    <w:rsid w:val="00993F38"/>
    <w:rsid w:val="00994732"/>
    <w:rsid w:val="0099649B"/>
    <w:rsid w:val="0099694B"/>
    <w:rsid w:val="009973F2"/>
    <w:rsid w:val="009A3832"/>
    <w:rsid w:val="009A3EC0"/>
    <w:rsid w:val="009A4677"/>
    <w:rsid w:val="009A46EC"/>
    <w:rsid w:val="009A4A7E"/>
    <w:rsid w:val="009A5D19"/>
    <w:rsid w:val="009A64A9"/>
    <w:rsid w:val="009A6B92"/>
    <w:rsid w:val="009A74BF"/>
    <w:rsid w:val="009B2FE4"/>
    <w:rsid w:val="009B31EA"/>
    <w:rsid w:val="009B38E3"/>
    <w:rsid w:val="009B3931"/>
    <w:rsid w:val="009B523C"/>
    <w:rsid w:val="009B59BB"/>
    <w:rsid w:val="009B6249"/>
    <w:rsid w:val="009B7617"/>
    <w:rsid w:val="009C0DD9"/>
    <w:rsid w:val="009C11FC"/>
    <w:rsid w:val="009C25A1"/>
    <w:rsid w:val="009C28F2"/>
    <w:rsid w:val="009C2B48"/>
    <w:rsid w:val="009C37BC"/>
    <w:rsid w:val="009C4605"/>
    <w:rsid w:val="009C51C8"/>
    <w:rsid w:val="009C5FA9"/>
    <w:rsid w:val="009C64D7"/>
    <w:rsid w:val="009C6B92"/>
    <w:rsid w:val="009C7412"/>
    <w:rsid w:val="009D01AA"/>
    <w:rsid w:val="009D12FB"/>
    <w:rsid w:val="009D163B"/>
    <w:rsid w:val="009D1DA5"/>
    <w:rsid w:val="009D2398"/>
    <w:rsid w:val="009D2AC3"/>
    <w:rsid w:val="009D3CF8"/>
    <w:rsid w:val="009D445A"/>
    <w:rsid w:val="009D5535"/>
    <w:rsid w:val="009D56DD"/>
    <w:rsid w:val="009D6594"/>
    <w:rsid w:val="009D6AF7"/>
    <w:rsid w:val="009D7F19"/>
    <w:rsid w:val="009D7FCB"/>
    <w:rsid w:val="009E0019"/>
    <w:rsid w:val="009E00E9"/>
    <w:rsid w:val="009E00F1"/>
    <w:rsid w:val="009E0D05"/>
    <w:rsid w:val="009E11AD"/>
    <w:rsid w:val="009E164F"/>
    <w:rsid w:val="009E18D3"/>
    <w:rsid w:val="009E21CE"/>
    <w:rsid w:val="009E4A2F"/>
    <w:rsid w:val="009E4C3C"/>
    <w:rsid w:val="009E512F"/>
    <w:rsid w:val="009E5718"/>
    <w:rsid w:val="009E66CF"/>
    <w:rsid w:val="009E7A72"/>
    <w:rsid w:val="009F1334"/>
    <w:rsid w:val="009F30FC"/>
    <w:rsid w:val="009F47FE"/>
    <w:rsid w:val="009F4C38"/>
    <w:rsid w:val="009F50E8"/>
    <w:rsid w:val="009F5966"/>
    <w:rsid w:val="009F6B1B"/>
    <w:rsid w:val="009F6D60"/>
    <w:rsid w:val="00A01722"/>
    <w:rsid w:val="00A01984"/>
    <w:rsid w:val="00A02BBD"/>
    <w:rsid w:val="00A02D41"/>
    <w:rsid w:val="00A04400"/>
    <w:rsid w:val="00A051D7"/>
    <w:rsid w:val="00A05359"/>
    <w:rsid w:val="00A0540A"/>
    <w:rsid w:val="00A067C4"/>
    <w:rsid w:val="00A077B2"/>
    <w:rsid w:val="00A108A8"/>
    <w:rsid w:val="00A10A49"/>
    <w:rsid w:val="00A1163D"/>
    <w:rsid w:val="00A11702"/>
    <w:rsid w:val="00A11759"/>
    <w:rsid w:val="00A117E0"/>
    <w:rsid w:val="00A12F68"/>
    <w:rsid w:val="00A1573D"/>
    <w:rsid w:val="00A16309"/>
    <w:rsid w:val="00A1666B"/>
    <w:rsid w:val="00A17665"/>
    <w:rsid w:val="00A17CEC"/>
    <w:rsid w:val="00A17DC5"/>
    <w:rsid w:val="00A20026"/>
    <w:rsid w:val="00A2090A"/>
    <w:rsid w:val="00A21B9B"/>
    <w:rsid w:val="00A221AB"/>
    <w:rsid w:val="00A22FFA"/>
    <w:rsid w:val="00A230CF"/>
    <w:rsid w:val="00A231AA"/>
    <w:rsid w:val="00A234DB"/>
    <w:rsid w:val="00A2415B"/>
    <w:rsid w:val="00A2455E"/>
    <w:rsid w:val="00A252FF"/>
    <w:rsid w:val="00A25501"/>
    <w:rsid w:val="00A26476"/>
    <w:rsid w:val="00A2700F"/>
    <w:rsid w:val="00A27A46"/>
    <w:rsid w:val="00A30E6B"/>
    <w:rsid w:val="00A30EE9"/>
    <w:rsid w:val="00A31F16"/>
    <w:rsid w:val="00A328E8"/>
    <w:rsid w:val="00A35312"/>
    <w:rsid w:val="00A355D1"/>
    <w:rsid w:val="00A36436"/>
    <w:rsid w:val="00A36A9D"/>
    <w:rsid w:val="00A37016"/>
    <w:rsid w:val="00A3736C"/>
    <w:rsid w:val="00A4081C"/>
    <w:rsid w:val="00A41018"/>
    <w:rsid w:val="00A4107E"/>
    <w:rsid w:val="00A41684"/>
    <w:rsid w:val="00A41A0C"/>
    <w:rsid w:val="00A4202B"/>
    <w:rsid w:val="00A42CE8"/>
    <w:rsid w:val="00A42D6D"/>
    <w:rsid w:val="00A42FFA"/>
    <w:rsid w:val="00A44087"/>
    <w:rsid w:val="00A455D9"/>
    <w:rsid w:val="00A45715"/>
    <w:rsid w:val="00A45967"/>
    <w:rsid w:val="00A50161"/>
    <w:rsid w:val="00A506FF"/>
    <w:rsid w:val="00A54908"/>
    <w:rsid w:val="00A56068"/>
    <w:rsid w:val="00A560DF"/>
    <w:rsid w:val="00A568AD"/>
    <w:rsid w:val="00A57869"/>
    <w:rsid w:val="00A57FF4"/>
    <w:rsid w:val="00A60BC5"/>
    <w:rsid w:val="00A627B5"/>
    <w:rsid w:val="00A62E98"/>
    <w:rsid w:val="00A63D3F"/>
    <w:rsid w:val="00A6652C"/>
    <w:rsid w:val="00A7008B"/>
    <w:rsid w:val="00A7108F"/>
    <w:rsid w:val="00A71278"/>
    <w:rsid w:val="00A71C30"/>
    <w:rsid w:val="00A7388C"/>
    <w:rsid w:val="00A739F0"/>
    <w:rsid w:val="00A7477A"/>
    <w:rsid w:val="00A75842"/>
    <w:rsid w:val="00A75C43"/>
    <w:rsid w:val="00A75DE9"/>
    <w:rsid w:val="00A77E88"/>
    <w:rsid w:val="00A809EE"/>
    <w:rsid w:val="00A80E38"/>
    <w:rsid w:val="00A81CCD"/>
    <w:rsid w:val="00A839C7"/>
    <w:rsid w:val="00A85505"/>
    <w:rsid w:val="00A86075"/>
    <w:rsid w:val="00A87D83"/>
    <w:rsid w:val="00A91359"/>
    <w:rsid w:val="00A913A8"/>
    <w:rsid w:val="00A92D98"/>
    <w:rsid w:val="00A944D7"/>
    <w:rsid w:val="00A94CAA"/>
    <w:rsid w:val="00A95015"/>
    <w:rsid w:val="00A95F48"/>
    <w:rsid w:val="00A96F03"/>
    <w:rsid w:val="00A97DB5"/>
    <w:rsid w:val="00AA0140"/>
    <w:rsid w:val="00AA02CF"/>
    <w:rsid w:val="00AA20F3"/>
    <w:rsid w:val="00AA2429"/>
    <w:rsid w:val="00AA2B31"/>
    <w:rsid w:val="00AA35FD"/>
    <w:rsid w:val="00AA4389"/>
    <w:rsid w:val="00AA5161"/>
    <w:rsid w:val="00AA530B"/>
    <w:rsid w:val="00AA584B"/>
    <w:rsid w:val="00AA5CFB"/>
    <w:rsid w:val="00AA799C"/>
    <w:rsid w:val="00AA7DEF"/>
    <w:rsid w:val="00AB0528"/>
    <w:rsid w:val="00AB060C"/>
    <w:rsid w:val="00AB1646"/>
    <w:rsid w:val="00AB1E62"/>
    <w:rsid w:val="00AB257B"/>
    <w:rsid w:val="00AB329F"/>
    <w:rsid w:val="00AB35B8"/>
    <w:rsid w:val="00AB4A3B"/>
    <w:rsid w:val="00AB786E"/>
    <w:rsid w:val="00AC00F8"/>
    <w:rsid w:val="00AC01D0"/>
    <w:rsid w:val="00AC024D"/>
    <w:rsid w:val="00AC0AC9"/>
    <w:rsid w:val="00AC146D"/>
    <w:rsid w:val="00AC3C3B"/>
    <w:rsid w:val="00AC444F"/>
    <w:rsid w:val="00AC4EDE"/>
    <w:rsid w:val="00AC62D1"/>
    <w:rsid w:val="00AC6C8C"/>
    <w:rsid w:val="00AC6D9E"/>
    <w:rsid w:val="00AC714E"/>
    <w:rsid w:val="00AC79C5"/>
    <w:rsid w:val="00AD0446"/>
    <w:rsid w:val="00AD1D07"/>
    <w:rsid w:val="00AD1FE6"/>
    <w:rsid w:val="00AD235A"/>
    <w:rsid w:val="00AD2631"/>
    <w:rsid w:val="00AD2E31"/>
    <w:rsid w:val="00AD328F"/>
    <w:rsid w:val="00AD38BC"/>
    <w:rsid w:val="00AD5144"/>
    <w:rsid w:val="00AD6B2E"/>
    <w:rsid w:val="00AD713D"/>
    <w:rsid w:val="00AE16D5"/>
    <w:rsid w:val="00AE1DB9"/>
    <w:rsid w:val="00AE2FF6"/>
    <w:rsid w:val="00AE30B6"/>
    <w:rsid w:val="00AE5243"/>
    <w:rsid w:val="00AE622F"/>
    <w:rsid w:val="00AE64C1"/>
    <w:rsid w:val="00AE663F"/>
    <w:rsid w:val="00AE7136"/>
    <w:rsid w:val="00AE7759"/>
    <w:rsid w:val="00AF1B0E"/>
    <w:rsid w:val="00AF1EE8"/>
    <w:rsid w:val="00AF3879"/>
    <w:rsid w:val="00AF3A07"/>
    <w:rsid w:val="00AF3FC2"/>
    <w:rsid w:val="00AF5276"/>
    <w:rsid w:val="00AF6D70"/>
    <w:rsid w:val="00AF7785"/>
    <w:rsid w:val="00AF7EB4"/>
    <w:rsid w:val="00B02897"/>
    <w:rsid w:val="00B03AB2"/>
    <w:rsid w:val="00B047C5"/>
    <w:rsid w:val="00B047D1"/>
    <w:rsid w:val="00B06A21"/>
    <w:rsid w:val="00B07620"/>
    <w:rsid w:val="00B1090D"/>
    <w:rsid w:val="00B10A84"/>
    <w:rsid w:val="00B11312"/>
    <w:rsid w:val="00B11F82"/>
    <w:rsid w:val="00B1323E"/>
    <w:rsid w:val="00B1369F"/>
    <w:rsid w:val="00B159EA"/>
    <w:rsid w:val="00B16ACE"/>
    <w:rsid w:val="00B1725B"/>
    <w:rsid w:val="00B174C9"/>
    <w:rsid w:val="00B22255"/>
    <w:rsid w:val="00B224FD"/>
    <w:rsid w:val="00B22D42"/>
    <w:rsid w:val="00B22F43"/>
    <w:rsid w:val="00B25030"/>
    <w:rsid w:val="00B2546C"/>
    <w:rsid w:val="00B2550C"/>
    <w:rsid w:val="00B2628E"/>
    <w:rsid w:val="00B26E53"/>
    <w:rsid w:val="00B27A22"/>
    <w:rsid w:val="00B27BDA"/>
    <w:rsid w:val="00B27C3A"/>
    <w:rsid w:val="00B3042D"/>
    <w:rsid w:val="00B306D3"/>
    <w:rsid w:val="00B312E9"/>
    <w:rsid w:val="00B31A1F"/>
    <w:rsid w:val="00B31B94"/>
    <w:rsid w:val="00B323CE"/>
    <w:rsid w:val="00B3252B"/>
    <w:rsid w:val="00B33011"/>
    <w:rsid w:val="00B337D9"/>
    <w:rsid w:val="00B337DA"/>
    <w:rsid w:val="00B34168"/>
    <w:rsid w:val="00B34A81"/>
    <w:rsid w:val="00B36004"/>
    <w:rsid w:val="00B36142"/>
    <w:rsid w:val="00B36869"/>
    <w:rsid w:val="00B40246"/>
    <w:rsid w:val="00B4025D"/>
    <w:rsid w:val="00B40706"/>
    <w:rsid w:val="00B4082E"/>
    <w:rsid w:val="00B40EDA"/>
    <w:rsid w:val="00B41ECC"/>
    <w:rsid w:val="00B424AF"/>
    <w:rsid w:val="00B427F8"/>
    <w:rsid w:val="00B42A72"/>
    <w:rsid w:val="00B43713"/>
    <w:rsid w:val="00B43DE0"/>
    <w:rsid w:val="00B4472E"/>
    <w:rsid w:val="00B456EB"/>
    <w:rsid w:val="00B457A4"/>
    <w:rsid w:val="00B457E7"/>
    <w:rsid w:val="00B469F4"/>
    <w:rsid w:val="00B47D5A"/>
    <w:rsid w:val="00B47E77"/>
    <w:rsid w:val="00B503CB"/>
    <w:rsid w:val="00B5040A"/>
    <w:rsid w:val="00B505F0"/>
    <w:rsid w:val="00B5158D"/>
    <w:rsid w:val="00B51631"/>
    <w:rsid w:val="00B524D0"/>
    <w:rsid w:val="00B5341A"/>
    <w:rsid w:val="00B53633"/>
    <w:rsid w:val="00B544B2"/>
    <w:rsid w:val="00B55DCB"/>
    <w:rsid w:val="00B57EB2"/>
    <w:rsid w:val="00B60383"/>
    <w:rsid w:val="00B60482"/>
    <w:rsid w:val="00B60A80"/>
    <w:rsid w:val="00B60BC7"/>
    <w:rsid w:val="00B615C9"/>
    <w:rsid w:val="00B61F22"/>
    <w:rsid w:val="00B62129"/>
    <w:rsid w:val="00B63FAA"/>
    <w:rsid w:val="00B651B9"/>
    <w:rsid w:val="00B65D0D"/>
    <w:rsid w:val="00B672F4"/>
    <w:rsid w:val="00B70678"/>
    <w:rsid w:val="00B72499"/>
    <w:rsid w:val="00B728E5"/>
    <w:rsid w:val="00B7369A"/>
    <w:rsid w:val="00B73F95"/>
    <w:rsid w:val="00B7523E"/>
    <w:rsid w:val="00B7544A"/>
    <w:rsid w:val="00B75DD9"/>
    <w:rsid w:val="00B76B94"/>
    <w:rsid w:val="00B76BFB"/>
    <w:rsid w:val="00B76EFB"/>
    <w:rsid w:val="00B77404"/>
    <w:rsid w:val="00B778E1"/>
    <w:rsid w:val="00B77BC3"/>
    <w:rsid w:val="00B80188"/>
    <w:rsid w:val="00B812D4"/>
    <w:rsid w:val="00B82D30"/>
    <w:rsid w:val="00B83BC3"/>
    <w:rsid w:val="00B85185"/>
    <w:rsid w:val="00B861E8"/>
    <w:rsid w:val="00B863CE"/>
    <w:rsid w:val="00B87791"/>
    <w:rsid w:val="00B9078E"/>
    <w:rsid w:val="00B90B8F"/>
    <w:rsid w:val="00B92FB1"/>
    <w:rsid w:val="00B9383E"/>
    <w:rsid w:val="00B94075"/>
    <w:rsid w:val="00B94728"/>
    <w:rsid w:val="00B94B9A"/>
    <w:rsid w:val="00B96CA4"/>
    <w:rsid w:val="00B97FBE"/>
    <w:rsid w:val="00BA07E4"/>
    <w:rsid w:val="00BA13CE"/>
    <w:rsid w:val="00BA1949"/>
    <w:rsid w:val="00BA1F6C"/>
    <w:rsid w:val="00BA28FF"/>
    <w:rsid w:val="00BA2A1D"/>
    <w:rsid w:val="00BA5166"/>
    <w:rsid w:val="00BA57F1"/>
    <w:rsid w:val="00BA6306"/>
    <w:rsid w:val="00BA7BA5"/>
    <w:rsid w:val="00BB0059"/>
    <w:rsid w:val="00BB19D4"/>
    <w:rsid w:val="00BB275D"/>
    <w:rsid w:val="00BB2C9B"/>
    <w:rsid w:val="00BB3302"/>
    <w:rsid w:val="00BB365D"/>
    <w:rsid w:val="00BB4368"/>
    <w:rsid w:val="00BB43DB"/>
    <w:rsid w:val="00BB4705"/>
    <w:rsid w:val="00BB52E7"/>
    <w:rsid w:val="00BB6381"/>
    <w:rsid w:val="00BB644C"/>
    <w:rsid w:val="00BC0A96"/>
    <w:rsid w:val="00BC210F"/>
    <w:rsid w:val="00BC27A0"/>
    <w:rsid w:val="00BC2FFF"/>
    <w:rsid w:val="00BC3406"/>
    <w:rsid w:val="00BC3BA9"/>
    <w:rsid w:val="00BC435A"/>
    <w:rsid w:val="00BC4B8A"/>
    <w:rsid w:val="00BC5F75"/>
    <w:rsid w:val="00BC7D9A"/>
    <w:rsid w:val="00BD0AB7"/>
    <w:rsid w:val="00BD20B2"/>
    <w:rsid w:val="00BD2723"/>
    <w:rsid w:val="00BD4F10"/>
    <w:rsid w:val="00BD5B53"/>
    <w:rsid w:val="00BD68CF"/>
    <w:rsid w:val="00BD6996"/>
    <w:rsid w:val="00BD6A20"/>
    <w:rsid w:val="00BD6E41"/>
    <w:rsid w:val="00BD6ED4"/>
    <w:rsid w:val="00BD7B58"/>
    <w:rsid w:val="00BD7EF0"/>
    <w:rsid w:val="00BE03AB"/>
    <w:rsid w:val="00BE26B2"/>
    <w:rsid w:val="00BE3134"/>
    <w:rsid w:val="00BE3673"/>
    <w:rsid w:val="00BE3C5A"/>
    <w:rsid w:val="00BE4E45"/>
    <w:rsid w:val="00BE6679"/>
    <w:rsid w:val="00BF0A11"/>
    <w:rsid w:val="00BF0D43"/>
    <w:rsid w:val="00BF18C5"/>
    <w:rsid w:val="00BF3631"/>
    <w:rsid w:val="00BF3D3F"/>
    <w:rsid w:val="00BF6643"/>
    <w:rsid w:val="00C0174F"/>
    <w:rsid w:val="00C01AAE"/>
    <w:rsid w:val="00C01C82"/>
    <w:rsid w:val="00C01DBF"/>
    <w:rsid w:val="00C02243"/>
    <w:rsid w:val="00C02EAF"/>
    <w:rsid w:val="00C047CE"/>
    <w:rsid w:val="00C04B2F"/>
    <w:rsid w:val="00C05010"/>
    <w:rsid w:val="00C057ED"/>
    <w:rsid w:val="00C06DB5"/>
    <w:rsid w:val="00C07019"/>
    <w:rsid w:val="00C1068D"/>
    <w:rsid w:val="00C11178"/>
    <w:rsid w:val="00C11B8F"/>
    <w:rsid w:val="00C11F1F"/>
    <w:rsid w:val="00C1406F"/>
    <w:rsid w:val="00C15543"/>
    <w:rsid w:val="00C15565"/>
    <w:rsid w:val="00C15712"/>
    <w:rsid w:val="00C16BE3"/>
    <w:rsid w:val="00C17392"/>
    <w:rsid w:val="00C17A8E"/>
    <w:rsid w:val="00C214C7"/>
    <w:rsid w:val="00C215FE"/>
    <w:rsid w:val="00C219E7"/>
    <w:rsid w:val="00C2220B"/>
    <w:rsid w:val="00C22BDE"/>
    <w:rsid w:val="00C230C2"/>
    <w:rsid w:val="00C26489"/>
    <w:rsid w:val="00C27683"/>
    <w:rsid w:val="00C27BE0"/>
    <w:rsid w:val="00C315F7"/>
    <w:rsid w:val="00C32037"/>
    <w:rsid w:val="00C32A90"/>
    <w:rsid w:val="00C3324B"/>
    <w:rsid w:val="00C37C6C"/>
    <w:rsid w:val="00C37F25"/>
    <w:rsid w:val="00C406FC"/>
    <w:rsid w:val="00C410BC"/>
    <w:rsid w:val="00C412D5"/>
    <w:rsid w:val="00C41E84"/>
    <w:rsid w:val="00C42214"/>
    <w:rsid w:val="00C42538"/>
    <w:rsid w:val="00C44F4E"/>
    <w:rsid w:val="00C45C7F"/>
    <w:rsid w:val="00C4724E"/>
    <w:rsid w:val="00C502D2"/>
    <w:rsid w:val="00C5237A"/>
    <w:rsid w:val="00C53141"/>
    <w:rsid w:val="00C532E3"/>
    <w:rsid w:val="00C53A32"/>
    <w:rsid w:val="00C5594A"/>
    <w:rsid w:val="00C60D6B"/>
    <w:rsid w:val="00C61579"/>
    <w:rsid w:val="00C623A3"/>
    <w:rsid w:val="00C6241A"/>
    <w:rsid w:val="00C62798"/>
    <w:rsid w:val="00C627FF"/>
    <w:rsid w:val="00C6309A"/>
    <w:rsid w:val="00C6320D"/>
    <w:rsid w:val="00C633D4"/>
    <w:rsid w:val="00C64FC0"/>
    <w:rsid w:val="00C65FFA"/>
    <w:rsid w:val="00C669CB"/>
    <w:rsid w:val="00C71D4C"/>
    <w:rsid w:val="00C737C0"/>
    <w:rsid w:val="00C74446"/>
    <w:rsid w:val="00C7492A"/>
    <w:rsid w:val="00C7567C"/>
    <w:rsid w:val="00C76212"/>
    <w:rsid w:val="00C77830"/>
    <w:rsid w:val="00C77A3C"/>
    <w:rsid w:val="00C804E4"/>
    <w:rsid w:val="00C80638"/>
    <w:rsid w:val="00C80DEA"/>
    <w:rsid w:val="00C80E38"/>
    <w:rsid w:val="00C80F10"/>
    <w:rsid w:val="00C82C98"/>
    <w:rsid w:val="00C83CB9"/>
    <w:rsid w:val="00C83DD0"/>
    <w:rsid w:val="00C84E11"/>
    <w:rsid w:val="00C856B7"/>
    <w:rsid w:val="00C863FF"/>
    <w:rsid w:val="00C8700F"/>
    <w:rsid w:val="00C8713C"/>
    <w:rsid w:val="00C9336C"/>
    <w:rsid w:val="00C9366B"/>
    <w:rsid w:val="00C93760"/>
    <w:rsid w:val="00C94BF4"/>
    <w:rsid w:val="00C95586"/>
    <w:rsid w:val="00C95987"/>
    <w:rsid w:val="00C96453"/>
    <w:rsid w:val="00CA1192"/>
    <w:rsid w:val="00CA1876"/>
    <w:rsid w:val="00CA2322"/>
    <w:rsid w:val="00CA2EB3"/>
    <w:rsid w:val="00CA35A5"/>
    <w:rsid w:val="00CA3795"/>
    <w:rsid w:val="00CA3CF4"/>
    <w:rsid w:val="00CA43A1"/>
    <w:rsid w:val="00CA5217"/>
    <w:rsid w:val="00CA6460"/>
    <w:rsid w:val="00CB2118"/>
    <w:rsid w:val="00CB214D"/>
    <w:rsid w:val="00CB2A82"/>
    <w:rsid w:val="00CB3E3A"/>
    <w:rsid w:val="00CB44EF"/>
    <w:rsid w:val="00CB4D52"/>
    <w:rsid w:val="00CB56D9"/>
    <w:rsid w:val="00CB585A"/>
    <w:rsid w:val="00CB63E5"/>
    <w:rsid w:val="00CB7769"/>
    <w:rsid w:val="00CB78F1"/>
    <w:rsid w:val="00CC031C"/>
    <w:rsid w:val="00CC11CE"/>
    <w:rsid w:val="00CC1201"/>
    <w:rsid w:val="00CC1D20"/>
    <w:rsid w:val="00CC3821"/>
    <w:rsid w:val="00CC395B"/>
    <w:rsid w:val="00CC5418"/>
    <w:rsid w:val="00CC577E"/>
    <w:rsid w:val="00CC6139"/>
    <w:rsid w:val="00CC68EA"/>
    <w:rsid w:val="00CC6BEA"/>
    <w:rsid w:val="00CC6F55"/>
    <w:rsid w:val="00CD0BD2"/>
    <w:rsid w:val="00CD0E54"/>
    <w:rsid w:val="00CD2673"/>
    <w:rsid w:val="00CD2C00"/>
    <w:rsid w:val="00CD3383"/>
    <w:rsid w:val="00CD4246"/>
    <w:rsid w:val="00CD49B7"/>
    <w:rsid w:val="00CD4D2E"/>
    <w:rsid w:val="00CD546A"/>
    <w:rsid w:val="00CD5970"/>
    <w:rsid w:val="00CD625C"/>
    <w:rsid w:val="00CD647A"/>
    <w:rsid w:val="00CD6AA6"/>
    <w:rsid w:val="00CD6DDE"/>
    <w:rsid w:val="00CD741A"/>
    <w:rsid w:val="00CE1288"/>
    <w:rsid w:val="00CE19BF"/>
    <w:rsid w:val="00CE2355"/>
    <w:rsid w:val="00CE252E"/>
    <w:rsid w:val="00CE2AFD"/>
    <w:rsid w:val="00CE52F0"/>
    <w:rsid w:val="00CE54DF"/>
    <w:rsid w:val="00CE5906"/>
    <w:rsid w:val="00CE5CE8"/>
    <w:rsid w:val="00CE6213"/>
    <w:rsid w:val="00CE6256"/>
    <w:rsid w:val="00CE6633"/>
    <w:rsid w:val="00CE732E"/>
    <w:rsid w:val="00CE739D"/>
    <w:rsid w:val="00CF1B4D"/>
    <w:rsid w:val="00CF2140"/>
    <w:rsid w:val="00CF4621"/>
    <w:rsid w:val="00CF5537"/>
    <w:rsid w:val="00CF5E4E"/>
    <w:rsid w:val="00CF60FC"/>
    <w:rsid w:val="00D00CE2"/>
    <w:rsid w:val="00D00D63"/>
    <w:rsid w:val="00D02355"/>
    <w:rsid w:val="00D0283E"/>
    <w:rsid w:val="00D0541D"/>
    <w:rsid w:val="00D05F1E"/>
    <w:rsid w:val="00D11346"/>
    <w:rsid w:val="00D11D58"/>
    <w:rsid w:val="00D1292E"/>
    <w:rsid w:val="00D12A19"/>
    <w:rsid w:val="00D14004"/>
    <w:rsid w:val="00D140E7"/>
    <w:rsid w:val="00D150DF"/>
    <w:rsid w:val="00D15242"/>
    <w:rsid w:val="00D1752C"/>
    <w:rsid w:val="00D17C6B"/>
    <w:rsid w:val="00D20A8B"/>
    <w:rsid w:val="00D21FCB"/>
    <w:rsid w:val="00D229C7"/>
    <w:rsid w:val="00D22D05"/>
    <w:rsid w:val="00D22FB1"/>
    <w:rsid w:val="00D24070"/>
    <w:rsid w:val="00D24769"/>
    <w:rsid w:val="00D3044E"/>
    <w:rsid w:val="00D304BC"/>
    <w:rsid w:val="00D31767"/>
    <w:rsid w:val="00D32EBF"/>
    <w:rsid w:val="00D33448"/>
    <w:rsid w:val="00D33C3B"/>
    <w:rsid w:val="00D3468B"/>
    <w:rsid w:val="00D34908"/>
    <w:rsid w:val="00D35424"/>
    <w:rsid w:val="00D35977"/>
    <w:rsid w:val="00D35C05"/>
    <w:rsid w:val="00D36B58"/>
    <w:rsid w:val="00D36CD0"/>
    <w:rsid w:val="00D37661"/>
    <w:rsid w:val="00D40D9D"/>
    <w:rsid w:val="00D41816"/>
    <w:rsid w:val="00D42533"/>
    <w:rsid w:val="00D4505C"/>
    <w:rsid w:val="00D46B78"/>
    <w:rsid w:val="00D47022"/>
    <w:rsid w:val="00D47EF9"/>
    <w:rsid w:val="00D50801"/>
    <w:rsid w:val="00D522E6"/>
    <w:rsid w:val="00D522E8"/>
    <w:rsid w:val="00D5239E"/>
    <w:rsid w:val="00D528A0"/>
    <w:rsid w:val="00D528F7"/>
    <w:rsid w:val="00D52B54"/>
    <w:rsid w:val="00D52F04"/>
    <w:rsid w:val="00D53C16"/>
    <w:rsid w:val="00D556EB"/>
    <w:rsid w:val="00D56083"/>
    <w:rsid w:val="00D56BDC"/>
    <w:rsid w:val="00D56E3B"/>
    <w:rsid w:val="00D60165"/>
    <w:rsid w:val="00D607EC"/>
    <w:rsid w:val="00D60A79"/>
    <w:rsid w:val="00D6143F"/>
    <w:rsid w:val="00D61C69"/>
    <w:rsid w:val="00D6348A"/>
    <w:rsid w:val="00D636AA"/>
    <w:rsid w:val="00D63C94"/>
    <w:rsid w:val="00D70B04"/>
    <w:rsid w:val="00D7310B"/>
    <w:rsid w:val="00D7352C"/>
    <w:rsid w:val="00D73EB1"/>
    <w:rsid w:val="00D75F22"/>
    <w:rsid w:val="00D7687E"/>
    <w:rsid w:val="00D7763B"/>
    <w:rsid w:val="00D7787B"/>
    <w:rsid w:val="00D80BBA"/>
    <w:rsid w:val="00D81224"/>
    <w:rsid w:val="00D815D7"/>
    <w:rsid w:val="00D81A6E"/>
    <w:rsid w:val="00D81BE2"/>
    <w:rsid w:val="00D8244A"/>
    <w:rsid w:val="00D82BD9"/>
    <w:rsid w:val="00D82FCA"/>
    <w:rsid w:val="00D832A0"/>
    <w:rsid w:val="00D837F7"/>
    <w:rsid w:val="00D83E99"/>
    <w:rsid w:val="00D86D80"/>
    <w:rsid w:val="00D87357"/>
    <w:rsid w:val="00D87D12"/>
    <w:rsid w:val="00D902CF"/>
    <w:rsid w:val="00D91120"/>
    <w:rsid w:val="00D91B75"/>
    <w:rsid w:val="00D93766"/>
    <w:rsid w:val="00D946CA"/>
    <w:rsid w:val="00D979A0"/>
    <w:rsid w:val="00D979D8"/>
    <w:rsid w:val="00D97B07"/>
    <w:rsid w:val="00DA0961"/>
    <w:rsid w:val="00DA1444"/>
    <w:rsid w:val="00DA1EB1"/>
    <w:rsid w:val="00DA21C6"/>
    <w:rsid w:val="00DA2E08"/>
    <w:rsid w:val="00DA3A18"/>
    <w:rsid w:val="00DA3C47"/>
    <w:rsid w:val="00DA3E5A"/>
    <w:rsid w:val="00DA471D"/>
    <w:rsid w:val="00DA54B5"/>
    <w:rsid w:val="00DA6087"/>
    <w:rsid w:val="00DB0FB4"/>
    <w:rsid w:val="00DB1061"/>
    <w:rsid w:val="00DB19E9"/>
    <w:rsid w:val="00DB1BAE"/>
    <w:rsid w:val="00DB4697"/>
    <w:rsid w:val="00DB5A1F"/>
    <w:rsid w:val="00DB6AF2"/>
    <w:rsid w:val="00DB7792"/>
    <w:rsid w:val="00DB7FF9"/>
    <w:rsid w:val="00DC283A"/>
    <w:rsid w:val="00DC294D"/>
    <w:rsid w:val="00DC38A5"/>
    <w:rsid w:val="00DC4C46"/>
    <w:rsid w:val="00DC5B6E"/>
    <w:rsid w:val="00DC6396"/>
    <w:rsid w:val="00DC6CEB"/>
    <w:rsid w:val="00DD18E3"/>
    <w:rsid w:val="00DD1F68"/>
    <w:rsid w:val="00DD20CF"/>
    <w:rsid w:val="00DD2740"/>
    <w:rsid w:val="00DD38BA"/>
    <w:rsid w:val="00DD424D"/>
    <w:rsid w:val="00DD4C9A"/>
    <w:rsid w:val="00DD5010"/>
    <w:rsid w:val="00DD5274"/>
    <w:rsid w:val="00DD57FA"/>
    <w:rsid w:val="00DD65FB"/>
    <w:rsid w:val="00DD7EE8"/>
    <w:rsid w:val="00DE019B"/>
    <w:rsid w:val="00DE01BB"/>
    <w:rsid w:val="00DE1D55"/>
    <w:rsid w:val="00DE2A48"/>
    <w:rsid w:val="00DE31A4"/>
    <w:rsid w:val="00DE363C"/>
    <w:rsid w:val="00DE7156"/>
    <w:rsid w:val="00DE73FE"/>
    <w:rsid w:val="00DF06BA"/>
    <w:rsid w:val="00DF0B0F"/>
    <w:rsid w:val="00DF255B"/>
    <w:rsid w:val="00DF25C4"/>
    <w:rsid w:val="00DF2EAA"/>
    <w:rsid w:val="00DF30F1"/>
    <w:rsid w:val="00DF4B8D"/>
    <w:rsid w:val="00DF4CE5"/>
    <w:rsid w:val="00DF4F3D"/>
    <w:rsid w:val="00DF6CDB"/>
    <w:rsid w:val="00DF6CE1"/>
    <w:rsid w:val="00DF771D"/>
    <w:rsid w:val="00DF7FFD"/>
    <w:rsid w:val="00E01AC7"/>
    <w:rsid w:val="00E0205C"/>
    <w:rsid w:val="00E02E28"/>
    <w:rsid w:val="00E032EB"/>
    <w:rsid w:val="00E034EF"/>
    <w:rsid w:val="00E03962"/>
    <w:rsid w:val="00E04399"/>
    <w:rsid w:val="00E0558F"/>
    <w:rsid w:val="00E05633"/>
    <w:rsid w:val="00E05E4E"/>
    <w:rsid w:val="00E0664A"/>
    <w:rsid w:val="00E06F98"/>
    <w:rsid w:val="00E078C2"/>
    <w:rsid w:val="00E12174"/>
    <w:rsid w:val="00E12974"/>
    <w:rsid w:val="00E12F32"/>
    <w:rsid w:val="00E13156"/>
    <w:rsid w:val="00E150C5"/>
    <w:rsid w:val="00E156DE"/>
    <w:rsid w:val="00E15837"/>
    <w:rsid w:val="00E175E8"/>
    <w:rsid w:val="00E17D98"/>
    <w:rsid w:val="00E21164"/>
    <w:rsid w:val="00E238FE"/>
    <w:rsid w:val="00E24923"/>
    <w:rsid w:val="00E25315"/>
    <w:rsid w:val="00E26BB8"/>
    <w:rsid w:val="00E320DB"/>
    <w:rsid w:val="00E334F7"/>
    <w:rsid w:val="00E33FFF"/>
    <w:rsid w:val="00E34708"/>
    <w:rsid w:val="00E360E3"/>
    <w:rsid w:val="00E36240"/>
    <w:rsid w:val="00E375DC"/>
    <w:rsid w:val="00E37D6A"/>
    <w:rsid w:val="00E40A7F"/>
    <w:rsid w:val="00E4198D"/>
    <w:rsid w:val="00E42175"/>
    <w:rsid w:val="00E435F0"/>
    <w:rsid w:val="00E43954"/>
    <w:rsid w:val="00E4425A"/>
    <w:rsid w:val="00E4433E"/>
    <w:rsid w:val="00E45475"/>
    <w:rsid w:val="00E459DA"/>
    <w:rsid w:val="00E462CF"/>
    <w:rsid w:val="00E46914"/>
    <w:rsid w:val="00E47463"/>
    <w:rsid w:val="00E47E0E"/>
    <w:rsid w:val="00E506DB"/>
    <w:rsid w:val="00E53258"/>
    <w:rsid w:val="00E53A13"/>
    <w:rsid w:val="00E546C1"/>
    <w:rsid w:val="00E54F26"/>
    <w:rsid w:val="00E5514F"/>
    <w:rsid w:val="00E554C6"/>
    <w:rsid w:val="00E55819"/>
    <w:rsid w:val="00E5786E"/>
    <w:rsid w:val="00E57D3E"/>
    <w:rsid w:val="00E57F25"/>
    <w:rsid w:val="00E6033F"/>
    <w:rsid w:val="00E61745"/>
    <w:rsid w:val="00E61C1B"/>
    <w:rsid w:val="00E637C6"/>
    <w:rsid w:val="00E63B16"/>
    <w:rsid w:val="00E63D63"/>
    <w:rsid w:val="00E64065"/>
    <w:rsid w:val="00E6497F"/>
    <w:rsid w:val="00E666B8"/>
    <w:rsid w:val="00E66D16"/>
    <w:rsid w:val="00E71989"/>
    <w:rsid w:val="00E733D8"/>
    <w:rsid w:val="00E743D6"/>
    <w:rsid w:val="00E75A24"/>
    <w:rsid w:val="00E75D21"/>
    <w:rsid w:val="00E75FB5"/>
    <w:rsid w:val="00E768C4"/>
    <w:rsid w:val="00E76A95"/>
    <w:rsid w:val="00E76B51"/>
    <w:rsid w:val="00E80361"/>
    <w:rsid w:val="00E838BA"/>
    <w:rsid w:val="00E83A31"/>
    <w:rsid w:val="00E84F38"/>
    <w:rsid w:val="00E85225"/>
    <w:rsid w:val="00E861E6"/>
    <w:rsid w:val="00E86716"/>
    <w:rsid w:val="00E868E8"/>
    <w:rsid w:val="00E86AD3"/>
    <w:rsid w:val="00E86D26"/>
    <w:rsid w:val="00E87536"/>
    <w:rsid w:val="00E901E9"/>
    <w:rsid w:val="00E90230"/>
    <w:rsid w:val="00E9037F"/>
    <w:rsid w:val="00E918AB"/>
    <w:rsid w:val="00E928A3"/>
    <w:rsid w:val="00E928C1"/>
    <w:rsid w:val="00E93526"/>
    <w:rsid w:val="00E958DD"/>
    <w:rsid w:val="00E96E2C"/>
    <w:rsid w:val="00E97B8C"/>
    <w:rsid w:val="00E97BBA"/>
    <w:rsid w:val="00E97E66"/>
    <w:rsid w:val="00EA1581"/>
    <w:rsid w:val="00EA188D"/>
    <w:rsid w:val="00EA2616"/>
    <w:rsid w:val="00EA28DD"/>
    <w:rsid w:val="00EA2E7F"/>
    <w:rsid w:val="00EA305A"/>
    <w:rsid w:val="00EA3BA1"/>
    <w:rsid w:val="00EA5BDA"/>
    <w:rsid w:val="00EB04A9"/>
    <w:rsid w:val="00EB0578"/>
    <w:rsid w:val="00EB29D4"/>
    <w:rsid w:val="00EB375E"/>
    <w:rsid w:val="00EB53B4"/>
    <w:rsid w:val="00EB5DC0"/>
    <w:rsid w:val="00EB652D"/>
    <w:rsid w:val="00EB6849"/>
    <w:rsid w:val="00EB7895"/>
    <w:rsid w:val="00EC05D6"/>
    <w:rsid w:val="00EC0B73"/>
    <w:rsid w:val="00EC1107"/>
    <w:rsid w:val="00EC18F7"/>
    <w:rsid w:val="00EC3952"/>
    <w:rsid w:val="00EC3C27"/>
    <w:rsid w:val="00EC5E1E"/>
    <w:rsid w:val="00EC7588"/>
    <w:rsid w:val="00EC7766"/>
    <w:rsid w:val="00EC7F23"/>
    <w:rsid w:val="00ED03CD"/>
    <w:rsid w:val="00ED1B14"/>
    <w:rsid w:val="00ED1F87"/>
    <w:rsid w:val="00ED223E"/>
    <w:rsid w:val="00ED2351"/>
    <w:rsid w:val="00ED2C58"/>
    <w:rsid w:val="00ED2EA8"/>
    <w:rsid w:val="00ED2F52"/>
    <w:rsid w:val="00ED3B25"/>
    <w:rsid w:val="00ED4906"/>
    <w:rsid w:val="00ED62B5"/>
    <w:rsid w:val="00ED697F"/>
    <w:rsid w:val="00ED7B92"/>
    <w:rsid w:val="00EE0320"/>
    <w:rsid w:val="00EE10A5"/>
    <w:rsid w:val="00EE1E19"/>
    <w:rsid w:val="00EE26BE"/>
    <w:rsid w:val="00EE3727"/>
    <w:rsid w:val="00EE3AF1"/>
    <w:rsid w:val="00EE4215"/>
    <w:rsid w:val="00EE42ED"/>
    <w:rsid w:val="00EE4B9B"/>
    <w:rsid w:val="00EE4FAE"/>
    <w:rsid w:val="00EE5424"/>
    <w:rsid w:val="00EE7BB4"/>
    <w:rsid w:val="00EE7BC5"/>
    <w:rsid w:val="00EF00D9"/>
    <w:rsid w:val="00EF0379"/>
    <w:rsid w:val="00EF112D"/>
    <w:rsid w:val="00EF1BE7"/>
    <w:rsid w:val="00EF49D6"/>
    <w:rsid w:val="00EF4EF8"/>
    <w:rsid w:val="00EF5075"/>
    <w:rsid w:val="00EF5DB9"/>
    <w:rsid w:val="00EF6A55"/>
    <w:rsid w:val="00EF6A86"/>
    <w:rsid w:val="00EF7D0B"/>
    <w:rsid w:val="00F00500"/>
    <w:rsid w:val="00F0147A"/>
    <w:rsid w:val="00F01AAE"/>
    <w:rsid w:val="00F049AF"/>
    <w:rsid w:val="00F05310"/>
    <w:rsid w:val="00F06852"/>
    <w:rsid w:val="00F07237"/>
    <w:rsid w:val="00F07891"/>
    <w:rsid w:val="00F1083C"/>
    <w:rsid w:val="00F10DD9"/>
    <w:rsid w:val="00F11291"/>
    <w:rsid w:val="00F11489"/>
    <w:rsid w:val="00F14E5A"/>
    <w:rsid w:val="00F14E8B"/>
    <w:rsid w:val="00F1500D"/>
    <w:rsid w:val="00F157B7"/>
    <w:rsid w:val="00F15938"/>
    <w:rsid w:val="00F17584"/>
    <w:rsid w:val="00F2004C"/>
    <w:rsid w:val="00F21D6C"/>
    <w:rsid w:val="00F21E46"/>
    <w:rsid w:val="00F229C3"/>
    <w:rsid w:val="00F23369"/>
    <w:rsid w:val="00F235AF"/>
    <w:rsid w:val="00F23E94"/>
    <w:rsid w:val="00F259BC"/>
    <w:rsid w:val="00F260A6"/>
    <w:rsid w:val="00F31895"/>
    <w:rsid w:val="00F31A07"/>
    <w:rsid w:val="00F31A79"/>
    <w:rsid w:val="00F3211C"/>
    <w:rsid w:val="00F3477B"/>
    <w:rsid w:val="00F34B98"/>
    <w:rsid w:val="00F3614D"/>
    <w:rsid w:val="00F373A4"/>
    <w:rsid w:val="00F40700"/>
    <w:rsid w:val="00F414C8"/>
    <w:rsid w:val="00F42718"/>
    <w:rsid w:val="00F43F2D"/>
    <w:rsid w:val="00F44913"/>
    <w:rsid w:val="00F469A1"/>
    <w:rsid w:val="00F479A8"/>
    <w:rsid w:val="00F47E6A"/>
    <w:rsid w:val="00F50B53"/>
    <w:rsid w:val="00F527F6"/>
    <w:rsid w:val="00F54200"/>
    <w:rsid w:val="00F54481"/>
    <w:rsid w:val="00F548EC"/>
    <w:rsid w:val="00F56FB1"/>
    <w:rsid w:val="00F57519"/>
    <w:rsid w:val="00F57E4B"/>
    <w:rsid w:val="00F6055F"/>
    <w:rsid w:val="00F60F18"/>
    <w:rsid w:val="00F62102"/>
    <w:rsid w:val="00F63A8B"/>
    <w:rsid w:val="00F63B46"/>
    <w:rsid w:val="00F63B68"/>
    <w:rsid w:val="00F64E83"/>
    <w:rsid w:val="00F65A10"/>
    <w:rsid w:val="00F665C0"/>
    <w:rsid w:val="00F66809"/>
    <w:rsid w:val="00F6793A"/>
    <w:rsid w:val="00F70067"/>
    <w:rsid w:val="00F70276"/>
    <w:rsid w:val="00F70579"/>
    <w:rsid w:val="00F7078F"/>
    <w:rsid w:val="00F70852"/>
    <w:rsid w:val="00F713B7"/>
    <w:rsid w:val="00F7178F"/>
    <w:rsid w:val="00F7231F"/>
    <w:rsid w:val="00F725B3"/>
    <w:rsid w:val="00F736E3"/>
    <w:rsid w:val="00F73A13"/>
    <w:rsid w:val="00F74DDC"/>
    <w:rsid w:val="00F75078"/>
    <w:rsid w:val="00F76A0D"/>
    <w:rsid w:val="00F80646"/>
    <w:rsid w:val="00F811D8"/>
    <w:rsid w:val="00F828DF"/>
    <w:rsid w:val="00F83395"/>
    <w:rsid w:val="00F83BCB"/>
    <w:rsid w:val="00F8445F"/>
    <w:rsid w:val="00F844DD"/>
    <w:rsid w:val="00F84D2E"/>
    <w:rsid w:val="00F859FD"/>
    <w:rsid w:val="00F86871"/>
    <w:rsid w:val="00F87545"/>
    <w:rsid w:val="00F879EE"/>
    <w:rsid w:val="00F87D95"/>
    <w:rsid w:val="00F9257B"/>
    <w:rsid w:val="00F94762"/>
    <w:rsid w:val="00F97185"/>
    <w:rsid w:val="00F97FB9"/>
    <w:rsid w:val="00FA111B"/>
    <w:rsid w:val="00FA159D"/>
    <w:rsid w:val="00FA3F7E"/>
    <w:rsid w:val="00FA4819"/>
    <w:rsid w:val="00FA5AA4"/>
    <w:rsid w:val="00FA5BED"/>
    <w:rsid w:val="00FA6ED0"/>
    <w:rsid w:val="00FB036B"/>
    <w:rsid w:val="00FB06B4"/>
    <w:rsid w:val="00FB1CCF"/>
    <w:rsid w:val="00FB2113"/>
    <w:rsid w:val="00FB23A9"/>
    <w:rsid w:val="00FB262C"/>
    <w:rsid w:val="00FB33D0"/>
    <w:rsid w:val="00FB38BA"/>
    <w:rsid w:val="00FB3BDA"/>
    <w:rsid w:val="00FB3FF5"/>
    <w:rsid w:val="00FB47D9"/>
    <w:rsid w:val="00FB5785"/>
    <w:rsid w:val="00FB57BA"/>
    <w:rsid w:val="00FB7BD4"/>
    <w:rsid w:val="00FC050D"/>
    <w:rsid w:val="00FC1878"/>
    <w:rsid w:val="00FC21A4"/>
    <w:rsid w:val="00FC2F10"/>
    <w:rsid w:val="00FC2FF8"/>
    <w:rsid w:val="00FC3C29"/>
    <w:rsid w:val="00FC4009"/>
    <w:rsid w:val="00FC4178"/>
    <w:rsid w:val="00FC4E39"/>
    <w:rsid w:val="00FC6A16"/>
    <w:rsid w:val="00FD04C6"/>
    <w:rsid w:val="00FD22BA"/>
    <w:rsid w:val="00FD2600"/>
    <w:rsid w:val="00FD2A7A"/>
    <w:rsid w:val="00FD346E"/>
    <w:rsid w:val="00FD3BF8"/>
    <w:rsid w:val="00FD4A7E"/>
    <w:rsid w:val="00FD518A"/>
    <w:rsid w:val="00FD555A"/>
    <w:rsid w:val="00FD57D7"/>
    <w:rsid w:val="00FD5816"/>
    <w:rsid w:val="00FD5B2D"/>
    <w:rsid w:val="00FD6A81"/>
    <w:rsid w:val="00FD6BF4"/>
    <w:rsid w:val="00FD6FE2"/>
    <w:rsid w:val="00FD749F"/>
    <w:rsid w:val="00FE1435"/>
    <w:rsid w:val="00FE2454"/>
    <w:rsid w:val="00FE24DC"/>
    <w:rsid w:val="00FE2CE3"/>
    <w:rsid w:val="00FE358A"/>
    <w:rsid w:val="00FE3860"/>
    <w:rsid w:val="00FE3C5D"/>
    <w:rsid w:val="00FE42EC"/>
    <w:rsid w:val="00FE44B3"/>
    <w:rsid w:val="00FE635B"/>
    <w:rsid w:val="00FE6BB5"/>
    <w:rsid w:val="00FE7396"/>
    <w:rsid w:val="00FF03BD"/>
    <w:rsid w:val="00FF050F"/>
    <w:rsid w:val="00FF113B"/>
    <w:rsid w:val="00FF31C3"/>
    <w:rsid w:val="00FF394E"/>
    <w:rsid w:val="00FF447C"/>
    <w:rsid w:val="00FF4F70"/>
    <w:rsid w:val="00FF72E7"/>
    <w:rsid w:val="00FF7638"/>
    <w:rsid w:val="011E1C4D"/>
    <w:rsid w:val="0188309B"/>
    <w:rsid w:val="021533E7"/>
    <w:rsid w:val="02A67BEC"/>
    <w:rsid w:val="03193080"/>
    <w:rsid w:val="033E4BBF"/>
    <w:rsid w:val="03A6644E"/>
    <w:rsid w:val="03AC38D7"/>
    <w:rsid w:val="03B15391"/>
    <w:rsid w:val="03BD3D36"/>
    <w:rsid w:val="04A10F62"/>
    <w:rsid w:val="055A5D49"/>
    <w:rsid w:val="06552E8A"/>
    <w:rsid w:val="068B16A8"/>
    <w:rsid w:val="06C43AC9"/>
    <w:rsid w:val="06DC5D0E"/>
    <w:rsid w:val="070D3C4E"/>
    <w:rsid w:val="072E49D4"/>
    <w:rsid w:val="076F4AFB"/>
    <w:rsid w:val="07C05BA3"/>
    <w:rsid w:val="081607F6"/>
    <w:rsid w:val="085608FD"/>
    <w:rsid w:val="094D790A"/>
    <w:rsid w:val="095F763D"/>
    <w:rsid w:val="096133B5"/>
    <w:rsid w:val="09BE24D8"/>
    <w:rsid w:val="09DF8114"/>
    <w:rsid w:val="09F91840"/>
    <w:rsid w:val="0A4855C7"/>
    <w:rsid w:val="0A967038"/>
    <w:rsid w:val="0B536D2E"/>
    <w:rsid w:val="0B6B35FF"/>
    <w:rsid w:val="0BA17A99"/>
    <w:rsid w:val="0BB87B38"/>
    <w:rsid w:val="0C060244"/>
    <w:rsid w:val="0C122745"/>
    <w:rsid w:val="0C9E047D"/>
    <w:rsid w:val="0CAC4948"/>
    <w:rsid w:val="0D1F571A"/>
    <w:rsid w:val="0D316356"/>
    <w:rsid w:val="0D392FF2"/>
    <w:rsid w:val="0EB977F0"/>
    <w:rsid w:val="0EC22391"/>
    <w:rsid w:val="0ED71A24"/>
    <w:rsid w:val="0EDE295A"/>
    <w:rsid w:val="0EE155DA"/>
    <w:rsid w:val="0EE26D46"/>
    <w:rsid w:val="0EE77EB9"/>
    <w:rsid w:val="0F1467D4"/>
    <w:rsid w:val="0F262DEA"/>
    <w:rsid w:val="0F264278"/>
    <w:rsid w:val="0F637A0E"/>
    <w:rsid w:val="0F777A35"/>
    <w:rsid w:val="0FE45058"/>
    <w:rsid w:val="10461C83"/>
    <w:rsid w:val="10850CF3"/>
    <w:rsid w:val="10C1473A"/>
    <w:rsid w:val="1131366D"/>
    <w:rsid w:val="116457F1"/>
    <w:rsid w:val="11801C9B"/>
    <w:rsid w:val="11AC7198"/>
    <w:rsid w:val="1299596E"/>
    <w:rsid w:val="129C545E"/>
    <w:rsid w:val="12C7072D"/>
    <w:rsid w:val="12D43822"/>
    <w:rsid w:val="12F17558"/>
    <w:rsid w:val="133569F7"/>
    <w:rsid w:val="13741F37"/>
    <w:rsid w:val="13C7650B"/>
    <w:rsid w:val="14B863D3"/>
    <w:rsid w:val="14BE346A"/>
    <w:rsid w:val="151D113D"/>
    <w:rsid w:val="15761580"/>
    <w:rsid w:val="15D32F45"/>
    <w:rsid w:val="160A217D"/>
    <w:rsid w:val="162832D7"/>
    <w:rsid w:val="167F4E7B"/>
    <w:rsid w:val="169923E1"/>
    <w:rsid w:val="16D90A2F"/>
    <w:rsid w:val="1746135D"/>
    <w:rsid w:val="17591B70"/>
    <w:rsid w:val="179130B8"/>
    <w:rsid w:val="17C660CC"/>
    <w:rsid w:val="186C7681"/>
    <w:rsid w:val="187B0909"/>
    <w:rsid w:val="18995C7D"/>
    <w:rsid w:val="18DC0363"/>
    <w:rsid w:val="19126387"/>
    <w:rsid w:val="197762DD"/>
    <w:rsid w:val="19924EC5"/>
    <w:rsid w:val="1A1939B4"/>
    <w:rsid w:val="1A6B4094"/>
    <w:rsid w:val="1B5C578B"/>
    <w:rsid w:val="1B7C407F"/>
    <w:rsid w:val="1BA251D0"/>
    <w:rsid w:val="1BCC0B62"/>
    <w:rsid w:val="1C9553F8"/>
    <w:rsid w:val="1D293D92"/>
    <w:rsid w:val="1D5D053C"/>
    <w:rsid w:val="1D81743D"/>
    <w:rsid w:val="1DB01DBE"/>
    <w:rsid w:val="1E202F4E"/>
    <w:rsid w:val="1E2211A1"/>
    <w:rsid w:val="1E682698"/>
    <w:rsid w:val="1E72075E"/>
    <w:rsid w:val="1E731769"/>
    <w:rsid w:val="1EB93C78"/>
    <w:rsid w:val="1FB042F7"/>
    <w:rsid w:val="1FBB3379"/>
    <w:rsid w:val="20A91472"/>
    <w:rsid w:val="20B1726D"/>
    <w:rsid w:val="20D81CD0"/>
    <w:rsid w:val="216B497A"/>
    <w:rsid w:val="2173382E"/>
    <w:rsid w:val="21EE7F0B"/>
    <w:rsid w:val="220D35B6"/>
    <w:rsid w:val="223F48A6"/>
    <w:rsid w:val="225F10AB"/>
    <w:rsid w:val="22614DA1"/>
    <w:rsid w:val="229E2B2D"/>
    <w:rsid w:val="22C905D9"/>
    <w:rsid w:val="22DE6050"/>
    <w:rsid w:val="22EB1FDE"/>
    <w:rsid w:val="231B417D"/>
    <w:rsid w:val="23384D2F"/>
    <w:rsid w:val="23445482"/>
    <w:rsid w:val="23CB7951"/>
    <w:rsid w:val="23CE7442"/>
    <w:rsid w:val="23F523EE"/>
    <w:rsid w:val="245D0E44"/>
    <w:rsid w:val="249E5066"/>
    <w:rsid w:val="24B2794A"/>
    <w:rsid w:val="25AC5561"/>
    <w:rsid w:val="25D755BB"/>
    <w:rsid w:val="25E44CFA"/>
    <w:rsid w:val="262D044F"/>
    <w:rsid w:val="266D4CF0"/>
    <w:rsid w:val="26AF2102"/>
    <w:rsid w:val="26CC5EBA"/>
    <w:rsid w:val="26EB15A8"/>
    <w:rsid w:val="26FD7DB2"/>
    <w:rsid w:val="270978E4"/>
    <w:rsid w:val="27201247"/>
    <w:rsid w:val="272B50FF"/>
    <w:rsid w:val="27441EF5"/>
    <w:rsid w:val="276E2ACE"/>
    <w:rsid w:val="28427A27"/>
    <w:rsid w:val="28757E8C"/>
    <w:rsid w:val="28A644E9"/>
    <w:rsid w:val="28DD77A6"/>
    <w:rsid w:val="2918568A"/>
    <w:rsid w:val="294C5091"/>
    <w:rsid w:val="2959155B"/>
    <w:rsid w:val="29C76E0D"/>
    <w:rsid w:val="29FB786F"/>
    <w:rsid w:val="2ACA0963"/>
    <w:rsid w:val="2ACB0237"/>
    <w:rsid w:val="2AE87BD9"/>
    <w:rsid w:val="2B5C5D99"/>
    <w:rsid w:val="2B911481"/>
    <w:rsid w:val="2BEB7D59"/>
    <w:rsid w:val="2BFD14F2"/>
    <w:rsid w:val="2C1D530D"/>
    <w:rsid w:val="2C491D5B"/>
    <w:rsid w:val="2C954FA0"/>
    <w:rsid w:val="2C991A54"/>
    <w:rsid w:val="2C9A6F3E"/>
    <w:rsid w:val="2CFA1050"/>
    <w:rsid w:val="2D6D1A79"/>
    <w:rsid w:val="2D815B6E"/>
    <w:rsid w:val="2DCE2070"/>
    <w:rsid w:val="2DEF248E"/>
    <w:rsid w:val="2E093550"/>
    <w:rsid w:val="2E467770"/>
    <w:rsid w:val="2E8976AC"/>
    <w:rsid w:val="2ED753FC"/>
    <w:rsid w:val="2F6A54BD"/>
    <w:rsid w:val="2FD77492"/>
    <w:rsid w:val="30001A04"/>
    <w:rsid w:val="3007245D"/>
    <w:rsid w:val="304765B2"/>
    <w:rsid w:val="30690161"/>
    <w:rsid w:val="308855D1"/>
    <w:rsid w:val="30B75636"/>
    <w:rsid w:val="31180229"/>
    <w:rsid w:val="31C83722"/>
    <w:rsid w:val="31F6028F"/>
    <w:rsid w:val="324A2389"/>
    <w:rsid w:val="330E1609"/>
    <w:rsid w:val="333711E3"/>
    <w:rsid w:val="33757E76"/>
    <w:rsid w:val="337C2A16"/>
    <w:rsid w:val="34560300"/>
    <w:rsid w:val="35657FEF"/>
    <w:rsid w:val="3602400E"/>
    <w:rsid w:val="36203E16"/>
    <w:rsid w:val="36880B48"/>
    <w:rsid w:val="370D5533"/>
    <w:rsid w:val="37512A53"/>
    <w:rsid w:val="37863E63"/>
    <w:rsid w:val="37BE76E8"/>
    <w:rsid w:val="37D42E21"/>
    <w:rsid w:val="382D2531"/>
    <w:rsid w:val="38673C95"/>
    <w:rsid w:val="38C2711D"/>
    <w:rsid w:val="38C82F68"/>
    <w:rsid w:val="38E047A1"/>
    <w:rsid w:val="391B6895"/>
    <w:rsid w:val="392E6561"/>
    <w:rsid w:val="3963397A"/>
    <w:rsid w:val="39A4413F"/>
    <w:rsid w:val="3A5D7813"/>
    <w:rsid w:val="3AEE47FE"/>
    <w:rsid w:val="3B487C5C"/>
    <w:rsid w:val="3B530501"/>
    <w:rsid w:val="3B68496C"/>
    <w:rsid w:val="3BC96369"/>
    <w:rsid w:val="3C930CED"/>
    <w:rsid w:val="3CF70E32"/>
    <w:rsid w:val="3D9A11AD"/>
    <w:rsid w:val="3DDE5DB9"/>
    <w:rsid w:val="3DFC5150"/>
    <w:rsid w:val="3F3917BB"/>
    <w:rsid w:val="3F6C4429"/>
    <w:rsid w:val="3FDF79B7"/>
    <w:rsid w:val="3FFA0951"/>
    <w:rsid w:val="40300E10"/>
    <w:rsid w:val="40A62E81"/>
    <w:rsid w:val="415A01F3"/>
    <w:rsid w:val="41DE1823"/>
    <w:rsid w:val="425A2175"/>
    <w:rsid w:val="428E62C2"/>
    <w:rsid w:val="42B645C0"/>
    <w:rsid w:val="42E83D66"/>
    <w:rsid w:val="431B354B"/>
    <w:rsid w:val="431D5E85"/>
    <w:rsid w:val="434151EA"/>
    <w:rsid w:val="43D51CB0"/>
    <w:rsid w:val="43E87306"/>
    <w:rsid w:val="43EC32A0"/>
    <w:rsid w:val="43EE526A"/>
    <w:rsid w:val="44354C47"/>
    <w:rsid w:val="444C1F91"/>
    <w:rsid w:val="445A46AE"/>
    <w:rsid w:val="446B14A3"/>
    <w:rsid w:val="447E76AF"/>
    <w:rsid w:val="44ED5001"/>
    <w:rsid w:val="45210110"/>
    <w:rsid w:val="453C0257"/>
    <w:rsid w:val="45603F46"/>
    <w:rsid w:val="456450B8"/>
    <w:rsid w:val="458A0C2A"/>
    <w:rsid w:val="45B46845"/>
    <w:rsid w:val="45E81877"/>
    <w:rsid w:val="46024FFD"/>
    <w:rsid w:val="461F5BAF"/>
    <w:rsid w:val="46584C1D"/>
    <w:rsid w:val="46601D24"/>
    <w:rsid w:val="466B599B"/>
    <w:rsid w:val="468679DC"/>
    <w:rsid w:val="46C2478C"/>
    <w:rsid w:val="46EB3CE3"/>
    <w:rsid w:val="470E0BAE"/>
    <w:rsid w:val="47993083"/>
    <w:rsid w:val="479E529B"/>
    <w:rsid w:val="479E5D8A"/>
    <w:rsid w:val="47B322BF"/>
    <w:rsid w:val="47C47E3B"/>
    <w:rsid w:val="47F80756"/>
    <w:rsid w:val="48065780"/>
    <w:rsid w:val="480F57AF"/>
    <w:rsid w:val="48702DDE"/>
    <w:rsid w:val="48A203D1"/>
    <w:rsid w:val="48CC18F2"/>
    <w:rsid w:val="48DA7B6B"/>
    <w:rsid w:val="48F25CE0"/>
    <w:rsid w:val="48F3503C"/>
    <w:rsid w:val="498677C3"/>
    <w:rsid w:val="49D4280C"/>
    <w:rsid w:val="4A370FED"/>
    <w:rsid w:val="4A510301"/>
    <w:rsid w:val="4B585CF2"/>
    <w:rsid w:val="4B6E5FA6"/>
    <w:rsid w:val="4BAA1A4E"/>
    <w:rsid w:val="4BB07DED"/>
    <w:rsid w:val="4C211F55"/>
    <w:rsid w:val="4C3D12CD"/>
    <w:rsid w:val="4C465518"/>
    <w:rsid w:val="4C79769B"/>
    <w:rsid w:val="4CE56C18"/>
    <w:rsid w:val="4D3A32CE"/>
    <w:rsid w:val="4DF555B6"/>
    <w:rsid w:val="4E323FA5"/>
    <w:rsid w:val="4E40026B"/>
    <w:rsid w:val="4E992277"/>
    <w:rsid w:val="4EAB580A"/>
    <w:rsid w:val="4EE55294"/>
    <w:rsid w:val="4F455F5A"/>
    <w:rsid w:val="4F4E1D81"/>
    <w:rsid w:val="4F6B59C1"/>
    <w:rsid w:val="4FF5172F"/>
    <w:rsid w:val="50D259A5"/>
    <w:rsid w:val="51142088"/>
    <w:rsid w:val="51643A27"/>
    <w:rsid w:val="516B614C"/>
    <w:rsid w:val="51C0394F"/>
    <w:rsid w:val="521C2FA3"/>
    <w:rsid w:val="52E56D45"/>
    <w:rsid w:val="52FB1D3C"/>
    <w:rsid w:val="53603363"/>
    <w:rsid w:val="53874D93"/>
    <w:rsid w:val="53EB521C"/>
    <w:rsid w:val="54493DF7"/>
    <w:rsid w:val="54B41BB8"/>
    <w:rsid w:val="54BD6121"/>
    <w:rsid w:val="550347F6"/>
    <w:rsid w:val="55760C1C"/>
    <w:rsid w:val="558477DD"/>
    <w:rsid w:val="558F4CA6"/>
    <w:rsid w:val="55AA4D69"/>
    <w:rsid w:val="55B530D8"/>
    <w:rsid w:val="55F10BEA"/>
    <w:rsid w:val="563216EE"/>
    <w:rsid w:val="564B20A8"/>
    <w:rsid w:val="566C29C6"/>
    <w:rsid w:val="56924E10"/>
    <w:rsid w:val="569C6DA8"/>
    <w:rsid w:val="56F4156F"/>
    <w:rsid w:val="575B456D"/>
    <w:rsid w:val="57923D07"/>
    <w:rsid w:val="583628E4"/>
    <w:rsid w:val="5841101A"/>
    <w:rsid w:val="5853793A"/>
    <w:rsid w:val="58651B64"/>
    <w:rsid w:val="58D8399B"/>
    <w:rsid w:val="591F387A"/>
    <w:rsid w:val="592B2D16"/>
    <w:rsid w:val="597629A8"/>
    <w:rsid w:val="599D5350"/>
    <w:rsid w:val="59F70316"/>
    <w:rsid w:val="5A3D7F5A"/>
    <w:rsid w:val="5A481BFB"/>
    <w:rsid w:val="5A9C7376"/>
    <w:rsid w:val="5AB30BBD"/>
    <w:rsid w:val="5AD81D5A"/>
    <w:rsid w:val="5B502FD3"/>
    <w:rsid w:val="5B6F4176"/>
    <w:rsid w:val="5B772750"/>
    <w:rsid w:val="5BA957C0"/>
    <w:rsid w:val="5BD91F04"/>
    <w:rsid w:val="5BDB16F3"/>
    <w:rsid w:val="5C0A3C49"/>
    <w:rsid w:val="5C7F0A89"/>
    <w:rsid w:val="5D215A0D"/>
    <w:rsid w:val="5D493AEC"/>
    <w:rsid w:val="5D8B6063"/>
    <w:rsid w:val="5DC26580"/>
    <w:rsid w:val="5DCB7415"/>
    <w:rsid w:val="5DE828D3"/>
    <w:rsid w:val="5E2E1C7A"/>
    <w:rsid w:val="5E4F1C68"/>
    <w:rsid w:val="5E97468A"/>
    <w:rsid w:val="5E990E89"/>
    <w:rsid w:val="5ED47933"/>
    <w:rsid w:val="5EDA046D"/>
    <w:rsid w:val="5F0C741C"/>
    <w:rsid w:val="5F3630E0"/>
    <w:rsid w:val="5F677827"/>
    <w:rsid w:val="5FAD49AA"/>
    <w:rsid w:val="5FE5531C"/>
    <w:rsid w:val="5FEF619A"/>
    <w:rsid w:val="5FF35295"/>
    <w:rsid w:val="603E2C7E"/>
    <w:rsid w:val="608405FA"/>
    <w:rsid w:val="60B4642F"/>
    <w:rsid w:val="60D94755"/>
    <w:rsid w:val="60DB671F"/>
    <w:rsid w:val="610874F3"/>
    <w:rsid w:val="616607B3"/>
    <w:rsid w:val="61B2747F"/>
    <w:rsid w:val="61E909C7"/>
    <w:rsid w:val="61ED6147"/>
    <w:rsid w:val="62A8747D"/>
    <w:rsid w:val="62F67840"/>
    <w:rsid w:val="630B7CA6"/>
    <w:rsid w:val="63716EC6"/>
    <w:rsid w:val="63F729DA"/>
    <w:rsid w:val="64032214"/>
    <w:rsid w:val="6406056F"/>
    <w:rsid w:val="64175CC0"/>
    <w:rsid w:val="6430419F"/>
    <w:rsid w:val="646F0A67"/>
    <w:rsid w:val="648F5856"/>
    <w:rsid w:val="64BF005E"/>
    <w:rsid w:val="654448E7"/>
    <w:rsid w:val="655F791E"/>
    <w:rsid w:val="657E1F4A"/>
    <w:rsid w:val="65B82D1A"/>
    <w:rsid w:val="660D737A"/>
    <w:rsid w:val="66895D45"/>
    <w:rsid w:val="66AA0704"/>
    <w:rsid w:val="67144738"/>
    <w:rsid w:val="67313B7E"/>
    <w:rsid w:val="673B3A73"/>
    <w:rsid w:val="6768147D"/>
    <w:rsid w:val="67960463"/>
    <w:rsid w:val="67C972D1"/>
    <w:rsid w:val="67D16185"/>
    <w:rsid w:val="687057C9"/>
    <w:rsid w:val="691B0000"/>
    <w:rsid w:val="696B3FA3"/>
    <w:rsid w:val="69C67F6C"/>
    <w:rsid w:val="69D87C9F"/>
    <w:rsid w:val="6A050368"/>
    <w:rsid w:val="6A3F1ACC"/>
    <w:rsid w:val="6A4B221F"/>
    <w:rsid w:val="6BC768EE"/>
    <w:rsid w:val="6C036E90"/>
    <w:rsid w:val="6C2B055A"/>
    <w:rsid w:val="6C481E58"/>
    <w:rsid w:val="6C6000CD"/>
    <w:rsid w:val="6C863D39"/>
    <w:rsid w:val="6C8C44CD"/>
    <w:rsid w:val="6CD26C28"/>
    <w:rsid w:val="6CFE05C7"/>
    <w:rsid w:val="6D3A2138"/>
    <w:rsid w:val="6D6D6950"/>
    <w:rsid w:val="6D7926AE"/>
    <w:rsid w:val="6D8E6923"/>
    <w:rsid w:val="6DC742B3"/>
    <w:rsid w:val="6DF2235C"/>
    <w:rsid w:val="6E267913"/>
    <w:rsid w:val="6E734213"/>
    <w:rsid w:val="6E88458D"/>
    <w:rsid w:val="6EC865CA"/>
    <w:rsid w:val="6EF56BFD"/>
    <w:rsid w:val="6F293ACA"/>
    <w:rsid w:val="6FA93712"/>
    <w:rsid w:val="6FC34F4E"/>
    <w:rsid w:val="71324139"/>
    <w:rsid w:val="714E3EA8"/>
    <w:rsid w:val="717959F6"/>
    <w:rsid w:val="71E76CD1"/>
    <w:rsid w:val="722F2786"/>
    <w:rsid w:val="72361A07"/>
    <w:rsid w:val="72DA28F8"/>
    <w:rsid w:val="72F25705"/>
    <w:rsid w:val="730768CA"/>
    <w:rsid w:val="74651B5C"/>
    <w:rsid w:val="74BF35A2"/>
    <w:rsid w:val="74E004FF"/>
    <w:rsid w:val="74E33939"/>
    <w:rsid w:val="7507768A"/>
    <w:rsid w:val="75307A7C"/>
    <w:rsid w:val="753B10E2"/>
    <w:rsid w:val="75575BE3"/>
    <w:rsid w:val="75E33C54"/>
    <w:rsid w:val="76373F9F"/>
    <w:rsid w:val="77240010"/>
    <w:rsid w:val="777C92B8"/>
    <w:rsid w:val="7782124A"/>
    <w:rsid w:val="779E1085"/>
    <w:rsid w:val="77CB0715"/>
    <w:rsid w:val="77FD7DC4"/>
    <w:rsid w:val="78B07454"/>
    <w:rsid w:val="78B2790D"/>
    <w:rsid w:val="78E44F2C"/>
    <w:rsid w:val="791B1956"/>
    <w:rsid w:val="795B5845"/>
    <w:rsid w:val="7964049E"/>
    <w:rsid w:val="79690914"/>
    <w:rsid w:val="79CB512B"/>
    <w:rsid w:val="7A1E11D9"/>
    <w:rsid w:val="7A5073DE"/>
    <w:rsid w:val="7A9D2E9E"/>
    <w:rsid w:val="7AF95CC7"/>
    <w:rsid w:val="7B9601EC"/>
    <w:rsid w:val="7BBE7CC2"/>
    <w:rsid w:val="7C387C25"/>
    <w:rsid w:val="7C4411C4"/>
    <w:rsid w:val="7C5807CC"/>
    <w:rsid w:val="7C63789C"/>
    <w:rsid w:val="7C7028A5"/>
    <w:rsid w:val="7C8B294F"/>
    <w:rsid w:val="7CD92B59"/>
    <w:rsid w:val="7CFBB2C5"/>
    <w:rsid w:val="7CFBF346"/>
    <w:rsid w:val="7D3A0587"/>
    <w:rsid w:val="7DAB7028"/>
    <w:rsid w:val="7DD67396"/>
    <w:rsid w:val="7DF764EE"/>
    <w:rsid w:val="7DFDDCE5"/>
    <w:rsid w:val="7E4B7033"/>
    <w:rsid w:val="7E7CD042"/>
    <w:rsid w:val="7F2F3A66"/>
    <w:rsid w:val="7F9B734D"/>
    <w:rsid w:val="7FB51E7A"/>
    <w:rsid w:val="7FBF2E30"/>
    <w:rsid w:val="7FCE7723"/>
    <w:rsid w:val="7FD108E2"/>
    <w:rsid w:val="8EF38E60"/>
    <w:rsid w:val="ADEEC6F8"/>
    <w:rsid w:val="B676B7F8"/>
    <w:rsid w:val="BDA9EC8C"/>
    <w:rsid w:val="BF5DA536"/>
    <w:rsid w:val="C31F28DC"/>
    <w:rsid w:val="CFF691AC"/>
    <w:rsid w:val="D8F7F32B"/>
    <w:rsid w:val="D9FB043C"/>
    <w:rsid w:val="DFED8EA8"/>
    <w:rsid w:val="EFDAB9B4"/>
    <w:rsid w:val="F7B7CD3D"/>
    <w:rsid w:val="FBFFB42D"/>
    <w:rsid w:val="FF678F6D"/>
    <w:rsid w:val="FF9F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780"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keepNext/>
      <w:keepLines/>
      <w:spacing w:before="163" w:beforeLines="50" w:after="163" w:afterLines="50"/>
      <w:ind w:firstLine="0" w:firstLineChars="0"/>
      <w:jc w:val="left"/>
      <w:outlineLvl w:val="0"/>
    </w:pPr>
    <w:rPr>
      <w:b/>
      <w:bCs/>
      <w:kern w:val="44"/>
      <w:sz w:val="32"/>
      <w:szCs w:val="48"/>
      <w:lang w:val="zh-CN"/>
    </w:rPr>
  </w:style>
  <w:style w:type="paragraph" w:styleId="3">
    <w:name w:val="heading 2"/>
    <w:basedOn w:val="1"/>
    <w:next w:val="1"/>
    <w:link w:val="34"/>
    <w:qFormat/>
    <w:uiPriority w:val="9"/>
    <w:pPr>
      <w:keepNext/>
      <w:keepLines/>
      <w:ind w:firstLine="0" w:firstLineChars="0"/>
      <w:outlineLvl w:val="1"/>
    </w:pPr>
    <w:rPr>
      <w:b/>
      <w:bCs/>
      <w:kern w:val="0"/>
      <w:szCs w:val="32"/>
    </w:rPr>
  </w:style>
  <w:style w:type="paragraph" w:styleId="4">
    <w:name w:val="heading 3"/>
    <w:basedOn w:val="1"/>
    <w:next w:val="1"/>
    <w:link w:val="35"/>
    <w:qFormat/>
    <w:uiPriority w:val="9"/>
    <w:pPr>
      <w:keepNext/>
      <w:keepLines/>
      <w:outlineLvl w:val="2"/>
    </w:pPr>
    <w:rPr>
      <w:b/>
      <w:bCs/>
      <w:kern w:val="0"/>
      <w:szCs w:val="32"/>
    </w:rPr>
  </w:style>
  <w:style w:type="paragraph" w:styleId="5">
    <w:name w:val="heading 4"/>
    <w:basedOn w:val="1"/>
    <w:next w:val="1"/>
    <w:link w:val="36"/>
    <w:qFormat/>
    <w:uiPriority w:val="9"/>
    <w:pPr>
      <w:keepNext/>
      <w:keepLines/>
      <w:ind w:left="100" w:leftChars="100"/>
      <w:outlineLvl w:val="3"/>
    </w:pPr>
    <w:rPr>
      <w:b/>
      <w:bCs/>
      <w:kern w:val="0"/>
      <w:szCs w:val="28"/>
    </w:rPr>
  </w:style>
  <w:style w:type="paragraph" w:styleId="6">
    <w:name w:val="heading 5"/>
    <w:basedOn w:val="1"/>
    <w:next w:val="1"/>
    <w:link w:val="37"/>
    <w:qFormat/>
    <w:uiPriority w:val="9"/>
    <w:pPr>
      <w:keepNext/>
      <w:keepLines/>
      <w:spacing w:before="280" w:after="290" w:line="376" w:lineRule="auto"/>
      <w:jc w:val="center"/>
      <w:outlineLvl w:val="4"/>
    </w:pPr>
    <w:rPr>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00"/>
      <w:jc w:val="left"/>
    </w:pPr>
    <w:rPr>
      <w:rFonts w:ascii="Calibri" w:hAnsi="Calibri"/>
      <w:kern w:val="0"/>
      <w:sz w:val="18"/>
      <w:szCs w:val="18"/>
    </w:rPr>
  </w:style>
  <w:style w:type="paragraph" w:styleId="8">
    <w:name w:val="caption"/>
    <w:basedOn w:val="1"/>
    <w:next w:val="1"/>
    <w:qFormat/>
    <w:uiPriority w:val="35"/>
    <w:rPr>
      <w:rFonts w:ascii="Calibri Light" w:hAnsi="Calibri Light" w:eastAsia="黑体"/>
      <w:sz w:val="20"/>
      <w:szCs w:val="20"/>
    </w:rPr>
  </w:style>
  <w:style w:type="paragraph" w:styleId="9">
    <w:name w:val="Document Map"/>
    <w:basedOn w:val="1"/>
    <w:link w:val="38"/>
    <w:unhideWhenUsed/>
    <w:qFormat/>
    <w:uiPriority w:val="0"/>
    <w:rPr>
      <w:rFonts w:ascii="宋体"/>
      <w:kern w:val="0"/>
      <w:sz w:val="18"/>
      <w:szCs w:val="18"/>
    </w:rPr>
  </w:style>
  <w:style w:type="paragraph" w:styleId="10">
    <w:name w:val="annotation text"/>
    <w:basedOn w:val="1"/>
    <w:link w:val="39"/>
    <w:qFormat/>
    <w:uiPriority w:val="99"/>
    <w:pPr>
      <w:jc w:val="left"/>
    </w:pPr>
    <w:rPr>
      <w:kern w:val="0"/>
      <w:sz w:val="20"/>
    </w:rPr>
  </w:style>
  <w:style w:type="paragraph" w:styleId="11">
    <w:name w:val="toc 5"/>
    <w:basedOn w:val="1"/>
    <w:next w:val="1"/>
    <w:unhideWhenUsed/>
    <w:qFormat/>
    <w:uiPriority w:val="39"/>
    <w:pPr>
      <w:ind w:left="800"/>
      <w:jc w:val="left"/>
    </w:pPr>
    <w:rPr>
      <w:rFonts w:ascii="Calibri" w:hAnsi="Calibri"/>
      <w:kern w:val="0"/>
      <w:sz w:val="18"/>
      <w:szCs w:val="18"/>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ind w:left="1400"/>
      <w:jc w:val="left"/>
    </w:pPr>
    <w:rPr>
      <w:rFonts w:ascii="Calibri" w:hAnsi="Calibri"/>
      <w:kern w:val="0"/>
      <w:sz w:val="18"/>
      <w:szCs w:val="18"/>
    </w:rPr>
  </w:style>
  <w:style w:type="paragraph" w:styleId="14">
    <w:name w:val="Date"/>
    <w:basedOn w:val="1"/>
    <w:next w:val="1"/>
    <w:link w:val="40"/>
    <w:unhideWhenUsed/>
    <w:qFormat/>
    <w:uiPriority w:val="99"/>
    <w:pPr>
      <w:ind w:left="100" w:leftChars="2500"/>
    </w:pPr>
    <w:rPr>
      <w:kern w:val="0"/>
      <w:sz w:val="20"/>
      <w:szCs w:val="20"/>
    </w:rPr>
  </w:style>
  <w:style w:type="paragraph" w:styleId="15">
    <w:name w:val="Balloon Text"/>
    <w:basedOn w:val="1"/>
    <w:link w:val="41"/>
    <w:unhideWhenUsed/>
    <w:qFormat/>
    <w:uiPriority w:val="99"/>
    <w:rPr>
      <w:kern w:val="0"/>
      <w:sz w:val="18"/>
      <w:szCs w:val="18"/>
    </w:rPr>
  </w:style>
  <w:style w:type="paragraph" w:styleId="16">
    <w:name w:val="footer"/>
    <w:basedOn w:val="1"/>
    <w:link w:val="42"/>
    <w:unhideWhenUsed/>
    <w:qFormat/>
    <w:uiPriority w:val="99"/>
    <w:pPr>
      <w:tabs>
        <w:tab w:val="center" w:pos="4153"/>
        <w:tab w:val="right" w:pos="8306"/>
      </w:tabs>
      <w:snapToGrid w:val="0"/>
      <w:ind w:left="0" w:firstLine="0" w:firstLineChars="0"/>
      <w:jc w:val="left"/>
    </w:pPr>
    <w:rPr>
      <w:kern w:val="0"/>
    </w:rPr>
  </w:style>
  <w:style w:type="paragraph" w:styleId="17">
    <w:name w:val="header"/>
    <w:basedOn w:val="1"/>
    <w:link w:val="4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tabs>
        <w:tab w:val="right" w:leader="dot" w:pos="8296"/>
      </w:tabs>
    </w:pPr>
  </w:style>
  <w:style w:type="paragraph" w:styleId="19">
    <w:name w:val="toc 4"/>
    <w:basedOn w:val="1"/>
    <w:next w:val="1"/>
    <w:unhideWhenUsed/>
    <w:qFormat/>
    <w:uiPriority w:val="39"/>
    <w:pPr>
      <w:ind w:left="600"/>
      <w:jc w:val="left"/>
    </w:pPr>
    <w:rPr>
      <w:rFonts w:ascii="Calibri" w:hAnsi="Calibri"/>
      <w:kern w:val="0"/>
      <w:sz w:val="18"/>
      <w:szCs w:val="18"/>
    </w:rPr>
  </w:style>
  <w:style w:type="paragraph" w:styleId="20">
    <w:name w:val="toc 6"/>
    <w:basedOn w:val="1"/>
    <w:next w:val="1"/>
    <w:unhideWhenUsed/>
    <w:qFormat/>
    <w:uiPriority w:val="39"/>
    <w:pPr>
      <w:ind w:left="1000"/>
      <w:jc w:val="left"/>
    </w:pPr>
    <w:rPr>
      <w:rFonts w:ascii="Calibri" w:hAnsi="Calibri"/>
      <w:kern w:val="0"/>
      <w:sz w:val="18"/>
      <w:szCs w:val="18"/>
    </w:rPr>
  </w:style>
  <w:style w:type="paragraph" w:styleId="21">
    <w:name w:val="toc 2"/>
    <w:basedOn w:val="1"/>
    <w:next w:val="1"/>
    <w:unhideWhenUsed/>
    <w:qFormat/>
    <w:uiPriority w:val="39"/>
    <w:pPr>
      <w:tabs>
        <w:tab w:val="right" w:leader="dot" w:pos="8302"/>
      </w:tabs>
      <w:ind w:left="480" w:leftChars="200"/>
    </w:pPr>
  </w:style>
  <w:style w:type="paragraph" w:styleId="22">
    <w:name w:val="toc 9"/>
    <w:basedOn w:val="1"/>
    <w:next w:val="1"/>
    <w:unhideWhenUsed/>
    <w:qFormat/>
    <w:uiPriority w:val="39"/>
    <w:pPr>
      <w:ind w:left="1600"/>
      <w:jc w:val="left"/>
    </w:pPr>
    <w:rPr>
      <w:rFonts w:ascii="Calibri" w:hAnsi="Calibri"/>
      <w:kern w:val="0"/>
      <w:sz w:val="18"/>
      <w:szCs w:val="18"/>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24">
    <w:name w:val="annotation subject"/>
    <w:basedOn w:val="10"/>
    <w:next w:val="10"/>
    <w:link w:val="44"/>
    <w:unhideWhenUsed/>
    <w:qFormat/>
    <w:uiPriority w:val="99"/>
    <w:rPr>
      <w:b/>
      <w:bCs/>
      <w:kern w:val="2"/>
      <w:sz w:val="24"/>
    </w:rPr>
  </w:style>
  <w:style w:type="paragraph" w:styleId="25">
    <w:name w:val="Body Text First Indent"/>
    <w:basedOn w:val="1"/>
    <w:qFormat/>
    <w:uiPriority w:val="0"/>
    <w:pPr>
      <w:ind w:firstLine="283" w:firstLineChars="101"/>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qFormat/>
    <w:uiPriority w:val="0"/>
    <w:rPr>
      <w:rFonts w:ascii="Times New Roman" w:hAnsi="Times New Roman" w:eastAsia="宋体"/>
      <w:sz w:val="18"/>
    </w:rPr>
  </w:style>
  <w:style w:type="character" w:styleId="30">
    <w:name w:val="Emphasis"/>
    <w:qFormat/>
    <w:uiPriority w:val="20"/>
    <w:rPr>
      <w:i/>
      <w:iCs/>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customStyle="1" w:styleId="33">
    <w:name w:val="标题 1 Char"/>
    <w:link w:val="2"/>
    <w:qFormat/>
    <w:uiPriority w:val="0"/>
    <w:rPr>
      <w:b/>
      <w:bCs/>
      <w:kern w:val="44"/>
      <w:sz w:val="32"/>
      <w:szCs w:val="48"/>
      <w:lang w:val="zh-CN"/>
    </w:rPr>
  </w:style>
  <w:style w:type="character" w:customStyle="1" w:styleId="34">
    <w:name w:val="标题 2 Char"/>
    <w:link w:val="3"/>
    <w:qFormat/>
    <w:uiPriority w:val="9"/>
    <w:rPr>
      <w:b/>
      <w:bCs/>
      <w:sz w:val="24"/>
      <w:szCs w:val="32"/>
    </w:rPr>
  </w:style>
  <w:style w:type="character" w:customStyle="1" w:styleId="35">
    <w:name w:val="标题 3 Char"/>
    <w:link w:val="4"/>
    <w:qFormat/>
    <w:uiPriority w:val="9"/>
    <w:rPr>
      <w:rFonts w:ascii="Times New Roman" w:hAnsi="Times New Roman"/>
      <w:b/>
      <w:bCs/>
      <w:sz w:val="24"/>
      <w:szCs w:val="32"/>
    </w:rPr>
  </w:style>
  <w:style w:type="character" w:customStyle="1" w:styleId="36">
    <w:name w:val="标题 4 Char"/>
    <w:link w:val="5"/>
    <w:qFormat/>
    <w:uiPriority w:val="9"/>
    <w:rPr>
      <w:rFonts w:ascii="Times New Roman" w:hAnsi="Times New Roman" w:eastAsia="宋体" w:cs="Times New Roman"/>
      <w:b/>
      <w:bCs/>
      <w:kern w:val="0"/>
      <w:sz w:val="24"/>
      <w:szCs w:val="28"/>
    </w:rPr>
  </w:style>
  <w:style w:type="character" w:customStyle="1" w:styleId="37">
    <w:name w:val="标题 5 Char"/>
    <w:link w:val="6"/>
    <w:semiHidden/>
    <w:qFormat/>
    <w:uiPriority w:val="9"/>
    <w:rPr>
      <w:rFonts w:ascii="Times New Roman" w:hAnsi="Times New Roman"/>
      <w:b/>
      <w:bCs/>
      <w:kern w:val="2"/>
      <w:sz w:val="21"/>
      <w:szCs w:val="28"/>
    </w:rPr>
  </w:style>
  <w:style w:type="character" w:customStyle="1" w:styleId="38">
    <w:name w:val="文档结构图 Char"/>
    <w:link w:val="9"/>
    <w:semiHidden/>
    <w:qFormat/>
    <w:uiPriority w:val="0"/>
    <w:rPr>
      <w:rFonts w:ascii="宋体" w:hAnsi="Times New Roman" w:eastAsia="宋体" w:cs="Times New Roman"/>
      <w:sz w:val="18"/>
      <w:szCs w:val="18"/>
    </w:rPr>
  </w:style>
  <w:style w:type="character" w:customStyle="1" w:styleId="39">
    <w:name w:val="批注文字 Char"/>
    <w:link w:val="10"/>
    <w:qFormat/>
    <w:uiPriority w:val="99"/>
    <w:rPr>
      <w:rFonts w:ascii="Times New Roman" w:hAnsi="Times New Roman" w:eastAsia="宋体" w:cs="Times New Roman"/>
      <w:szCs w:val="24"/>
    </w:rPr>
  </w:style>
  <w:style w:type="character" w:customStyle="1" w:styleId="40">
    <w:name w:val="日期 Char"/>
    <w:link w:val="14"/>
    <w:semiHidden/>
    <w:qFormat/>
    <w:uiPriority w:val="99"/>
    <w:rPr>
      <w:rFonts w:ascii="Times New Roman" w:hAnsi="Times New Roman" w:eastAsia="宋体" w:cs="Times New Roman"/>
      <w:kern w:val="0"/>
      <w:sz w:val="20"/>
      <w:szCs w:val="20"/>
    </w:rPr>
  </w:style>
  <w:style w:type="character" w:customStyle="1" w:styleId="41">
    <w:name w:val="批注框文本 Char"/>
    <w:link w:val="15"/>
    <w:semiHidden/>
    <w:qFormat/>
    <w:uiPriority w:val="99"/>
    <w:rPr>
      <w:rFonts w:ascii="Times New Roman" w:hAnsi="Times New Roman" w:eastAsia="宋体" w:cs="Times New Roman"/>
      <w:sz w:val="18"/>
      <w:szCs w:val="18"/>
    </w:rPr>
  </w:style>
  <w:style w:type="character" w:customStyle="1" w:styleId="42">
    <w:name w:val="页脚 Char"/>
    <w:link w:val="16"/>
    <w:qFormat/>
    <w:uiPriority w:val="99"/>
    <w:rPr>
      <w:sz w:val="24"/>
      <w:szCs w:val="24"/>
    </w:rPr>
  </w:style>
  <w:style w:type="character" w:customStyle="1" w:styleId="43">
    <w:name w:val="页眉 Char"/>
    <w:link w:val="17"/>
    <w:qFormat/>
    <w:uiPriority w:val="99"/>
    <w:rPr>
      <w:rFonts w:ascii="Times New Roman" w:hAnsi="Times New Roman" w:eastAsia="宋体" w:cs="Times New Roman"/>
      <w:sz w:val="18"/>
      <w:szCs w:val="18"/>
    </w:rPr>
  </w:style>
  <w:style w:type="character" w:customStyle="1" w:styleId="44">
    <w:name w:val="批注主题 Char"/>
    <w:link w:val="24"/>
    <w:semiHidden/>
    <w:qFormat/>
    <w:uiPriority w:val="99"/>
    <w:rPr>
      <w:rFonts w:ascii="Times New Roman" w:hAnsi="Times New Roman" w:eastAsia="宋体" w:cs="Times New Roman"/>
      <w:b/>
      <w:bCs/>
      <w:kern w:val="2"/>
      <w:sz w:val="24"/>
      <w:szCs w:val="24"/>
    </w:rPr>
  </w:style>
  <w:style w:type="character" w:customStyle="1" w:styleId="45">
    <w:name w:val="不明显强调1"/>
    <w:qFormat/>
    <w:uiPriority w:val="19"/>
    <w:rPr>
      <w:rFonts w:eastAsia="黑体"/>
      <w:b/>
      <w:iCs/>
      <w:color w:val="auto"/>
      <w:sz w:val="21"/>
    </w:rPr>
  </w:style>
  <w:style w:type="character" w:customStyle="1" w:styleId="46">
    <w:name w:val="billhead"/>
    <w:qFormat/>
    <w:uiPriority w:val="0"/>
    <w:rPr>
      <w:rFonts w:hint="default" w:ascii="Times New Roman" w:hAnsi="Times New Roman" w:cs="Times New Roman"/>
      <w:b/>
      <w:bCs/>
      <w:smallCaps/>
    </w:rPr>
  </w:style>
  <w:style w:type="character" w:customStyle="1" w:styleId="47">
    <w:name w:val="段 Char"/>
    <w:link w:val="48"/>
    <w:qFormat/>
    <w:uiPriority w:val="0"/>
    <w:rPr>
      <w:rFonts w:ascii="宋体" w:hAnsi="Times New Roman"/>
      <w:lang w:val="en-US" w:eastAsia="zh-CN" w:bidi="ar-SA"/>
    </w:rPr>
  </w:style>
  <w:style w:type="paragraph" w:customStyle="1" w:styleId="48">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49">
    <w:name w:val="文档结构图 Char1"/>
    <w:semiHidden/>
    <w:qFormat/>
    <w:uiPriority w:val="99"/>
    <w:rPr>
      <w:rFonts w:ascii="宋体"/>
      <w:sz w:val="18"/>
      <w:szCs w:val="18"/>
    </w:rPr>
  </w:style>
  <w:style w:type="character" w:customStyle="1" w:styleId="50">
    <w:name w:val="long_text"/>
    <w:qFormat/>
    <w:uiPriority w:val="0"/>
  </w:style>
  <w:style w:type="character" w:customStyle="1" w:styleId="51">
    <w:name w:val="段 Char Char"/>
    <w:qFormat/>
    <w:uiPriority w:val="0"/>
    <w:rPr>
      <w:rFonts w:ascii="宋体"/>
      <w:sz w:val="21"/>
      <w:lang w:val="en-US" w:eastAsia="zh-CN" w:bidi="ar-SA"/>
    </w:rPr>
  </w:style>
  <w:style w:type="character" w:customStyle="1" w:styleId="52">
    <w:name w:val="无间隔 Char"/>
    <w:link w:val="53"/>
    <w:qFormat/>
    <w:uiPriority w:val="1"/>
    <w:rPr>
      <w:rFonts w:ascii="宋体" w:hAnsi="Times New Roman"/>
      <w:sz w:val="18"/>
      <w:szCs w:val="24"/>
    </w:rPr>
  </w:style>
  <w:style w:type="paragraph" w:styleId="53">
    <w:name w:val="No Spacing"/>
    <w:basedOn w:val="1"/>
    <w:link w:val="52"/>
    <w:qFormat/>
    <w:uiPriority w:val="1"/>
    <w:pPr>
      <w:spacing w:line="240" w:lineRule="auto"/>
      <w:ind w:firstLine="0" w:firstLineChars="0"/>
    </w:pPr>
    <w:rPr>
      <w:rFonts w:ascii="宋体"/>
      <w:kern w:val="0"/>
      <w:sz w:val="18"/>
    </w:rPr>
  </w:style>
  <w:style w:type="paragraph" w:customStyle="1" w:styleId="54">
    <w:name w:val="封面标准英文名称"/>
    <w:basedOn w:val="1"/>
    <w:qFormat/>
    <w:uiPriority w:val="0"/>
    <w:pPr>
      <w:spacing w:before="370" w:line="400" w:lineRule="exact"/>
      <w:jc w:val="center"/>
    </w:pPr>
    <w:rPr>
      <w:rFonts w:eastAsia="黑体"/>
      <w:kern w:val="0"/>
      <w:sz w:val="28"/>
      <w:szCs w:val="28"/>
    </w:rPr>
  </w:style>
  <w:style w:type="paragraph" w:customStyle="1" w:styleId="55">
    <w:name w:val="二级条标题"/>
    <w:basedOn w:val="56"/>
    <w:next w:val="48"/>
    <w:qFormat/>
    <w:uiPriority w:val="0"/>
    <w:pPr>
      <w:numPr>
        <w:ilvl w:val="2"/>
      </w:numPr>
      <w:spacing w:before="50" w:after="50"/>
      <w:outlineLvl w:val="3"/>
    </w:pPr>
  </w:style>
  <w:style w:type="paragraph" w:customStyle="1" w:styleId="56">
    <w:name w:val="一级条标题"/>
    <w:next w:val="4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7">
    <w:name w:val="四级条标题"/>
    <w:basedOn w:val="1"/>
    <w:next w:val="48"/>
    <w:qFormat/>
    <w:uiPriority w:val="0"/>
    <w:pPr>
      <w:widowControl/>
      <w:numPr>
        <w:ilvl w:val="4"/>
        <w:numId w:val="1"/>
      </w:numPr>
      <w:spacing w:beforeLines="50" w:afterLines="50"/>
      <w:jc w:val="left"/>
      <w:outlineLvl w:val="5"/>
    </w:pPr>
    <w:rPr>
      <w:rFonts w:ascii="黑体" w:eastAsia="黑体"/>
      <w:kern w:val="0"/>
      <w:szCs w:val="21"/>
    </w:rPr>
  </w:style>
  <w:style w:type="paragraph" w:customStyle="1" w:styleId="58">
    <w:name w:val="正文表标题"/>
    <w:next w:val="48"/>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styleId="59">
    <w:name w:val="List Paragraph"/>
    <w:basedOn w:val="1"/>
    <w:qFormat/>
    <w:uiPriority w:val="34"/>
    <w:pPr>
      <w:ind w:firstLine="420"/>
    </w:pPr>
  </w:style>
  <w:style w:type="paragraph" w:customStyle="1" w:styleId="60">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61">
    <w:name w:val="章标题"/>
    <w:next w:val="4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三级条标题"/>
    <w:basedOn w:val="55"/>
    <w:next w:val="48"/>
    <w:qFormat/>
    <w:uiPriority w:val="0"/>
    <w:pPr>
      <w:numPr>
        <w:ilvl w:val="0"/>
        <w:numId w:val="0"/>
      </w:numPr>
      <w:outlineLvl w:val="4"/>
    </w:pPr>
  </w:style>
  <w:style w:type="paragraph" w:customStyle="1" w:styleId="63">
    <w:name w:val="文档结构图1"/>
    <w:basedOn w:val="1"/>
    <w:qFormat/>
    <w:uiPriority w:val="0"/>
    <w:rPr>
      <w:rFonts w:ascii="宋体"/>
      <w:kern w:val="0"/>
      <w:sz w:val="18"/>
      <w:szCs w:val="18"/>
    </w:rPr>
  </w:style>
  <w:style w:type="paragraph" w:customStyle="1" w:styleId="64">
    <w:name w:val="TOC 标题1"/>
    <w:basedOn w:val="2"/>
    <w:next w:val="1"/>
    <w:qFormat/>
    <w:uiPriority w:val="39"/>
    <w:pPr>
      <w:widowControl/>
      <w:spacing w:beforeLines="0" w:afterLines="0" w:line="276" w:lineRule="auto"/>
      <w:outlineLvl w:val="9"/>
    </w:pPr>
    <w:rPr>
      <w:rFonts w:ascii="Cambria" w:hAnsi="Cambria"/>
      <w:color w:val="365F91"/>
      <w:kern w:val="0"/>
      <w:sz w:val="28"/>
      <w:szCs w:val="28"/>
    </w:rPr>
  </w:style>
  <w:style w:type="paragraph" w:customStyle="1" w:styleId="65">
    <w:name w:val="列出段落1"/>
    <w:basedOn w:val="1"/>
    <w:qFormat/>
    <w:uiPriority w:val="0"/>
    <w:pPr>
      <w:ind w:firstLine="420"/>
    </w:pPr>
    <w:rPr>
      <w:kern w:val="0"/>
      <w:sz w:val="20"/>
      <w:szCs w:val="20"/>
    </w:rPr>
  </w:style>
  <w:style w:type="paragraph" w:customStyle="1" w:styleId="66">
    <w:name w:val="五级条标题"/>
    <w:basedOn w:val="57"/>
    <w:next w:val="48"/>
    <w:qFormat/>
    <w:uiPriority w:val="0"/>
    <w:pPr>
      <w:numPr>
        <w:ilvl w:val="5"/>
      </w:numPr>
      <w:outlineLvl w:val="6"/>
    </w:pPr>
  </w:style>
  <w:style w:type="paragraph" w:customStyle="1" w:styleId="67">
    <w:name w:val="Char"/>
    <w:basedOn w:val="9"/>
    <w:qFormat/>
    <w:uiPriority w:val="0"/>
    <w:pPr>
      <w:shd w:val="clear" w:color="auto" w:fill="000080"/>
      <w:spacing w:line="240" w:lineRule="auto"/>
      <w:ind w:firstLine="0" w:firstLineChars="0"/>
    </w:pPr>
    <w:rPr>
      <w:rFonts w:ascii="Times New Roman"/>
      <w:kern w:val="2"/>
      <w:sz w:val="21"/>
      <w:szCs w:val="24"/>
    </w:rPr>
  </w:style>
  <w:style w:type="paragraph" w:customStyle="1" w:styleId="68">
    <w:name w:val="列表段落1"/>
    <w:basedOn w:val="1"/>
    <w:qFormat/>
    <w:uiPriority w:val="34"/>
    <w:pPr>
      <w:spacing w:line="240" w:lineRule="auto"/>
      <w:ind w:firstLine="420"/>
    </w:pPr>
    <w:rPr>
      <w:rFonts w:eastAsia="仿宋_GB2312"/>
      <w:sz w:val="32"/>
    </w:rPr>
  </w:style>
  <w:style w:type="paragraph" w:customStyle="1" w:styleId="69">
    <w:name w:val="图表脚注说明"/>
    <w:basedOn w:val="1"/>
    <w:qFormat/>
    <w:uiPriority w:val="0"/>
    <w:pPr>
      <w:numPr>
        <w:ilvl w:val="0"/>
        <w:numId w:val="3"/>
      </w:numPr>
      <w:spacing w:line="240" w:lineRule="auto"/>
      <w:ind w:firstLine="0" w:firstLineChars="0"/>
    </w:pPr>
    <w:rPr>
      <w:rFonts w:ascii="宋体"/>
      <w:sz w:val="18"/>
      <w:szCs w:val="18"/>
    </w:rPr>
  </w:style>
  <w:style w:type="paragraph" w:customStyle="1" w:styleId="70">
    <w:name w:val="修订1"/>
    <w:hidden/>
    <w:unhideWhenUsed/>
    <w:qFormat/>
    <w:uiPriority w:val="99"/>
    <w:rPr>
      <w:rFonts w:ascii="Times New Roman" w:hAnsi="Times New Roman" w:eastAsia="宋体" w:cs="Times New Roman"/>
      <w:kern w:val="2"/>
      <w:sz w:val="24"/>
      <w:szCs w:val="24"/>
      <w:lang w:val="en-US" w:eastAsia="zh-CN" w:bidi="ar-SA"/>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修订2"/>
    <w:hidden/>
    <w:unhideWhenUsed/>
    <w:qFormat/>
    <w:uiPriority w:val="99"/>
    <w:rPr>
      <w:rFonts w:ascii="Times New Roman" w:hAnsi="Times New Roman" w:eastAsia="宋体" w:cs="Times New Roman"/>
      <w:kern w:val="2"/>
      <w:sz w:val="24"/>
      <w:szCs w:val="24"/>
      <w:lang w:val="en-US" w:eastAsia="zh-CN" w:bidi="ar-SA"/>
    </w:rPr>
  </w:style>
  <w:style w:type="paragraph" w:customStyle="1" w:styleId="74">
    <w:name w:val="正文公式编号制表符"/>
    <w:basedOn w:val="48"/>
    <w:next w:val="48"/>
    <w:qFormat/>
    <w:uiPriority w:val="0"/>
    <w:pPr>
      <w:tabs>
        <w:tab w:val="right" w:pos="8400"/>
        <w:tab w:val="clear" w:pos="9298"/>
      </w:tabs>
      <w:ind w:firstLine="0" w:firstLineChars="0"/>
      <w:jc w:val="left"/>
    </w:pPr>
    <w:rPr>
      <w:rFonts w:ascii="Cambria Math" w:hAnsi="Cambria Math" w:cs="宋体"/>
      <w:iCs/>
      <w:color w:val="000000" w:themeColor="text1"/>
      <w:sz w:val="21"/>
      <w:shd w:val="clear" w:color="auto" w:fill="FFFFFF"/>
      <w14:textFill>
        <w14:solidFill>
          <w14:schemeClr w14:val="tx1"/>
        </w14:solidFill>
      </w14:textFill>
    </w:rPr>
  </w:style>
  <w:style w:type="paragraph" w:customStyle="1" w:styleId="75">
    <w:name w:val="修订3"/>
    <w:hidden/>
    <w:unhideWhenUsed/>
    <w:qFormat/>
    <w:uiPriority w:val="99"/>
    <w:rPr>
      <w:rFonts w:ascii="Times New Roman" w:hAnsi="Times New Roman" w:eastAsia="宋体" w:cs="Times New Roman"/>
      <w:kern w:val="2"/>
      <w:sz w:val="24"/>
      <w:szCs w:val="24"/>
      <w:lang w:val="en-US" w:eastAsia="zh-CN" w:bidi="ar-SA"/>
    </w:rPr>
  </w:style>
  <w:style w:type="table" w:customStyle="1" w:styleId="76">
    <w:name w:val="清单表 2 - 着色 31"/>
    <w:basedOn w:val="26"/>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77">
    <w:name w:val="font21"/>
    <w:basedOn w:val="28"/>
    <w:qFormat/>
    <w:uiPriority w:val="0"/>
    <w:rPr>
      <w:rFonts w:hint="eastAsia" w:ascii="宋体" w:hAnsi="宋体" w:eastAsia="宋体" w:cs="宋体"/>
      <w:color w:val="000000"/>
      <w:sz w:val="20"/>
      <w:szCs w:val="20"/>
      <w:u w:val="none"/>
    </w:rPr>
  </w:style>
  <w:style w:type="character" w:customStyle="1" w:styleId="78">
    <w:name w:val="font11"/>
    <w:basedOn w:val="28"/>
    <w:qFormat/>
    <w:uiPriority w:val="0"/>
    <w:rPr>
      <w:rFonts w:hint="default" w:ascii="Times New Roman" w:hAnsi="Times New Roman" w:cs="Times New Roman"/>
      <w:color w:val="00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microsoft.com/office/2006/relationships/keyMapCustomizations" Target="customizations.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0.png"/><Relationship Id="rId25" Type="http://schemas.openxmlformats.org/officeDocument/2006/relationships/image" Target="media/image9.jpe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Corporation</Company>
  <Pages>19</Pages>
  <Words>9039</Words>
  <Characters>9756</Characters>
  <Lines>72</Lines>
  <Paragraphs>20</Paragraphs>
  <TotalTime>2</TotalTime>
  <ScaleCrop>false</ScaleCrop>
  <LinksUpToDate>false</LinksUpToDate>
  <CharactersWithSpaces>10015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2024-04-16T04:04:00Z</dcterms:created>
  <dc:creator>HP</dc:creator>
  <cp:lastModifiedBy>何婷婷</cp:lastModifiedBy>
  <cp:lastPrinted>2021-11-12T03:04:00Z</cp:lastPrinted>
  <dcterms:modified xsi:type="dcterms:W3CDTF">2025-07-21T18:12:13Z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51A80C251FCDE5A06E0B6E68AA6200C0</vt:lpwstr>
  </property>
  <property fmtid="{D5CDD505-2E9C-101B-9397-08002B2CF9AE}" pid="4" name="KSOTemplateDocerSaveRecord">
    <vt:lpwstr>eyJoZGlkIjoiZWQ0NzY3ZjRmNTM5NWUwNjRmZjRhN2Y1ZWJlNmMyNjAiLCJ1c2VySWQiOiIxNTM2MjA1MjQ3In0=</vt:lpwstr>
  </property>
</Properties>
</file>