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0" w:beforeAutospacing="0" w:after="0" w:afterAutospacing="0"/>
        <w:jc w:val="center"/>
        <w:rPr>
          <w:rFonts w:hint="eastAsia" w:ascii="仿宋" w:hAnsi="仿宋" w:eastAsia="仿宋_GB2312" w:cs="仿宋"/>
          <w:sz w:val="30"/>
          <w:szCs w:val="30"/>
        </w:rPr>
      </w:pPr>
    </w:p>
    <w:p>
      <w:pPr>
        <w:pStyle w:val="11"/>
        <w:widowControl/>
        <w:spacing w:before="0" w:beforeAutospacing="0" w:after="0" w:afterAutospacing="0"/>
        <w:jc w:val="center"/>
        <w:rPr>
          <w:rFonts w:hint="eastAsia" w:ascii="仿宋" w:hAnsi="仿宋" w:eastAsia="仿宋_GB2312" w:cs="仿宋"/>
          <w:sz w:val="30"/>
          <w:szCs w:val="30"/>
        </w:rPr>
      </w:pPr>
    </w:p>
    <w:p>
      <w:pPr>
        <w:pStyle w:val="11"/>
        <w:widowControl/>
        <w:spacing w:before="0" w:beforeAutospacing="0" w:after="0" w:afterAutospacing="0"/>
        <w:jc w:val="center"/>
        <w:rPr>
          <w:rFonts w:hint="eastAsia" w:ascii="仿宋" w:hAnsi="仿宋" w:eastAsia="仿宋_GB2312" w:cs="仿宋"/>
          <w:sz w:val="30"/>
          <w:szCs w:val="30"/>
        </w:rPr>
      </w:pPr>
      <w:bookmarkStart w:id="207" w:name="_GoBack"/>
      <w:bookmarkEnd w:id="207"/>
    </w:p>
    <w:p>
      <w:pPr>
        <w:jc w:val="center"/>
        <w:rPr>
          <w:rFonts w:hint="eastAsia" w:ascii="方正小标宋简体" w:hAnsi="方正小标宋简体" w:eastAsia="方正小标宋简体" w:cs="方正小标宋简体"/>
          <w:sz w:val="44"/>
          <w:szCs w:val="44"/>
          <w:highlight w:val="none"/>
        </w:rPr>
      </w:pPr>
      <w:r>
        <w:rPr>
          <w:rFonts w:hint="default" w:ascii="方正小标宋简体" w:hAnsi="方正小标宋简体" w:eastAsia="方正小标宋简体" w:cs="方正小标宋简体"/>
          <w:sz w:val="44"/>
          <w:szCs w:val="44"/>
          <w:highlight w:val="none"/>
          <w:lang w:val="en-US"/>
        </w:rPr>
        <w:t>北京市</w:t>
      </w:r>
      <w:r>
        <w:rPr>
          <w:rFonts w:hint="eastAsia" w:ascii="方正小标宋简体" w:hAnsi="方正小标宋简体" w:eastAsia="方正小标宋简体" w:cs="方正小标宋简体"/>
          <w:sz w:val="44"/>
          <w:szCs w:val="44"/>
          <w:highlight w:val="none"/>
        </w:rPr>
        <w:t>地方标准</w:t>
      </w:r>
      <w:r>
        <w:rPr>
          <w:rFonts w:hint="eastAsia" w:ascii="方正小标宋简体" w:hAnsi="方正小标宋简体" w:eastAsia="方正小标宋简体" w:cs="方正小标宋简体"/>
          <w:sz w:val="44"/>
          <w:szCs w:val="44"/>
        </w:rPr>
        <w:t>编制说明</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《碳普惠项目减排量核算技术规范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氢燃料电池汽车</w:t>
      </w:r>
      <w:r>
        <w:rPr>
          <w:rFonts w:hint="eastAsia" w:ascii="方正小标宋简体" w:hAnsi="方正小标宋简体" w:eastAsia="方正小标宋简体" w:cs="方正小标宋简体"/>
          <w:color w:val="000000"/>
          <w:kern w:val="0"/>
          <w:sz w:val="44"/>
          <w:szCs w:val="44"/>
          <w:lang w:bidi="ar"/>
        </w:rPr>
        <w:t>（征求意见稿）</w:t>
      </w:r>
      <w:r>
        <w:rPr>
          <w:rFonts w:hint="eastAsia" w:ascii="方正小标宋简体" w:hAnsi="方正小标宋简体" w:eastAsia="方正小标宋简体" w:cs="方正小标宋简体"/>
          <w:sz w:val="44"/>
          <w:szCs w:val="44"/>
        </w:rPr>
        <w:t>》</w:t>
      </w:r>
    </w:p>
    <w:p>
      <w:pPr>
        <w:widowControl/>
        <w:jc w:val="center"/>
        <w:rPr>
          <w:rFonts w:hint="eastAsia" w:ascii="黑体" w:hAnsi="黑体" w:eastAsia="仿宋_GB2312" w:cs="黑体"/>
          <w:color w:val="000000"/>
          <w:kern w:val="0"/>
          <w:sz w:val="32"/>
          <w:szCs w:val="32"/>
          <w:lang w:bidi="ar"/>
        </w:rPr>
      </w:pPr>
    </w:p>
    <w:p>
      <w:pPr>
        <w:widowControl/>
        <w:jc w:val="center"/>
        <w:rPr>
          <w:rFonts w:hint="eastAsia" w:ascii="黑体" w:hAnsi="黑体" w:eastAsia="黑体" w:cs="黑体"/>
          <w:color w:val="000000"/>
          <w:kern w:val="0"/>
          <w:sz w:val="32"/>
          <w:szCs w:val="32"/>
          <w:lang w:bidi="ar"/>
        </w:rPr>
      </w:pPr>
    </w:p>
    <w:p>
      <w:pPr>
        <w:widowControl/>
        <w:jc w:val="center"/>
        <w:rPr>
          <w:rFonts w:hint="eastAsia" w:ascii="方正小标宋_GBK" w:hAnsi="方正小标宋_GBK" w:eastAsia="仿宋_GB2312" w:cs="方正小标宋_GBK"/>
          <w:color w:val="000000"/>
          <w:kern w:val="0"/>
          <w:sz w:val="44"/>
          <w:szCs w:val="44"/>
          <w:lang w:bidi="ar"/>
        </w:rPr>
      </w:pPr>
    </w:p>
    <w:p>
      <w:pPr>
        <w:widowControl/>
        <w:jc w:val="center"/>
        <w:rPr>
          <w:rFonts w:hint="eastAsia" w:ascii="方正小标宋_GBK" w:hAnsi="方正小标宋_GBK" w:eastAsia="仿宋_GB2312" w:cs="方正小标宋_GBK"/>
          <w:color w:val="000000"/>
          <w:kern w:val="0"/>
          <w:sz w:val="44"/>
          <w:szCs w:val="44"/>
          <w:lang w:bidi="ar"/>
        </w:rPr>
      </w:pPr>
    </w:p>
    <w:p>
      <w:pPr>
        <w:widowControl/>
        <w:jc w:val="center"/>
        <w:rPr>
          <w:rFonts w:hint="eastAsia" w:ascii="方正小标宋_GBK" w:hAnsi="方正小标宋_GBK" w:eastAsia="仿宋_GB2312" w:cs="方正小标宋_GBK"/>
          <w:color w:val="000000"/>
          <w:kern w:val="0"/>
          <w:sz w:val="44"/>
          <w:szCs w:val="44"/>
          <w:lang w:bidi="ar"/>
        </w:rPr>
      </w:pPr>
    </w:p>
    <w:p>
      <w:pPr>
        <w:widowControl/>
        <w:jc w:val="center"/>
        <w:rPr>
          <w:rFonts w:hint="eastAsia" w:ascii="方正小标宋_GBK" w:hAnsi="方正小标宋_GBK" w:eastAsia="仿宋_GB2312" w:cs="方正小标宋_GBK"/>
          <w:color w:val="000000"/>
          <w:kern w:val="0"/>
          <w:sz w:val="44"/>
          <w:szCs w:val="44"/>
          <w:lang w:bidi="ar"/>
        </w:rPr>
      </w:pPr>
    </w:p>
    <w:p>
      <w:pPr>
        <w:pStyle w:val="11"/>
        <w:widowControl/>
        <w:spacing w:before="0" w:beforeAutospacing="0" w:after="0" w:afterAutospacing="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p>
    <w:p>
      <w:pPr>
        <w:spacing w:line="360" w:lineRule="auto"/>
        <w:jc w:val="center"/>
        <w:rPr>
          <w:rFonts w:hint="eastAsia" w:ascii="黑体" w:hAnsi="黑体" w:eastAsia="仿宋_GB2312" w:cs="黑体"/>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  录</w:t>
      </w:r>
    </w:p>
    <w:p>
      <w:pPr>
        <w:spacing w:line="360" w:lineRule="auto"/>
        <w:jc w:val="center"/>
        <w:rPr>
          <w:rFonts w:hint="eastAsia" w:ascii="黑体" w:hAnsi="黑体" w:eastAsia="仿宋_GB2312" w:cs="黑体"/>
          <w:b/>
          <w:sz w:val="32"/>
          <w:szCs w:val="32"/>
        </w:rPr>
      </w:pP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TOC\o"1-1"\h\u</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HYPERLINK\l_Toc13665</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任务来源及起草协作单位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PAGEREF_Toc13665\h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HYPERLINK\l_Toc10370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二、制定标准的必要性和意义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PAGEREF_Toc10370\h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HYPERLINK\l_Toc6631</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三、适用对象基本情况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PAGEREF_Toc6631\h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HYPERLINK\l_Toc22096</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四、主要起草过程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PAGEREF_Toc22096\h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HYPERLINK\l_Toc23671</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五、制定标准的原则和依据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PAGEREF_Toc23671\h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HYPERLINK\l_Toc4168</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六、主要条款的说明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PAGEREF_Toc4168\h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HYPERLINK\l_Toc30901</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七、公平竞争审查情况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PAGEREF_Toc30901\h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HYPERLINK\l_Toc28612</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八、重大意见分歧的处理依据和结果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PAGEREF_Toc28612\h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HYPERLINK\l_Toc1478</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九、作为推荐性标准或者强制性标准的建议及理由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PAGEREF_Toc1478\h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HYPERLINK\l_Toc28064</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十、强制性标准实施风险及防控措施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PAGEREF_Toc28064\h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HYPERLINK\l_Toc9762</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十一、实施标准的措施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PAGEREF_Toc9762\h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8306"/>
          <w:tab w:val="clear" w:pos="84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HYPERLINK\l_Toc9050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十二、其他应说明的事项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PAGEREF_Toc9050\h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360" w:lineRule="auto"/>
        <w:jc w:val="center"/>
        <w:rPr>
          <w:rFonts w:ascii="Times New Roman" w:hAnsi="Times New Roman" w:eastAsia="仿宋_GB2312"/>
        </w:rPr>
      </w:pPr>
      <w:r>
        <w:rPr>
          <w:rFonts w:hint="eastAsia" w:ascii="仿宋_GB2312" w:hAnsi="仿宋_GB2312" w:eastAsia="仿宋_GB2312" w:cs="仿宋_GB2312"/>
          <w:sz w:val="32"/>
          <w:szCs w:val="32"/>
        </w:rPr>
        <w:fldChar w:fldCharType="end"/>
      </w:r>
    </w:p>
    <w:p>
      <w:pPr>
        <w:pStyle w:val="11"/>
        <w:widowControl/>
        <w:spacing w:before="0" w:beforeAutospacing="0" w:after="0" w:afterAutospacing="0"/>
        <w:jc w:val="center"/>
        <w:rPr>
          <w:rFonts w:hint="eastAsia" w:ascii="仿宋" w:hAnsi="仿宋" w:eastAsia="仿宋_GB2312" w:cs="仿宋"/>
          <w:sz w:val="30"/>
          <w:szCs w:val="30"/>
        </w:rPr>
      </w:pPr>
    </w:p>
    <w:p>
      <w:pPr>
        <w:pStyle w:val="11"/>
        <w:widowControl/>
        <w:tabs>
          <w:tab w:val="left" w:pos="1308"/>
        </w:tabs>
        <w:rPr>
          <w:rFonts w:hint="eastAsia" w:ascii="仿宋" w:hAnsi="仿宋" w:eastAsia="仿宋_GB2312" w:cs="仿宋"/>
          <w:b/>
          <w:sz w:val="30"/>
          <w:szCs w:val="30"/>
        </w:rPr>
      </w:pPr>
      <w:r>
        <w:rPr>
          <w:rFonts w:hint="eastAsia" w:ascii="仿宋" w:hAnsi="仿宋" w:eastAsia="仿宋_GB2312" w:cs="仿宋"/>
          <w:sz w:val="30"/>
          <w:szCs w:val="30"/>
        </w:rPr>
        <w:tab/>
      </w:r>
    </w:p>
    <w:p>
      <w:pPr>
        <w:pStyle w:val="2"/>
        <w:ind w:left="1029" w:hanging="1029"/>
        <w:rPr>
          <w:rFonts w:hint="eastAsia"/>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19353"/>
      <w:bookmarkStart w:id="1" w:name="_Toc21438"/>
      <w:bookmarkStart w:id="2" w:name="_Toc22447"/>
      <w:bookmarkStart w:id="3" w:name="_Toc14394"/>
      <w:bookmarkStart w:id="4" w:name="_Toc26746"/>
      <w:bookmarkStart w:id="5" w:name="_Toc26796"/>
      <w:bookmarkStart w:id="6" w:name="_Toc16160"/>
      <w:bookmarkStart w:id="7" w:name="_Toc26211"/>
      <w:bookmarkStart w:id="8" w:name="_Toc22789"/>
    </w:p>
    <w:p>
      <w:pPr>
        <w:pStyle w:val="2"/>
        <w:spacing w:before="0" w:beforeLines="0" w:after="0" w:afterLines="0" w:line="560" w:lineRule="exact"/>
        <w:ind w:left="0" w:firstLine="640" w:firstLineChars="200"/>
        <w:rPr>
          <w:rFonts w:hint="eastAsia"/>
          <w:sz w:val="32"/>
          <w:szCs w:val="32"/>
        </w:rPr>
      </w:pPr>
      <w:bookmarkStart w:id="9" w:name="_Toc13665"/>
      <w:bookmarkStart w:id="10" w:name="_Toc1918"/>
      <w:bookmarkStart w:id="11" w:name="_Toc19260"/>
      <w:bookmarkStart w:id="12" w:name="_Toc56828261"/>
      <w:r>
        <w:rPr>
          <w:rFonts w:hint="eastAsia"/>
          <w:sz w:val="32"/>
          <w:szCs w:val="32"/>
        </w:rPr>
        <w:t>任务来源及起草协作单位</w:t>
      </w:r>
      <w:bookmarkEnd w:id="0"/>
      <w:bookmarkEnd w:id="1"/>
      <w:bookmarkEnd w:id="2"/>
      <w:bookmarkEnd w:id="3"/>
      <w:bookmarkEnd w:id="4"/>
      <w:bookmarkEnd w:id="5"/>
      <w:bookmarkEnd w:id="6"/>
      <w:bookmarkEnd w:id="7"/>
      <w:bookmarkEnd w:id="8"/>
      <w:bookmarkEnd w:id="9"/>
      <w:bookmarkEnd w:id="10"/>
      <w:bookmarkEnd w:id="11"/>
      <w:bookmarkEnd w:id="12"/>
    </w:p>
    <w:p>
      <w:pPr>
        <w:spacing w:line="560" w:lineRule="exact"/>
        <w:ind w:firstLine="642" w:firstLineChars="200"/>
        <w:outlineLvl w:val="1"/>
        <w:rPr>
          <w:rFonts w:hint="eastAsia" w:ascii="楷体" w:hAnsi="楷体" w:eastAsia="楷体_GB2312" w:cs="楷体"/>
          <w:b/>
          <w:bCs/>
          <w:sz w:val="32"/>
          <w:szCs w:val="32"/>
        </w:rPr>
      </w:pPr>
      <w:bookmarkStart w:id="13" w:name="_Toc30603"/>
      <w:bookmarkStart w:id="14" w:name="_Toc5433"/>
      <w:bookmarkStart w:id="15" w:name="_Toc31682"/>
      <w:bookmarkStart w:id="16" w:name="_Toc14395"/>
      <w:bookmarkStart w:id="17" w:name="_Toc19491"/>
      <w:bookmarkStart w:id="18" w:name="_Toc4417"/>
      <w:bookmarkStart w:id="19" w:name="_Toc28242"/>
      <w:bookmarkStart w:id="20" w:name="_Toc28239"/>
      <w:bookmarkStart w:id="21" w:name="_Toc23655"/>
      <w:r>
        <w:rPr>
          <w:rFonts w:hint="eastAsia" w:ascii="楷体" w:hAnsi="楷体" w:eastAsia="楷体_GB2312" w:cs="楷体"/>
          <w:b/>
          <w:bCs/>
          <w:sz w:val="32"/>
          <w:szCs w:val="32"/>
        </w:rPr>
        <w:t>1．任务来源</w:t>
      </w:r>
      <w:bookmarkEnd w:id="13"/>
      <w:bookmarkEnd w:id="14"/>
      <w:bookmarkEnd w:id="15"/>
      <w:bookmarkEnd w:id="16"/>
      <w:bookmarkEnd w:id="17"/>
      <w:bookmarkEnd w:id="18"/>
      <w:bookmarkEnd w:id="19"/>
      <w:bookmarkEnd w:id="20"/>
      <w:bookmarkEnd w:id="21"/>
    </w:p>
    <w:p>
      <w:pPr>
        <w:spacing w:line="560" w:lineRule="exact"/>
        <w:ind w:firstLine="640" w:firstLineChars="200"/>
        <w:rPr>
          <w:rFonts w:hint="eastAsia" w:ascii="仿宋_GB2312" w:hAnsi="仿宋_GB2312" w:eastAsia="仿宋_GB2312" w:cs="仿宋_GB2312"/>
          <w:bCs/>
          <w:sz w:val="32"/>
          <w:szCs w:val="32"/>
        </w:rPr>
      </w:pPr>
      <w:bookmarkStart w:id="22" w:name="_Toc14352"/>
      <w:bookmarkStart w:id="23" w:name="_Toc24263"/>
      <w:bookmarkStart w:id="24" w:name="_Toc324"/>
      <w:bookmarkStart w:id="25" w:name="_Toc3373"/>
      <w:bookmarkStart w:id="26" w:name="_Toc12023"/>
      <w:bookmarkStart w:id="27" w:name="_Toc22329"/>
      <w:bookmarkStart w:id="28" w:name="_Toc32687"/>
      <w:bookmarkStart w:id="29" w:name="_Toc20101"/>
      <w:bookmarkStart w:id="30" w:name="_Toc6259"/>
      <w:r>
        <w:rPr>
          <w:rFonts w:hint="eastAsia" w:ascii="仿宋_GB2312" w:hAnsi="仿宋_GB2312" w:eastAsia="仿宋_GB2312" w:cs="仿宋_GB2312"/>
          <w:bCs/>
          <w:sz w:val="32"/>
          <w:szCs w:val="32"/>
        </w:rPr>
        <w:t>落实京津冀协同发展战略，</w:t>
      </w:r>
      <w:r>
        <w:rPr>
          <w:rFonts w:hint="eastAsia" w:ascii="仿宋_GB2312" w:hAnsi="仿宋_GB2312" w:eastAsia="仿宋_GB2312" w:cs="仿宋_GB2312"/>
          <w:bCs/>
          <w:sz w:val="32"/>
          <w:szCs w:val="32"/>
          <w:lang w:val="en-US" w:eastAsia="zh-CN"/>
        </w:rPr>
        <w:t>京津冀三地在碳普惠领域的标准建设有序推进。</w:t>
      </w:r>
      <w:r>
        <w:rPr>
          <w:rFonts w:hint="eastAsia" w:ascii="仿宋_GB2312" w:hAnsi="仿宋_GB2312" w:eastAsia="仿宋_GB2312" w:cs="仿宋_GB2312"/>
          <w:bCs/>
          <w:sz w:val="32"/>
          <w:szCs w:val="32"/>
        </w:rPr>
        <w:t>2024年6月，</w:t>
      </w:r>
      <w:r>
        <w:rPr>
          <w:rFonts w:hint="eastAsia" w:ascii="仿宋_GB2312" w:hAnsi="仿宋_GB2312" w:eastAsia="仿宋_GB2312" w:cs="仿宋_GB2312"/>
          <w:bCs/>
          <w:sz w:val="32"/>
          <w:szCs w:val="32"/>
          <w:lang w:val="en-US" w:eastAsia="zh-CN"/>
        </w:rPr>
        <w:t>京津冀三地分别</w:t>
      </w:r>
      <w:r>
        <w:rPr>
          <w:rFonts w:hint="eastAsia" w:ascii="仿宋_GB2312" w:hAnsi="仿宋_GB2312" w:eastAsia="仿宋_GB2312" w:cs="仿宋_GB2312"/>
          <w:bCs/>
          <w:sz w:val="32"/>
          <w:szCs w:val="32"/>
        </w:rPr>
        <w:t>申报了京津冀区域协同标准《碳普惠项目减排量核算技术规范</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氢燃料电池汽车》编制研究项目。</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2024年</w:t>
      </w:r>
      <w:r>
        <w:rPr>
          <w:rFonts w:hint="eastAsia" w:ascii="仿宋_GB2312" w:hAnsi="仿宋_GB2312" w:eastAsia="仿宋_GB2312" w:cs="仿宋_GB2312"/>
          <w:b w:val="0"/>
          <w:bCs/>
          <w:sz w:val="32"/>
          <w:szCs w:val="32"/>
          <w:highlight w:val="none"/>
          <w:lang w:val="en-US" w:eastAsia="zh-CN"/>
        </w:rPr>
        <w:t>9</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lang w:val="en-US" w:eastAsia="zh-CN"/>
        </w:rPr>
        <w:t>京津冀三地</w:t>
      </w:r>
      <w:r>
        <w:rPr>
          <w:rFonts w:hint="eastAsia" w:ascii="仿宋_GB2312" w:hAnsi="仿宋_GB2312" w:eastAsia="仿宋_GB2312" w:cs="仿宋_GB2312"/>
          <w:b w:val="0"/>
          <w:bCs/>
          <w:sz w:val="32"/>
          <w:szCs w:val="32"/>
          <w:highlight w:val="none"/>
        </w:rPr>
        <w:t>市场监督管理</w:t>
      </w:r>
      <w:r>
        <w:rPr>
          <w:rFonts w:hint="eastAsia" w:ascii="仿宋_GB2312" w:hAnsi="仿宋_GB2312" w:eastAsia="仿宋_GB2312" w:cs="仿宋_GB2312"/>
          <w:b w:val="0"/>
          <w:bCs/>
          <w:sz w:val="32"/>
          <w:szCs w:val="32"/>
          <w:highlight w:val="none"/>
          <w:lang w:eastAsia="zh-CN"/>
        </w:rPr>
        <w:t>部门</w:t>
      </w:r>
      <w:r>
        <w:rPr>
          <w:rFonts w:hint="eastAsia" w:ascii="仿宋_GB2312" w:hAnsi="仿宋_GB2312" w:eastAsia="仿宋_GB2312" w:cs="仿宋_GB2312"/>
          <w:bCs/>
          <w:sz w:val="32"/>
          <w:szCs w:val="32"/>
        </w:rPr>
        <w:t>印发了《2024年北京市地方标准制定项目增补计划》</w:t>
      </w:r>
      <w:r>
        <w:rPr>
          <w:rFonts w:hint="eastAsia" w:ascii="仿宋_GB2312" w:hAnsi="仿宋_GB2312" w:eastAsia="仿宋_GB2312" w:cs="仿宋_GB2312"/>
          <w:b w:val="0"/>
          <w:bCs/>
          <w:sz w:val="32"/>
          <w:szCs w:val="32"/>
          <w:highlight w:val="none"/>
        </w:rPr>
        <w:t>《关于下达</w:t>
      </w:r>
      <w:r>
        <w:rPr>
          <w:rFonts w:hint="eastAsia" w:ascii="仿宋_GB2312" w:hAnsi="仿宋_GB2312" w:eastAsia="仿宋_GB2312" w:cs="仿宋_GB2312"/>
          <w:b w:val="0"/>
          <w:bCs/>
          <w:sz w:val="32"/>
          <w:szCs w:val="32"/>
          <w:highlight w:val="none"/>
          <w:lang w:val="en-US" w:eastAsia="zh-CN"/>
        </w:rPr>
        <w:t>2024年河北省地方标准制修订项目计划的通知</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lang w:val="en-US" w:eastAsia="zh-CN"/>
        </w:rPr>
        <w:t>等文件</w:t>
      </w:r>
      <w:r>
        <w:rPr>
          <w:rFonts w:hint="eastAsia" w:ascii="仿宋_GB2312" w:hAnsi="仿宋_GB2312" w:eastAsia="仿宋_GB2312" w:cs="仿宋_GB2312"/>
          <w:b w:val="0"/>
          <w:bCs/>
          <w:sz w:val="32"/>
          <w:szCs w:val="32"/>
          <w:highlight w:val="none"/>
        </w:rPr>
        <w:t>，将</w:t>
      </w:r>
      <w:r>
        <w:rPr>
          <w:rFonts w:hint="eastAsia" w:ascii="仿宋_GB2312" w:hAnsi="仿宋_GB2312" w:eastAsia="仿宋_GB2312" w:cs="仿宋_GB2312"/>
          <w:bCs/>
          <w:sz w:val="32"/>
          <w:szCs w:val="32"/>
        </w:rPr>
        <w:t>该标准列入京津冀地方标准计划，由京津冀三地共同起草编制。</w:t>
      </w:r>
      <w:r>
        <w:rPr>
          <w:rFonts w:hint="eastAsia" w:ascii="仿宋_GB2312" w:hAnsi="仿宋_GB2312" w:eastAsia="仿宋_GB2312" w:cs="仿宋_GB2312"/>
          <w:b w:val="0"/>
          <w:bCs/>
          <w:sz w:val="32"/>
          <w:szCs w:val="32"/>
          <w:highlight w:val="none"/>
          <w:lang w:val="en-US" w:eastAsia="zh-CN"/>
        </w:rPr>
        <w:t>与此同时，北京市、天津市、</w:t>
      </w:r>
      <w:r>
        <w:rPr>
          <w:rFonts w:hint="eastAsia" w:ascii="仿宋_GB2312" w:hAnsi="仿宋_GB2312" w:eastAsia="仿宋_GB2312" w:cs="仿宋_GB2312"/>
          <w:bCs/>
          <w:sz w:val="32"/>
          <w:szCs w:val="32"/>
        </w:rPr>
        <w:t>河北省生态环境部门联合组织编制《碳普惠项目减排量核算技术规范 氢燃料电池汽车》，推动碳普惠标准共建、信息共享、项目互认，并逐步扩大联建范围。</w:t>
      </w:r>
    </w:p>
    <w:p>
      <w:pPr>
        <w:spacing w:line="560" w:lineRule="exact"/>
        <w:ind w:firstLine="642" w:firstLineChars="200"/>
        <w:outlineLvl w:val="1"/>
        <w:rPr>
          <w:rFonts w:hint="eastAsia" w:ascii="楷体" w:hAnsi="楷体" w:eastAsia="楷体_GB2312" w:cs="楷体"/>
          <w:b/>
          <w:bCs/>
          <w:sz w:val="32"/>
          <w:szCs w:val="32"/>
        </w:rPr>
      </w:pPr>
      <w:r>
        <w:rPr>
          <w:rFonts w:hint="eastAsia" w:ascii="楷体" w:hAnsi="楷体" w:eastAsia="楷体_GB2312" w:cs="楷体"/>
          <w:b/>
          <w:bCs/>
          <w:sz w:val="32"/>
          <w:szCs w:val="32"/>
        </w:rPr>
        <w:t>2．</w:t>
      </w:r>
      <w:bookmarkEnd w:id="22"/>
      <w:bookmarkEnd w:id="23"/>
      <w:bookmarkEnd w:id="24"/>
      <w:bookmarkEnd w:id="25"/>
      <w:bookmarkEnd w:id="26"/>
      <w:bookmarkEnd w:id="27"/>
      <w:bookmarkEnd w:id="28"/>
      <w:r>
        <w:rPr>
          <w:rFonts w:hint="eastAsia" w:ascii="楷体" w:hAnsi="楷体" w:eastAsia="楷体_GB2312" w:cs="楷体"/>
          <w:b/>
          <w:bCs/>
          <w:sz w:val="32"/>
          <w:szCs w:val="32"/>
        </w:rPr>
        <w:t>起草单位</w:t>
      </w:r>
      <w:bookmarkEnd w:id="29"/>
      <w:bookmarkEnd w:id="3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天津组：</w:t>
      </w:r>
    </w:p>
    <w:p>
      <w:pPr>
        <w:spacing w:line="560" w:lineRule="exact"/>
        <w:ind w:firstLine="64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2"/>
          <w:szCs w:val="32"/>
        </w:rPr>
        <w:t>主要起草人：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协作单位：</w:t>
      </w:r>
    </w:p>
    <w:p>
      <w:pPr>
        <w:widowControl/>
        <w:spacing w:line="560" w:lineRule="exact"/>
        <w:ind w:firstLine="640" w:firstLineChars="200"/>
        <w:rPr>
          <w:rFonts w:hint="eastAsia" w:ascii="仿宋" w:hAnsi="仿宋" w:eastAsia="仿宋_GB2312" w:cs="仿宋"/>
          <w:sz w:val="32"/>
          <w:szCs w:val="32"/>
        </w:rPr>
      </w:pPr>
      <w:r>
        <w:rPr>
          <w:rFonts w:hint="eastAsia" w:ascii="仿宋_GB2312" w:hAnsi="仿宋_GB2312" w:eastAsia="仿宋_GB2312" w:cs="仿宋_GB2312"/>
          <w:sz w:val="32"/>
          <w:szCs w:val="32"/>
        </w:rPr>
        <w:t>本标准由北京市生态环境局、天津市生态环境局、河北省生态环境厅共同组织实施。</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31" w:name="_Toc10370"/>
      <w:bookmarkStart w:id="32" w:name="_Toc5354"/>
      <w:bookmarkStart w:id="33" w:name="_Toc19879"/>
      <w:bookmarkStart w:id="34" w:name="_Toc7205"/>
      <w:bookmarkStart w:id="35" w:name="_Toc29209"/>
      <w:bookmarkStart w:id="36" w:name="_Toc7827"/>
      <w:bookmarkStart w:id="37" w:name="_Toc25775"/>
      <w:bookmarkStart w:id="38" w:name="_Toc857026941"/>
      <w:bookmarkStart w:id="39" w:name="_Toc17643"/>
      <w:bookmarkStart w:id="40" w:name="_Toc27487"/>
      <w:bookmarkStart w:id="41" w:name="_Toc21017"/>
      <w:bookmarkStart w:id="42" w:name="_Toc725"/>
      <w:bookmarkStart w:id="43" w:name="_Toc30401"/>
      <w:bookmarkStart w:id="44" w:name="_Toc16567"/>
      <w:r>
        <w:rPr>
          <w:rFonts w:hint="eastAsia" w:ascii="黑体" w:hAnsi="黑体" w:eastAsia="黑体" w:cs="黑体"/>
          <w:bCs/>
          <w:sz w:val="32"/>
          <w:szCs w:val="32"/>
        </w:rPr>
        <w:t>制定标准的必要性和意义</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4"/>
        <w:spacing w:line="560" w:lineRule="exact"/>
        <w:ind w:firstLine="640"/>
        <w:rPr>
          <w:rFonts w:hint="eastAsia" w:ascii="楷体_GB2312" w:hAnsi="楷体_GB2312" w:eastAsia="楷体_GB2312" w:cs="楷体_GB2312"/>
          <w:sz w:val="32"/>
          <w:szCs w:val="32"/>
        </w:rPr>
      </w:pPr>
      <w:bookmarkStart w:id="45" w:name="_Toc10591"/>
      <w:bookmarkStart w:id="46" w:name="_Toc17976"/>
      <w:bookmarkStart w:id="47" w:name="_Toc19232"/>
      <w:bookmarkStart w:id="48" w:name="_Toc8435"/>
      <w:bookmarkStart w:id="49" w:name="_Toc6136"/>
      <w:r>
        <w:rPr>
          <w:rFonts w:hint="eastAsia" w:ascii="楷体_GB2312" w:hAnsi="楷体_GB2312" w:eastAsia="楷体_GB2312" w:cs="楷体_GB2312"/>
          <w:sz w:val="32"/>
          <w:szCs w:val="32"/>
        </w:rPr>
        <w:t>（1）货运是交通领域的首要排放源，中重型柴油车低碳转型要求迫切</w:t>
      </w:r>
      <w:bookmarkEnd w:id="45"/>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公路运输碳排放占全部交通运输领域总排放的80%以上，其中公路货运碳排放占60%以上。公路货运中碳排放问题尤为突出的是中重型货车，其碳排放比重超过85%。中重型货车碳排放量居高不下的主要原因包括两点：一是“公转铁、公转水”等运输结构优化举措由于运输线路、成本等因素的限制，并不适用于70%的区域间物资流通场景。二是前期尝试的电动车技术水平尚不能满足中长途、中重载的运输需求，导致目前中重型卡车新能源率不足4%。以北京市2021年为例，公路运输碳排放占全市交通运输领域总排放的50%以上，其中公路货运碳排放占10%以上。尤其是占全市机动车保有量不足2%的中重型货运车辆，却贡献了全市公路运输8%的碳排放和32%的NOx污染物排放，其新能源率仅2%。中重型货运车辆的低碳转型对于交通运输领域碳达峰碳中和能否如期完成具有关键性作用。</w:t>
      </w:r>
    </w:p>
    <w:p>
      <w:pPr>
        <w:pStyle w:val="4"/>
        <w:spacing w:line="560" w:lineRule="exact"/>
        <w:ind w:firstLine="640"/>
        <w:rPr>
          <w:rFonts w:hint="eastAsia" w:ascii="方正楷体_GB2312" w:hAnsi="方正楷体_GB2312" w:eastAsia="方正楷体_GB2312" w:cs="方正楷体_GB2312"/>
          <w:sz w:val="32"/>
          <w:szCs w:val="32"/>
        </w:rPr>
      </w:pPr>
      <w:bookmarkStart w:id="50" w:name="_Toc2581"/>
      <w:r>
        <w:rPr>
          <w:rFonts w:hint="eastAsia" w:ascii="方正楷体_GB2312" w:hAnsi="方正楷体_GB2312" w:eastAsia="方正楷体_GB2312" w:cs="方正楷体_GB2312"/>
          <w:sz w:val="32"/>
          <w:szCs w:val="32"/>
        </w:rPr>
        <w:t>（2）氢燃料电池汽车为货运零排放的实现提供了解决方案</w:t>
      </w:r>
      <w:bookmarkEnd w:id="50"/>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氢能在我国被定位于用能终端实现绿色低碳转型的重要载体，是实现工业、交通等领域深度脱碳的最优解决方案。我国以交通作为氢能发展的切入点，2021年，国家工信部、发改委等五部委联合启动燃料电池汽车示范城市群建设，明确要充分发挥氢燃料电池汽车在运距长、载重大、环境适应性好等方面的技术优势，满足中长途、中重载货运场景下商用车的零排放转型。目前，氢燃料电池汽车产业化基础雄厚，零部件及车辆制造全链条已基本实现自主化，开发有31吨自卸车、49吨牵引车、12米大型客车、4.5吨冷藏车等多种成熟车型。以北京市为例，通过前三年度示范推广，2800余辆氢燃料电池汽车的运行效果好，车均用氢行驶里程超2万公里，部分场景下的运营吨公里成本与柴油车相差5%以内。在技术性能和运营效果上，氢燃料电池汽车已具备替代柴油车的基础。此外，氢车将带来巨大的节能减碳潜力。据《氢能产业发展中长期规划(2021-2035年)》预计，我国将于2025年完成5万辆的氢燃料电池汽车推广，每年减少100-200万吨的碳排放。</w:t>
      </w:r>
    </w:p>
    <w:p>
      <w:pPr>
        <w:pStyle w:val="4"/>
        <w:spacing w:line="560" w:lineRule="exact"/>
        <w:ind w:firstLine="640"/>
        <w:rPr>
          <w:rFonts w:hint="eastAsia" w:ascii="方正楷体_GB2312" w:hAnsi="方正楷体_GB2312" w:eastAsia="方正楷体_GB2312" w:cs="方正楷体_GB2312"/>
          <w:sz w:val="32"/>
          <w:szCs w:val="32"/>
        </w:rPr>
      </w:pPr>
      <w:bookmarkStart w:id="51" w:name="_Toc25127"/>
      <w:r>
        <w:rPr>
          <w:rFonts w:hint="eastAsia" w:ascii="方正楷体_GB2312" w:hAnsi="方正楷体_GB2312" w:eastAsia="方正楷体_GB2312" w:cs="方正楷体_GB2312"/>
          <w:sz w:val="32"/>
          <w:szCs w:val="32"/>
        </w:rPr>
        <w:t>（3）氢能产业发展亟需借助碳市场为产业发展提供金融赋能和减碳绩效管理</w:t>
      </w:r>
      <w:bookmarkEnd w:id="51"/>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观来看，氢能及燃料电池汽车作为技术密集型的战略新兴产业，目前仍处于产业发展前期，技术研发和车辆推广所需资金投入较大。综合国、市、区多级补贴，一辆49吨氢燃料电池牵引车全生命周期（6年）成本要比柴油车高40-50万。若要进一步推动氢燃料电池汽车规模化使用，促进氢能产业能顺利度过萌芽期，亟需金融赋能。而碳作为促进技术发展和金融增效的介质，将为氢能产业发展带来额外的资金支持和政策权益。引入碳市场机制到氢能领域，一方面将帮助产业主体通过开发自愿减排项目参与碳交易、以减排量为介质开发绿债等金融产品，从长周期来看预计将为产业发展带来万亿级的资金支持。另一方面，借助碳交易能更精准评估氢能使用的碳减排效果，并率先构建以碳作为手段的能源治理机制，成为未来国际氢能贸易、碳贸易的参与者和引领者。</w:t>
      </w:r>
    </w:p>
    <w:bookmarkEnd w:id="46"/>
    <w:bookmarkEnd w:id="47"/>
    <w:bookmarkEnd w:id="48"/>
    <w:bookmarkEnd w:id="49"/>
    <w:p>
      <w:pPr>
        <w:keepNext/>
        <w:numPr>
          <w:ilvl w:val="0"/>
          <w:numId w:val="1"/>
        </w:numPr>
        <w:spacing w:line="560" w:lineRule="exact"/>
        <w:ind w:left="0" w:firstLine="640" w:firstLineChars="200"/>
        <w:outlineLvl w:val="0"/>
        <w:rPr>
          <w:rFonts w:hint="eastAsia" w:ascii="黑体" w:hAnsi="黑体" w:eastAsia="黑体" w:cs="黑体"/>
          <w:bCs/>
          <w:sz w:val="32"/>
          <w:szCs w:val="32"/>
        </w:rPr>
      </w:pPr>
      <w:bookmarkStart w:id="52" w:name="_Toc18981"/>
      <w:bookmarkStart w:id="53" w:name="_Toc8774"/>
      <w:bookmarkStart w:id="54" w:name="_Toc32364"/>
      <w:bookmarkStart w:id="55" w:name="_Toc6631"/>
      <w:bookmarkStart w:id="56" w:name="_Toc25319"/>
      <w:bookmarkStart w:id="57" w:name="_Toc17861"/>
      <w:bookmarkStart w:id="58" w:name="_Toc10451"/>
      <w:bookmarkStart w:id="59" w:name="_Toc16585"/>
      <w:bookmarkStart w:id="60" w:name="_Toc15165"/>
      <w:bookmarkStart w:id="61" w:name="_Toc18755"/>
      <w:bookmarkStart w:id="62" w:name="_Toc14243"/>
      <w:bookmarkStart w:id="63" w:name="_Toc11474"/>
      <w:bookmarkStart w:id="64" w:name="_Toc6088"/>
      <w:bookmarkStart w:id="65" w:name="_Toc1214766616"/>
      <w:r>
        <w:rPr>
          <w:rFonts w:hint="eastAsia" w:ascii="黑体" w:hAnsi="黑体" w:eastAsia="黑体" w:cs="黑体"/>
          <w:bCs/>
          <w:sz w:val="32"/>
          <w:szCs w:val="32"/>
        </w:rPr>
        <w:t>适用对象基本情况</w:t>
      </w:r>
      <w:bookmarkEnd w:id="52"/>
      <w:bookmarkEnd w:id="53"/>
      <w:bookmarkEnd w:id="54"/>
      <w:bookmarkEnd w:id="55"/>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（1）方法学适用对象：综合考虑方法学研究对象特征及京津冀区域协同需求，项目活动范围设置为京津冀区域内，参与减排项目的氢燃料电池汽车范围包括客车、载货汽车和专用汽车等</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量分布及特点：目前，京津冀区域氢燃料电池汽车推广规模超8000辆。根据《北京市氢燃料电池汽车产业发展规划（2020-2025）》《天津市燃料电池汽车示范应用实施方案》《河北省氢能产业发展“十四五”规划》等京津冀相关规划政策，未来氢燃料电池汽车推广规模预计达到2.09万辆。从研究对象特征来讲，氢燃料电池汽车的典型适用场景是长途、重载运输，典型应用车型是氢燃料电池重型货车和大型客车，将项目活动范围由北京行政区内扩大到京津冀区域，可以更好发挥出氢燃料电池汽车的运输优势，有助于氢燃料电池汽车的示范推广，助力北京市交通领域低碳转型和京津冀燃料电池汽车示范城市群建设。</w:t>
      </w:r>
    </w:p>
    <w:p>
      <w:pPr>
        <w:widowControl/>
        <w:tabs>
          <w:tab w:val="left" w:pos="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（3）关联性与效果：由于京津冀三地属于环绕型区位关系，区域内货运70%依靠公路运输，柴油车对区域PM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的贡献达到16%，货运碳排放每年达到千万吨的规模，仅占车辆总数的20%中重型货车产生的碳排放可占货运总量的50%，京津冀区域内环保已进入深度攻坚的阶段，</w:t>
      </w:r>
      <w:r>
        <w:rPr>
          <w:rFonts w:hint="default" w:ascii="仿宋_GB2312" w:hAnsi="仿宋_GB2312" w:eastAsia="仿宋_GB2312" w:cs="仿宋_GB2312"/>
          <w:sz w:val="32"/>
          <w:szCs w:val="32"/>
        </w:rPr>
        <w:t>是“十四五”</w:t>
      </w:r>
      <w:r>
        <w:rPr>
          <w:rFonts w:hint="eastAsia" w:ascii="仿宋_GB2312" w:hAnsi="仿宋_GB2312" w:eastAsia="仿宋_GB2312" w:cs="仿宋_GB2312"/>
          <w:sz w:val="32"/>
          <w:szCs w:val="32"/>
        </w:rPr>
        <w:t>期间减排的主要领域，将项目活动范围拓展到京津冀区域，利于京津冀区域产业协同发展和减污降碳协同。基于京津冀三地规划政策和现有“北京氢燃料电池汽车碳减排项目”进行减排量事前估算，综合考虑京津冀跨区域场景车辆占比以及计划推广规模，年减排量预计将达到2.7-5.7万吨。</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66" w:name="_Toc22096"/>
      <w:bookmarkStart w:id="67" w:name="_Toc11785"/>
      <w:bookmarkStart w:id="68" w:name="_Toc26385"/>
      <w:bookmarkStart w:id="69" w:name="_Toc31987"/>
      <w:r>
        <w:rPr>
          <w:rFonts w:hint="eastAsia" w:ascii="黑体" w:hAnsi="黑体" w:eastAsia="黑体" w:cs="黑体"/>
          <w:bCs/>
          <w:sz w:val="32"/>
          <w:szCs w:val="32"/>
        </w:rPr>
        <w:t>主要起草过程</w:t>
      </w:r>
      <w:bookmarkEnd w:id="56"/>
      <w:bookmarkEnd w:id="57"/>
      <w:bookmarkEnd w:id="58"/>
      <w:bookmarkEnd w:id="59"/>
      <w:bookmarkEnd w:id="60"/>
      <w:bookmarkEnd w:id="61"/>
      <w:bookmarkEnd w:id="62"/>
      <w:bookmarkEnd w:id="63"/>
      <w:bookmarkEnd w:id="64"/>
      <w:bookmarkEnd w:id="65"/>
      <w:bookmarkEnd w:id="66"/>
      <w:bookmarkEnd w:id="67"/>
      <w:bookmarkEnd w:id="68"/>
      <w:bookmarkEnd w:id="6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京津冀三地</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组织下，北京市应对气候变化管理事务中心联合北京市交通发展研究院、中和新兴（北京）能源科技研究院有限公司等单位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天津市生态</w:t>
      </w:r>
      <w:r>
        <w:rPr>
          <w:rFonts w:ascii="仿宋_GB2312" w:hAnsi="仿宋_GB2312" w:eastAsia="仿宋_GB2312" w:cs="仿宋_GB2312"/>
          <w:sz w:val="32"/>
          <w:szCs w:val="32"/>
        </w:rPr>
        <w:t>环境科学研究院</w:t>
      </w:r>
      <w:r>
        <w:rPr>
          <w:rFonts w:hint="eastAsia" w:ascii="仿宋_GB2312" w:hAnsi="仿宋_GB2312" w:eastAsia="仿宋_GB2312" w:cs="仿宋_GB2312"/>
          <w:sz w:val="32"/>
          <w:szCs w:val="32"/>
        </w:rPr>
        <w:t>联合天津渤化化工发展有限公司、天津氢鸿新能科技有限公司等单位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河钢集团有限公司、河北省污染物排放权交易服务中心等单位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w:t>
      </w:r>
      <w:r>
        <w:rPr>
          <w:rFonts w:hint="eastAsia" w:ascii="仿宋_GB2312" w:hAnsi="仿宋_GB2312" w:eastAsia="仿宋_GB2312" w:cs="仿宋_GB2312"/>
          <w:sz w:val="32"/>
          <w:szCs w:val="32"/>
        </w:rPr>
        <w:t>组成标准编制组。通过采取资料收集、现场调研和专家研讨相结合的方式，在《北京市碳普惠方法学氢燃料电池汽车（试行）》的</w:t>
      </w:r>
      <w:r>
        <w:rPr>
          <w:rFonts w:ascii="仿宋_GB2312" w:hAnsi="仿宋_GB2312" w:eastAsia="仿宋_GB2312" w:cs="仿宋_GB2312"/>
          <w:sz w:val="32"/>
          <w:szCs w:val="32"/>
        </w:rPr>
        <w:t>基础上，</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京津冀</w:t>
      </w:r>
      <w:r>
        <w:rPr>
          <w:rFonts w:hint="eastAsia" w:ascii="仿宋_GB2312" w:hAnsi="仿宋_GB2312" w:eastAsia="仿宋_GB2312" w:cs="仿宋_GB2312"/>
          <w:sz w:val="32"/>
          <w:szCs w:val="32"/>
        </w:rPr>
        <w:t>实际情况</w:t>
      </w:r>
      <w:r>
        <w:rPr>
          <w:rFonts w:ascii="仿宋_GB2312" w:hAnsi="仿宋_GB2312" w:eastAsia="仿宋_GB2312" w:cs="仿宋_GB2312"/>
          <w:sz w:val="32"/>
          <w:szCs w:val="32"/>
        </w:rPr>
        <w:t>，共同编制</w:t>
      </w:r>
      <w:r>
        <w:rPr>
          <w:rFonts w:hint="eastAsia" w:ascii="仿宋_GB2312" w:hAnsi="仿宋_GB2312" w:eastAsia="仿宋_GB2312" w:cs="仿宋_GB2312"/>
          <w:sz w:val="32"/>
          <w:szCs w:val="32"/>
        </w:rPr>
        <w:t>《碳普惠项目减排量核算技术规范 氢燃料电池汽车》地方</w:t>
      </w:r>
      <w:r>
        <w:rPr>
          <w:rFonts w:ascii="仿宋_GB2312" w:hAnsi="仿宋_GB2312" w:eastAsia="仿宋_GB2312" w:cs="仿宋_GB2312"/>
          <w:sz w:val="32"/>
          <w:szCs w:val="32"/>
        </w:rPr>
        <w:t>标准</w:t>
      </w:r>
      <w:r>
        <w:rPr>
          <w:rFonts w:hint="eastAsia" w:ascii="仿宋_GB2312" w:hAnsi="仿宋_GB2312" w:eastAsia="仿宋_GB2312" w:cs="仿宋_GB2312"/>
          <w:sz w:val="32"/>
          <w:szCs w:val="32"/>
        </w:rPr>
        <w:t>。根据相关文件研究和专家研讨形成标准征求意见稿正文和编制说明，项目工作过程如下：</w:t>
      </w:r>
    </w:p>
    <w:p>
      <w:pPr>
        <w:numPr>
          <w:ilvl w:val="0"/>
          <w:numId w:val="2"/>
        </w:num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项目申报。2024年5月-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月，标准编制组启动标准立项申报和草稿文案编写工作。</w:t>
      </w:r>
    </w:p>
    <w:p>
      <w:pPr>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2024年6月，针对标准中技术方法的科学性、合理性开展京津冀三地交流和专家咨询，完成</w:t>
      </w:r>
      <w:r>
        <w:rPr>
          <w:rFonts w:hint="eastAsia" w:ascii="仿宋_GB2312" w:hAnsi="仿宋_GB2312" w:eastAsia="仿宋_GB2312" w:cs="仿宋_GB2312"/>
          <w:sz w:val="32"/>
          <w:szCs w:val="32"/>
          <w:lang w:val="en-US" w:eastAsia="zh-CN"/>
        </w:rPr>
        <w:t>天津市地方标准</w:t>
      </w:r>
      <w:r>
        <w:rPr>
          <w:rFonts w:hint="eastAsia" w:ascii="仿宋_GB2312" w:hAnsi="仿宋_GB2312" w:eastAsia="仿宋_GB2312" w:cs="仿宋_GB2312"/>
          <w:sz w:val="32"/>
          <w:szCs w:val="32"/>
        </w:rPr>
        <w:t>《碳普惠项目减排量核算技术规范 氢燃料电池汽车》草案文本</w:t>
      </w:r>
      <w:r>
        <w:rPr>
          <w:rFonts w:ascii="仿宋_GB2312" w:hAnsi="仿宋_GB2312" w:eastAsia="仿宋_GB2312" w:cs="仿宋_GB2312"/>
          <w:sz w:val="32"/>
          <w:szCs w:val="32"/>
        </w:rPr>
        <w:t>编制</w:t>
      </w:r>
      <w:r>
        <w:rPr>
          <w:rFonts w:hint="eastAsia" w:ascii="仿宋_GB2312" w:hAnsi="仿宋_GB2312" w:eastAsia="仿宋_GB2312" w:cs="仿宋_GB2312"/>
          <w:sz w:val="32"/>
          <w:szCs w:val="32"/>
        </w:rPr>
        <w:t>。2024年9月，完成标准项目申报书以及标准起草文案的提交工作，并通过天津市市场监管委标准立项，</w:t>
      </w:r>
      <w:r>
        <w:rPr>
          <w:rFonts w:hint="eastAsia" w:ascii="仿宋_GB2312" w:hAnsi="仿宋_GB2312" w:eastAsia="仿宋_GB2312" w:cs="仿宋_GB2312"/>
          <w:bCs/>
          <w:sz w:val="32"/>
          <w:szCs w:val="32"/>
        </w:rPr>
        <w:t>项目编号为</w:t>
      </w:r>
      <w:r>
        <w:rPr>
          <w:rFonts w:ascii="仿宋_GB2312" w:hAnsi="仿宋_GB2312" w:eastAsia="仿宋_GB2312" w:cs="仿宋_GB2312"/>
          <w:bCs/>
          <w:sz w:val="32"/>
          <w:szCs w:val="32"/>
        </w:rPr>
        <w:t>2024-8</w:t>
      </w:r>
      <w:r>
        <w:rPr>
          <w:rFonts w:hint="eastAsia" w:ascii="仿宋_GB2312" w:hAnsi="仿宋_GB2312" w:eastAsia="仿宋_GB2312" w:cs="仿宋_GB2312"/>
          <w:bCs/>
          <w:sz w:val="32"/>
          <w:szCs w:val="32"/>
        </w:rPr>
        <w:t>，项目类别一类，为标准制订项目。</w:t>
      </w:r>
    </w:p>
    <w:p>
      <w:pPr>
        <w:numPr>
          <w:ilvl w:val="-1"/>
          <w:numId w:val="0"/>
        </w:num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2024年7月，完成北京市地方标准</w:t>
      </w:r>
      <w:r>
        <w:rPr>
          <w:rFonts w:hint="eastAsia" w:ascii="仿宋_GB2312" w:hAnsi="仿宋_GB2312" w:eastAsia="仿宋_GB2312" w:cs="仿宋_GB2312"/>
          <w:bCs/>
          <w:sz w:val="32"/>
          <w:szCs w:val="32"/>
        </w:rPr>
        <w:t>《碳普惠项目减排量核算技术规范氢燃料电池汽车》</w:t>
      </w:r>
      <w:r>
        <w:rPr>
          <w:rFonts w:hint="eastAsia" w:ascii="仿宋_GB2312" w:hAnsi="仿宋_GB2312" w:eastAsia="仿宋_GB2312" w:cs="仿宋_GB2312"/>
          <w:sz w:val="32"/>
          <w:szCs w:val="32"/>
        </w:rPr>
        <w:t>的标准项目申报书以及标准草稿文案终版的提交工作。2024年8月，北京市市场监督管理局发布公告，</w:t>
      </w:r>
      <w:r>
        <w:rPr>
          <w:rFonts w:hint="eastAsia" w:ascii="仿宋_GB2312" w:hAnsi="仿宋_GB2312" w:eastAsia="仿宋_GB2312" w:cs="仿宋_GB2312"/>
          <w:bCs/>
          <w:sz w:val="32"/>
          <w:szCs w:val="32"/>
        </w:rPr>
        <w:t>《碳普惠项目减排量核算技术规范氢燃料电池汽车》立项成功，项目编号为20241190，项目类别一类，为标准制订项目。</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highlight w:val="none"/>
          <w:lang w:val="en-US" w:eastAsia="zh-CN"/>
        </w:rPr>
        <w:t>8月，完成河北省地方标准</w:t>
      </w:r>
      <w:r>
        <w:rPr>
          <w:rFonts w:hint="eastAsia" w:ascii="仿宋_GB2312" w:hAnsi="仿宋_GB2312" w:eastAsia="仿宋_GB2312" w:cs="仿宋_GB2312"/>
          <w:b w:val="0"/>
          <w:bCs w:val="0"/>
          <w:sz w:val="32"/>
          <w:szCs w:val="32"/>
          <w:highlight w:val="none"/>
        </w:rPr>
        <w:t>《碳普惠项目减排量核算技术规范 氢燃料电池汽车》</w:t>
      </w:r>
      <w:r>
        <w:rPr>
          <w:rFonts w:hint="eastAsia" w:ascii="仿宋_GB2312" w:hAnsi="仿宋_GB2312" w:eastAsia="仿宋_GB2312" w:cs="仿宋_GB2312"/>
          <w:sz w:val="32"/>
          <w:szCs w:val="32"/>
          <w:highlight w:val="none"/>
          <w:lang w:val="en-US" w:eastAsia="zh-CN"/>
        </w:rPr>
        <w:t>的标准项目申报书以及标准草稿文案终版的提交工作。2024年9月，河北省市场监督管理局发布公告，</w:t>
      </w:r>
      <w:r>
        <w:rPr>
          <w:rFonts w:hint="eastAsia" w:ascii="仿宋_GB2312" w:hAnsi="仿宋_GB2312" w:eastAsia="仿宋_GB2312" w:cs="仿宋_GB2312"/>
          <w:b w:val="0"/>
          <w:bCs w:val="0"/>
          <w:sz w:val="32"/>
          <w:szCs w:val="32"/>
          <w:highlight w:val="none"/>
        </w:rPr>
        <w:t>《碳普惠项目减排量核算技术规范 氢燃料电池汽车》</w:t>
      </w:r>
      <w:r>
        <w:rPr>
          <w:rFonts w:hint="eastAsia" w:ascii="仿宋_GB2312" w:hAnsi="仿宋_GB2312" w:eastAsia="仿宋_GB2312" w:cs="仿宋_GB2312"/>
          <w:b w:val="0"/>
          <w:bCs w:val="0"/>
          <w:sz w:val="32"/>
          <w:szCs w:val="32"/>
          <w:highlight w:val="none"/>
          <w:lang w:val="en-US" w:eastAsia="zh-CN"/>
        </w:rPr>
        <w:t>立项成功，</w:t>
      </w:r>
      <w:r>
        <w:rPr>
          <w:rFonts w:hint="eastAsia" w:ascii="仿宋_GB2312" w:hAnsi="仿宋_GB2312" w:eastAsia="仿宋_GB2312" w:cs="仿宋_GB2312"/>
          <w:b w:val="0"/>
          <w:bCs w:val="0"/>
          <w:sz w:val="32"/>
          <w:szCs w:val="32"/>
          <w:highlight w:val="none"/>
        </w:rPr>
        <w:t>项目编号为</w:t>
      </w:r>
      <w:r>
        <w:rPr>
          <w:rFonts w:hint="eastAsia" w:ascii="仿宋_GB2312" w:hAnsi="仿宋_GB2312" w:eastAsia="仿宋_GB2312" w:cs="仿宋_GB2312"/>
          <w:sz w:val="32"/>
          <w:szCs w:val="32"/>
          <w:highlight w:val="none"/>
        </w:rPr>
        <w:t>JJJ202402</w:t>
      </w:r>
      <w:r>
        <w:rPr>
          <w:rFonts w:hint="eastAsia" w:ascii="仿宋_GB2312" w:hAnsi="仿宋_GB2312" w:eastAsia="仿宋_GB2312" w:cs="仿宋_GB2312"/>
          <w:b w:val="0"/>
          <w:bCs w:val="0"/>
          <w:sz w:val="32"/>
          <w:szCs w:val="32"/>
          <w:highlight w:val="none"/>
        </w:rPr>
        <w:t>，项目类别一类，为标准制订项目。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（二）形成初稿。2024年9月-2025年4月，标准编制组开展标准编制思路和内容的论证，</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标准编制文件资料研究、专家咨询和部分实地调研，确保本标准的内容符合京津冀区域城市交通碳排放体系建设的总体要求。京津冀三地编制组同步开展地方交通出行相关数据的调研工作，并按照地方标准要求，编制完成《碳普惠项目减排量核算技术规范 氢燃料电池汽车》标准文本初稿。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形成征求意见稿。2025年5月，北京标准编制组召开京津冀三地标准编制工作研讨会，针对标准适用范围、参数推荐值核算等问题进一步沟通，研究标准文本通用性和科学性。2025年6月，形成标准公开征求意见稿文本和编制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定向征求意见</w:t>
      </w:r>
      <w:r>
        <w:rPr>
          <w:rFonts w:hint="eastAsia" w:ascii="仿宋_GB2312" w:hAnsi="仿宋_GB2312" w:eastAsia="仿宋_GB2312" w:cs="仿宋_GB2312"/>
          <w:sz w:val="32"/>
          <w:szCs w:val="32"/>
        </w:rPr>
        <w:t>。2025年8月开展定向征求意见工作。2025年9月完成定向征求意见，充分征求本行业主管部门（北京市交通委员会、</w:t>
      </w:r>
      <w:r>
        <w:rPr>
          <w:rFonts w:hint="default" w:ascii="仿宋_GB2312" w:hAnsi="仿宋_GB2312" w:eastAsia="仿宋_GB2312" w:cs="仿宋_GB2312"/>
          <w:sz w:val="32"/>
          <w:szCs w:val="32"/>
        </w:rPr>
        <w:t>北京市经济和信息化局</w:t>
      </w:r>
      <w:r>
        <w:rPr>
          <w:rFonts w:hint="eastAsia" w:ascii="仿宋_GB2312" w:hAnsi="仿宋_GB2312" w:eastAsia="仿宋_GB2312" w:cs="仿宋_GB2312"/>
          <w:sz w:val="32"/>
          <w:szCs w:val="32"/>
        </w:rPr>
        <w:t>、京津冀各市/区生态环境局等）以及标准涉及的相关单位（北京市标准化研究院、北京海珀尔能源管理有限公司、北京市燃气集团有限责任公司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天津市交通科学研究院、天津市智能交通运行监测中心、荣程新能(天津)氢能科技有限公司、</w:t>
      </w:r>
      <w:r>
        <w:rPr>
          <w:rFonts w:hint="default" w:ascii="仿宋_GB2312" w:hAnsi="仿宋_GB2312" w:eastAsia="仿宋_GB2312" w:cs="仿宋_GB2312"/>
          <w:sz w:val="32"/>
          <w:szCs w:val="32"/>
          <w:highlight w:val="none"/>
          <w:lang w:val="en-US" w:eastAsia="zh-CN"/>
        </w:rPr>
        <w:t>河钢集团有限公司</w:t>
      </w:r>
      <w:r>
        <w:rPr>
          <w:rFonts w:hint="eastAsia" w:ascii="仿宋_GB2312" w:hAnsi="仿宋_GB2312" w:eastAsia="仿宋_GB2312" w:cs="仿宋_GB2312"/>
          <w:sz w:val="32"/>
          <w:szCs w:val="32"/>
          <w:highlight w:val="none"/>
          <w:lang w:val="en-US" w:eastAsia="zh-CN"/>
        </w:rPr>
        <w:t>、河钢工业技术服务有限公司、未势能源科技河北有限公司</w:t>
      </w:r>
      <w:r>
        <w:rPr>
          <w:rFonts w:hint="eastAsia" w:ascii="仿宋_GB2312" w:hAnsi="仿宋_GB2312" w:eastAsia="仿宋_GB2312" w:cs="仿宋_GB2312"/>
          <w:sz w:val="32"/>
          <w:szCs w:val="32"/>
        </w:rPr>
        <w:t>等）意见。</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（五）通过初审会。2025年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日，京津冀三地生态环境部门共同组织召开</w:t>
      </w:r>
      <w:r>
        <w:rPr>
          <w:rFonts w:hint="eastAsia" w:ascii="仿宋_GB2312" w:hAnsi="仿宋_GB2312" w:eastAsia="仿宋_GB2312" w:cs="仿宋_GB2312"/>
          <w:sz w:val="32"/>
          <w:szCs w:val="32"/>
          <w:lang w:val="en-US" w:eastAsia="zh-CN"/>
        </w:rPr>
        <w:t>标准初审会，来自三地碳排放核算、交通、能源等领域的7位专家对标准进行初步审查，专家组一致同意标准通过初审。会后根据专家意见完善形成标准征求意见稿。</w:t>
      </w:r>
    </w:p>
    <w:p>
      <w:pPr>
        <w:pStyle w:val="2"/>
        <w:spacing w:before="0" w:beforeLines="0" w:after="0" w:afterLines="0" w:line="560" w:lineRule="exact"/>
        <w:ind w:left="0" w:firstLine="640" w:firstLineChars="200"/>
        <w:rPr>
          <w:rFonts w:hint="eastAsia"/>
          <w:sz w:val="32"/>
          <w:szCs w:val="32"/>
        </w:rPr>
      </w:pPr>
      <w:bookmarkStart w:id="70" w:name="_Toc17699"/>
      <w:bookmarkStart w:id="71" w:name="_Toc23671"/>
      <w:bookmarkStart w:id="72" w:name="_Toc2078"/>
      <w:bookmarkStart w:id="73" w:name="_Toc15890"/>
      <w:bookmarkStart w:id="74" w:name="_Toc9191"/>
      <w:bookmarkStart w:id="75" w:name="_Toc15305"/>
      <w:bookmarkStart w:id="76" w:name="_Toc25152"/>
      <w:bookmarkStart w:id="77" w:name="_Toc2385"/>
      <w:bookmarkStart w:id="78" w:name="_Toc16421"/>
      <w:bookmarkStart w:id="79" w:name="_Toc20397"/>
      <w:bookmarkStart w:id="80" w:name="_Toc12567"/>
      <w:bookmarkStart w:id="81" w:name="_Toc8370"/>
      <w:bookmarkStart w:id="82" w:name="_Toc6002"/>
      <w:bookmarkStart w:id="83" w:name="_Toc1044910550"/>
      <w:r>
        <w:rPr>
          <w:rFonts w:hint="eastAsia"/>
          <w:sz w:val="32"/>
          <w:szCs w:val="32"/>
        </w:rPr>
        <w:t>制定标准的原则和依据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3"/>
        <w:numPr>
          <w:ilvl w:val="0"/>
          <w:numId w:val="3"/>
        </w:numPr>
        <w:spacing w:before="0" w:beforeLines="0" w:after="0" w:afterLines="0" w:line="560" w:lineRule="exact"/>
        <w:ind w:firstLine="642" w:firstLineChars="200"/>
        <w:rPr>
          <w:rFonts w:hint="eastAsia" w:eastAsia="楷体_GB2312"/>
          <w:bCs/>
          <w:sz w:val="32"/>
          <w:szCs w:val="32"/>
        </w:rPr>
      </w:pPr>
      <w:bookmarkStart w:id="84" w:name="_Toc10090"/>
      <w:bookmarkStart w:id="85" w:name="_Toc32326"/>
      <w:bookmarkStart w:id="86" w:name="_Toc31304"/>
      <w:bookmarkStart w:id="87" w:name="_Toc32000"/>
      <w:bookmarkStart w:id="88" w:name="_Toc6273"/>
      <w:bookmarkStart w:id="89" w:name="_Toc7207"/>
      <w:bookmarkStart w:id="90" w:name="_Toc31656"/>
      <w:bookmarkStart w:id="91" w:name="_Toc24402"/>
      <w:bookmarkStart w:id="92" w:name="_Toc643"/>
      <w:r>
        <w:rPr>
          <w:rFonts w:hint="eastAsia" w:eastAsia="楷体_GB2312"/>
          <w:bCs/>
          <w:sz w:val="32"/>
          <w:szCs w:val="32"/>
        </w:rPr>
        <w:t>标准制定的原则和依据</w:t>
      </w:r>
      <w:bookmarkEnd w:id="84"/>
      <w:bookmarkEnd w:id="85"/>
      <w:bookmarkEnd w:id="86"/>
      <w:bookmarkEnd w:id="87"/>
      <w:bookmarkEnd w:id="88"/>
      <w:bookmarkEnd w:id="89"/>
      <w:bookmarkEnd w:id="90"/>
      <w:bookmarkEnd w:id="91"/>
      <w:bookmarkEnd w:id="92"/>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default"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rPr>
        <w:t>将按照GB/T 1.1-2020的要求和规定，</w:t>
      </w:r>
      <w:r>
        <w:rPr>
          <w:rFonts w:hint="eastAsia" w:ascii="仿宋_GB2312" w:hAnsi="仿宋_GB2312" w:eastAsia="仿宋_GB2312" w:cs="仿宋_GB2312"/>
          <w:sz w:val="32"/>
          <w:szCs w:val="32"/>
        </w:rPr>
        <w:t>基于以下原则编制</w:t>
      </w:r>
      <w:r>
        <w:rPr>
          <w:rFonts w:hint="eastAsia" w:ascii="仿宋_GB2312" w:hAnsi="仿宋_GB2312" w:eastAsia="仿宋_GB2312" w:cs="仿宋_GB2312"/>
          <w:color w:val="000000"/>
          <w:sz w:val="32"/>
          <w:szCs w:val="32"/>
        </w:rPr>
        <w:t>。</w:t>
      </w:r>
    </w:p>
    <w:p>
      <w:pPr>
        <w:pStyle w:val="4"/>
        <w:spacing w:line="560" w:lineRule="exact"/>
        <w:ind w:firstLine="640"/>
        <w:rPr>
          <w:rFonts w:hint="eastAsia" w:ascii="仿宋_GB2312" w:hAnsi="仿宋_GB2312" w:eastAsia="仿宋_GB2312" w:cs="仿宋_GB2312"/>
          <w:sz w:val="32"/>
          <w:szCs w:val="32"/>
        </w:rPr>
      </w:pPr>
      <w:bookmarkStart w:id="93" w:name="_Toc19630"/>
      <w:r>
        <w:rPr>
          <w:rFonts w:hint="eastAsia" w:ascii="仿宋_GB2312" w:hAnsi="仿宋_GB2312" w:eastAsia="仿宋_GB2312" w:cs="仿宋_GB2312"/>
          <w:sz w:val="32"/>
          <w:szCs w:val="32"/>
        </w:rPr>
        <w:t>（1）科学性原则</w:t>
      </w:r>
      <w:bookmarkEnd w:id="93"/>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方法学的制定要围绕北京市氢燃料电池汽车示范应用相关大数据现状，以规范和统一减排量计算基准线情景和项目活动设置和参数为目的，做到技术指标科学、参数设置合理，满足数据可报告、可监测、可核查的要求。同时，充分考虑了北京市车辆的车型结构、能源结构、车辆行驶速度等特点。</w:t>
      </w:r>
    </w:p>
    <w:p>
      <w:pPr>
        <w:pStyle w:val="4"/>
        <w:spacing w:line="560" w:lineRule="exact"/>
        <w:ind w:firstLine="640"/>
        <w:rPr>
          <w:rFonts w:hint="eastAsia" w:ascii="仿宋_GB2312" w:hAnsi="仿宋_GB2312" w:eastAsia="仿宋_GB2312" w:cs="仿宋_GB2312"/>
          <w:sz w:val="32"/>
          <w:szCs w:val="32"/>
        </w:rPr>
      </w:pPr>
      <w:bookmarkStart w:id="94" w:name="_Toc28888"/>
      <w:r>
        <w:rPr>
          <w:rFonts w:hint="eastAsia" w:ascii="仿宋_GB2312" w:hAnsi="仿宋_GB2312" w:eastAsia="仿宋_GB2312" w:cs="仿宋_GB2312"/>
          <w:sz w:val="32"/>
          <w:szCs w:val="32"/>
        </w:rPr>
        <w:t>（2）承接性原则</w:t>
      </w:r>
      <w:bookmarkEnd w:id="94"/>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方法学术语应与相应国家、国际、行业和地方标准或方法学的规定内容相一致，杜绝条文自相矛盾。方法学技术内容应与国家、国际、行业和地方标准或方法学兼容，防止出现冲突，确保一致性。同时，应充分考虑该方法学与相关方法学的紧密结合，便于方法学之间的协调应用。</w:t>
      </w:r>
    </w:p>
    <w:p>
      <w:pPr>
        <w:pStyle w:val="4"/>
        <w:spacing w:line="560" w:lineRule="exact"/>
        <w:ind w:firstLine="640"/>
        <w:rPr>
          <w:rFonts w:hint="eastAsia" w:ascii="仿宋_GB2312" w:hAnsi="仿宋_GB2312" w:eastAsia="仿宋_GB2312" w:cs="仿宋_GB2312"/>
          <w:sz w:val="32"/>
          <w:szCs w:val="32"/>
        </w:rPr>
      </w:pPr>
      <w:bookmarkStart w:id="95" w:name="_Toc12329"/>
      <w:r>
        <w:rPr>
          <w:rFonts w:hint="eastAsia" w:ascii="仿宋_GB2312" w:hAnsi="仿宋_GB2312" w:eastAsia="仿宋_GB2312" w:cs="仿宋_GB2312"/>
          <w:sz w:val="32"/>
          <w:szCs w:val="32"/>
        </w:rPr>
        <w:t>（3）可操作性原则</w:t>
      </w:r>
      <w:bookmarkEnd w:id="95"/>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方法学在充分考虑广泛适用性的基础上，应重点吸收相关政府管理部门、交通企业和项目开发方的意见，同时在编写过程中充分征求相关单位的意见，提高方法学在实际应用中的可操作性。</w:t>
      </w:r>
    </w:p>
    <w:p>
      <w:pPr>
        <w:pStyle w:val="3"/>
        <w:numPr>
          <w:ilvl w:val="0"/>
          <w:numId w:val="3"/>
        </w:numPr>
        <w:spacing w:before="0" w:beforeLines="0" w:after="0" w:afterLines="0" w:line="560" w:lineRule="exact"/>
        <w:ind w:firstLine="642" w:firstLineChars="200"/>
        <w:rPr>
          <w:rFonts w:hint="eastAsia" w:eastAsia="楷体_GB2312"/>
          <w:bCs/>
          <w:sz w:val="32"/>
          <w:szCs w:val="32"/>
        </w:rPr>
      </w:pPr>
      <w:bookmarkStart w:id="96" w:name="_Toc30652"/>
      <w:bookmarkStart w:id="97" w:name="_Toc24312"/>
      <w:bookmarkStart w:id="98" w:name="_Toc26403"/>
      <w:bookmarkStart w:id="99" w:name="_Toc29344"/>
      <w:bookmarkStart w:id="100" w:name="_Toc10135"/>
      <w:bookmarkStart w:id="101" w:name="_Toc22169"/>
      <w:bookmarkStart w:id="102" w:name="_Toc1620"/>
      <w:bookmarkStart w:id="103" w:name="_Toc11381"/>
      <w:bookmarkStart w:id="104" w:name="_Toc1468"/>
      <w:r>
        <w:rPr>
          <w:rFonts w:hint="eastAsia" w:eastAsia="楷体_GB2312"/>
          <w:bCs/>
          <w:sz w:val="32"/>
          <w:szCs w:val="32"/>
        </w:rPr>
        <w:t>与现行法律、法规和标准的关系</w:t>
      </w:r>
      <w:bookmarkEnd w:id="96"/>
      <w:bookmarkEnd w:id="97"/>
      <w:bookmarkEnd w:id="98"/>
      <w:bookmarkEnd w:id="99"/>
      <w:bookmarkEnd w:id="100"/>
      <w:bookmarkEnd w:id="101"/>
      <w:bookmarkEnd w:id="102"/>
      <w:bookmarkEnd w:id="103"/>
      <w:bookmarkEnd w:id="104"/>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标准内容的编制主要依据为国家和地方主管部门发布的任务文件、行业主管部门公开发布的数据、权威交通发展机构年报、自愿减排项目方法学的最新版本、CDM-EB批准的工具最新版本、IPCC最新版本和相关的文献资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本方法学参考了下列自愿减排项目方法学的最新版本：</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“北京市小客车（油改电）出行碳减排方法学（试行）”</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“河北省氢燃料电池重型货车使用阶段碳减排量核算方法学”</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“广州市氢燃料电池汽车行驶碳普惠方法学（2024年试行版）”</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“通过电动和混合动力汽车实现减排（CMS-048-V01）”</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“商用车队中引入低排放车辆或技术（CMS-053-V01）”</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“小规模方法学：氢燃料电池汽车AMS-III.BQ”</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本方法学还引用了以下CDM-EB批准的工具最新版本：</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“额外性论证和评价工具”</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“小型项目活动额外性论证工具”</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“微型项目活动额外性论证工具”</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“电力消耗导致的基准线、项目和/或泄漏排放计算工具”</w:t>
      </w:r>
    </w:p>
    <w:p>
      <w:pPr>
        <w:spacing w:line="560" w:lineRule="exact"/>
        <w:ind w:firstLine="900" w:firstLineChars="3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“化石燃料燃烧导致的项目或泄漏二氧化碳排放工具”</w:t>
      </w:r>
    </w:p>
    <w:p>
      <w:pPr>
        <w:spacing w:line="560" w:lineRule="exact"/>
        <w:ind w:firstLine="90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t>“电力系统排放因子计算工具”</w:t>
      </w:r>
    </w:p>
    <w:p>
      <w:pPr>
        <w:pStyle w:val="2"/>
        <w:keepNext/>
        <w:spacing w:before="0" w:beforeLines="0" w:after="0" w:afterLines="0" w:line="560" w:lineRule="exact"/>
        <w:ind w:left="0" w:firstLine="640" w:firstLineChars="200"/>
        <w:rPr>
          <w:rFonts w:hint="eastAsia"/>
          <w:sz w:val="32"/>
          <w:szCs w:val="32"/>
        </w:rPr>
      </w:pPr>
      <w:bookmarkStart w:id="105" w:name="_Toc19557"/>
      <w:bookmarkStart w:id="106" w:name="_Toc10665"/>
      <w:bookmarkStart w:id="107" w:name="_Toc1918368202"/>
      <w:bookmarkStart w:id="108" w:name="_Toc18739"/>
      <w:bookmarkStart w:id="109" w:name="_Toc22865"/>
      <w:bookmarkStart w:id="110" w:name="_Toc4168"/>
      <w:bookmarkStart w:id="111" w:name="_Toc3684"/>
      <w:bookmarkStart w:id="112" w:name="_Toc13726"/>
      <w:bookmarkStart w:id="113" w:name="_Toc8582"/>
      <w:bookmarkStart w:id="114" w:name="_Toc13339"/>
      <w:bookmarkStart w:id="115" w:name="_Toc21879"/>
      <w:bookmarkStart w:id="116" w:name="_Toc2855"/>
      <w:bookmarkStart w:id="117" w:name="_Toc14023"/>
      <w:bookmarkStart w:id="118" w:name="_Toc13396"/>
      <w:r>
        <w:rPr>
          <w:rFonts w:hint="eastAsia"/>
          <w:sz w:val="32"/>
          <w:szCs w:val="32"/>
        </w:rPr>
        <w:t>主要条款的说明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3"/>
        <w:keepNext/>
        <w:spacing w:before="0" w:beforeLines="0" w:after="0" w:afterLines="0" w:line="560" w:lineRule="exact"/>
        <w:ind w:firstLine="642" w:firstLineChars="200"/>
        <w:rPr>
          <w:rFonts w:hint="eastAsia" w:eastAsia="楷体_GB2312"/>
          <w:bCs/>
          <w:sz w:val="32"/>
          <w:szCs w:val="32"/>
        </w:rPr>
      </w:pPr>
      <w:bookmarkStart w:id="119" w:name="_Toc158"/>
      <w:bookmarkStart w:id="120" w:name="_Toc3738"/>
      <w:bookmarkStart w:id="121" w:name="_Toc12871"/>
      <w:bookmarkStart w:id="122" w:name="_Toc25375"/>
      <w:bookmarkStart w:id="123" w:name="_Toc7375"/>
      <w:bookmarkStart w:id="124" w:name="_Toc7396"/>
      <w:bookmarkStart w:id="125" w:name="_Toc20690"/>
      <w:bookmarkStart w:id="126" w:name="_Toc9290"/>
      <w:bookmarkStart w:id="127" w:name="_Toc4296"/>
      <w:r>
        <w:rPr>
          <w:rFonts w:hint="eastAsia" w:eastAsia="楷体_GB2312"/>
          <w:bCs/>
          <w:sz w:val="32"/>
          <w:szCs w:val="32"/>
        </w:rPr>
        <w:t>1．主要条款</w:t>
      </w:r>
      <w:bookmarkEnd w:id="119"/>
      <w:bookmarkEnd w:id="120"/>
      <w:bookmarkEnd w:id="121"/>
      <w:bookmarkEnd w:id="122"/>
      <w:bookmarkEnd w:id="123"/>
      <w:bookmarkEnd w:id="124"/>
      <w:bookmarkEnd w:id="125"/>
      <w:bookmarkEnd w:id="126"/>
      <w:bookmarkEnd w:id="127"/>
    </w:p>
    <w:p>
      <w:pPr>
        <w:pStyle w:val="4"/>
        <w:spacing w:line="560" w:lineRule="exact"/>
        <w:ind w:firstLine="640"/>
        <w:rPr>
          <w:rFonts w:hint="eastAsia" w:ascii="仿宋_GB2312" w:hAnsi="仿宋_GB2312" w:eastAsia="仿宋_GB2312" w:cs="仿宋_GB2312"/>
          <w:sz w:val="32"/>
          <w:szCs w:val="32"/>
        </w:rPr>
      </w:pPr>
      <w:bookmarkStart w:id="128" w:name="_Toc6762"/>
      <w:r>
        <w:rPr>
          <w:rFonts w:hint="eastAsia" w:ascii="仿宋_GB2312" w:hAnsi="仿宋_GB2312" w:eastAsia="仿宋_GB2312" w:cs="仿宋_GB2312"/>
          <w:sz w:val="32"/>
          <w:szCs w:val="32"/>
        </w:rPr>
        <w:t>（1）适用性条件</w:t>
      </w:r>
      <w:bookmarkEnd w:id="128"/>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本标准参考《北京市碳普惠项目方法学 氢燃料电池汽车（试行）》、《河北省氢燃料电池重型货车使用阶段碳减排量核算方法学》、《广州市氢燃料电池汽车行驶碳普惠方法学（2024年试行版）》等文件，适用于在项目开发方记录的京津冀行政辖区内拥有自愿减排意愿的企业、团队或个人，使用注册地为京津冀的氢燃料电池汽车进行交通运输的项目活动，项目立项区域及参与项目的氢燃料电池汽车注册地需保持一致，其地理边界为京津冀行政区域范围内。</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方法学适用主体、氢燃料电池汽车应用特征、京津冀协同发展以及方法学涉及数据的获取与减排量核算等综合考虑，参与减排项目的车辆范围包括但不限于载客汽车、载货汽车、挂车或其他服务车辆。考虑减排量的唯一性，参与强制碳市场车辆以及参与了其他自愿减排项目开发的车辆不能重复参与。将活动范围设置为京津冀区域范围内。</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考虑方法学研究对象特征及京津冀区域协同需求，项目活动范围设置为京津冀区域内。从研究对象特征来讲，氢燃料电池汽车的典型适用场景是长途、重载运输，典型应用车型是氢燃料电池重型货车和大型客车，将项目活动范围由北京行政区内扩大到京津冀区域，可以更好的发挥出氢燃料电池汽车的运输优势，有助于氢燃料电池汽车的示范推广，助力北京市交通领域低碳转型和京津冀燃料电池汽车示范城市群建设。从京津冀区域协同需求来讲，由于京津冀三地属于环绕型区位关系，区域内货运70%依靠公路运输，柴油车对区域PM2.5的贡献达到16%，货运碳排放每年达到千万吨的规模，仅占车辆总数的20%中重型货车产生的碳排放可占货运总量的50%，京津冀区域内环保已进入深度攻坚的阶段，</w:t>
      </w:r>
      <w:r>
        <w:rPr>
          <w:rFonts w:hint="default" w:ascii="仿宋_GB2312" w:hAnsi="仿宋_GB2312" w:eastAsia="仿宋_GB2312" w:cs="仿宋_GB2312"/>
          <w:color w:val="000000"/>
          <w:sz w:val="32"/>
          <w:szCs w:val="32"/>
        </w:rPr>
        <w:t>是“十四五”</w:t>
      </w:r>
      <w:r>
        <w:rPr>
          <w:rFonts w:hint="eastAsia" w:ascii="仿宋_GB2312" w:hAnsi="仿宋_GB2312" w:eastAsia="仿宋_GB2312" w:cs="仿宋_GB2312"/>
          <w:color w:val="000000"/>
          <w:sz w:val="32"/>
          <w:szCs w:val="32"/>
        </w:rPr>
        <w:t>期间减排的主要领域，将项目活动范围拓展到京津冀区域，利于京津冀区域产业协同发展和减污降碳协同。</w:t>
      </w:r>
    </w:p>
    <w:p>
      <w:pPr>
        <w:pStyle w:val="4"/>
        <w:spacing w:line="560" w:lineRule="exact"/>
        <w:ind w:firstLine="640"/>
        <w:rPr>
          <w:rFonts w:hint="eastAsia" w:ascii="仿宋_GB2312" w:hAnsi="仿宋_GB2312" w:eastAsia="仿宋_GB2312" w:cs="仿宋_GB2312"/>
          <w:sz w:val="32"/>
          <w:szCs w:val="32"/>
        </w:rPr>
      </w:pPr>
      <w:bookmarkStart w:id="129" w:name="_Toc22346"/>
      <w:r>
        <w:rPr>
          <w:rFonts w:hint="eastAsia" w:ascii="仿宋_GB2312" w:hAnsi="仿宋_GB2312" w:eastAsia="仿宋_GB2312" w:cs="仿宋_GB2312"/>
          <w:sz w:val="32"/>
          <w:szCs w:val="32"/>
        </w:rPr>
        <w:t>（2）基准线情景</w:t>
      </w:r>
      <w:bookmarkEnd w:id="129"/>
    </w:p>
    <w:p>
      <w:pPr>
        <w:spacing w:line="560" w:lineRule="exact"/>
        <w:ind w:firstLine="640" w:firstLineChars="200"/>
        <w:rPr>
          <w:rFonts w:hint="eastAsia" w:ascii="仿宋_GB2312" w:hAnsi="仿宋_GB2312" w:eastAsia="仿宋_GB2312" w:cs="仿宋_GB2312"/>
          <w:color w:val="000000"/>
          <w:sz w:val="32"/>
          <w:szCs w:val="32"/>
        </w:rPr>
      </w:pPr>
      <w:bookmarkStart w:id="130" w:name="_Hlk111623691"/>
      <w:r>
        <w:rPr>
          <w:rFonts w:hint="eastAsia" w:ascii="仿宋_GB2312" w:hAnsi="仿宋_GB2312" w:eastAsia="仿宋_GB2312" w:cs="仿宋_GB2312"/>
          <w:color w:val="000000"/>
          <w:sz w:val="32"/>
          <w:szCs w:val="32"/>
        </w:rPr>
        <w:t>方法学的编制旨在鼓励使用汽/柴油车等化石燃料车辆进行客/货运输向使用氢燃料电池汽车等新能源车进行客/货运运输转移，实现交通领域的协同降碳减污，助力双碳目标。因此将“与项目氢燃料电池汽车车辆类型相同，并能够在同等时间内完成相等周转量的汽油和柴油车进行运输活动的情景”设为基准线情景。</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识别基准线情景时，需充分考虑项目活动是引入氢燃料电池汽车替代使用化石燃料的车辆从而实现减排的活动，需要实现与基准线情景下提供相同运输服务的情况下，通过引入氢燃料电池汽车而实现温室气体减排。因此项目车辆应该是对提供相同服务水平的基准线车辆的替换，即同一车型同等运输能力的替代。其中同等运输能力可以理解为同等时间内客运或货运周转量相等，即一定时期内，实际运送的乘客人数或货物吨量与其运输距离的乘积相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1）同车型同周转量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同车型同周转量的替换，根据调研数据得到，同一起讫点下氢燃料电池汽车替换油车等行业车辆后的运输距离几乎没有差异，但是同一车型的载货/载客能力存在一定差异。其中，同一车身长度氢车和油车的额定载客人数几乎没有差异，但同一最大设计总质量的货车，额定载货质量存在显著差异，氢燃料电池货车相比同等最大总质量的燃油货车低5%-30%不等。因此，车辆1:1替换，不能代表相等的运输服务，为保证减排真实、精准、科学的核算，所以考虑同车型、同等周转量的同等替换原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2）基准线车辆能源类型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基准线车辆能源类型的确定，综合考虑了北京市不同车辆类型中天然气、纯电动等车辆占比情况以及车辆替换可能性。根据2023年2月北京市机动车保有量分析，在氢燃料电池汽车主要替换的大中型客车、重型货车2大类应用车型中，天然气车辆分别占比0.2%、1.54%，纯电动车辆分别占比5.78%、1.62%。因此，综合考虑到天然气、纯电动车辆的低占比以及氢燃料电池汽车替换纯电动</w:t>
      </w:r>
      <w:r>
        <w:rPr>
          <w:rFonts w:hint="default" w:ascii="仿宋_GB2312" w:hAnsi="仿宋_GB2312" w:eastAsia="仿宋_GB2312" w:cs="仿宋_GB2312"/>
          <w:color w:val="000000"/>
          <w:sz w:val="32"/>
          <w:szCs w:val="32"/>
        </w:rPr>
        <w:t>车辆</w:t>
      </w:r>
      <w:r>
        <w:rPr>
          <w:rFonts w:hint="eastAsia" w:ascii="仿宋_GB2312" w:hAnsi="仿宋_GB2312" w:eastAsia="仿宋_GB2312" w:cs="仿宋_GB2312"/>
          <w:color w:val="000000"/>
          <w:sz w:val="32"/>
          <w:szCs w:val="32"/>
        </w:rPr>
        <w:t>可能性较低，本方法学在确定基准线车辆能源类型只考虑了车辆需求量大、污染物排放高、替换可能性大的汽油和柴油等化石燃料车辆。</w:t>
      </w:r>
    </w:p>
    <w:bookmarkEnd w:id="130"/>
    <w:p>
      <w:pPr>
        <w:pStyle w:val="4"/>
        <w:spacing w:line="560" w:lineRule="exact"/>
        <w:ind w:firstLine="640"/>
        <w:rPr>
          <w:rFonts w:hint="eastAsia" w:ascii="仿宋_GB2312" w:hAnsi="仿宋_GB2312" w:eastAsia="仿宋_GB2312" w:cs="仿宋_GB2312"/>
          <w:sz w:val="32"/>
          <w:szCs w:val="32"/>
        </w:rPr>
      </w:pPr>
      <w:bookmarkStart w:id="131" w:name="_Toc6369"/>
      <w:r>
        <w:rPr>
          <w:rFonts w:hint="eastAsia" w:ascii="仿宋_GB2312" w:hAnsi="仿宋_GB2312" w:eastAsia="仿宋_GB2312" w:cs="仿宋_GB2312"/>
          <w:sz w:val="32"/>
          <w:szCs w:val="32"/>
        </w:rPr>
        <w:t>（3）额外性论证</w:t>
      </w:r>
      <w:bookmarkEnd w:id="131"/>
    </w:p>
    <w:p>
      <w:pPr>
        <w:spacing w:line="560" w:lineRule="exact"/>
        <w:ind w:firstLine="640" w:firstLineChars="200"/>
        <w:rPr>
          <w:rFonts w:hint="eastAsia" w:ascii="仿宋_GB2312" w:hAnsi="仿宋_GB2312" w:eastAsia="仿宋_GB2312" w:cs="仿宋_GB2312"/>
          <w:color w:val="000000"/>
          <w:sz w:val="32"/>
          <w:szCs w:val="32"/>
        </w:rPr>
      </w:pPr>
      <w:bookmarkStart w:id="132" w:name="_Hlk111623762"/>
      <w:r>
        <w:rPr>
          <w:rFonts w:hint="eastAsia" w:ascii="仿宋_GB2312" w:hAnsi="仿宋_GB2312" w:eastAsia="仿宋_GB2312" w:cs="仿宋_GB2312"/>
          <w:color w:val="000000"/>
          <w:sz w:val="32"/>
          <w:szCs w:val="32"/>
        </w:rPr>
        <w:t>根据《氢能产业发展中长期规划（2021-2035年）》，氢能是未来国家能源体系的重要组成部分、用能终端实现绿色低碳转型的重要载体，氢能产业是战略性新兴产业和未来产业重点发展方向。在交通运输领域，氢燃料电池汽车将实现长途重型运输场景的脱碳，具备协同降碳减污的综合效果。因此在额外性论证上，参考CDM EB规则和CCER额外性论证方式，采用简化方法进行论证，即若事先可证明项目活动之前在项目区域内（活动区域还是注册区域）氢燃料电池车辆的市场份额小于或等于同类型或承担同样运输功能车辆的5%，且满足区域首例的要求，则项目可免予额外性论证。否则按照“额外性论证和评价工具”或“小型项目活动额外性论证工具”、“微型项目活动额外性论证工具”进行论证。</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1）简易论证方式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参考CDM EB规则简易论证：符合“首例(批)项目活动额外性论证工具”中对于地域首例（批）的要求，则项目可免于额外性论证。</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考现有的CCER方法学适用性条件，可以采用事先证明项目活动之前在项目区域内氢燃料电池汽车、电动车/混合动力车的市场份额小于或等于同类型车辆一定比例的简化方式来证明额外性：如“AMS-III.BQ小规模方法学：氢燃料电池汽车”提到市场份额小于或等于项目适用地理区域内同类型车辆的2.5%；“CMS-048-V01通过电动和混合动力汽车实现减排”提到市场份额比例不大于5%；“CMS-047-V01通过在商业货运车辆上安装数字式转速记录器提高能效”等方法学提到比例为20%。“CM-105-V01公共自行车项目方法学”提到现有交通系统中非机动车出行方式占项目所在城市中交通出行总量的比例应该不大于50%等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2）5%的比例取值</w:t>
      </w:r>
    </w:p>
    <w:p>
      <w:pPr>
        <w:spacing w:line="560" w:lineRule="exact"/>
        <w:ind w:firstLine="640" w:firstLineChars="200"/>
        <w:rPr>
          <w:rFonts w:hint="eastAsia" w:ascii="仿宋" w:hAnsi="仿宋" w:eastAsia="仿宋_GB2312" w:cs="仿宋"/>
          <w:color w:val="000000"/>
          <w:sz w:val="32"/>
          <w:szCs w:val="32"/>
        </w:rPr>
      </w:pPr>
      <w:r>
        <w:rPr>
          <w:rFonts w:hint="eastAsia" w:ascii="仿宋_GB2312" w:hAnsi="仿宋_GB2312" w:eastAsia="仿宋_GB2312" w:cs="仿宋_GB2312"/>
          <w:color w:val="000000"/>
          <w:sz w:val="32"/>
          <w:szCs w:val="32"/>
        </w:rPr>
        <w:t>关于5%的比例取值，在参考CCER方法学的该比例取值的基础上，综合考虑了北京市氢燃料电池</w:t>
      </w:r>
      <w:r>
        <w:rPr>
          <w:rFonts w:hint="default" w:ascii="仿宋_GB2312" w:hAnsi="仿宋_GB2312" w:eastAsia="仿宋_GB2312" w:cs="仿宋_GB2312"/>
          <w:color w:val="000000"/>
          <w:sz w:val="32"/>
          <w:szCs w:val="32"/>
        </w:rPr>
        <w:t>汽车</w:t>
      </w:r>
      <w:r>
        <w:rPr>
          <w:rFonts w:hint="eastAsia" w:ascii="仿宋_GB2312" w:hAnsi="仿宋_GB2312" w:eastAsia="仿宋_GB2312" w:cs="仿宋_GB2312"/>
          <w:color w:val="000000"/>
          <w:sz w:val="32"/>
          <w:szCs w:val="32"/>
        </w:rPr>
        <w:t>当前的发展规模和产业发展规划进行取值设计。</w:t>
      </w:r>
      <w:r>
        <w:rPr>
          <w:rFonts w:hint="eastAsia" w:ascii="仿宋_GB2312" w:hAnsi="仿宋_GB2312" w:eastAsia="仿宋_GB2312" w:cs="仿宋_GB2312"/>
          <w:color w:val="000000"/>
          <w:sz w:val="32"/>
          <w:szCs w:val="32"/>
          <w:lang w:eastAsia="zh-CN"/>
        </w:rPr>
        <w:t>根据</w:t>
      </w:r>
      <w:r>
        <w:rPr>
          <w:rFonts w:hint="eastAsia" w:ascii="仿宋_GB2312" w:hAnsi="仿宋_GB2312" w:eastAsia="仿宋_GB2312" w:cs="仿宋_GB2312"/>
          <w:color w:val="000000"/>
          <w:sz w:val="32"/>
          <w:szCs w:val="32"/>
        </w:rPr>
        <w:t>北京市2022年底氢燃料电池汽车的市场份额分析，氢燃料电池汽车在适用车型货车、大中型客车中的市场份额均不足1%。按照《北京市氢燃料电池汽车产业规划》，到2025年北京市拟推广1万辆氢燃料电池汽车，主要推广重型货车、大型客车，整体市场份额小于1%。但考虑到京津冀燃料电池汽车城市群的示范带动效应和全国氢燃料电池汽车高速发展势头，保守取值5%。</w:t>
      </w:r>
    </w:p>
    <w:bookmarkEnd w:id="132"/>
    <w:p>
      <w:pPr>
        <w:pStyle w:val="4"/>
        <w:spacing w:line="560" w:lineRule="exact"/>
        <w:ind w:firstLine="640"/>
        <w:rPr>
          <w:rFonts w:hint="eastAsia" w:ascii="仿宋_GB2312" w:hAnsi="仿宋_GB2312" w:eastAsia="仿宋_GB2312" w:cs="仿宋_GB2312"/>
          <w:sz w:val="32"/>
          <w:szCs w:val="32"/>
        </w:rPr>
      </w:pPr>
      <w:bookmarkStart w:id="133" w:name="_Toc7925"/>
      <w:r>
        <w:rPr>
          <w:rFonts w:hint="eastAsia" w:ascii="仿宋_GB2312" w:hAnsi="仿宋_GB2312" w:eastAsia="仿宋_GB2312" w:cs="仿宋_GB2312"/>
          <w:sz w:val="32"/>
          <w:szCs w:val="32"/>
        </w:rPr>
        <w:t>（4）基准线排放</w:t>
      </w:r>
      <w:bookmarkEnd w:id="133"/>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为保证本方法学的科学性、合理性以及易于广泛适用、便于项目开发方及项目参与主体简便应用的原则，基准线排放计算方法采用了：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基准线碳排放量=基准线车公里碳排放因子×基准线行驶里程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尤其是为了科学、准确地核算基准线排放，综合分析了影响碳排放的车辆类型（车体结构、车辆最大设计总质量或车身长度）、能源类型、速度、实际载货/客情况等关键要素，所以在技术可行的条件下，本方法学将上述关键要素综合考虑在内。因此，关于基准线排放计算：</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首先，在与项目氢燃料电池汽车的车辆类型、同等时间内完成的客运或货运周转量同等替换的原则下，确定替换的基准线车辆类型。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次，基准线排放因子计算方法选用车公里速度排放因子。速度排放因子的选取，一方面因为IPCC碳排放因子无法体现车辆实际运行和北京市道路工况的真实情况，因此基于速度因子的考虑可使基准线排放与北京市实际道路工况情况更紧密更接近，精度更高。另一方面因为氢燃料电池汽车面向城市交通、城际交通2大类场景运输，2类场景下车辆的行驶速度存在差异，基于速度因子的考虑可使基准线排放与氢燃料电池汽车实际运行情况更接近，精度更高，提高了基准线排放计算的真实性。</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最后，基准情景行驶里程基于与项目氢燃料电池汽车的实际行驶里程相等来确定。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1）基准线排放因子</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a.计算逻辑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准线因子计算时，以获取的考虑北京市车辆综合满载率的分能源类型、分车辆类型（车体结构、最大设计总质量和车身长度）速度排放因子为基础，综合考虑北京市不同能源类型、车辆类型的车辆规模、年均行驶里程，得到综合加权速度排放因子。同时采用与项目氢燃料电池汽车实际运行速度分布一致的、符合北京市车辆运行和路网真实情况的碳排放因子作为每次加氢间隔对应的基准线碳排放因子，以做到更合理、科学、精准的计算基准线情景碳排放量。可分为2种方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可获取分车型、分能源类型、分最大设计总质量或车身长度的速度排放因子，则使用项目氢燃料电池汽车每个加氢间隔的平均行驶速度下的速度排放因子，作为y年每个加氢间隔所使用的基准线车公里速度排放因子。</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无法获取分车型、分能源类型、分最大设计总质量或车身长度的速度排放因子，则使用本方法学给出的基准线因子缺省值，即使用基准年北京市路网运行数据事前计算出的路网运行速度下的综合加权碳排放因子。</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b.计算关键参数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车辆类型设置，参考《道路交通管理机动车类型》(GA802－2019)的机动车规格分类，载客汽车的规格主要依据车长、乘坐人数两个因素综合确定，载货汽车及专项作业车的规格主要依据车长、最大设计总质量两个因素综合确定，挂车的规格则依据最大设计总质量确定（其中，最大设计总质量是保证车辆绝对安全的质量，指能安全的驻车，刹车，在颠簸路面</w:t>
      </w:r>
      <w:r>
        <w:rPr>
          <w:rFonts w:hint="default" w:ascii="仿宋_GB2312" w:hAnsi="仿宋_GB2312" w:eastAsia="仿宋_GB2312" w:cs="仿宋_GB2312"/>
          <w:color w:val="000000"/>
          <w:sz w:val="32"/>
          <w:szCs w:val="32"/>
        </w:rPr>
        <w:t>上</w:t>
      </w:r>
      <w:r>
        <w:rPr>
          <w:rFonts w:hint="eastAsia" w:ascii="仿宋_GB2312" w:hAnsi="仿宋_GB2312" w:eastAsia="仿宋_GB2312" w:cs="仿宋_GB2312"/>
          <w:color w:val="000000"/>
          <w:sz w:val="32"/>
          <w:szCs w:val="32"/>
        </w:rPr>
        <w:t>连续</w:t>
      </w:r>
      <w:r>
        <w:rPr>
          <w:rFonts w:hint="default" w:ascii="仿宋_GB2312" w:hAnsi="仿宋_GB2312" w:eastAsia="仿宋_GB2312" w:cs="仿宋_GB2312"/>
          <w:color w:val="000000"/>
          <w:sz w:val="32"/>
          <w:szCs w:val="32"/>
        </w:rPr>
        <w:t>稳定</w:t>
      </w:r>
      <w:r>
        <w:rPr>
          <w:rFonts w:hint="eastAsia" w:ascii="仿宋_GB2312" w:hAnsi="仿宋_GB2312" w:eastAsia="仿宋_GB2312" w:cs="仿宋_GB2312"/>
          <w:color w:val="000000"/>
          <w:sz w:val="32"/>
          <w:szCs w:val="32"/>
        </w:rPr>
        <w:t>地运行的总质量，等于整车装备质量与最大装载质量之和。车身长度是汽车长度方向两个极端点间的距离，即从车前保险杆最凸出的位置量起，到车后保险杆最凸出的位置，这两点间的距离）。综合考虑氢燃料电池汽车现阶段推广车型，重型牵引车、重型自卸车、大型客车、轻型货车以及基准线因子计算的简易性考虑，将基准线车辆类型划分为载货汽车、</w:t>
      </w:r>
      <w:r>
        <w:rPr>
          <w:rFonts w:hint="eastAsia" w:ascii="仿宋_GB2312" w:hAnsi="仿宋_GB2312" w:eastAsia="仿宋_GB2312" w:cs="仿宋_GB2312"/>
          <w:color w:val="000000"/>
          <w:sz w:val="32"/>
          <w:szCs w:val="32"/>
          <w:lang w:val="en-US" w:eastAsia="zh-CN"/>
        </w:rPr>
        <w:t>客车</w:t>
      </w:r>
      <w:r>
        <w:rPr>
          <w:rFonts w:hint="eastAsia" w:ascii="仿宋_GB2312" w:hAnsi="仿宋_GB2312" w:eastAsia="仿宋_GB2312" w:cs="仿宋_GB2312"/>
          <w:color w:val="000000"/>
          <w:sz w:val="32"/>
          <w:szCs w:val="32"/>
        </w:rPr>
        <w:t>2大类，其中专用</w:t>
      </w:r>
      <w:r>
        <w:rPr>
          <w:rFonts w:hint="eastAsia" w:ascii="仿宋_GB2312" w:hAnsi="仿宋_GB2312" w:eastAsia="仿宋_GB2312" w:cs="仿宋_GB2312"/>
          <w:color w:val="000000"/>
          <w:sz w:val="32"/>
          <w:szCs w:val="32"/>
          <w:lang w:val="en-US" w:eastAsia="zh-CN"/>
        </w:rPr>
        <w:t>汽车</w:t>
      </w:r>
      <w:r>
        <w:rPr>
          <w:rFonts w:hint="eastAsia" w:ascii="仿宋_GB2312" w:hAnsi="仿宋_GB2312" w:eastAsia="仿宋_GB2312" w:cs="仿宋_GB2312"/>
          <w:color w:val="000000"/>
          <w:sz w:val="32"/>
          <w:szCs w:val="32"/>
        </w:rPr>
        <w:t>暂并入</w:t>
      </w:r>
      <w:r>
        <w:rPr>
          <w:rFonts w:hint="eastAsia" w:ascii="仿宋_GB2312" w:hAnsi="仿宋_GB2312" w:eastAsia="仿宋_GB2312" w:cs="仿宋_GB2312"/>
          <w:color w:val="000000"/>
          <w:sz w:val="32"/>
          <w:szCs w:val="32"/>
          <w:lang w:val="en-US" w:eastAsia="zh-CN"/>
        </w:rPr>
        <w:t>载货汽车</w:t>
      </w:r>
      <w:r>
        <w:rPr>
          <w:rFonts w:hint="eastAsia" w:ascii="仿宋_GB2312" w:hAnsi="仿宋_GB2312" w:eastAsia="仿宋_GB2312" w:cs="仿宋_GB2312"/>
          <w:color w:val="000000"/>
          <w:sz w:val="32"/>
          <w:szCs w:val="32"/>
        </w:rPr>
        <w:t>考虑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乘用车</w:t>
      </w:r>
      <w:r>
        <w:rPr>
          <w:rFonts w:hint="eastAsia" w:ascii="仿宋_GB2312" w:hAnsi="仿宋_GB2312" w:eastAsia="仿宋_GB2312" w:cs="仿宋_GB2312"/>
          <w:color w:val="000000"/>
          <w:sz w:val="32"/>
          <w:szCs w:val="32"/>
        </w:rPr>
        <w:t>暂并入</w:t>
      </w:r>
      <w:r>
        <w:rPr>
          <w:rFonts w:hint="eastAsia" w:ascii="仿宋_GB2312" w:hAnsi="仿宋_GB2312" w:eastAsia="仿宋_GB2312" w:cs="仿宋_GB2312"/>
          <w:color w:val="000000"/>
          <w:sz w:val="32"/>
          <w:szCs w:val="32"/>
          <w:lang w:val="en-US" w:eastAsia="zh-CN"/>
        </w:rPr>
        <w:t>客车</w:t>
      </w:r>
      <w:r>
        <w:rPr>
          <w:rFonts w:hint="eastAsia" w:ascii="仿宋_GB2312" w:hAnsi="仿宋_GB2312" w:eastAsia="仿宋_GB2312" w:cs="仿宋_GB2312"/>
          <w:color w:val="000000"/>
          <w:sz w:val="32"/>
          <w:szCs w:val="32"/>
        </w:rPr>
        <w:t>考虑。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关于车辆最大设计总质量和车身长度的取值，参考《道路交通管理 机动车类型》(GA802－2019)、《轻型商用车辆燃料消耗量限值》(GB 20997-2015)、《重型商用车辆燃料消耗量限值》（GB 30510-2018），综合考虑现阶段氢燃料电池汽车的推广车型的情况，将</w:t>
      </w:r>
      <w:r>
        <w:rPr>
          <w:rFonts w:hint="eastAsia" w:ascii="仿宋_GB2312" w:hAnsi="仿宋_GB2312" w:eastAsia="仿宋_GB2312" w:cs="仿宋_GB2312"/>
          <w:color w:val="000000"/>
          <w:sz w:val="32"/>
          <w:szCs w:val="32"/>
          <w:lang w:val="en-US" w:eastAsia="zh-CN"/>
        </w:rPr>
        <w:t>载货汽车</w:t>
      </w:r>
      <w:r>
        <w:rPr>
          <w:rFonts w:hint="eastAsia" w:ascii="仿宋_GB2312" w:hAnsi="仿宋_GB2312" w:eastAsia="仿宋_GB2312" w:cs="仿宋_GB2312"/>
          <w:color w:val="000000"/>
          <w:sz w:val="32"/>
          <w:szCs w:val="32"/>
        </w:rPr>
        <w:t>按照最大设计总质量进行划分，分为4.5t以下、4.5t-12t、12t-16t、16t-22t、22t-28t、28t-40t、40t及以上7个区间；将客车按照车身长度（与车辆座位数关系紧密相关）划分，分</w:t>
      </w:r>
      <w:r>
        <w:rPr>
          <w:rFonts w:hint="default"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rPr>
        <w:t>小于6m、6m及以上2个区间。具体如下：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货车区间设置具体情况如下：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a.基于《道路交通管理机动车类型G802-2019》载货汽车分类，主要根据最大设计总质量和车身长度划分为重型、中型、轻型、微型、三轮、低速等6类。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b.综合考虑氢燃料电池汽车的典型货车车型31吨自卸货车、42/49吨重型牵引车、轻型货车，微型、三轮、低速等3类暂无推广且不是国家/京津冀/北京的主推货车车型。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c.考虑到最大设计总质量12吨及以上均为重型货车，区间跨度较大，因此参考《轻型商用车辆燃料消耗量限值》 ( GB 20997-2015)、《重型商用车辆燃料消耗量限值》（ GB 30510-2018）区间设计，结合速度因子实车检测统计基础，将12t及以上的重型货车进行精细化处理，划分了12t-16t、16t-22t、22t-28t、28t-40t、40t及以上5个区间</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综上，将载货汽车按照最大设计总质量划分为7类，4.5t以下代表轻型、微型货车；4.5t-12t代表中型货车；12t-16t、16t-22t、22t-28t、28t-40t、40t及以上代表了不同吨位下的重型货车。</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客车区间设置具体情况如下：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a.基于《道路交通管理机动车类型G802-2019》载客汽车分类，主要根据车长和载客人数，分为微型、小型、中型、大型4类。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b.考虑到氢燃料电池汽车推广车型，氢燃料客车主要应用车型为大型客车（9m-12m，40-54座），中小微型客车暂无推广且不是国家/京津冀/北京的主推客车车型。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综上，基于实车检测速度因子数据基础，简易合理化处理，将载客汽车按照车身长度划分为2大类：6m以下：代表中小微型客车，乘坐人数小于20人；6m及以上：代表大型客车，乘坐人数大于或等于20人。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2）基准线行驶里程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一般情况下，在相同起讫点下，项目氢燃料电池汽车运输距离与基准线车辆的运输距离相等，则基准线车辆行驶里程与项目氢燃料电池汽车行驶里程相等，即</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基准线行驶里程=项目氢燃料电池汽车行驶里程</w:t>
      </w:r>
    </w:p>
    <w:p>
      <w:pPr>
        <w:pStyle w:val="4"/>
        <w:spacing w:line="560" w:lineRule="exact"/>
        <w:ind w:firstLine="640"/>
        <w:rPr>
          <w:rFonts w:hint="eastAsia" w:ascii="仿宋_GB2312" w:hAnsi="仿宋_GB2312" w:eastAsia="仿宋_GB2312" w:cs="仿宋_GB2312"/>
          <w:sz w:val="32"/>
          <w:szCs w:val="32"/>
        </w:rPr>
      </w:pPr>
      <w:bookmarkStart w:id="134" w:name="_Toc15141"/>
      <w:r>
        <w:rPr>
          <w:rFonts w:hint="eastAsia" w:ascii="仿宋_GB2312" w:hAnsi="仿宋_GB2312" w:eastAsia="仿宋_GB2312" w:cs="仿宋_GB2312"/>
          <w:sz w:val="32"/>
          <w:szCs w:val="32"/>
        </w:rPr>
        <w:t>（5）项目排放</w:t>
      </w:r>
      <w:bookmarkEnd w:id="134"/>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氢燃料电池汽车是指以氢燃料电池系统作为动力源或主动力源的汽车，氢通过与氧的化学反应而产生驱动车辆所需的电能。此外，氢燃料电池汽车也可以通过外接电力来提供能源。在外接电力的情况下，氢燃料电池汽车类似于电动汽车或混合动力汽车。因此，根据氢燃料电池汽车的工作原理，氢燃料电池汽车的动力来源为氢气和外界电力。此外，基于已监测到1561辆氢燃料电池汽车1个月内的运行数据分析，也证实了车辆确实存在外界电力充电的情况，不同车型的用电/氢比如下表所示。</w:t>
      </w:r>
    </w:p>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 xml:space="preserve"> 氢</w:t>
      </w:r>
      <w:r>
        <w:rPr>
          <w:rFonts w:hint="default" w:ascii="仿宋_GB2312" w:hAnsi="仿宋_GB2312" w:eastAsia="仿宋_GB2312" w:cs="仿宋_GB2312"/>
          <w:sz w:val="24"/>
        </w:rPr>
        <w:t>燃料电池汽车</w:t>
      </w:r>
      <w:r>
        <w:rPr>
          <w:rFonts w:hint="eastAsia" w:ascii="仿宋_GB2312" w:hAnsi="仿宋_GB2312" w:eastAsia="仿宋_GB2312" w:cs="仿宋_GB2312"/>
          <w:sz w:val="24"/>
        </w:rPr>
        <w:t>用氢/用电比例分析</w:t>
      </w:r>
    </w:p>
    <w:tbl>
      <w:tblPr>
        <w:tblStyle w:val="12"/>
        <w:tblW w:w="5387" w:type="dxa"/>
        <w:jc w:val="center"/>
        <w:tblLayout w:type="autofit"/>
        <w:tblCellMar>
          <w:top w:w="0" w:type="dxa"/>
          <w:left w:w="108" w:type="dxa"/>
          <w:bottom w:w="0" w:type="dxa"/>
          <w:right w:w="108" w:type="dxa"/>
        </w:tblCellMar>
      </w:tblPr>
      <w:tblGrid>
        <w:gridCol w:w="2532"/>
        <w:gridCol w:w="1579"/>
        <w:gridCol w:w="1276"/>
      </w:tblGrid>
      <w:tr>
        <w:tblPrEx>
          <w:tblCellMar>
            <w:top w:w="0" w:type="dxa"/>
            <w:left w:w="108" w:type="dxa"/>
            <w:bottom w:w="0" w:type="dxa"/>
            <w:right w:w="108" w:type="dxa"/>
          </w:tblCellMar>
        </w:tblPrEx>
        <w:trPr>
          <w:trHeight w:val="578" w:hRule="atLeast"/>
          <w:jc w:val="center"/>
        </w:trPr>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车型</w:t>
            </w:r>
          </w:p>
        </w:tc>
        <w:tc>
          <w:tcPr>
            <w:tcW w:w="157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用氢比例</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用电比例</w:t>
            </w:r>
          </w:p>
        </w:tc>
      </w:tr>
      <w:tr>
        <w:tblPrEx>
          <w:tblCellMar>
            <w:top w:w="0" w:type="dxa"/>
            <w:left w:w="108" w:type="dxa"/>
            <w:bottom w:w="0" w:type="dxa"/>
            <w:right w:w="108" w:type="dxa"/>
          </w:tblCellMar>
        </w:tblPrEx>
        <w:trPr>
          <w:trHeight w:val="280" w:hRule="atLeast"/>
          <w:jc w:val="center"/>
        </w:trPr>
        <w:tc>
          <w:tcPr>
            <w:tcW w:w="2532"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12米大型客车</w:t>
            </w:r>
          </w:p>
        </w:tc>
        <w:tc>
          <w:tcPr>
            <w:tcW w:w="1579"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78.70%</w:t>
            </w:r>
          </w:p>
        </w:tc>
        <w:tc>
          <w:tcPr>
            <w:tcW w:w="1276"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21.30%</w:t>
            </w:r>
          </w:p>
        </w:tc>
      </w:tr>
      <w:tr>
        <w:tblPrEx>
          <w:tblCellMar>
            <w:top w:w="0" w:type="dxa"/>
            <w:left w:w="108" w:type="dxa"/>
            <w:bottom w:w="0" w:type="dxa"/>
            <w:right w:w="108" w:type="dxa"/>
          </w:tblCellMar>
        </w:tblPrEx>
        <w:trPr>
          <w:trHeight w:val="280" w:hRule="atLeast"/>
          <w:jc w:val="center"/>
        </w:trPr>
        <w:tc>
          <w:tcPr>
            <w:tcW w:w="2532"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4.5t轻型冷藏车</w:t>
            </w:r>
          </w:p>
        </w:tc>
        <w:tc>
          <w:tcPr>
            <w:tcW w:w="1579"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85.30%</w:t>
            </w:r>
          </w:p>
        </w:tc>
        <w:tc>
          <w:tcPr>
            <w:tcW w:w="1276"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14.70%</w:t>
            </w:r>
          </w:p>
        </w:tc>
      </w:tr>
      <w:tr>
        <w:tblPrEx>
          <w:tblCellMar>
            <w:top w:w="0" w:type="dxa"/>
            <w:left w:w="108" w:type="dxa"/>
            <w:bottom w:w="0" w:type="dxa"/>
            <w:right w:w="108" w:type="dxa"/>
          </w:tblCellMar>
        </w:tblPrEx>
        <w:trPr>
          <w:trHeight w:val="280" w:hRule="atLeast"/>
          <w:jc w:val="center"/>
        </w:trPr>
        <w:tc>
          <w:tcPr>
            <w:tcW w:w="2532"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4.5t轻型厢式货车</w:t>
            </w:r>
          </w:p>
        </w:tc>
        <w:tc>
          <w:tcPr>
            <w:tcW w:w="1579"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88.90%</w:t>
            </w:r>
          </w:p>
        </w:tc>
        <w:tc>
          <w:tcPr>
            <w:tcW w:w="1276"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11.10%</w:t>
            </w:r>
          </w:p>
        </w:tc>
      </w:tr>
      <w:tr>
        <w:tblPrEx>
          <w:tblCellMar>
            <w:top w:w="0" w:type="dxa"/>
            <w:left w:w="108" w:type="dxa"/>
            <w:bottom w:w="0" w:type="dxa"/>
            <w:right w:w="108" w:type="dxa"/>
          </w:tblCellMar>
        </w:tblPrEx>
        <w:trPr>
          <w:trHeight w:val="280" w:hRule="atLeast"/>
          <w:jc w:val="center"/>
        </w:trPr>
        <w:tc>
          <w:tcPr>
            <w:tcW w:w="2532"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49t重型牵引车</w:t>
            </w:r>
          </w:p>
        </w:tc>
        <w:tc>
          <w:tcPr>
            <w:tcW w:w="1579"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89.80%</w:t>
            </w:r>
          </w:p>
        </w:tc>
        <w:tc>
          <w:tcPr>
            <w:tcW w:w="1276"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10.20%</w:t>
            </w:r>
          </w:p>
        </w:tc>
      </w:tr>
      <w:tr>
        <w:tblPrEx>
          <w:tblCellMar>
            <w:top w:w="0" w:type="dxa"/>
            <w:left w:w="108" w:type="dxa"/>
            <w:bottom w:w="0" w:type="dxa"/>
            <w:right w:w="108" w:type="dxa"/>
          </w:tblCellMar>
        </w:tblPrEx>
        <w:trPr>
          <w:trHeight w:val="280" w:hRule="atLeast"/>
          <w:jc w:val="center"/>
        </w:trPr>
        <w:tc>
          <w:tcPr>
            <w:tcW w:w="2532"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31t重型自卸车</w:t>
            </w:r>
          </w:p>
        </w:tc>
        <w:tc>
          <w:tcPr>
            <w:tcW w:w="1579"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c>
          <w:tcPr>
            <w:tcW w:w="1276" w:type="dxa"/>
            <w:tcBorders>
              <w:top w:val="nil"/>
              <w:left w:val="nil"/>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6.00%</w:t>
            </w:r>
          </w:p>
        </w:tc>
      </w:tr>
    </w:tbl>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综合考虑氢气消耗和电力消耗产生的碳排放，项目活动碳排放量采用项目氢燃料电池汽车每个加氢间隔内的氢气消耗量和氢气碳排放因子的乘积以及每个加氢间隔内电力消耗量和电力碳排放因子的乘积之和进行计算，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项目碳排放量=氢燃料电池汽车氢气消耗量×氢气碳排放因子+外接电力消耗量×电力碳排放因子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1）能耗消耗量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车辆运行的能源动力来源，确定项目氢燃料电池汽车的能源消耗。根据氢燃料电池汽车的工作原理，车辆运行的能源动力可来源于氢气和外接电力两种。因此根据合格项目开发方监测的氢燃料电池汽车的车辆轨迹、氢系统、燃料电池、可充电储能装置等运行数据，通过基于机动车行驶状态的能耗核算模型，实时计算氢燃料电池汽车每个加氢间隔内的氢气消耗量、电力消耗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2）氢气碳排放因子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CDM“电力消耗导致的基准线、项目和/或泄漏排放计算工具”，电力碳排放因子取值包含了上游发电环节的碳排放。与电类似，氢气属于二次能源，因此氢气排放除考虑终端使用环节碳排放外，还需要考虑上游碳排放，即制取、储运、加注环节的碳排放。</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氢燃料电池汽车消耗氢气产生的碳排放，具有在使用环节零排放、排放产生于制氢、运氢、加氢环节的特点。使用环节零碳排放，是因为氢燃料电池汽车在燃料电池堆栈里，进行氢与氧相结合的反应形成了驱动汽车所需的电流，化学反应的产物是水。因此，综合考虑氢气在制取、储运、加注环节的碳排放以及氢气在储运、加注、使用过程中因主动排空、物理泄漏、损耗等造成的氢气逃逸损失设计氢气碳排放因子计算方法，具体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氢气碳排放因子=（氢气制取碳排放因子*氢源比例+氢气储运碳排放因子*往返运输距离+氢气加注碳排放因子）*（1+氢气逃逸比例）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氢气碳排放因子主要基于氢气溯源识别制氢工艺类型、氢源供应比例以及氢气在制取、储运、加注环节以及氢气逃逸损失等事前确定的参数综合计算。其中，氢气制取碳排放因子表示各制氢工艺每制取单位质量氢气产生的碳排放量，属于事前确定的参数；氢源比例表示每个加氢站的不同工艺氢气的占比情况，根据加氢站内从制氢厂购买的不同工艺氢气的运输量确定，属于监测参数；氢气储运碳排放因子表示每运输吨公里氢气产生的碳排放量，属于事前确定的参数；氢气加注碳排放因子表示每加注单位质量的氢气产生的碳排放量，属于事前确定的参数；氢气逃逸比例，表示氢气在制取、储运、加注、使用过程中，由于排空、泄漏、损耗等造成的氢气逸散比例，属于事前确定参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尤其是关于氢气来源识别，可根据车辆燃料电池、定位数据，加氢站的车辆加氢、运氢监测数据以及制氢厂的制氢工艺、产能、产量等调研数据，通过识别车辆加注站点、加氢站的氢气来源，确定车辆所耗氢气来源和氢气类型。不同工艺的氢气的碳排放因子不同，识别氢气来源和类型，可利好清洁氢、低碳氢的发展。</w:t>
      </w:r>
    </w:p>
    <w:p>
      <w:pPr>
        <w:pStyle w:val="3"/>
        <w:keepNext/>
        <w:spacing w:before="0" w:beforeLines="0" w:after="0" w:afterLines="0" w:line="560" w:lineRule="exact"/>
        <w:ind w:firstLine="642" w:firstLineChars="200"/>
        <w:rPr>
          <w:rFonts w:hint="eastAsia" w:eastAsia="楷体_GB2312"/>
          <w:bCs/>
          <w:sz w:val="32"/>
          <w:szCs w:val="32"/>
        </w:rPr>
      </w:pPr>
      <w:bookmarkStart w:id="135" w:name="_Toc28291"/>
      <w:bookmarkStart w:id="136" w:name="_Toc20619"/>
      <w:r>
        <w:rPr>
          <w:rFonts w:hint="eastAsia" w:eastAsia="楷体_GB2312"/>
          <w:bCs/>
          <w:sz w:val="32"/>
          <w:szCs w:val="32"/>
        </w:rPr>
        <w:t>2. 主要技术指标、参数</w:t>
      </w:r>
      <w:bookmarkEnd w:id="135"/>
      <w:bookmarkEnd w:id="136"/>
    </w:p>
    <w:p>
      <w:pPr>
        <w:pStyle w:val="4"/>
        <w:spacing w:line="560" w:lineRule="exact"/>
        <w:ind w:firstLine="640"/>
        <w:rPr>
          <w:rFonts w:hint="eastAsia" w:ascii="仿宋_GB2312" w:hAnsi="仿宋_GB2312" w:eastAsia="仿宋_GB2312" w:cs="仿宋_GB2312"/>
          <w:sz w:val="32"/>
          <w:szCs w:val="32"/>
        </w:rPr>
      </w:pPr>
      <w:bookmarkStart w:id="137" w:name="_Toc17163"/>
      <w:r>
        <w:rPr>
          <w:rFonts w:hint="eastAsia" w:ascii="仿宋_GB2312" w:hAnsi="仿宋_GB2312" w:eastAsia="仿宋_GB2312" w:cs="仿宋_GB2312"/>
          <w:sz w:val="32"/>
          <w:szCs w:val="32"/>
        </w:rPr>
        <w:t>（1）事前确定的数据和参数/不需要监测的数据和参数</w:t>
      </w:r>
      <w:bookmarkEnd w:id="13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相关参数均依据</w:t>
      </w:r>
      <w:r>
        <w:rPr>
          <w:rFonts w:hint="default" w:ascii="仿宋_GB2312" w:hAnsi="仿宋_GB2312" w:eastAsia="仿宋_GB2312" w:cs="仿宋_GB2312"/>
          <w:sz w:val="32"/>
          <w:szCs w:val="32"/>
        </w:rPr>
        <w:t>北京市</w:t>
      </w:r>
      <w:r>
        <w:rPr>
          <w:rFonts w:hint="eastAsia" w:ascii="仿宋_GB2312" w:hAnsi="仿宋_GB2312" w:eastAsia="仿宋_GB2312" w:cs="仿宋_GB2312"/>
          <w:sz w:val="32"/>
          <w:szCs w:val="32"/>
        </w:rPr>
        <w:t>政府部门发布的正式报告或正式数据、统计数据、权威研究机构测量值。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1）基准线碳排放因子</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基于2022年的北京市机动车车队结构数据、2021年的机动车车辆满载率情况，2021年北京市路网运行速度36km/h以及专业权威检测机构给出不同速度下测试结果，计算基准线碳排放因子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由于河北省与北京</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highlight w:val="none"/>
          <w:lang w:val="en-US" w:eastAsia="zh-CN"/>
        </w:rPr>
        <w:t>地理相近，</w:t>
      </w:r>
      <w:r>
        <w:rPr>
          <w:rFonts w:hint="eastAsia" w:ascii="仿宋_GB2312" w:hAnsi="仿宋_GB2312" w:eastAsia="仿宋_GB2312" w:cs="仿宋_GB2312"/>
          <w:i w:val="0"/>
          <w:iCs w:val="0"/>
          <w:caps w:val="0"/>
          <w:color w:val="auto"/>
          <w:spacing w:val="0"/>
          <w:sz w:val="32"/>
          <w:szCs w:val="32"/>
          <w:highlight w:val="none"/>
          <w:shd w:val="clear" w:color="auto" w:fill="auto"/>
        </w:rPr>
        <w:t>区域内道路通行环境、车辆使用场景及主流车型配置具有较高相似性，车型使用状况相近</w:t>
      </w:r>
      <w:r>
        <w:rPr>
          <w:rFonts w:hint="eastAsia" w:ascii="仿宋_GB2312" w:hAnsi="仿宋_GB2312" w:eastAsia="仿宋_GB2312" w:cs="仿宋_GB2312"/>
          <w:sz w:val="32"/>
          <w:szCs w:val="32"/>
          <w:highlight w:val="none"/>
          <w:lang w:val="en-US" w:eastAsia="zh-CN"/>
        </w:rPr>
        <w:t>，因此参考北京市关于</w:t>
      </w:r>
      <w:r>
        <w:rPr>
          <w:rFonts w:hint="eastAsia" w:ascii="仿宋_GB2312" w:hAnsi="仿宋_GB2312" w:eastAsia="仿宋_GB2312" w:cs="仿宋_GB2312"/>
          <w:sz w:val="32"/>
          <w:szCs w:val="32"/>
          <w:highlight w:val="none"/>
        </w:rPr>
        <w:t>不同速度下</w:t>
      </w:r>
      <w:r>
        <w:rPr>
          <w:rFonts w:hint="eastAsia" w:ascii="仿宋_GB2312" w:hAnsi="仿宋_GB2312" w:eastAsia="仿宋_GB2312" w:cs="仿宋_GB2312"/>
          <w:sz w:val="32"/>
          <w:szCs w:val="32"/>
        </w:rPr>
        <w:t>基准线碳排放因子</w:t>
      </w:r>
      <w:r>
        <w:rPr>
          <w:rFonts w:hint="eastAsia" w:ascii="仿宋_GB2312" w:hAnsi="仿宋_GB2312" w:eastAsia="仿宋_GB2312" w:cs="仿宋_GB2312"/>
          <w:sz w:val="32"/>
          <w:szCs w:val="32"/>
          <w:highlight w:val="none"/>
        </w:rPr>
        <w:t>测试结果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当无法获取分车型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分能源类型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分最大设计总质量或车身长度的碳排放因子时，可采用基准线碳排放因子缺省值，即使用基准年路网运行数据事前计算出的路网平均运行速度下的碳排放因子，作为基准线车公里排放因子。</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2）氢气制取碳排放因子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考虑原材料开采运输、化工氢生产、车用氢气生产的氢气制取过程，通过企业调研、专家咨询、文献搜集等多方位数据收集，利用统计学方法、行业基准线方法等科学计算方法，确定煤制氢、工业副产氢、天然气重整制氢、电解水制氢4大制取工艺的制氢工艺碳排放因子。未包含的制取工艺和碳排放因子（如生物质沼气制氢等），后续将随相关项目进展进行补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3）氢气储运碳排放因子</w:t>
      </w:r>
    </w:p>
    <w:p>
      <w:pPr>
        <w:spacing w:line="560" w:lineRule="exact"/>
        <w:ind w:firstLine="640" w:firstLineChars="200"/>
        <w:rPr>
          <w:rFonts w:hint="eastAsia" w:ascii="仿宋" w:hAnsi="仿宋" w:eastAsia="仿宋_GB2312" w:cs="仿宋"/>
          <w:color w:val="000000"/>
          <w:sz w:val="32"/>
          <w:szCs w:val="32"/>
        </w:rPr>
      </w:pPr>
      <w:r>
        <w:rPr>
          <w:rFonts w:hint="eastAsia" w:ascii="仿宋" w:hAnsi="仿宋" w:eastAsia="仿宋_GB2312" w:cs="仿宋"/>
          <w:color w:val="000000"/>
          <w:sz w:val="32"/>
          <w:szCs w:val="32"/>
        </w:rPr>
        <w:t>现阶段我国都普遍采用高压储氢瓶长管拖车运氢。通过对京津冀区域内制氢厂以及加氢站的运营企业调研得到，京津冀区域内车用氢气主要采用20MPa长管拖车运输。20MPa长管拖车一种搭载8-10支气瓶，燃料类型大都为柴油，单车单次装载氢气能力260-400kg，实际卸氢量230-300kg的运氢车辆，单次运距4-250km不等。根据北京市运氢车辆中占比80%以上的20MPa长管拖车分析，每次单车可充装3942.4Nm3/352kg氢气，到站可卸氢约240kg。参考IPCC柴油因子缺省值3.15tCO2/t燃料，计算得到每运输吨公里氢气约产生碳排放量0.0045吨。</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4）氢气加注碳排放因子</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氢站能耗主要是氢气压缩机、冷却机组、加氢机等氢气增压、冷却设备用电。根据北京市加氢站运营企业调研得到，2022年度整站级能耗强度值、涉氢设备能耗占比约70-80%。基于涉氢设备能耗占比按照80%保守取值，并根据加氢站分压力类型的规模，综合加权得到平均每加注1kg氢气约耗电2.142kWh。</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5）氢气逃逸比例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氢气在制取、储运、加注、使用过程中，由于排空、泄漏、损耗等3种方式造成氢气逸散。根据专家咨询和行业管理经验、参考GB 50516《加氢站技术规范》（2021版）、GB/T31139-2014《移动式加氢设施安全技术规范》等相关国标中对于氢气浓度泄漏报警阈值0.4%的设计，保守取值，本方法的氢气逃逸比例按0.4%取值。</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6）氢气综合碳排放因子</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通过调研京津冀区域内车用氢气生产企业，得到京津冀区域内15家氢气生产企业的制氢工艺、制氢产能等情况，涉及电解水制氢（分为可再生能源制氢、电网电制氢）、天然气制氢、工业副产氢提纯3大类工艺。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京津冀综合氢气碳排放因子结合京津冀氢源数据、行业研究报告、相关文献、调研数据等确定的氢气制取、储运、加注等参数计算得到。</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7）平均氢气运输距离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根据京津冀燃料电池汽车示范城市群内15</w:t>
      </w:r>
      <w:r>
        <w:rPr>
          <w:rFonts w:hint="default" w:ascii="仿宋_GB2312" w:hAnsi="仿宋_GB2312" w:eastAsia="仿宋_GB2312" w:cs="仿宋_GB2312"/>
          <w:color w:val="000000"/>
          <w:sz w:val="32"/>
          <w:szCs w:val="32"/>
        </w:rPr>
        <w:t>座</w:t>
      </w:r>
      <w:r>
        <w:rPr>
          <w:rFonts w:hint="eastAsia" w:ascii="仿宋_GB2312" w:hAnsi="仿宋_GB2312" w:eastAsia="仿宋_GB2312" w:cs="仿宋_GB2312"/>
          <w:color w:val="000000"/>
          <w:sz w:val="32"/>
          <w:szCs w:val="32"/>
        </w:rPr>
        <w:t>加氢站（其中北京10座站）的2021年8月22日到2022年8月21日期间的加氢站的购买量和氢气运输距离等信息，按加氢站的购买量综合加权得到京津冀区域内氢气平均运距为90km。</w:t>
      </w:r>
    </w:p>
    <w:p>
      <w:pPr>
        <w:pStyle w:val="4"/>
        <w:spacing w:line="560" w:lineRule="exact"/>
        <w:ind w:firstLine="640"/>
        <w:rPr>
          <w:rFonts w:hint="eastAsia" w:ascii="仿宋_GB2312" w:hAnsi="仿宋_GB2312" w:eastAsia="仿宋_GB2312" w:cs="仿宋_GB2312"/>
          <w:sz w:val="32"/>
          <w:szCs w:val="32"/>
        </w:rPr>
      </w:pPr>
      <w:bookmarkStart w:id="138" w:name="_Toc9786"/>
      <w:r>
        <w:rPr>
          <w:rFonts w:hint="eastAsia" w:ascii="仿宋_GB2312" w:hAnsi="仿宋_GB2312" w:eastAsia="仿宋_GB2312" w:cs="仿宋_GB2312"/>
          <w:sz w:val="32"/>
          <w:szCs w:val="32"/>
        </w:rPr>
        <w:t>（2）需要监测的参数和数据</w:t>
      </w:r>
      <w:bookmarkEnd w:id="138"/>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由于氢燃料电池汽车按照GB/T32960.3-2016《电动车远程服务与管理系统技术规范 第3部分：通讯协议与数据格式》上传监测数据，因此，本方法学所提出需要的里程、速度、氢耗、电耗等监测的参数和数据可基于上述要求的数据实现覆盖和核算。</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139" w:name="_Toc18678"/>
      <w:bookmarkStart w:id="140" w:name="_Toc6053"/>
      <w:bookmarkStart w:id="141" w:name="_Toc30901"/>
      <w:bookmarkStart w:id="142" w:name="_Toc27829"/>
      <w:bookmarkStart w:id="143" w:name="_Toc637718095"/>
      <w:bookmarkStart w:id="144" w:name="_Toc23406"/>
      <w:bookmarkStart w:id="145" w:name="_Toc30497"/>
      <w:bookmarkStart w:id="146" w:name="_Toc6413"/>
      <w:bookmarkStart w:id="147" w:name="_Toc16429"/>
      <w:bookmarkStart w:id="148" w:name="_Toc28618"/>
      <w:bookmarkStart w:id="149" w:name="_Toc25644"/>
      <w:bookmarkStart w:id="150" w:name="_Toc1161"/>
      <w:bookmarkStart w:id="151" w:name="_Toc5196"/>
      <w:bookmarkStart w:id="152" w:name="_Toc24703"/>
      <w:bookmarkStart w:id="153" w:name="_Toc109039812"/>
      <w:bookmarkStart w:id="154" w:name="_Toc156021564"/>
      <w:bookmarkStart w:id="155" w:name="_Toc156810844"/>
      <w:r>
        <w:rPr>
          <w:rFonts w:hint="eastAsia" w:ascii="黑体" w:hAnsi="黑体" w:eastAsia="黑体" w:cs="黑体"/>
          <w:bCs/>
          <w:sz w:val="32"/>
          <w:szCs w:val="32"/>
        </w:rPr>
        <w:t>公平竞争审查情况</w:t>
      </w:r>
      <w:bookmarkEnd w:id="139"/>
      <w:bookmarkEnd w:id="140"/>
      <w:bookmarkEnd w:id="141"/>
      <w:bookmarkEnd w:id="142"/>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本标准不涉及经营者经济活动情况。</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156" w:name="_Toc2796"/>
      <w:bookmarkStart w:id="157" w:name="_Toc28612"/>
      <w:bookmarkStart w:id="158" w:name="_Toc2870"/>
      <w:bookmarkStart w:id="159" w:name="_Toc10592"/>
      <w:r>
        <w:rPr>
          <w:rFonts w:hint="eastAsia" w:ascii="黑体" w:hAnsi="黑体" w:eastAsia="黑体" w:cs="黑体"/>
          <w:bCs/>
          <w:sz w:val="32"/>
          <w:szCs w:val="32"/>
        </w:rPr>
        <w:t>重大意见分歧的处理依据和结果</w:t>
      </w:r>
      <w:bookmarkEnd w:id="143"/>
      <w:bookmarkEnd w:id="144"/>
      <w:bookmarkEnd w:id="145"/>
      <w:bookmarkEnd w:id="146"/>
      <w:bookmarkEnd w:id="147"/>
      <w:bookmarkEnd w:id="148"/>
      <w:bookmarkEnd w:id="149"/>
      <w:bookmarkEnd w:id="150"/>
      <w:bookmarkEnd w:id="151"/>
      <w:bookmarkEnd w:id="152"/>
      <w:bookmarkEnd w:id="156"/>
      <w:bookmarkEnd w:id="157"/>
      <w:bookmarkEnd w:id="158"/>
      <w:bookmarkEnd w:id="159"/>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暂无。</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160" w:name="_Toc16121"/>
      <w:bookmarkStart w:id="161" w:name="_Toc22153"/>
      <w:bookmarkStart w:id="162" w:name="_Toc1446"/>
      <w:bookmarkStart w:id="163" w:name="_Toc14153"/>
      <w:bookmarkStart w:id="164" w:name="_Toc10920"/>
      <w:bookmarkStart w:id="165" w:name="_Toc26196"/>
      <w:bookmarkStart w:id="166" w:name="_Toc1401"/>
      <w:bookmarkStart w:id="167" w:name="_Toc5412"/>
      <w:bookmarkStart w:id="168" w:name="_Toc19752"/>
      <w:bookmarkStart w:id="169" w:name="_Toc19019"/>
      <w:bookmarkStart w:id="170" w:name="_Toc17918"/>
      <w:bookmarkStart w:id="171" w:name="_Toc1478"/>
      <w:bookmarkStart w:id="172" w:name="_Toc1774302115"/>
      <w:bookmarkStart w:id="173" w:name="_Toc4615"/>
      <w:r>
        <w:rPr>
          <w:rFonts w:hint="eastAsia" w:ascii="黑体" w:hAnsi="黑体" w:eastAsia="黑体" w:cs="黑体"/>
          <w:bCs/>
          <w:sz w:val="32"/>
          <w:szCs w:val="32"/>
        </w:rPr>
        <w:t>作为推荐性标准或者强制性标准的建议及理由</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tabs>
          <w:tab w:val="left" w:pos="720"/>
        </w:tabs>
        <w:spacing w:line="560" w:lineRule="exact"/>
        <w:ind w:firstLine="640" w:firstLineChars="200"/>
        <w:rPr>
          <w:rFonts w:hint="eastAsia" w:ascii="仿宋_GB2312" w:hAnsi="仿宋_GB2312" w:eastAsia="仿宋_GB2312" w:cs="仿宋_GB2312"/>
          <w:bCs/>
          <w:sz w:val="32"/>
          <w:szCs w:val="32"/>
        </w:rPr>
      </w:pPr>
      <w:bookmarkStart w:id="174" w:name="_Toc11347"/>
      <w:bookmarkStart w:id="175" w:name="_Toc10109"/>
      <w:r>
        <w:rPr>
          <w:rFonts w:hint="eastAsia" w:ascii="仿宋_GB2312" w:hAnsi="仿宋_GB2312" w:eastAsia="仿宋_GB2312" w:cs="仿宋_GB2312"/>
          <w:bCs/>
          <w:sz w:val="32"/>
          <w:szCs w:val="32"/>
        </w:rPr>
        <w:t>自2018年1月1日起施行的《中华人民共和国标准化法》第二条规定：“本法所称标准（含标准样品），是指农业、工业、服务业以及社会事业等领域需要统一的技术要求。标准包括国家标准、行业标准、地方标准和团体标准、企业标准。国家标准分为强制性标准、推荐性标准，行业标准、地方标准是推荐性标准。强制性标准必须执行。国家鼓励采用推荐性标准”。本标准为推荐性地方标准。</w:t>
      </w:r>
    </w:p>
    <w:bookmarkEnd w:id="174"/>
    <w:bookmarkEnd w:id="175"/>
    <w:p>
      <w:pPr>
        <w:keepNext/>
        <w:numPr>
          <w:ilvl w:val="0"/>
          <w:numId w:val="1"/>
        </w:numPr>
        <w:spacing w:line="560" w:lineRule="exact"/>
        <w:ind w:left="0" w:firstLine="640" w:firstLineChars="200"/>
        <w:outlineLvl w:val="0"/>
        <w:rPr>
          <w:rFonts w:hint="eastAsia" w:ascii="黑体" w:hAnsi="黑体" w:eastAsia="黑体" w:cs="黑体"/>
          <w:bCs/>
          <w:sz w:val="32"/>
          <w:szCs w:val="32"/>
        </w:rPr>
      </w:pPr>
      <w:bookmarkStart w:id="176" w:name="_Toc20302"/>
      <w:bookmarkStart w:id="177" w:name="_Toc28064"/>
      <w:bookmarkStart w:id="178" w:name="_Toc29872"/>
      <w:bookmarkStart w:id="179" w:name="_Toc1691876765"/>
      <w:bookmarkStart w:id="180" w:name="_Toc29627"/>
      <w:bookmarkStart w:id="181" w:name="_Toc10870"/>
      <w:bookmarkStart w:id="182" w:name="_Toc20085"/>
      <w:bookmarkStart w:id="183" w:name="_Toc9300"/>
      <w:bookmarkStart w:id="184" w:name="_Toc1370"/>
      <w:bookmarkStart w:id="185" w:name="_Toc5649"/>
      <w:bookmarkStart w:id="186" w:name="_Toc11028"/>
      <w:bookmarkStart w:id="187" w:name="_Toc32438"/>
      <w:bookmarkStart w:id="188" w:name="_Toc29810"/>
      <w:bookmarkStart w:id="189" w:name="_Toc7509"/>
      <w:r>
        <w:rPr>
          <w:rFonts w:hint="eastAsia" w:ascii="黑体" w:hAnsi="黑体" w:eastAsia="黑体" w:cs="黑体"/>
          <w:bCs/>
          <w:sz w:val="32"/>
          <w:szCs w:val="32"/>
        </w:rPr>
        <w:t>强制性标准实施风险及防控措施</w:t>
      </w:r>
      <w:bookmarkEnd w:id="176"/>
      <w:bookmarkEnd w:id="177"/>
      <w:bookmarkEnd w:id="178"/>
    </w:p>
    <w:p>
      <w:pPr>
        <w:spacing w:line="560" w:lineRule="exact"/>
        <w:ind w:firstLine="640" w:firstLineChars="200"/>
        <w:rPr>
          <w:rFonts w:hint="eastAsia" w:ascii="仿宋" w:hAnsi="仿宋" w:eastAsia="仿宋_GB2312" w:cs="仿宋"/>
          <w:color w:val="000000"/>
          <w:sz w:val="32"/>
          <w:szCs w:val="32"/>
        </w:rPr>
      </w:pPr>
      <w:r>
        <w:rPr>
          <w:rFonts w:hint="eastAsia" w:ascii="仿宋" w:hAnsi="仿宋" w:eastAsia="仿宋_GB2312" w:cs="仿宋"/>
          <w:color w:val="000000"/>
          <w:sz w:val="32"/>
          <w:szCs w:val="32"/>
        </w:rPr>
        <w:t>未涉及。</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190" w:name="_Toc23074"/>
      <w:bookmarkStart w:id="191" w:name="_Toc2766"/>
      <w:bookmarkStart w:id="192" w:name="_Toc9762"/>
      <w:r>
        <w:rPr>
          <w:rFonts w:hint="eastAsia" w:ascii="黑体" w:hAnsi="黑体" w:eastAsia="黑体" w:cs="黑体"/>
          <w:bCs/>
          <w:sz w:val="32"/>
          <w:szCs w:val="32"/>
        </w:rPr>
        <w:t>实施标准的措施</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tabs>
          <w:tab w:val="left" w:pos="72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标准编制调研期间，标准编制组已经向企业解读标准的重要性、编制思路、管理要求等相关内容以及可能会给企业带来的一些影响和需要改进的方面，并且在编制过程中多次和企业进行沟通和交流，使得企业能够尽早关注本标准的内容。在标准实施后，生态环境部门还将组织标准编制组进行相关内容的宣贯工作，以帮助本标准能够得到更好</w:t>
      </w:r>
      <w:r>
        <w:rPr>
          <w:rFonts w:hint="default" w:ascii="仿宋_GB2312" w:hAnsi="仿宋_GB2312" w:eastAsia="仿宋_GB2312" w:cs="仿宋_GB2312"/>
          <w:bCs/>
          <w:sz w:val="32"/>
          <w:szCs w:val="32"/>
        </w:rPr>
        <w:t>地</w:t>
      </w:r>
      <w:r>
        <w:rPr>
          <w:rFonts w:hint="eastAsia" w:ascii="仿宋_GB2312" w:hAnsi="仿宋_GB2312" w:eastAsia="仿宋_GB2312" w:cs="仿宋_GB2312"/>
          <w:bCs/>
          <w:sz w:val="32"/>
          <w:szCs w:val="32"/>
        </w:rPr>
        <w:t>贯彻和落实。</w:t>
      </w:r>
    </w:p>
    <w:p>
      <w:pPr>
        <w:numPr>
          <w:ilvl w:val="0"/>
          <w:numId w:val="1"/>
        </w:numPr>
        <w:spacing w:line="560" w:lineRule="exact"/>
        <w:ind w:left="0" w:firstLine="640" w:firstLineChars="200"/>
        <w:outlineLvl w:val="0"/>
        <w:rPr>
          <w:rFonts w:hint="eastAsia" w:ascii="黑体" w:hAnsi="黑体" w:eastAsia="黑体" w:cs="黑体"/>
          <w:bCs/>
          <w:sz w:val="32"/>
          <w:szCs w:val="32"/>
        </w:rPr>
      </w:pPr>
      <w:bookmarkStart w:id="193" w:name="_Toc19589"/>
      <w:bookmarkStart w:id="194" w:name="_Toc22166"/>
      <w:bookmarkStart w:id="195" w:name="_Toc21310"/>
      <w:bookmarkStart w:id="196" w:name="_Toc2589"/>
      <w:bookmarkStart w:id="197" w:name="_Toc1466615250"/>
      <w:bookmarkStart w:id="198" w:name="_Toc13393"/>
      <w:bookmarkStart w:id="199" w:name="_Toc3850"/>
      <w:bookmarkStart w:id="200" w:name="_Toc16686"/>
      <w:bookmarkStart w:id="201" w:name="_Toc14324"/>
      <w:bookmarkStart w:id="202" w:name="_Toc9050"/>
      <w:bookmarkStart w:id="203" w:name="_Toc21674"/>
      <w:bookmarkStart w:id="204" w:name="_Toc12696"/>
      <w:bookmarkStart w:id="205" w:name="_Toc19959"/>
      <w:bookmarkStart w:id="206" w:name="_Toc13928"/>
      <w:r>
        <w:rPr>
          <w:rFonts w:hint="eastAsia" w:ascii="黑体" w:hAnsi="黑体" w:eastAsia="黑体" w:cs="黑体"/>
          <w:bCs/>
          <w:sz w:val="32"/>
          <w:szCs w:val="32"/>
        </w:rPr>
        <w:t>其他应说明的事项</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line="560" w:lineRule="exact"/>
        <w:ind w:firstLine="640" w:firstLineChars="200"/>
        <w:rPr>
          <w:rFonts w:hint="eastAsia" w:ascii="仿宋" w:hAnsi="仿宋" w:eastAsia="仿宋_GB2312" w:cs="仿宋"/>
          <w:color w:val="000000"/>
          <w:sz w:val="32"/>
          <w:szCs w:val="32"/>
        </w:rPr>
      </w:pPr>
      <w:r>
        <w:rPr>
          <w:rFonts w:hint="eastAsia" w:ascii="仿宋" w:hAnsi="仿宋" w:eastAsia="仿宋_GB2312" w:cs="仿宋"/>
          <w:color w:val="000000"/>
          <w:sz w:val="32"/>
          <w:szCs w:val="32"/>
        </w:rPr>
        <w:t>无。</w:t>
      </w:r>
    </w:p>
    <w:bookmarkEnd w:id="153"/>
    <w:bookmarkEnd w:id="154"/>
    <w:bookmarkEnd w:id="155"/>
    <w:p>
      <w:pPr>
        <w:rPr>
          <w:rFonts w:hint="eastAsia" w:ascii="仿宋" w:hAnsi="仿宋" w:eastAsia="仿宋_GB2312" w:cs="仿宋"/>
          <w:sz w:val="30"/>
          <w:szCs w:val="30"/>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4"/>
                              <w:szCs w:val="24"/>
                            </w:rPr>
                            <w:fldChar w:fldCharType="begin"/>
                          </w:r>
                          <w:r>
                            <w:rPr>
                              <w:rFonts w:hint="eastAsia" w:ascii="宋体" w:hAnsi="宋体" w:eastAsia="仿宋_GB2312" w:cs="宋体"/>
                              <w:sz w:val="24"/>
                              <w:szCs w:val="24"/>
                            </w:rPr>
                            <w:instrText xml:space="preserve"> PAGE  \* MERGEFORMAT </w:instrText>
                          </w:r>
                          <w:r>
                            <w:rPr>
                              <w:rFonts w:hint="eastAsia" w:ascii="宋体" w:hAnsi="宋体" w:eastAsia="仿宋_GB2312" w:cs="宋体"/>
                              <w:sz w:val="24"/>
                              <w:szCs w:val="24"/>
                            </w:rPr>
                            <w:fldChar w:fldCharType="separate"/>
                          </w:r>
                          <w:r>
                            <w:rPr>
                              <w:rFonts w:hint="eastAsia" w:ascii="宋体" w:hAnsi="宋体" w:eastAsia="仿宋_GB2312" w:cs="宋体"/>
                              <w:sz w:val="24"/>
                              <w:szCs w:val="24"/>
                            </w:rPr>
                            <w:t>1</w:t>
                          </w:r>
                          <w:r>
                            <w:rPr>
                              <w:rFonts w:hint="eastAsia" w:ascii="宋体" w:hAnsi="宋体" w:eastAsia="仿宋_GB2312" w:cs="宋体"/>
                              <w:sz w:val="24"/>
                              <w:szCs w:val="24"/>
                            </w:rPr>
                            <w:fldChar w:fldCharType="end"/>
                          </w:r>
                          <w:r>
                            <w:rPr>
                              <w:rFonts w:hint="eastAsia" w:ascii="宋体" w:hAnsi="宋体" w:eastAsia="仿宋_GB2312" w:cs="宋体"/>
                              <w:sz w:val="24"/>
                              <w:szCs w:val="24"/>
                            </w:rPr>
                            <w:t xml:space="preserve"> —</w:t>
                          </w:r>
                        </w:p>
                      </w:txbxContent>
                    </wps:txbx>
                    <wps:bodyPr vert="horz" wrap="none" lIns="0" tIns="0" rIns="0" bIns="0" anchor="t" anchorCtr="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FngoMLEAQAAbgMAAA4AAAAAAAAAAQAg&#10;AAAANAEAAGRycy9lMm9Eb2MueG1sUEsFBgAAAAAGAAYAWQEAAGoFAAAAAA==&#10;">
              <v:fill on="f" focussize="0,0"/>
              <v:stroke on="f"/>
              <v:imagedata o:title=""/>
              <o:lock v:ext="edit" aspectratio="f"/>
              <v:textbox inset="0mm,0mm,0mm,0mm" style="mso-fit-shape-to-text:t;">
                <w:txbxContent>
                  <w:p>
                    <w:pPr>
                      <w:pStyle w:val="7"/>
                      <w:rPr>
                        <w:rFonts w:hint="eastAsia"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4"/>
                        <w:szCs w:val="24"/>
                      </w:rPr>
                      <w:fldChar w:fldCharType="begin"/>
                    </w:r>
                    <w:r>
                      <w:rPr>
                        <w:rFonts w:hint="eastAsia" w:ascii="宋体" w:hAnsi="宋体" w:eastAsia="仿宋_GB2312" w:cs="宋体"/>
                        <w:sz w:val="24"/>
                        <w:szCs w:val="24"/>
                      </w:rPr>
                      <w:instrText xml:space="preserve"> PAGE  \* MERGEFORMAT </w:instrText>
                    </w:r>
                    <w:r>
                      <w:rPr>
                        <w:rFonts w:hint="eastAsia" w:ascii="宋体" w:hAnsi="宋体" w:eastAsia="仿宋_GB2312" w:cs="宋体"/>
                        <w:sz w:val="24"/>
                        <w:szCs w:val="24"/>
                      </w:rPr>
                      <w:fldChar w:fldCharType="separate"/>
                    </w:r>
                    <w:r>
                      <w:rPr>
                        <w:rFonts w:hint="eastAsia" w:ascii="宋体" w:hAnsi="宋体" w:eastAsia="仿宋_GB2312" w:cs="宋体"/>
                        <w:sz w:val="24"/>
                        <w:szCs w:val="24"/>
                      </w:rPr>
                      <w:t>1</w:t>
                    </w:r>
                    <w:r>
                      <w:rPr>
                        <w:rFonts w:hint="eastAsia" w:ascii="宋体" w:hAnsi="宋体" w:eastAsia="仿宋_GB2312" w:cs="宋体"/>
                        <w:sz w:val="24"/>
                        <w:szCs w:val="24"/>
                      </w:rPr>
                      <w:fldChar w:fldCharType="end"/>
                    </w:r>
                    <w:r>
                      <w:rPr>
                        <w:rFonts w:hint="eastAsia" w:ascii="宋体" w:hAnsi="宋体" w:eastAsia="仿宋_GB2312"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F1CA4"/>
    <w:multiLevelType w:val="multilevel"/>
    <w:tmpl w:val="356F1CA4"/>
    <w:lvl w:ilvl="0" w:tentative="0">
      <w:start w:val="1"/>
      <w:numFmt w:val="japaneseCounting"/>
      <w:pStyle w:val="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D1F4B3"/>
    <w:multiLevelType w:val="singleLevel"/>
    <w:tmpl w:val="55D1F4B3"/>
    <w:lvl w:ilvl="0" w:tentative="0">
      <w:start w:val="1"/>
      <w:numFmt w:val="chineseCounting"/>
      <w:suff w:val="nothing"/>
      <w:lvlText w:val="（%1）"/>
      <w:lvlJc w:val="left"/>
      <w:rPr>
        <w:rFonts w:hint="eastAsia"/>
      </w:rPr>
    </w:lvl>
  </w:abstractNum>
  <w:abstractNum w:abstractNumId="2">
    <w:nsid w:val="75547F37"/>
    <w:multiLevelType w:val="singleLevel"/>
    <w:tmpl w:val="75547F3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N2MwYzAzZDBlMDc3ZDU1N2NkNDdlNGJhMjE1M2EifQ=="/>
    <w:docVar w:name="KSO_WPS_MARK_KEY" w:val="5a302fc4-e7f4-49ad-8b6a-661624b61f18"/>
  </w:docVars>
  <w:rsids>
    <w:rsidRoot w:val="00172A27"/>
    <w:rsid w:val="00172A27"/>
    <w:rsid w:val="00317F6D"/>
    <w:rsid w:val="00360E24"/>
    <w:rsid w:val="00401D24"/>
    <w:rsid w:val="00702290"/>
    <w:rsid w:val="00756F36"/>
    <w:rsid w:val="00893C28"/>
    <w:rsid w:val="008F36AA"/>
    <w:rsid w:val="00C621A8"/>
    <w:rsid w:val="00E959AE"/>
    <w:rsid w:val="00FC0D13"/>
    <w:rsid w:val="017D7280"/>
    <w:rsid w:val="019D55FE"/>
    <w:rsid w:val="02555ED9"/>
    <w:rsid w:val="028762A4"/>
    <w:rsid w:val="02AD7895"/>
    <w:rsid w:val="030557CC"/>
    <w:rsid w:val="03550E1B"/>
    <w:rsid w:val="0368430A"/>
    <w:rsid w:val="037047FC"/>
    <w:rsid w:val="03A90DAD"/>
    <w:rsid w:val="045C4CC8"/>
    <w:rsid w:val="048125DE"/>
    <w:rsid w:val="05025410"/>
    <w:rsid w:val="056B5914"/>
    <w:rsid w:val="058F525E"/>
    <w:rsid w:val="05CC19C6"/>
    <w:rsid w:val="064D6C2A"/>
    <w:rsid w:val="069A23C1"/>
    <w:rsid w:val="06CB322B"/>
    <w:rsid w:val="07153351"/>
    <w:rsid w:val="0742307D"/>
    <w:rsid w:val="07900607"/>
    <w:rsid w:val="086A1FB2"/>
    <w:rsid w:val="09C44FD0"/>
    <w:rsid w:val="09F75AC8"/>
    <w:rsid w:val="09FA5686"/>
    <w:rsid w:val="0A03446D"/>
    <w:rsid w:val="0A200CD1"/>
    <w:rsid w:val="0ACE49B3"/>
    <w:rsid w:val="0B315E2C"/>
    <w:rsid w:val="0B787903"/>
    <w:rsid w:val="0BB07145"/>
    <w:rsid w:val="0C7B329A"/>
    <w:rsid w:val="0CD12600"/>
    <w:rsid w:val="0CF61F26"/>
    <w:rsid w:val="0D466B4A"/>
    <w:rsid w:val="0D851CEA"/>
    <w:rsid w:val="0D9F625A"/>
    <w:rsid w:val="0DF51285"/>
    <w:rsid w:val="0E2350DD"/>
    <w:rsid w:val="0E3261A2"/>
    <w:rsid w:val="0E8D2557"/>
    <w:rsid w:val="0ED2036E"/>
    <w:rsid w:val="0F185DF4"/>
    <w:rsid w:val="0F26231C"/>
    <w:rsid w:val="0F656908"/>
    <w:rsid w:val="0FB82A62"/>
    <w:rsid w:val="0FF72425"/>
    <w:rsid w:val="10A33953"/>
    <w:rsid w:val="10E262C1"/>
    <w:rsid w:val="11A36BBB"/>
    <w:rsid w:val="12790C6B"/>
    <w:rsid w:val="128B13F5"/>
    <w:rsid w:val="13610B39"/>
    <w:rsid w:val="136F6FBE"/>
    <w:rsid w:val="13787C54"/>
    <w:rsid w:val="14723B4C"/>
    <w:rsid w:val="14A5301B"/>
    <w:rsid w:val="14BA7E1E"/>
    <w:rsid w:val="152D233B"/>
    <w:rsid w:val="157D1010"/>
    <w:rsid w:val="15EE7481"/>
    <w:rsid w:val="17290411"/>
    <w:rsid w:val="17401EFB"/>
    <w:rsid w:val="17C90AA4"/>
    <w:rsid w:val="18C473C1"/>
    <w:rsid w:val="18F03E0E"/>
    <w:rsid w:val="18F11B7B"/>
    <w:rsid w:val="19F27507"/>
    <w:rsid w:val="1A5A0E6A"/>
    <w:rsid w:val="1A6375F7"/>
    <w:rsid w:val="1A716363"/>
    <w:rsid w:val="1A8D159C"/>
    <w:rsid w:val="1AB1448D"/>
    <w:rsid w:val="1B681B55"/>
    <w:rsid w:val="1BD12BBD"/>
    <w:rsid w:val="1BD42925"/>
    <w:rsid w:val="1BEC194E"/>
    <w:rsid w:val="1C11425A"/>
    <w:rsid w:val="1C4A77E4"/>
    <w:rsid w:val="1C805BAB"/>
    <w:rsid w:val="1D2E61D3"/>
    <w:rsid w:val="1D2F1B68"/>
    <w:rsid w:val="1D68457D"/>
    <w:rsid w:val="1D6C231B"/>
    <w:rsid w:val="1DFC708F"/>
    <w:rsid w:val="1E500977"/>
    <w:rsid w:val="1E5048F1"/>
    <w:rsid w:val="1E9A5ED4"/>
    <w:rsid w:val="1EDF1101"/>
    <w:rsid w:val="1F7A0E43"/>
    <w:rsid w:val="1FEA404F"/>
    <w:rsid w:val="20294D50"/>
    <w:rsid w:val="204978FF"/>
    <w:rsid w:val="20707087"/>
    <w:rsid w:val="20FF3AAE"/>
    <w:rsid w:val="2125017D"/>
    <w:rsid w:val="21A156C9"/>
    <w:rsid w:val="225A5C92"/>
    <w:rsid w:val="228850B7"/>
    <w:rsid w:val="22D80013"/>
    <w:rsid w:val="23612A11"/>
    <w:rsid w:val="23F57899"/>
    <w:rsid w:val="24101808"/>
    <w:rsid w:val="247244CC"/>
    <w:rsid w:val="2487625F"/>
    <w:rsid w:val="248B06FB"/>
    <w:rsid w:val="24AF2051"/>
    <w:rsid w:val="24C626F3"/>
    <w:rsid w:val="24EA50EF"/>
    <w:rsid w:val="25376FDC"/>
    <w:rsid w:val="25E94D7B"/>
    <w:rsid w:val="26083D63"/>
    <w:rsid w:val="265832F6"/>
    <w:rsid w:val="2725781B"/>
    <w:rsid w:val="275506DB"/>
    <w:rsid w:val="27C173CD"/>
    <w:rsid w:val="28DC43AF"/>
    <w:rsid w:val="29BB5D72"/>
    <w:rsid w:val="2A3C6EB3"/>
    <w:rsid w:val="2B5C3444"/>
    <w:rsid w:val="2BB62C95"/>
    <w:rsid w:val="2BD555E6"/>
    <w:rsid w:val="2C1874AC"/>
    <w:rsid w:val="2C741D09"/>
    <w:rsid w:val="2C7F78A6"/>
    <w:rsid w:val="2D8D7366"/>
    <w:rsid w:val="2DC07DFB"/>
    <w:rsid w:val="2E255CC2"/>
    <w:rsid w:val="2EEE09A3"/>
    <w:rsid w:val="2F82511C"/>
    <w:rsid w:val="2FB64A2C"/>
    <w:rsid w:val="2FC97B59"/>
    <w:rsid w:val="313F5612"/>
    <w:rsid w:val="31B2535E"/>
    <w:rsid w:val="31B9703B"/>
    <w:rsid w:val="31C51E84"/>
    <w:rsid w:val="325C159B"/>
    <w:rsid w:val="33BD1146"/>
    <w:rsid w:val="34CD1F55"/>
    <w:rsid w:val="34F04E86"/>
    <w:rsid w:val="352B444C"/>
    <w:rsid w:val="354E616C"/>
    <w:rsid w:val="356E10EB"/>
    <w:rsid w:val="35C9013D"/>
    <w:rsid w:val="363C52D0"/>
    <w:rsid w:val="3681335D"/>
    <w:rsid w:val="36AA4673"/>
    <w:rsid w:val="37B41929"/>
    <w:rsid w:val="37CA3C84"/>
    <w:rsid w:val="38694C4F"/>
    <w:rsid w:val="38C74D5D"/>
    <w:rsid w:val="3B7641EF"/>
    <w:rsid w:val="3B8C1C2A"/>
    <w:rsid w:val="3B8F4EEB"/>
    <w:rsid w:val="3BB74682"/>
    <w:rsid w:val="3BF66BE0"/>
    <w:rsid w:val="3C380DDF"/>
    <w:rsid w:val="3D1B7B1B"/>
    <w:rsid w:val="3D2263DC"/>
    <w:rsid w:val="3D4518DA"/>
    <w:rsid w:val="3D485319"/>
    <w:rsid w:val="3D6E33D0"/>
    <w:rsid w:val="3D854140"/>
    <w:rsid w:val="3E74638B"/>
    <w:rsid w:val="3E907376"/>
    <w:rsid w:val="3EA312CB"/>
    <w:rsid w:val="3EC74E81"/>
    <w:rsid w:val="3ED87F83"/>
    <w:rsid w:val="3F9DC70D"/>
    <w:rsid w:val="3FC76DC7"/>
    <w:rsid w:val="3FF52F4E"/>
    <w:rsid w:val="40372855"/>
    <w:rsid w:val="40E045E4"/>
    <w:rsid w:val="411029F0"/>
    <w:rsid w:val="411C587F"/>
    <w:rsid w:val="41607802"/>
    <w:rsid w:val="42142485"/>
    <w:rsid w:val="42E858EA"/>
    <w:rsid w:val="4335673E"/>
    <w:rsid w:val="44995935"/>
    <w:rsid w:val="44C83DB4"/>
    <w:rsid w:val="45E66362"/>
    <w:rsid w:val="46794B93"/>
    <w:rsid w:val="468703CE"/>
    <w:rsid w:val="46955E71"/>
    <w:rsid w:val="47D8095D"/>
    <w:rsid w:val="47E950FB"/>
    <w:rsid w:val="48695070"/>
    <w:rsid w:val="498D46E0"/>
    <w:rsid w:val="49951CE4"/>
    <w:rsid w:val="49A47818"/>
    <w:rsid w:val="49FB47CF"/>
    <w:rsid w:val="4A66411B"/>
    <w:rsid w:val="4B6F48F4"/>
    <w:rsid w:val="4B7073B2"/>
    <w:rsid w:val="4BA359D0"/>
    <w:rsid w:val="4BC85F33"/>
    <w:rsid w:val="4C211F55"/>
    <w:rsid w:val="4C3C0337"/>
    <w:rsid w:val="4E045E78"/>
    <w:rsid w:val="4EC049E8"/>
    <w:rsid w:val="4F2C054D"/>
    <w:rsid w:val="4F586D55"/>
    <w:rsid w:val="4FC53CD3"/>
    <w:rsid w:val="4FC57595"/>
    <w:rsid w:val="509A6A9D"/>
    <w:rsid w:val="511555BF"/>
    <w:rsid w:val="51367716"/>
    <w:rsid w:val="51960CEF"/>
    <w:rsid w:val="52B01FAF"/>
    <w:rsid w:val="52F85EA1"/>
    <w:rsid w:val="53C309AB"/>
    <w:rsid w:val="540C51F2"/>
    <w:rsid w:val="546F4F19"/>
    <w:rsid w:val="55191361"/>
    <w:rsid w:val="56F14E33"/>
    <w:rsid w:val="56FD2433"/>
    <w:rsid w:val="56FE243D"/>
    <w:rsid w:val="57007337"/>
    <w:rsid w:val="570B1838"/>
    <w:rsid w:val="576B458E"/>
    <w:rsid w:val="57744405"/>
    <w:rsid w:val="58302E4A"/>
    <w:rsid w:val="58694A68"/>
    <w:rsid w:val="5915164C"/>
    <w:rsid w:val="591C4C7F"/>
    <w:rsid w:val="59387842"/>
    <w:rsid w:val="59C53D70"/>
    <w:rsid w:val="5A6116D0"/>
    <w:rsid w:val="5A637C38"/>
    <w:rsid w:val="5A897643"/>
    <w:rsid w:val="5ADB76F2"/>
    <w:rsid w:val="5B2353A2"/>
    <w:rsid w:val="5B2F01EA"/>
    <w:rsid w:val="5B8016E8"/>
    <w:rsid w:val="5BB14D9B"/>
    <w:rsid w:val="5C164A62"/>
    <w:rsid w:val="5CB84412"/>
    <w:rsid w:val="5D791EB2"/>
    <w:rsid w:val="5DA12FC3"/>
    <w:rsid w:val="5DFA0769"/>
    <w:rsid w:val="5EEB2A8E"/>
    <w:rsid w:val="5EFC06DB"/>
    <w:rsid w:val="5F5D7A94"/>
    <w:rsid w:val="5F93686E"/>
    <w:rsid w:val="5FE7259D"/>
    <w:rsid w:val="5FF5550C"/>
    <w:rsid w:val="5FFC6F5B"/>
    <w:rsid w:val="601C2C44"/>
    <w:rsid w:val="61CF17CB"/>
    <w:rsid w:val="61F107CB"/>
    <w:rsid w:val="620C2843"/>
    <w:rsid w:val="62CC52AD"/>
    <w:rsid w:val="631A03C3"/>
    <w:rsid w:val="633B5AD0"/>
    <w:rsid w:val="63FE1CAE"/>
    <w:rsid w:val="641742A6"/>
    <w:rsid w:val="65530F79"/>
    <w:rsid w:val="655B1BDC"/>
    <w:rsid w:val="656C5434"/>
    <w:rsid w:val="65E7574D"/>
    <w:rsid w:val="65FE1CCE"/>
    <w:rsid w:val="661079EC"/>
    <w:rsid w:val="67137654"/>
    <w:rsid w:val="67D16B4F"/>
    <w:rsid w:val="67E33D76"/>
    <w:rsid w:val="68125735"/>
    <w:rsid w:val="68321879"/>
    <w:rsid w:val="69041417"/>
    <w:rsid w:val="692F7B9E"/>
    <w:rsid w:val="694967DF"/>
    <w:rsid w:val="69661C3A"/>
    <w:rsid w:val="69812415"/>
    <w:rsid w:val="69CA22CA"/>
    <w:rsid w:val="69D72179"/>
    <w:rsid w:val="6A545B55"/>
    <w:rsid w:val="6AA32DBD"/>
    <w:rsid w:val="6AB87B92"/>
    <w:rsid w:val="6B0B1A2E"/>
    <w:rsid w:val="6BFFD233"/>
    <w:rsid w:val="6D9F580C"/>
    <w:rsid w:val="6DC36570"/>
    <w:rsid w:val="6DF143BA"/>
    <w:rsid w:val="6E2A4841"/>
    <w:rsid w:val="6EB72579"/>
    <w:rsid w:val="6ED148BC"/>
    <w:rsid w:val="6F72729F"/>
    <w:rsid w:val="6F993A15"/>
    <w:rsid w:val="6FD902CD"/>
    <w:rsid w:val="70596275"/>
    <w:rsid w:val="70B044EA"/>
    <w:rsid w:val="70F04F6D"/>
    <w:rsid w:val="70FCC95B"/>
    <w:rsid w:val="713752AB"/>
    <w:rsid w:val="71860650"/>
    <w:rsid w:val="71A806F7"/>
    <w:rsid w:val="71E73175"/>
    <w:rsid w:val="721E68E3"/>
    <w:rsid w:val="724C3ABB"/>
    <w:rsid w:val="72FE050D"/>
    <w:rsid w:val="737DAF7F"/>
    <w:rsid w:val="73AD3F4B"/>
    <w:rsid w:val="73AD7AA7"/>
    <w:rsid w:val="73C10AC4"/>
    <w:rsid w:val="73EF4BD0"/>
    <w:rsid w:val="74387CB8"/>
    <w:rsid w:val="749E3893"/>
    <w:rsid w:val="74A9110E"/>
    <w:rsid w:val="74D23A3D"/>
    <w:rsid w:val="74EF4186"/>
    <w:rsid w:val="758A3C70"/>
    <w:rsid w:val="75CB7A32"/>
    <w:rsid w:val="75DF58F6"/>
    <w:rsid w:val="75FEFE3B"/>
    <w:rsid w:val="760C2423"/>
    <w:rsid w:val="76402E54"/>
    <w:rsid w:val="77755404"/>
    <w:rsid w:val="77BF67B5"/>
    <w:rsid w:val="77ED72DA"/>
    <w:rsid w:val="77F959B0"/>
    <w:rsid w:val="78052FBA"/>
    <w:rsid w:val="780A7D41"/>
    <w:rsid w:val="789E0B88"/>
    <w:rsid w:val="7975313A"/>
    <w:rsid w:val="79E83926"/>
    <w:rsid w:val="7A7C01D3"/>
    <w:rsid w:val="7BCD5255"/>
    <w:rsid w:val="7BEFBCF1"/>
    <w:rsid w:val="7BFF799B"/>
    <w:rsid w:val="7C23393A"/>
    <w:rsid w:val="7C4E5B9F"/>
    <w:rsid w:val="7C6367E6"/>
    <w:rsid w:val="7CCA791B"/>
    <w:rsid w:val="7CF504E5"/>
    <w:rsid w:val="7CF80162"/>
    <w:rsid w:val="7D08456E"/>
    <w:rsid w:val="7D36393E"/>
    <w:rsid w:val="7D741C55"/>
    <w:rsid w:val="7DAB69AE"/>
    <w:rsid w:val="7DF80F37"/>
    <w:rsid w:val="7E221091"/>
    <w:rsid w:val="7EFB088B"/>
    <w:rsid w:val="7EFB2386"/>
    <w:rsid w:val="7F7DDBAF"/>
    <w:rsid w:val="7F7FFC0E"/>
    <w:rsid w:val="7FAD5956"/>
    <w:rsid w:val="7FB36445"/>
    <w:rsid w:val="7FD77772"/>
    <w:rsid w:val="7FFF822F"/>
    <w:rsid w:val="86799997"/>
    <w:rsid w:val="A1FF97F4"/>
    <w:rsid w:val="A8FB6C2B"/>
    <w:rsid w:val="BBFC3829"/>
    <w:rsid w:val="BDFD6F07"/>
    <w:rsid w:val="BFFF947D"/>
    <w:rsid w:val="C434CE93"/>
    <w:rsid w:val="CFDF4ACC"/>
    <w:rsid w:val="DAECB2C5"/>
    <w:rsid w:val="DCDF45A5"/>
    <w:rsid w:val="DDBF4607"/>
    <w:rsid w:val="DEFD65AA"/>
    <w:rsid w:val="DF774591"/>
    <w:rsid w:val="EBD846CF"/>
    <w:rsid w:val="EBF711FF"/>
    <w:rsid w:val="EDFFDAA3"/>
    <w:rsid w:val="EFDFCA51"/>
    <w:rsid w:val="F4C936AC"/>
    <w:rsid w:val="F79D56F1"/>
    <w:rsid w:val="F7DF9EF1"/>
    <w:rsid w:val="FBADA9A6"/>
    <w:rsid w:val="FBF0D339"/>
    <w:rsid w:val="FDB63DBE"/>
    <w:rsid w:val="FDBEDC71"/>
    <w:rsid w:val="FDDF1C2A"/>
    <w:rsid w:val="FEB73A8A"/>
    <w:rsid w:val="FEBF08A1"/>
    <w:rsid w:val="FF1645C3"/>
    <w:rsid w:val="FF34FFD4"/>
    <w:rsid w:val="FF5F14D5"/>
    <w:rsid w:val="FFED0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156" w:beforeLines="50" w:after="156" w:afterLines="50" w:line="500" w:lineRule="exact"/>
      <w:ind w:left="964" w:hanging="1033" w:hangingChars="343"/>
      <w:outlineLvl w:val="0"/>
    </w:pPr>
    <w:rPr>
      <w:rFonts w:ascii="黑体" w:hAnsi="黑体" w:eastAsia="黑体" w:cs="黑体"/>
      <w:bCs/>
      <w:sz w:val="30"/>
      <w:szCs w:val="30"/>
    </w:rPr>
  </w:style>
  <w:style w:type="paragraph" w:styleId="3">
    <w:name w:val="heading 2"/>
    <w:basedOn w:val="1"/>
    <w:next w:val="1"/>
    <w:unhideWhenUsed/>
    <w:qFormat/>
    <w:uiPriority w:val="9"/>
    <w:pPr>
      <w:spacing w:before="312" w:beforeLines="100" w:after="156" w:afterLines="50"/>
      <w:outlineLvl w:val="1"/>
    </w:pPr>
    <w:rPr>
      <w:rFonts w:ascii="楷体" w:hAnsi="楷体" w:eastAsia="楷体" w:cs="楷体"/>
      <w:b/>
      <w:sz w:val="30"/>
      <w:szCs w:val="30"/>
    </w:rPr>
  </w:style>
  <w:style w:type="paragraph" w:styleId="4">
    <w:name w:val="heading 3"/>
    <w:basedOn w:val="1"/>
    <w:next w:val="1"/>
    <w:link w:val="17"/>
    <w:unhideWhenUsed/>
    <w:qFormat/>
    <w:uiPriority w:val="9"/>
    <w:pPr>
      <w:widowControl/>
      <w:spacing w:line="480" w:lineRule="exact"/>
      <w:ind w:firstLine="600" w:firstLineChars="200"/>
      <w:outlineLvl w:val="2"/>
    </w:pPr>
    <w:rPr>
      <w:rFonts w:ascii="仿宋" w:hAnsi="仿宋" w:eastAsia="仿宋" w:cs="仿宋"/>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840"/>
        <w:tab w:val="right" w:leader="dot" w:pos="8296"/>
      </w:tabs>
    </w:p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unhideWhenUsed/>
    <w:qFormat/>
    <w:uiPriority w:val="99"/>
    <w:rPr>
      <w:color w:val="0563C1"/>
      <w:u w:val="single"/>
    </w:rPr>
  </w:style>
  <w:style w:type="character" w:customStyle="1" w:styleId="17">
    <w:name w:val="标题 3 字符"/>
    <w:link w:val="4"/>
    <w:qFormat/>
    <w:uiPriority w:val="9"/>
    <w:rPr>
      <w:rFonts w:ascii="仿宋" w:hAnsi="仿宋" w:eastAsia="仿宋" w:cs="仿宋"/>
      <w:sz w:val="30"/>
      <w:szCs w:val="30"/>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_Style 1"/>
    <w:basedOn w:val="1"/>
    <w:qFormat/>
    <w:uiPriority w:val="0"/>
    <w:pPr>
      <w:spacing w:line="481" w:lineRule="atLeast"/>
      <w:ind w:firstLine="623"/>
      <w:textAlignment w:val="baseline"/>
    </w:pPr>
    <w:rPr>
      <w:color w:val="000000"/>
      <w:sz w:val="31"/>
    </w:rPr>
  </w:style>
  <w:style w:type="character" w:customStyle="1" w:styleId="20">
    <w:name w:val="font61"/>
    <w:basedOn w:val="14"/>
    <w:qFormat/>
    <w:uiPriority w:val="0"/>
    <w:rPr>
      <w:rFonts w:hint="eastAsia" w:ascii="等线" w:hAnsi="等线" w:eastAsia="等线" w:cs="等线"/>
      <w:color w:val="FF0000"/>
      <w:sz w:val="22"/>
      <w:szCs w:val="22"/>
      <w:u w:val="none"/>
    </w:rPr>
  </w:style>
  <w:style w:type="character" w:customStyle="1" w:styleId="21">
    <w:name w:val="font01"/>
    <w:basedOn w:val="14"/>
    <w:qFormat/>
    <w:uiPriority w:val="0"/>
    <w:rPr>
      <w:rFonts w:hint="eastAsia" w:ascii="等线" w:hAnsi="等线" w:eastAsia="等线" w:cs="等线"/>
      <w:color w:val="000000"/>
      <w:sz w:val="22"/>
      <w:szCs w:val="22"/>
      <w:u w:val="none"/>
    </w:rPr>
  </w:style>
  <w:style w:type="character" w:customStyle="1" w:styleId="22">
    <w:name w:val="font71"/>
    <w:basedOn w:val="14"/>
    <w:qFormat/>
    <w:uiPriority w:val="0"/>
    <w:rPr>
      <w:rFonts w:hint="eastAsia" w:ascii="等线" w:hAnsi="等线" w:eastAsia="等线" w:cs="等线"/>
      <w:color w:val="auto"/>
      <w:sz w:val="24"/>
      <w:szCs w:val="24"/>
      <w:u w:val="none"/>
    </w:rPr>
  </w:style>
  <w:style w:type="paragraph" w:customStyle="1" w:styleId="2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11575</Words>
  <Characters>12376</Characters>
  <Lines>105</Lines>
  <Paragraphs>29</Paragraphs>
  <TotalTime>1</TotalTime>
  <ScaleCrop>false</ScaleCrop>
  <LinksUpToDate>false</LinksUpToDate>
  <CharactersWithSpaces>12420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2023-03-07T19:21:00Z</dcterms:created>
  <dc:creator>87523</dc:creator>
  <cp:lastModifiedBy>何婷婷</cp:lastModifiedBy>
  <dcterms:modified xsi:type="dcterms:W3CDTF">2025-11-07T09:54:32Z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2D4EACDC9FCB475BB521ECF5430CF818_13</vt:lpwstr>
  </property>
  <property fmtid="{D5CDD505-2E9C-101B-9397-08002B2CF9AE}" pid="4" name="KSOTemplateDocerSaveRecord">
    <vt:lpwstr>eyJoZGlkIjoiNzgyODQ4ZDE1NTVkYjM3ZDc1YmNjOThkZWVkOGM1OWQiLCJ1c2VySWQiOiIyODc5OTg4NjIifQ==</vt:lpwstr>
  </property>
</Properties>
</file>