
<file path=[Content_Types].xml><?xml version="1.0" encoding="utf-8"?>
<Types xmlns="http://schemas.openxmlformats.org/package/2006/content-types">
  <Default Extension="xml" ContentType="application/xml"/>
  <Default Extension="png" ContentType="image/png"/>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eastAsia="华文中宋"/>
          <w:sz w:val="40"/>
          <w:szCs w:val="40"/>
        </w:rPr>
      </w:pPr>
    </w:p>
    <w:p>
      <w:pPr>
        <w:jc w:val="center"/>
        <w:rPr>
          <w:rFonts w:eastAsia="华文中宋"/>
          <w:sz w:val="40"/>
          <w:szCs w:val="40"/>
        </w:rPr>
      </w:pPr>
    </w:p>
    <w:p>
      <w:pPr>
        <w:jc w:val="center"/>
        <w:rPr>
          <w:rFonts w:eastAsia="华文中宋"/>
          <w:sz w:val="40"/>
          <w:szCs w:val="40"/>
        </w:rPr>
      </w:pPr>
    </w:p>
    <w:p>
      <w:pPr>
        <w:spacing w:line="360" w:lineRule="auto"/>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北京市地方标准编制说明</w:t>
      </w:r>
    </w:p>
    <w:p>
      <w:pPr>
        <w:spacing w:line="360" w:lineRule="auto"/>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《农村小微水体污染遥感监测技术规范》</w:t>
      </w:r>
    </w:p>
    <w:p>
      <w:pPr>
        <w:spacing w:line="360" w:lineRule="auto"/>
        <w:jc w:val="center"/>
        <w:rPr>
          <w:rFonts w:ascii="楷体_GB2312" w:hAnsi="楷体_GB2312" w:eastAsia="楷体_GB2312" w:cs="楷体_GB2312"/>
          <w:sz w:val="32"/>
          <w:szCs w:val="32"/>
        </w:rPr>
      </w:pPr>
      <w:r>
        <w:rPr>
          <w:rFonts w:hint="eastAsia" w:ascii="楷体_GB2312" w:hAnsi="楷体_GB2312" w:eastAsia="楷体_GB2312" w:cs="楷体_GB2312"/>
          <w:sz w:val="32"/>
          <w:szCs w:val="32"/>
        </w:rPr>
        <w:t>（征求意见稿）</w:t>
      </w:r>
    </w:p>
    <w:p>
      <w:pPr>
        <w:spacing w:line="360" w:lineRule="auto"/>
        <w:jc w:val="center"/>
        <w:rPr>
          <w:rFonts w:eastAsia="黑体"/>
          <w:b/>
          <w:bCs/>
          <w:sz w:val="48"/>
          <w:szCs w:val="52"/>
        </w:rPr>
      </w:pPr>
    </w:p>
    <w:p>
      <w:pPr>
        <w:widowControl/>
        <w:jc w:val="left"/>
        <w:rPr>
          <w:sz w:val="32"/>
        </w:rPr>
      </w:pPr>
    </w:p>
    <w:p>
      <w:pPr>
        <w:widowControl/>
        <w:jc w:val="left"/>
        <w:rPr>
          <w:sz w:val="32"/>
        </w:rPr>
      </w:pPr>
    </w:p>
    <w:p>
      <w:pPr>
        <w:widowControl/>
        <w:jc w:val="left"/>
        <w:rPr>
          <w:sz w:val="32"/>
        </w:rPr>
      </w:pPr>
    </w:p>
    <w:p>
      <w:pPr>
        <w:widowControl/>
        <w:jc w:val="left"/>
        <w:rPr>
          <w:sz w:val="32"/>
        </w:rPr>
      </w:pPr>
    </w:p>
    <w:p>
      <w:pPr>
        <w:widowControl/>
        <w:jc w:val="left"/>
        <w:rPr>
          <w:sz w:val="32"/>
        </w:rPr>
      </w:pPr>
    </w:p>
    <w:p>
      <w:pPr>
        <w:widowControl/>
        <w:jc w:val="left"/>
        <w:rPr>
          <w:sz w:val="32"/>
        </w:rPr>
      </w:pPr>
    </w:p>
    <w:p>
      <w:pPr>
        <w:widowControl/>
        <w:jc w:val="left"/>
        <w:rPr>
          <w:sz w:val="32"/>
        </w:rPr>
      </w:pPr>
    </w:p>
    <w:p>
      <w:pPr>
        <w:widowControl/>
        <w:jc w:val="left"/>
        <w:rPr>
          <w:sz w:val="32"/>
        </w:rPr>
      </w:pPr>
    </w:p>
    <w:p>
      <w:pPr>
        <w:widowControl/>
        <w:jc w:val="left"/>
        <w:rPr>
          <w:sz w:val="32"/>
        </w:rPr>
      </w:pPr>
    </w:p>
    <w:p>
      <w:pPr>
        <w:spacing w:line="360" w:lineRule="auto"/>
        <w:jc w:val="center"/>
        <w:rPr>
          <w:rFonts w:ascii="黑体" w:hAnsi="黑体" w:eastAsia="黑体" w:cs="黑体"/>
          <w:sz w:val="32"/>
          <w:szCs w:val="36"/>
        </w:rPr>
      </w:pPr>
      <w:r>
        <w:rPr>
          <w:rFonts w:hint="eastAsia" w:ascii="黑体" w:hAnsi="黑体" w:eastAsia="黑体" w:cs="黑体"/>
          <w:sz w:val="32"/>
          <w:szCs w:val="36"/>
        </w:rPr>
        <w:t>《农村小微水体污染遥感监测技术规范》编制组</w:t>
      </w:r>
    </w:p>
    <w:p>
      <w:pPr>
        <w:jc w:val="center"/>
        <w:rPr>
          <w:rFonts w:ascii="黑体" w:hAnsi="黑体" w:eastAsia="黑体" w:cs="黑体"/>
          <w:sz w:val="32"/>
          <w:szCs w:val="36"/>
        </w:rPr>
        <w:sectPr>
          <w:headerReference r:id="rId3" w:type="default"/>
          <w:footerReference r:id="rId5" w:type="default"/>
          <w:headerReference r:id="rId4" w:type="even"/>
          <w:pgSz w:w="11906" w:h="16838"/>
          <w:pgMar w:top="1440" w:right="1803" w:bottom="1440" w:left="1803" w:header="851" w:footer="992" w:gutter="0"/>
          <w:pgNumType w:start="1"/>
          <w:cols w:space="0" w:num="1"/>
          <w:docGrid w:type="linesAndChars" w:linePitch="319" w:charSpace="0"/>
        </w:sectPr>
      </w:pPr>
      <w:r>
        <w:rPr>
          <w:rFonts w:hint="eastAsia" w:ascii="黑体" w:hAnsi="黑体" w:eastAsia="黑体" w:cs="黑体"/>
          <w:sz w:val="32"/>
          <w:szCs w:val="36"/>
        </w:rPr>
        <w:t>二〇二六年</w:t>
      </w:r>
      <w:r>
        <w:rPr>
          <w:rFonts w:hint="eastAsia" w:ascii="黑体" w:hAnsi="黑体" w:eastAsia="黑体" w:cs="黑体"/>
          <w:sz w:val="32"/>
          <w:szCs w:val="36"/>
          <w:lang w:eastAsia="zh-CN"/>
        </w:rPr>
        <w:t>二</w:t>
      </w:r>
      <w:r>
        <w:rPr>
          <w:rFonts w:hint="eastAsia" w:ascii="黑体" w:hAnsi="黑体" w:eastAsia="黑体" w:cs="黑体"/>
          <w:sz w:val="32"/>
          <w:szCs w:val="36"/>
        </w:rPr>
        <w:t>月</w:t>
      </w:r>
    </w:p>
    <w:p>
      <w:pPr>
        <w:widowControl/>
        <w:jc w:val="left"/>
        <w:rPr>
          <w:rFonts w:eastAsia="黑体"/>
          <w:sz w:val="32"/>
          <w:szCs w:val="36"/>
        </w:rPr>
      </w:pPr>
      <w:r>
        <w:rPr>
          <w:rFonts w:eastAsia="黑体"/>
          <w:sz w:val="32"/>
          <w:szCs w:val="36"/>
        </w:rPr>
        <w:t>项目名称：农村小微水体污染遥感监测技术规范</w:t>
      </w:r>
    </w:p>
    <w:p>
      <w:pPr>
        <w:widowControl/>
        <w:jc w:val="left"/>
        <w:rPr>
          <w:rFonts w:eastAsia="黑体"/>
          <w:sz w:val="32"/>
          <w:szCs w:val="36"/>
        </w:rPr>
      </w:pPr>
      <w:r>
        <w:rPr>
          <w:rFonts w:eastAsia="黑体"/>
          <w:sz w:val="32"/>
          <w:szCs w:val="36"/>
        </w:rPr>
        <w:t>项目统一编号：20251077</w:t>
      </w:r>
    </w:p>
    <w:p>
      <w:pPr>
        <w:widowControl/>
        <w:jc w:val="left"/>
        <w:rPr>
          <w:rFonts w:eastAsia="黑体"/>
          <w:sz w:val="32"/>
          <w:szCs w:val="36"/>
        </w:rPr>
      </w:pPr>
      <w:r>
        <w:rPr>
          <w:rFonts w:eastAsia="黑体"/>
          <w:sz w:val="32"/>
          <w:szCs w:val="36"/>
        </w:rPr>
        <w:t>承担单位：北京市生态环境监测中心</w:t>
      </w:r>
    </w:p>
    <w:p>
      <w:pPr>
        <w:rPr>
          <w:sz w:val="32"/>
        </w:rPr>
      </w:pPr>
      <w:r>
        <w:rPr>
          <w:sz w:val="32"/>
        </w:rPr>
        <w:br w:type="page"/>
      </w:r>
    </w:p>
    <w:sdt>
      <w:sdtPr>
        <w:rPr>
          <w:rFonts w:eastAsiaTheme="minorEastAsia"/>
          <w:lang w:val="zh-CN"/>
        </w:rPr>
        <w:id w:val="-1"/>
        <w:docPartObj>
          <w:docPartGallery w:val="Table of Contents"/>
          <w:docPartUnique/>
        </w:docPartObj>
      </w:sdtPr>
      <w:sdtEndPr>
        <w:rPr>
          <w:rFonts w:eastAsiaTheme="minorEastAsia"/>
          <w:b/>
          <w:bCs/>
          <w:sz w:val="24"/>
          <w:lang w:val="zh-CN"/>
        </w:rPr>
      </w:sdtEndPr>
      <w:sdtContent>
        <w:p>
          <w:pPr>
            <w:keepNext w:val="0"/>
            <w:keepLines w:val="0"/>
            <w:pageBreakBefore w:val="0"/>
            <w:widowControl w:val="0"/>
            <w:kinsoku/>
            <w:wordWrap/>
            <w:overflowPunct/>
            <w:topLinePunct w:val="0"/>
            <w:autoSpaceDE/>
            <w:autoSpaceDN/>
            <w:bidi w:val="0"/>
            <w:adjustRightInd/>
            <w:snapToGrid/>
            <w:spacing w:before="0" w:beforeLines="0" w:after="0" w:afterLines="0" w:line="288" w:lineRule="auto"/>
            <w:ind w:left="0" w:leftChars="0" w:right="0" w:rightChars="0" w:firstLine="0" w:firstLineChars="0"/>
            <w:jc w:val="center"/>
            <w:textAlignment w:val="auto"/>
          </w:pP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pPr>
            <w:pStyle w:val="10"/>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Style w:val="21"/>
              <w:rFonts w:eastAsiaTheme="minorEastAsia"/>
              <w:sz w:val="24"/>
            </w:rPr>
            <w:fldChar w:fldCharType="begin"/>
          </w:r>
          <w:r>
            <w:rPr>
              <w:rStyle w:val="21"/>
              <w:rFonts w:eastAsiaTheme="minorEastAsia"/>
              <w:sz w:val="24"/>
            </w:rPr>
            <w:instrText xml:space="preserve"> TOC \o "1-3" \h \z \u </w:instrText>
          </w:r>
          <w:r>
            <w:rPr>
              <w:rStyle w:val="21"/>
              <w:rFonts w:eastAsiaTheme="minorEastAsia"/>
              <w:sz w:val="24"/>
            </w:rPr>
            <w:fldChar w:fldCharType="separate"/>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_Toc2094279715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 项目背景</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_Toc2094279715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_Toc1176976443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kern w:val="0"/>
            </w:rPr>
            <w:t>1.1 任务来源</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_Toc1176976443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_Toc455131342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kern w:val="0"/>
            </w:rPr>
            <w:t>1.2 起草单位和主要起草人</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_Toc455131342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0"/>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_Toc1907252589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 制定标准的必要性和意义</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_Toc1907252589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_Toc391029666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kern w:val="0"/>
            </w:rPr>
            <w:t>2.1 农村小微水体监管相关标准的实施情况</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_Toc391029666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_Toc815184725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kern w:val="0"/>
            </w:rPr>
            <w:t>2.2 标准编制必要性</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_Toc815184725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4</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_Toc6594995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kern w:val="0"/>
            </w:rPr>
            <w:t>2.3 标准制定的意义</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_Toc6594995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0"/>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_Toc823467081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 适用对象基本情况</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_Toc823467081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0"/>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_Toc1004021095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4 主要起草过程</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_Toc1004021095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7</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_Toc1935781569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kern w:val="0"/>
            </w:rPr>
            <w:t>4.1 工作基础及起草</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_Toc1935781569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7</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_Toc355351686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kern w:val="0"/>
            </w:rPr>
            <w:t>4.2 立项</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_Toc355351686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8</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_Toc1656448041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kern w:val="0"/>
            </w:rPr>
            <w:t>4.3 专家咨询会</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_Toc1656448041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8</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_Toc1277260036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kern w:val="0"/>
            </w:rPr>
            <w:t>4.4 相关单位征求意见</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_Toc1277260036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8</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_Toc1130831206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kern w:val="0"/>
            </w:rPr>
            <w:t>4.5 初审会</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_Toc1130831206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10</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0"/>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_Toc333098067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5 编制原则和编制依据</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_Toc333098067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10</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_Toc1876079161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bCs w:val="0"/>
            </w:rPr>
            <w:t>5.1 编制原则</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_Toc1876079161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10</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_Toc707423868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bCs w:val="0"/>
            </w:rPr>
            <w:t>5.2 编制依据</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_Toc707423868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_Toc503028980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kern w:val="0"/>
            </w:rPr>
            <w:t>5.3 与现行法律、法规、标准的关系</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_Toc503028980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17</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0"/>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_Toc1845183731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 文件的主要技术内容</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_Toc1845183731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18</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_Toc1123619693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kern w:val="0"/>
            </w:rPr>
            <w:t>6.1 文件内容框架</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_Toc1123619693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18</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_Toc2060672358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kern w:val="0"/>
            </w:rPr>
            <w:t>6.2 范围</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_Toc2060672358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19</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_Toc1999321717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kern w:val="0"/>
            </w:rPr>
            <w:t>6.3 规范性引用文件</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_Toc1999321717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19</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_Toc1619400956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6.4 术语及定义</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_Toc1619400956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20</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_Toc25550390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kern w:val="0"/>
            </w:rPr>
            <w:t>6.5 数据准备</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_Toc25550390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22</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_Toc697252228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bCs/>
              <w:kern w:val="0"/>
              <w:szCs w:val="32"/>
            </w:rPr>
            <w:t>6.6 遥感解译</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_Toc697252228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_Toc1088281894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kern w:val="0"/>
            </w:rPr>
            <w:t>6.7 现场调查</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_Toc1088281894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29</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_Toc1426781866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kern w:val="0"/>
            </w:rPr>
            <w:t>6.8 精度评定</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_Toc1426781866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_Toc1886194042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kern w:val="0"/>
            </w:rPr>
            <w:t>6.9 报告编制</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_Toc1886194042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_Toc1911748975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kern w:val="0"/>
            </w:rPr>
            <w:t>6.10 成果管理</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_Toc1911748975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0"/>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_Toc283319313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7 公平竞争审查情况</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_Toc283319313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33</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0"/>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_Toc1674491963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8 与国内外同类标准的对比情况</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_Toc1674491963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34</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_Toc119617014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kern w:val="0"/>
            </w:rPr>
            <w:t>8.1 国内同类标准</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_Toc119617014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34</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_Toc1939767354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kern w:val="0"/>
            </w:rPr>
            <w:t>8.2 国外同类标准</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_Toc1939767354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34</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2"/>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_Toc804268351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kern w:val="0"/>
            </w:rPr>
            <w:t>8.3 本标准与国内外同类标准的对比</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_Toc804268351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35</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0"/>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_Toc1250448220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9 作为推荐性标准的建议及其理由</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_Toc1250448220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40</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0"/>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_Toc125381773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10 实施标准的措施</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_Toc125381773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40</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0"/>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rPr>
              <w:rFonts w:hint="eastAsia" w:asciiTheme="minorEastAsia" w:hAnsiTheme="minorEastAsia" w:eastAsiaTheme="minorEastAsia" w:cstheme="minorEastAsia"/>
            </w:rPr>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_Toc532863864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11 其它应说明的事项</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_Toc532863864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40</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0"/>
            <w:keepNext w:val="0"/>
            <w:keepLines w:val="0"/>
            <w:pageBreakBefore w:val="0"/>
            <w:widowControl w:val="0"/>
            <w:tabs>
              <w:tab w:val="right" w:leader="dot" w:pos="8300"/>
            </w:tabs>
            <w:kinsoku/>
            <w:wordWrap/>
            <w:overflowPunct/>
            <w:topLinePunct w:val="0"/>
            <w:autoSpaceDE/>
            <w:autoSpaceDN/>
            <w:bidi w:val="0"/>
            <w:adjustRightInd/>
            <w:snapToGrid/>
            <w:spacing w:line="288" w:lineRule="auto"/>
            <w:textAlignment w:val="auto"/>
          </w:pP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\l _Toc1957872088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参考文献</w:t>
          </w:r>
          <w:r>
            <w:rPr>
              <w:rFonts w:hint="eastAsia" w:asciiTheme="minorEastAsia" w:hAnsiTheme="minorEastAsia" w:eastAsiaTheme="minorEastAsia" w:cstheme="minorEastAsia"/>
            </w:rPr>
            <w:tab/>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PAGEREF _Toc1957872088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t>41</w:t>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end"/>
          </w:r>
        </w:p>
        <w:p>
          <w:pPr>
            <w:pStyle w:val="10"/>
            <w:keepNext w:val="0"/>
            <w:keepLines w:val="0"/>
            <w:pageBreakBefore w:val="0"/>
            <w:widowControl w:val="0"/>
            <w:tabs>
              <w:tab w:val="right" w:leader="dot" w:pos="8296"/>
            </w:tabs>
            <w:kinsoku/>
            <w:wordWrap/>
            <w:overflowPunct/>
            <w:topLinePunct w:val="0"/>
            <w:autoSpaceDE/>
            <w:autoSpaceDN/>
            <w:bidi w:val="0"/>
            <w:adjustRightInd/>
            <w:snapToGrid/>
            <w:spacing w:line="288" w:lineRule="auto"/>
            <w:textAlignment w:val="auto"/>
            <w:rPr>
              <w:rFonts w:eastAsiaTheme="minorEastAsia"/>
              <w:szCs w:val="22"/>
            </w:rPr>
          </w:pPr>
          <w:r>
            <w:rPr>
              <w:rFonts w:eastAsiaTheme="minorEastAsia"/>
            </w:rPr>
            <w:fldChar w:fldCharType="end"/>
          </w:r>
        </w:p>
      </w:sdtContent>
    </w:sdt>
    <w:p>
      <w:pPr>
        <w:spacing w:line="360" w:lineRule="auto"/>
        <w:ind w:firstLine="640"/>
        <w:jc w:val="center"/>
        <w:rPr>
          <w:rFonts w:eastAsia="黑体"/>
          <w:sz w:val="32"/>
          <w:szCs w:val="36"/>
        </w:rPr>
      </w:pPr>
      <w:bookmarkStart w:id="454" w:name="_GoBack"/>
      <w:bookmarkEnd w:id="454"/>
    </w:p>
    <w:p>
      <w:pPr>
        <w:spacing w:line="360" w:lineRule="auto"/>
        <w:rPr>
          <w:rFonts w:eastAsia="黑体"/>
          <w:sz w:val="32"/>
          <w:szCs w:val="36"/>
        </w:rPr>
        <w:sectPr>
          <w:footerReference r:id="rId6" w:type="default"/>
          <w:pgSz w:w="11906" w:h="16838"/>
          <w:pgMar w:top="1440" w:right="1803" w:bottom="1440" w:left="1803" w:header="851" w:footer="992" w:gutter="0"/>
          <w:cols w:space="0" w:num="1"/>
          <w:docGrid w:type="linesAndChars" w:linePitch="319" w:charSpace="0"/>
        </w:sectPr>
      </w:pPr>
    </w:p>
    <w:p>
      <w:pPr>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《农村小微水体污染遥感监测技术规范（征求意见稿）》编制说明</w:t>
      </w:r>
    </w:p>
    <w:p>
      <w:pPr>
        <w:pStyle w:val="2"/>
      </w:pPr>
      <w:bookmarkStart w:id="0" w:name="OLE_LINK13"/>
      <w:bookmarkStart w:id="1" w:name="_Toc215478623"/>
      <w:bookmarkStart w:id="2" w:name="_Toc2094279715"/>
      <w:r>
        <w:t>1</w:t>
      </w:r>
      <w:bookmarkEnd w:id="0"/>
      <w:r>
        <w:rPr>
          <w:rFonts w:hint="eastAsia"/>
        </w:rPr>
        <w:t xml:space="preserve"> </w:t>
      </w:r>
      <w:r>
        <w:t>项目背景</w:t>
      </w:r>
      <w:bookmarkEnd w:id="1"/>
      <w:bookmarkEnd w:id="2"/>
    </w:p>
    <w:p>
      <w:pPr>
        <w:pStyle w:val="3"/>
        <w:numPr>
          <w:ilvl w:val="0"/>
          <w:numId w:val="0"/>
        </w:numPr>
        <w:spacing w:line="416" w:lineRule="auto"/>
        <w:rPr>
          <w:rFonts w:eastAsia="黑体"/>
          <w:b w:val="0"/>
          <w:kern w:val="0"/>
          <w:sz w:val="32"/>
        </w:rPr>
      </w:pPr>
      <w:bookmarkStart w:id="3" w:name="_Toc215478624"/>
      <w:bookmarkStart w:id="4" w:name="_Toc1176976443"/>
      <w:r>
        <w:rPr>
          <w:rFonts w:eastAsia="黑体"/>
          <w:b w:val="0"/>
          <w:kern w:val="0"/>
          <w:sz w:val="32"/>
        </w:rPr>
        <w:t>1.1</w:t>
      </w:r>
      <w:r>
        <w:rPr>
          <w:rFonts w:hint="eastAsia" w:eastAsia="黑体"/>
          <w:b w:val="0"/>
          <w:kern w:val="0"/>
          <w:sz w:val="32"/>
        </w:rPr>
        <w:t xml:space="preserve"> </w:t>
      </w:r>
      <w:r>
        <w:rPr>
          <w:rFonts w:eastAsia="黑体"/>
          <w:b w:val="0"/>
          <w:kern w:val="0"/>
          <w:sz w:val="32"/>
        </w:rPr>
        <w:t>任务来源</w:t>
      </w:r>
      <w:bookmarkEnd w:id="3"/>
      <w:bookmarkEnd w:id="4"/>
    </w:p>
    <w:p>
      <w:pPr>
        <w:spacing w:line="360" w:lineRule="auto"/>
        <w:ind w:firstLine="480" w:firstLineChars="200"/>
        <w:rPr>
          <w:sz w:val="24"/>
          <w:szCs w:val="21"/>
        </w:rPr>
      </w:pPr>
      <w:r>
        <w:rPr>
          <w:sz w:val="24"/>
          <w:szCs w:val="21"/>
        </w:rPr>
        <w:t>农村黑臭水体治理是“十四五”时期持续打</w:t>
      </w:r>
      <w:bookmarkStart w:id="5" w:name="OLE_LINK161"/>
      <w:bookmarkStart w:id="6" w:name="OLE_LINK160"/>
      <w:r>
        <w:rPr>
          <w:sz w:val="24"/>
          <w:szCs w:val="21"/>
        </w:rPr>
        <w:t>好</w:t>
      </w:r>
      <w:bookmarkEnd w:id="5"/>
      <w:bookmarkEnd w:id="6"/>
      <w:r>
        <w:rPr>
          <w:sz w:val="24"/>
          <w:szCs w:val="21"/>
        </w:rPr>
        <w:t>农业农村污染治理攻坚战的重点任务。生态环境部、农业农村部等9部门联合印发《美丽乡村建设实施方案》（环土壤〔2025〕5号）</w:t>
      </w:r>
      <w:r>
        <w:rPr>
          <w:rFonts w:hint="eastAsia"/>
          <w:sz w:val="24"/>
          <w:szCs w:val="21"/>
        </w:rPr>
        <w:t>，</w:t>
      </w:r>
      <w:bookmarkStart w:id="7" w:name="OLE_LINK63"/>
      <w:r>
        <w:rPr>
          <w:sz w:val="24"/>
          <w:szCs w:val="21"/>
        </w:rPr>
        <w:t>要求：到</w:t>
      </w:r>
      <w:bookmarkEnd w:id="7"/>
      <w:r>
        <w:rPr>
          <w:sz w:val="24"/>
          <w:szCs w:val="21"/>
        </w:rPr>
        <w:t>2027年，美丽乡村整县建成比例达到40%，有条件的设区的市或者县（市、区）率先全域基本消除较大面积农村劣V类水体。到2035年，美丽乡村基本建成，乡政府</w:t>
      </w:r>
      <w:r>
        <w:rPr>
          <w:rFonts w:hint="eastAsia"/>
          <w:sz w:val="24"/>
          <w:szCs w:val="21"/>
        </w:rPr>
        <w:t>驻地</w:t>
      </w:r>
      <w:r>
        <w:rPr>
          <w:sz w:val="24"/>
          <w:szCs w:val="21"/>
        </w:rPr>
        <w:t>、中心村等重点村庄全面完成环境整治，基本消除较大面积农村劣V类水体，有条件的设区的市或者县（市、区）率先重现“河里游泳、溪里捉鱼”的亲水记忆。在水污染防治工作中，</w:t>
      </w:r>
      <w:r>
        <w:rPr>
          <w:rFonts w:hint="eastAsia"/>
          <w:sz w:val="24"/>
          <w:szCs w:val="21"/>
        </w:rPr>
        <w:t>北京市生态环境局、北京市水务局和北京市农业农村局联合印发</w:t>
      </w:r>
      <w:bookmarkStart w:id="8" w:name="OLE_LINK3"/>
      <w:bookmarkStart w:id="9" w:name="OLE_LINK2"/>
      <w:r>
        <w:rPr>
          <w:sz w:val="24"/>
          <w:szCs w:val="21"/>
        </w:rPr>
        <w:t>《</w:t>
      </w:r>
      <w:r>
        <w:rPr>
          <w:rFonts w:hint="eastAsia"/>
          <w:sz w:val="24"/>
          <w:szCs w:val="21"/>
        </w:rPr>
        <w:t>北京市</w:t>
      </w:r>
      <w:r>
        <w:rPr>
          <w:sz w:val="24"/>
          <w:szCs w:val="21"/>
        </w:rPr>
        <w:t>农村黑臭水体治理工作方案》，</w:t>
      </w:r>
      <w:r>
        <w:rPr>
          <w:rFonts w:hint="eastAsia"/>
          <w:sz w:val="24"/>
          <w:szCs w:val="21"/>
        </w:rPr>
        <w:t>提出</w:t>
      </w:r>
      <w:r>
        <w:rPr>
          <w:sz w:val="24"/>
          <w:szCs w:val="21"/>
        </w:rPr>
        <w:t>认真落实党中央、国务院部署和市委、市政府工作要求，扎实开展农村黑臭水体治理工作，深入推进宜居宜业和美乡村建设，切实增强广大人民群众的获得感和幸福感，到</w:t>
      </w:r>
      <w:r>
        <w:rPr>
          <w:rFonts w:hint="eastAsia"/>
          <w:sz w:val="24"/>
          <w:szCs w:val="21"/>
        </w:rPr>
        <w:t>2027年底，全市基本消除农村黑臭水体，此后保持动态清零</w:t>
      </w:r>
      <w:bookmarkEnd w:id="8"/>
      <w:bookmarkEnd w:id="9"/>
      <w:r>
        <w:rPr>
          <w:rFonts w:hint="eastAsia"/>
          <w:sz w:val="24"/>
          <w:szCs w:val="21"/>
        </w:rPr>
        <w:t>。</w:t>
      </w:r>
    </w:p>
    <w:p>
      <w:pPr>
        <w:spacing w:line="360" w:lineRule="auto"/>
        <w:ind w:firstLine="480" w:firstLineChars="200"/>
        <w:rPr>
          <w:sz w:val="24"/>
          <w:szCs w:val="21"/>
        </w:rPr>
      </w:pPr>
      <w:r>
        <w:rPr>
          <w:sz w:val="24"/>
          <w:szCs w:val="21"/>
        </w:rPr>
        <w:t>近年来，北京市五大水系水生态环境质量保持稳定，水生态状况良好。小微水体</w:t>
      </w:r>
      <w:r>
        <w:rPr>
          <w:rFonts w:hint="eastAsia"/>
          <w:sz w:val="24"/>
          <w:szCs w:val="21"/>
        </w:rPr>
        <w:t>是</w:t>
      </w:r>
      <w:r>
        <w:rPr>
          <w:sz w:val="24"/>
          <w:szCs w:val="21"/>
        </w:rPr>
        <w:t>水环境的重要组成部分，</w:t>
      </w:r>
      <w:r>
        <w:rPr>
          <w:rFonts w:hint="eastAsia"/>
          <w:sz w:val="24"/>
          <w:szCs w:val="21"/>
        </w:rPr>
        <w:t>农村</w:t>
      </w:r>
      <w:r>
        <w:rPr>
          <w:sz w:val="24"/>
          <w:szCs w:val="21"/>
        </w:rPr>
        <w:t>小微水体污染是群众反映强烈的突出水环境问题，关乎</w:t>
      </w:r>
      <w:r>
        <w:rPr>
          <w:rFonts w:hint="eastAsia"/>
          <w:sz w:val="24"/>
          <w:szCs w:val="21"/>
        </w:rPr>
        <w:t>居民</w:t>
      </w:r>
      <w:r>
        <w:rPr>
          <w:sz w:val="24"/>
          <w:szCs w:val="21"/>
        </w:rPr>
        <w:t>切身利益。自2023年开始，北京市</w:t>
      </w:r>
      <w:r>
        <w:rPr>
          <w:rFonts w:hint="eastAsia"/>
          <w:sz w:val="24"/>
          <w:szCs w:val="21"/>
        </w:rPr>
        <w:t>生态环境局委托北京市生态环境监测中心开展</w:t>
      </w:r>
      <w:r>
        <w:rPr>
          <w:sz w:val="24"/>
          <w:szCs w:val="21"/>
        </w:rPr>
        <w:t>农村小微水体污染状况</w:t>
      </w:r>
      <w:r>
        <w:rPr>
          <w:rFonts w:hint="eastAsia"/>
          <w:sz w:val="24"/>
          <w:szCs w:val="21"/>
        </w:rPr>
        <w:t>遥感</w:t>
      </w:r>
      <w:r>
        <w:rPr>
          <w:sz w:val="24"/>
          <w:szCs w:val="21"/>
        </w:rPr>
        <w:t>监测</w:t>
      </w:r>
      <w:r>
        <w:rPr>
          <w:rFonts w:hint="eastAsia"/>
          <w:sz w:val="24"/>
          <w:szCs w:val="21"/>
        </w:rPr>
        <w:t>研究及应用</w:t>
      </w:r>
      <w:r>
        <w:rPr>
          <w:sz w:val="24"/>
          <w:szCs w:val="21"/>
        </w:rPr>
        <w:t>。北京市利用农村小微水体污染遥感</w:t>
      </w:r>
      <w:r>
        <w:rPr>
          <w:rFonts w:hint="eastAsia"/>
          <w:sz w:val="24"/>
          <w:szCs w:val="21"/>
        </w:rPr>
        <w:t>监测结果推动</w:t>
      </w:r>
      <w:r>
        <w:rPr>
          <w:sz w:val="24"/>
          <w:szCs w:val="21"/>
        </w:rPr>
        <w:t>市、区、乡镇三级联动，探索形成“遥感监测+线索</w:t>
      </w:r>
      <w:r>
        <w:rPr>
          <w:rFonts w:hint="eastAsia"/>
          <w:sz w:val="24"/>
          <w:szCs w:val="21"/>
        </w:rPr>
        <w:t>推送</w:t>
      </w:r>
      <w:r>
        <w:rPr>
          <w:sz w:val="24"/>
          <w:szCs w:val="21"/>
        </w:rPr>
        <w:t>+现场核查+问题反馈”的闭环机制，</w:t>
      </w:r>
      <w:r>
        <w:rPr>
          <w:rFonts w:hint="eastAsia"/>
          <w:sz w:val="24"/>
          <w:szCs w:val="21"/>
        </w:rPr>
        <w:t>开展农村</w:t>
      </w:r>
      <w:r>
        <w:rPr>
          <w:sz w:val="24"/>
          <w:szCs w:val="21"/>
        </w:rPr>
        <w:t>小微水体</w:t>
      </w:r>
      <w:r>
        <w:rPr>
          <w:rFonts w:hint="eastAsia"/>
          <w:sz w:val="24"/>
          <w:szCs w:val="21"/>
        </w:rPr>
        <w:t>污染</w:t>
      </w:r>
      <w:r>
        <w:rPr>
          <w:sz w:val="24"/>
          <w:szCs w:val="21"/>
        </w:rPr>
        <w:t>治理实践。</w:t>
      </w:r>
    </w:p>
    <w:p>
      <w:pPr>
        <w:spacing w:line="360" w:lineRule="auto"/>
        <w:ind w:firstLine="480" w:firstLineChars="200"/>
        <w:rPr>
          <w:sz w:val="24"/>
          <w:szCs w:val="21"/>
        </w:rPr>
      </w:pPr>
      <w:r>
        <w:rPr>
          <w:sz w:val="24"/>
          <w:szCs w:val="21"/>
        </w:rPr>
        <w:t>为满足北京市农村小微水体污染动态清零和美丽乡村建设的管理需求，规范农村小微水体污染遥感监测技术</w:t>
      </w:r>
      <w:r>
        <w:rPr>
          <w:rFonts w:hint="eastAsia"/>
          <w:sz w:val="24"/>
          <w:szCs w:val="21"/>
        </w:rPr>
        <w:t>流程</w:t>
      </w:r>
      <w:r>
        <w:rPr>
          <w:sz w:val="24"/>
          <w:szCs w:val="21"/>
        </w:rPr>
        <w:t>，固化遥感监测</w:t>
      </w:r>
      <w:bookmarkStart w:id="10" w:name="OLE_LINK35"/>
      <w:bookmarkStart w:id="11" w:name="OLE_LINK34"/>
      <w:r>
        <w:rPr>
          <w:sz w:val="24"/>
          <w:szCs w:val="21"/>
        </w:rPr>
        <w:t>技术应用成果</w:t>
      </w:r>
      <w:bookmarkEnd w:id="10"/>
      <w:bookmarkEnd w:id="11"/>
      <w:r>
        <w:rPr>
          <w:sz w:val="24"/>
          <w:szCs w:val="21"/>
        </w:rPr>
        <w:t>，</w:t>
      </w:r>
      <w:r>
        <w:rPr>
          <w:rFonts w:hint="eastAsia"/>
          <w:sz w:val="24"/>
          <w:szCs w:val="21"/>
        </w:rPr>
        <w:t>增强</w:t>
      </w:r>
      <w:r>
        <w:rPr>
          <w:sz w:val="24"/>
          <w:szCs w:val="21"/>
        </w:rPr>
        <w:t>技术支撑作用，北京市生态环境监测中心</w:t>
      </w:r>
      <w:r>
        <w:rPr>
          <w:rFonts w:hint="eastAsia"/>
          <w:sz w:val="24"/>
          <w:szCs w:val="21"/>
        </w:rPr>
        <w:t>申请并承担编制</w:t>
      </w:r>
      <w:r>
        <w:rPr>
          <w:sz w:val="24"/>
          <w:szCs w:val="21"/>
        </w:rPr>
        <w:t>《农村小微水体污染遥感监测技术规范》</w:t>
      </w:r>
      <w:r>
        <w:rPr>
          <w:rFonts w:hint="eastAsia"/>
          <w:sz w:val="24"/>
          <w:szCs w:val="21"/>
        </w:rPr>
        <w:t>北京市地方</w:t>
      </w:r>
      <w:r>
        <w:rPr>
          <w:sz w:val="24"/>
          <w:szCs w:val="21"/>
        </w:rPr>
        <w:t>标准。本项目是《北京市市场监督管理局关于印发2025年北京市地方标准制定项目计划的通知》（京市监发〔2025〕1号）公布的推荐性标准制定项目（一类），项目编号20251077。项目行业主管部门为北京市生态环境局。</w:t>
      </w:r>
    </w:p>
    <w:p>
      <w:pPr>
        <w:pStyle w:val="3"/>
        <w:numPr>
          <w:ilvl w:val="0"/>
          <w:numId w:val="0"/>
        </w:numPr>
        <w:spacing w:line="416" w:lineRule="auto"/>
        <w:rPr>
          <w:rFonts w:eastAsia="黑体"/>
          <w:b w:val="0"/>
          <w:kern w:val="0"/>
          <w:sz w:val="32"/>
        </w:rPr>
      </w:pPr>
      <w:bookmarkStart w:id="12" w:name="_Toc215478625"/>
      <w:bookmarkStart w:id="13" w:name="_Toc455131342"/>
      <w:r>
        <w:rPr>
          <w:rFonts w:eastAsia="黑体"/>
          <w:b w:val="0"/>
          <w:kern w:val="0"/>
          <w:sz w:val="32"/>
        </w:rPr>
        <w:t>1.2</w:t>
      </w:r>
      <w:r>
        <w:rPr>
          <w:rFonts w:hint="eastAsia" w:eastAsia="黑体"/>
          <w:b w:val="0"/>
          <w:kern w:val="0"/>
          <w:sz w:val="32"/>
        </w:rPr>
        <w:t xml:space="preserve"> </w:t>
      </w:r>
      <w:r>
        <w:rPr>
          <w:rFonts w:eastAsia="黑体"/>
          <w:b w:val="0"/>
          <w:kern w:val="0"/>
          <w:sz w:val="32"/>
        </w:rPr>
        <w:t>起草单位和主要起草人</w:t>
      </w:r>
      <w:bookmarkEnd w:id="12"/>
      <w:bookmarkEnd w:id="13"/>
    </w:p>
    <w:p>
      <w:pPr>
        <w:spacing w:line="360" w:lineRule="auto"/>
        <w:ind w:firstLine="480" w:firstLineChars="200"/>
        <w:rPr>
          <w:sz w:val="24"/>
          <w:szCs w:val="21"/>
        </w:rPr>
      </w:pPr>
      <w:r>
        <w:rPr>
          <w:rFonts w:hint="eastAsia"/>
          <w:sz w:val="24"/>
          <w:szCs w:val="21"/>
        </w:rPr>
        <w:t>起草</w:t>
      </w:r>
      <w:r>
        <w:rPr>
          <w:sz w:val="24"/>
          <w:szCs w:val="21"/>
        </w:rPr>
        <w:t>单位</w:t>
      </w:r>
      <w:r>
        <w:rPr>
          <w:rFonts w:hint="eastAsia"/>
          <w:sz w:val="24"/>
          <w:szCs w:val="21"/>
        </w:rPr>
        <w:t>：</w:t>
      </w:r>
      <w:r>
        <w:rPr>
          <w:sz w:val="24"/>
          <w:szCs w:val="21"/>
        </w:rPr>
        <w:t>北京市生态环境监测中心。</w:t>
      </w:r>
    </w:p>
    <w:p>
      <w:pPr>
        <w:spacing w:line="360" w:lineRule="auto"/>
        <w:ind w:firstLine="480" w:firstLineChars="200"/>
        <w:rPr>
          <w:sz w:val="24"/>
          <w:szCs w:val="21"/>
        </w:rPr>
      </w:pPr>
      <w:bookmarkStart w:id="14" w:name="OLE_LINK158"/>
      <w:r>
        <w:rPr>
          <w:rFonts w:hint="eastAsia"/>
          <w:sz w:val="24"/>
          <w:szCs w:val="21"/>
        </w:rPr>
        <w:t>主要起草人</w:t>
      </w:r>
      <w:r>
        <w:rPr>
          <w:sz w:val="24"/>
          <w:szCs w:val="21"/>
        </w:rPr>
        <w:t>：</w:t>
      </w:r>
      <w:bookmarkStart w:id="15" w:name="OLE_LINK163"/>
      <w:bookmarkStart w:id="16" w:name="OLE_LINK153"/>
      <w:bookmarkStart w:id="17" w:name="OLE_LINK154"/>
      <w:r>
        <w:rPr>
          <w:rFonts w:hint="eastAsia"/>
          <w:sz w:val="24"/>
          <w:szCs w:val="21"/>
        </w:rPr>
        <w:t>姜磊、宋小可、张健、邹本东、沈秀娥、</w:t>
      </w:r>
      <w:bookmarkStart w:id="18" w:name="OLE_LINK155"/>
      <w:bookmarkStart w:id="19" w:name="OLE_LINK156"/>
      <w:r>
        <w:rPr>
          <w:rFonts w:hint="eastAsia"/>
          <w:sz w:val="24"/>
          <w:szCs w:val="21"/>
        </w:rPr>
        <w:t>王涵霖、李令军、王新辉</w:t>
      </w:r>
      <w:bookmarkEnd w:id="18"/>
      <w:bookmarkEnd w:id="19"/>
      <w:r>
        <w:rPr>
          <w:rFonts w:hint="eastAsia"/>
          <w:sz w:val="24"/>
          <w:szCs w:val="21"/>
        </w:rPr>
        <w:t>、于东东、孙爽</w:t>
      </w:r>
      <w:bookmarkEnd w:id="15"/>
      <w:bookmarkEnd w:id="16"/>
      <w:bookmarkEnd w:id="17"/>
      <w:r>
        <w:rPr>
          <w:rFonts w:hint="eastAsia"/>
          <w:sz w:val="24"/>
          <w:szCs w:val="21"/>
        </w:rPr>
        <w:t>。</w:t>
      </w:r>
    </w:p>
    <w:bookmarkEnd w:id="14"/>
    <w:p>
      <w:pPr>
        <w:pStyle w:val="2"/>
      </w:pPr>
      <w:bookmarkStart w:id="20" w:name="_Toc215478626"/>
      <w:bookmarkStart w:id="21" w:name="_Toc1907252589"/>
      <w:r>
        <w:t>2</w:t>
      </w:r>
      <w:r>
        <w:rPr>
          <w:rFonts w:hint="eastAsia"/>
        </w:rPr>
        <w:t xml:space="preserve"> </w:t>
      </w:r>
      <w:r>
        <w:t>制定标准的必要性和意义</w:t>
      </w:r>
      <w:bookmarkEnd w:id="20"/>
      <w:bookmarkEnd w:id="21"/>
    </w:p>
    <w:p>
      <w:pPr>
        <w:pStyle w:val="3"/>
        <w:numPr>
          <w:ilvl w:val="0"/>
          <w:numId w:val="0"/>
        </w:numPr>
        <w:spacing w:line="416" w:lineRule="auto"/>
        <w:rPr>
          <w:rFonts w:eastAsia="黑体"/>
          <w:b w:val="0"/>
          <w:kern w:val="0"/>
          <w:sz w:val="32"/>
        </w:rPr>
      </w:pPr>
      <w:bookmarkStart w:id="22" w:name="_Toc215478627"/>
      <w:bookmarkStart w:id="23" w:name="_Toc391029666"/>
      <w:bookmarkStart w:id="24" w:name="OLE_LINK37"/>
      <w:bookmarkStart w:id="25" w:name="OLE_LINK16"/>
      <w:bookmarkStart w:id="26" w:name="_Toc103617111"/>
      <w:bookmarkStart w:id="27" w:name="_Toc490729005"/>
      <w:r>
        <w:rPr>
          <w:rFonts w:eastAsia="黑体"/>
          <w:b w:val="0"/>
          <w:kern w:val="0"/>
          <w:sz w:val="32"/>
        </w:rPr>
        <w:t>2.1</w:t>
      </w:r>
      <w:r>
        <w:rPr>
          <w:rFonts w:hint="eastAsia" w:eastAsia="黑体"/>
          <w:b w:val="0"/>
          <w:kern w:val="0"/>
          <w:sz w:val="32"/>
        </w:rPr>
        <w:t xml:space="preserve"> 农村</w:t>
      </w:r>
      <w:r>
        <w:rPr>
          <w:rFonts w:eastAsia="黑体"/>
          <w:b w:val="0"/>
          <w:kern w:val="0"/>
          <w:sz w:val="32"/>
        </w:rPr>
        <w:t>小微水体监管相关标准的实施情况</w:t>
      </w:r>
      <w:bookmarkEnd w:id="22"/>
      <w:bookmarkEnd w:id="23"/>
    </w:p>
    <w:bookmarkEnd w:id="24"/>
    <w:bookmarkEnd w:id="25"/>
    <w:p>
      <w:pPr>
        <w:pStyle w:val="26"/>
        <w:widowControl/>
        <w:spacing w:line="360" w:lineRule="auto"/>
        <w:ind w:firstLine="480"/>
        <w:rPr>
          <w:kern w:val="0"/>
          <w:sz w:val="24"/>
        </w:rPr>
      </w:pPr>
      <w:r>
        <w:rPr>
          <w:kern w:val="0"/>
          <w:sz w:val="24"/>
        </w:rPr>
        <w:t>农村小微水体点多面广、位置隐蔽，小微水体及周边易</w:t>
      </w:r>
      <w:r>
        <w:rPr>
          <w:rFonts w:hint="eastAsia"/>
          <w:kern w:val="0"/>
          <w:sz w:val="24"/>
        </w:rPr>
        <w:t>出现</w:t>
      </w:r>
      <w:r>
        <w:rPr>
          <w:kern w:val="0"/>
          <w:sz w:val="24"/>
        </w:rPr>
        <w:t>生活</w:t>
      </w:r>
      <w:r>
        <w:rPr>
          <w:rFonts w:hint="eastAsia"/>
          <w:kern w:val="0"/>
          <w:sz w:val="24"/>
        </w:rPr>
        <w:t>垃圾</w:t>
      </w:r>
      <w:r>
        <w:rPr>
          <w:kern w:val="0"/>
          <w:sz w:val="24"/>
        </w:rPr>
        <w:t>和建筑垃圾随意倾倒、生活污水乱排等</w:t>
      </w:r>
      <w:bookmarkStart w:id="28" w:name="OLE_LINK79"/>
      <w:r>
        <w:rPr>
          <w:rFonts w:hint="eastAsia"/>
          <w:kern w:val="0"/>
          <w:sz w:val="24"/>
        </w:rPr>
        <w:t>现象</w:t>
      </w:r>
      <w:bookmarkEnd w:id="28"/>
      <w:r>
        <w:rPr>
          <w:kern w:val="0"/>
          <w:sz w:val="24"/>
        </w:rPr>
        <w:t>，导致农村小微水体出现发黑发臭</w:t>
      </w:r>
      <w:r>
        <w:rPr>
          <w:rFonts w:hint="eastAsia"/>
          <w:kern w:val="0"/>
          <w:sz w:val="24"/>
        </w:rPr>
        <w:t>问题</w:t>
      </w:r>
      <w:r>
        <w:rPr>
          <w:kern w:val="0"/>
          <w:sz w:val="24"/>
        </w:rPr>
        <w:t>，</w:t>
      </w:r>
      <w:r>
        <w:rPr>
          <w:rFonts w:hint="eastAsia"/>
          <w:kern w:val="0"/>
          <w:sz w:val="24"/>
        </w:rPr>
        <w:t>威胁</w:t>
      </w:r>
      <w:r>
        <w:rPr>
          <w:kern w:val="0"/>
          <w:sz w:val="24"/>
        </w:rPr>
        <w:t>农村水生态环境安全。</w:t>
      </w:r>
    </w:p>
    <w:p>
      <w:pPr>
        <w:pStyle w:val="26"/>
        <w:widowControl/>
        <w:spacing w:line="360" w:lineRule="auto"/>
        <w:ind w:firstLine="480"/>
        <w:rPr>
          <w:kern w:val="0"/>
          <w:sz w:val="24"/>
        </w:rPr>
      </w:pPr>
      <w:r>
        <w:rPr>
          <w:kern w:val="0"/>
          <w:sz w:val="24"/>
        </w:rPr>
        <w:t>国务院</w:t>
      </w:r>
      <w:r>
        <w:rPr>
          <w:rFonts w:hint="eastAsia"/>
          <w:kern w:val="0"/>
          <w:sz w:val="24"/>
        </w:rPr>
        <w:t>于</w:t>
      </w:r>
      <w:r>
        <w:rPr>
          <w:kern w:val="0"/>
          <w:sz w:val="24"/>
        </w:rPr>
        <w:t>2015年印发《水污染防治行动计划》（国发〔2015〕17号）</w:t>
      </w:r>
      <w:r>
        <w:rPr>
          <w:rFonts w:hint="eastAsia"/>
          <w:kern w:val="0"/>
          <w:sz w:val="24"/>
        </w:rPr>
        <w:t>，</w:t>
      </w:r>
      <w:r>
        <w:rPr>
          <w:kern w:val="0"/>
          <w:sz w:val="24"/>
        </w:rPr>
        <w:t>生态环境部</w:t>
      </w:r>
      <w:r>
        <w:rPr>
          <w:rFonts w:hint="eastAsia"/>
          <w:kern w:val="0"/>
          <w:sz w:val="24"/>
        </w:rPr>
        <w:t>于</w:t>
      </w:r>
      <w:r>
        <w:rPr>
          <w:kern w:val="0"/>
          <w:sz w:val="24"/>
        </w:rPr>
        <w:t>2023年印发《关于进一步做好黑臭水体整治环境保护工作的通知》</w:t>
      </w:r>
      <w:r>
        <w:rPr>
          <w:rFonts w:hint="eastAsia"/>
          <w:kern w:val="0"/>
          <w:sz w:val="24"/>
        </w:rPr>
        <w:t>。</w:t>
      </w:r>
      <w:r>
        <w:rPr>
          <w:kern w:val="0"/>
          <w:sz w:val="24"/>
        </w:rPr>
        <w:t>为指导各地组织开展农村黑臭水体治理，解决农村突出水环境问题，推动工作取得实效，生态环境部办公厅</w:t>
      </w:r>
      <w:r>
        <w:rPr>
          <w:rFonts w:hint="eastAsia"/>
          <w:kern w:val="0"/>
          <w:sz w:val="24"/>
        </w:rPr>
        <w:t>、</w:t>
      </w:r>
      <w:r>
        <w:rPr>
          <w:kern w:val="0"/>
          <w:sz w:val="24"/>
        </w:rPr>
        <w:t>水利部办公厅</w:t>
      </w:r>
      <w:r>
        <w:rPr>
          <w:rFonts w:hint="eastAsia"/>
          <w:kern w:val="0"/>
          <w:sz w:val="24"/>
        </w:rPr>
        <w:t>、</w:t>
      </w:r>
      <w:r>
        <w:rPr>
          <w:kern w:val="0"/>
          <w:sz w:val="24"/>
        </w:rPr>
        <w:t>农业农村部</w:t>
      </w:r>
      <w:bookmarkStart w:id="29" w:name="OLE_LINK140"/>
      <w:r>
        <w:rPr>
          <w:kern w:val="0"/>
          <w:sz w:val="24"/>
        </w:rPr>
        <w:t>办公厅</w:t>
      </w:r>
      <w:bookmarkEnd w:id="29"/>
      <w:r>
        <w:rPr>
          <w:rFonts w:hint="eastAsia"/>
          <w:kern w:val="0"/>
          <w:sz w:val="24"/>
        </w:rPr>
        <w:t>联合</w:t>
      </w:r>
      <w:r>
        <w:rPr>
          <w:kern w:val="0"/>
          <w:sz w:val="24"/>
        </w:rPr>
        <w:t>印发</w:t>
      </w:r>
      <w:bookmarkStart w:id="30" w:name="OLE_LINK139"/>
      <w:bookmarkStart w:id="31" w:name="OLE_LINK138"/>
      <w:r>
        <w:rPr>
          <w:rFonts w:hint="eastAsia"/>
          <w:kern w:val="0"/>
          <w:sz w:val="24"/>
        </w:rPr>
        <w:t>《</w:t>
      </w:r>
      <w:r>
        <w:rPr>
          <w:kern w:val="0"/>
          <w:sz w:val="24"/>
        </w:rPr>
        <w:t>农村黑臭水体治理工作指南</w:t>
      </w:r>
      <w:bookmarkEnd w:id="30"/>
      <w:bookmarkEnd w:id="31"/>
      <w:r>
        <w:rPr>
          <w:rFonts w:hint="eastAsia"/>
          <w:kern w:val="0"/>
          <w:sz w:val="24"/>
        </w:rPr>
        <w:t>》，</w:t>
      </w:r>
      <w:r>
        <w:rPr>
          <w:kern w:val="0"/>
          <w:sz w:val="24"/>
        </w:rPr>
        <w:t>规定了农村黑臭水体治理的基本原则、工作流程、判定标准、清单编制、成因分析、治理措施、管护机制等内容。黑龙江省于2022年发布了《黑臭水体监测技术规范》（DB2308/T 110—2022）</w:t>
      </w:r>
      <w:r>
        <w:rPr>
          <w:rFonts w:hint="eastAsia"/>
          <w:kern w:val="0"/>
          <w:sz w:val="24"/>
        </w:rPr>
        <w:t>，</w:t>
      </w:r>
      <w:r>
        <w:rPr>
          <w:kern w:val="0"/>
          <w:sz w:val="24"/>
        </w:rPr>
        <w:t>规定黑臭水体的采样、分析、数据处理、质控等技术要求。河南省于2023年发布了《农村黑臭水体治理技术规范》（DB41/T 60002—2023）</w:t>
      </w:r>
      <w:r>
        <w:rPr>
          <w:rFonts w:hint="eastAsia"/>
          <w:kern w:val="0"/>
          <w:sz w:val="24"/>
        </w:rPr>
        <w:t>，</w:t>
      </w:r>
      <w:r>
        <w:rPr>
          <w:kern w:val="0"/>
          <w:sz w:val="24"/>
        </w:rPr>
        <w:t>规定了黑臭水体的治理目标、治理原则、治理工作流程、现状调查、污染治理、生态修复、管理维护等内容。中国环境科学学会于2020年发布了《城市黑臭水体遥感监管技术规范》（T/CSES 15—2020），对黑臭水体监管的目的、频次、技术流程、质量控制等进行了相关规定。</w:t>
      </w:r>
    </w:p>
    <w:p>
      <w:pPr>
        <w:pStyle w:val="26"/>
        <w:widowControl/>
        <w:spacing w:line="360" w:lineRule="auto"/>
        <w:ind w:firstLine="480"/>
        <w:rPr>
          <w:kern w:val="0"/>
          <w:sz w:val="24"/>
        </w:rPr>
      </w:pPr>
      <w:r>
        <w:rPr>
          <w:kern w:val="0"/>
          <w:sz w:val="24"/>
        </w:rPr>
        <w:t>北京市农村小微水体污染防治</w:t>
      </w:r>
      <w:r>
        <w:rPr>
          <w:rFonts w:hint="eastAsia"/>
          <w:kern w:val="0"/>
          <w:sz w:val="24"/>
        </w:rPr>
        <w:t>技术标准主要依据为</w:t>
      </w:r>
      <w:r>
        <w:rPr>
          <w:kern w:val="0"/>
          <w:sz w:val="24"/>
        </w:rPr>
        <w:t>《水污染物综合排放标准（DB11/307-2013）》</w:t>
      </w:r>
      <w:r>
        <w:rPr>
          <w:rFonts w:hint="eastAsia"/>
          <w:kern w:val="0"/>
          <w:sz w:val="24"/>
        </w:rPr>
        <w:t>、</w:t>
      </w:r>
      <w:r>
        <w:rPr>
          <w:kern w:val="0"/>
          <w:sz w:val="24"/>
        </w:rPr>
        <w:t>《城市黑臭水体治理工作指南》（住房城乡建设部、生态环境部联合印发）</w:t>
      </w:r>
      <w:r>
        <w:rPr>
          <w:rFonts w:hint="eastAsia"/>
          <w:kern w:val="0"/>
          <w:sz w:val="24"/>
        </w:rPr>
        <w:t>和</w:t>
      </w:r>
      <w:r>
        <w:rPr>
          <w:kern w:val="0"/>
          <w:sz w:val="24"/>
        </w:rPr>
        <w:t>《农村黑臭水体治理工作指南》（生态环境部办公厅、水利部办公厅、农业农村部办公厅联合印发）</w:t>
      </w:r>
      <w:r>
        <w:rPr>
          <w:rFonts w:hint="eastAsia"/>
          <w:kern w:val="0"/>
          <w:sz w:val="24"/>
        </w:rPr>
        <w:t>。实际工作中，遥感监测已经成为重要技术手段。</w:t>
      </w:r>
      <w:r>
        <w:rPr>
          <w:kern w:val="0"/>
          <w:sz w:val="24"/>
        </w:rPr>
        <w:t>北京市于2023年开始对农村地区的河流、坑塘、沟渠等小微水体污染情况开展</w:t>
      </w:r>
      <w:r>
        <w:rPr>
          <w:rFonts w:hint="eastAsia"/>
          <w:kern w:val="0"/>
          <w:sz w:val="24"/>
        </w:rPr>
        <w:t>遥感</w:t>
      </w:r>
      <w:r>
        <w:rPr>
          <w:kern w:val="0"/>
          <w:sz w:val="24"/>
        </w:rPr>
        <w:t>研究性监测，重点解译水体颜色、状态</w:t>
      </w:r>
      <w:r>
        <w:rPr>
          <w:rFonts w:hint="eastAsia"/>
          <w:kern w:val="0"/>
          <w:sz w:val="24"/>
        </w:rPr>
        <w:t>等特征</w:t>
      </w:r>
      <w:r>
        <w:rPr>
          <w:kern w:val="0"/>
          <w:sz w:val="24"/>
        </w:rPr>
        <w:t>，</w:t>
      </w:r>
      <w:r>
        <w:rPr>
          <w:rFonts w:hint="eastAsia"/>
          <w:kern w:val="0"/>
          <w:sz w:val="24"/>
        </w:rPr>
        <w:t>结合</w:t>
      </w:r>
      <w:r>
        <w:rPr>
          <w:kern w:val="0"/>
          <w:sz w:val="24"/>
        </w:rPr>
        <w:t>现场调查，扩展遥感解译知识库，增强遥感解译能力，</w:t>
      </w:r>
      <w:r>
        <w:rPr>
          <w:sz w:val="24"/>
          <w:szCs w:val="21"/>
        </w:rPr>
        <w:t>经过探索，目前已形成业务化监测流程，</w:t>
      </w:r>
      <w:r>
        <w:rPr>
          <w:kern w:val="0"/>
          <w:sz w:val="24"/>
        </w:rPr>
        <w:t>且重点时期</w:t>
      </w:r>
      <w:r>
        <w:rPr>
          <w:rFonts w:hint="eastAsia"/>
          <w:kern w:val="0"/>
          <w:sz w:val="24"/>
        </w:rPr>
        <w:t>以月度频率开展定期监测，相关实践积累已经能够支撑制定技术标准，</w:t>
      </w:r>
      <w:r>
        <w:rPr>
          <w:rFonts w:hint="eastAsia"/>
          <w:sz w:val="24"/>
          <w:szCs w:val="21"/>
        </w:rPr>
        <w:t>保障</w:t>
      </w:r>
      <w:r>
        <w:rPr>
          <w:sz w:val="24"/>
          <w:szCs w:val="21"/>
        </w:rPr>
        <w:t>监测结果的科学性、可靠性</w:t>
      </w:r>
      <w:r>
        <w:rPr>
          <w:rFonts w:hint="eastAsia"/>
          <w:sz w:val="24"/>
          <w:szCs w:val="21"/>
        </w:rPr>
        <w:t>和</w:t>
      </w:r>
      <w:r>
        <w:rPr>
          <w:sz w:val="24"/>
          <w:szCs w:val="21"/>
        </w:rPr>
        <w:t>可比性。</w:t>
      </w:r>
    </w:p>
    <w:p>
      <w:pPr>
        <w:pStyle w:val="3"/>
        <w:numPr>
          <w:ilvl w:val="0"/>
          <w:numId w:val="0"/>
        </w:numPr>
        <w:spacing w:line="416" w:lineRule="auto"/>
        <w:rPr>
          <w:rFonts w:eastAsia="黑体"/>
          <w:b w:val="0"/>
          <w:kern w:val="0"/>
          <w:sz w:val="32"/>
        </w:rPr>
      </w:pPr>
      <w:bookmarkStart w:id="32" w:name="_Toc215478628"/>
      <w:bookmarkStart w:id="33" w:name="_Toc815184725"/>
      <w:r>
        <w:rPr>
          <w:rFonts w:eastAsia="黑体"/>
          <w:b w:val="0"/>
          <w:kern w:val="0"/>
          <w:sz w:val="32"/>
        </w:rPr>
        <w:t>2.2 标准编制必要性</w:t>
      </w:r>
      <w:bookmarkEnd w:id="32"/>
      <w:bookmarkEnd w:id="33"/>
    </w:p>
    <w:p>
      <w:pPr>
        <w:spacing w:line="360" w:lineRule="auto"/>
        <w:rPr>
          <w:b/>
          <w:bCs/>
          <w:sz w:val="24"/>
          <w:szCs w:val="21"/>
        </w:rPr>
      </w:pPr>
      <w:bookmarkStart w:id="34" w:name="_Toc26452"/>
      <w:bookmarkStart w:id="35" w:name="_Toc4100"/>
      <w:bookmarkStart w:id="36" w:name="_Toc131516431"/>
      <w:r>
        <w:rPr>
          <w:b/>
          <w:bCs/>
          <w:sz w:val="24"/>
          <w:szCs w:val="21"/>
        </w:rPr>
        <w:t>2.2.1</w:t>
      </w:r>
      <w:r>
        <w:rPr>
          <w:rFonts w:hint="eastAsia"/>
          <w:b/>
          <w:bCs/>
          <w:sz w:val="24"/>
          <w:szCs w:val="21"/>
        </w:rPr>
        <w:t xml:space="preserve"> </w:t>
      </w:r>
      <w:r>
        <w:rPr>
          <w:b/>
          <w:bCs/>
          <w:sz w:val="24"/>
          <w:szCs w:val="21"/>
        </w:rPr>
        <w:t>落实</w:t>
      </w:r>
      <w:r>
        <w:rPr>
          <w:rFonts w:hint="eastAsia"/>
          <w:b/>
          <w:bCs/>
          <w:sz w:val="24"/>
          <w:szCs w:val="21"/>
        </w:rPr>
        <w:t>农村</w:t>
      </w:r>
      <w:r>
        <w:rPr>
          <w:b/>
          <w:bCs/>
          <w:sz w:val="24"/>
          <w:szCs w:val="21"/>
        </w:rPr>
        <w:t>水污染防治</w:t>
      </w:r>
      <w:r>
        <w:rPr>
          <w:rFonts w:hint="eastAsia"/>
          <w:b/>
          <w:bCs/>
          <w:sz w:val="24"/>
          <w:szCs w:val="21"/>
        </w:rPr>
        <w:t>政策</w:t>
      </w:r>
      <w:bookmarkEnd w:id="34"/>
      <w:bookmarkEnd w:id="35"/>
      <w:bookmarkEnd w:id="36"/>
    </w:p>
    <w:p>
      <w:pPr>
        <w:pStyle w:val="26"/>
        <w:widowControl/>
        <w:spacing w:line="360" w:lineRule="auto"/>
        <w:ind w:firstLine="480"/>
        <w:rPr>
          <w:b/>
          <w:bCs/>
          <w:sz w:val="24"/>
          <w:szCs w:val="21"/>
        </w:rPr>
      </w:pPr>
      <w:bookmarkStart w:id="37" w:name="_Toc11831"/>
      <w:bookmarkStart w:id="38" w:name="_Toc131516432"/>
      <w:bookmarkStart w:id="39" w:name="_Toc11146"/>
      <w:r>
        <w:rPr>
          <w:sz w:val="24"/>
        </w:rPr>
        <w:t>《中华人民共和国水污染防治法》第52条明确规定，国家支持农村污水、垃圾处理设施的建设，推进农村污水、垃圾集中处理。地方各级人民政府应当统筹规划建设农村污水、垃圾处理设施，并保障其正常运行。第56条规定，国家支持畜禽养殖场、养殖小区建设畜禽粪便、废水的综合利用或者无害化处理设施。畜禽养殖场、</w:t>
      </w:r>
      <w:bookmarkStart w:id="40" w:name="OLE_LINK164"/>
      <w:bookmarkStart w:id="41" w:name="OLE_LINK162"/>
      <w:r>
        <w:rPr>
          <w:sz w:val="24"/>
        </w:rPr>
        <w:t>养殖小区应当保证其畜禽</w:t>
      </w:r>
      <w:bookmarkEnd w:id="40"/>
      <w:bookmarkEnd w:id="41"/>
      <w:r>
        <w:rPr>
          <w:sz w:val="24"/>
        </w:rPr>
        <w:t>粪便、废水的综合利用或者无害化处理设施正常运转，保证污水达标排放，防止污染水环境。畜禽散养密集区所在地的县、乡级人民政府应当组织对畜禽粪便污水进行分户收集、集中处理利用。</w:t>
      </w:r>
      <w:bookmarkStart w:id="42" w:name="OLE_LINK165"/>
      <w:r>
        <w:rPr>
          <w:sz w:val="24"/>
        </w:rPr>
        <w:t>第57条规定</w:t>
      </w:r>
      <w:bookmarkEnd w:id="42"/>
      <w:r>
        <w:rPr>
          <w:sz w:val="24"/>
        </w:rPr>
        <w:t>，从事水产养殖应当保护水域生态环境，科学确定养殖密度，合理投饵和使用药物，防止污染水环境。落实《农村人居环境整治提升五年行动方案》（2021-2025年）、《关于推进农村黑臭水体治理工作的指导意见》（环土壤﹝2019﹞48号）和《关于进一步推进农村生活污水治理的指导意见》（环办土壤﹝2023﹞24号）等一系列文件中关于农村小微水体治理的要求，其基本前提就是要清楚农村小微水体现状和变化情况，对症下药、靶向发力、精准施策，遥感技术具有覆盖范围广、数据获取快、科学客观、可追溯等优势，正是摸清</w:t>
      </w:r>
      <w:bookmarkStart w:id="43" w:name="OLE_LINK90"/>
      <w:bookmarkStart w:id="44" w:name="OLE_LINK91"/>
      <w:r>
        <w:rPr>
          <w:sz w:val="24"/>
        </w:rPr>
        <w:t>农村</w:t>
      </w:r>
      <w:bookmarkEnd w:id="43"/>
      <w:bookmarkEnd w:id="44"/>
      <w:r>
        <w:rPr>
          <w:sz w:val="24"/>
        </w:rPr>
        <w:t>小微</w:t>
      </w:r>
      <w:bookmarkStart w:id="45" w:name="OLE_LINK80"/>
      <w:bookmarkStart w:id="46" w:name="OLE_LINK89"/>
      <w:r>
        <w:rPr>
          <w:sz w:val="24"/>
        </w:rPr>
        <w:t>水体污染</w:t>
      </w:r>
      <w:bookmarkEnd w:id="45"/>
      <w:bookmarkEnd w:id="46"/>
      <w:r>
        <w:rPr>
          <w:sz w:val="24"/>
        </w:rPr>
        <w:t>底数</w:t>
      </w:r>
      <w:r>
        <w:rPr>
          <w:rFonts w:hint="eastAsia"/>
          <w:sz w:val="24"/>
        </w:rPr>
        <w:t>并</w:t>
      </w:r>
      <w:r>
        <w:rPr>
          <w:sz w:val="24"/>
        </w:rPr>
        <w:t>开展动态监测工作的有效手段。《北京市水污染防治条例》要求水污染防治应当坚持预防为主、防治结合、综合治理的原则，加强对畜禽养殖、水产养殖、种植业、生活污水的治理，防</w:t>
      </w:r>
      <w:r>
        <w:rPr>
          <w:rFonts w:hint="eastAsia"/>
          <w:sz w:val="24"/>
        </w:rPr>
        <w:t>止</w:t>
      </w:r>
      <w:r>
        <w:rPr>
          <w:sz w:val="24"/>
        </w:rPr>
        <w:t>污染水环境。本标准的制定将为生态环境、水务和农业农村等部门</w:t>
      </w:r>
      <w:r>
        <w:rPr>
          <w:rFonts w:hint="eastAsia"/>
          <w:sz w:val="24"/>
        </w:rPr>
        <w:t>组织开展农村小微水体污染</w:t>
      </w:r>
      <w:r>
        <w:rPr>
          <w:sz w:val="24"/>
        </w:rPr>
        <w:t>治理提供技术支持。</w:t>
      </w:r>
    </w:p>
    <w:p>
      <w:pPr>
        <w:spacing w:line="360" w:lineRule="auto"/>
        <w:rPr>
          <w:b/>
          <w:bCs/>
          <w:sz w:val="24"/>
          <w:szCs w:val="21"/>
        </w:rPr>
      </w:pPr>
      <w:r>
        <w:rPr>
          <w:b/>
          <w:bCs/>
          <w:sz w:val="24"/>
          <w:szCs w:val="21"/>
        </w:rPr>
        <w:t xml:space="preserve">2.2.2 </w:t>
      </w:r>
      <w:bookmarkEnd w:id="37"/>
      <w:bookmarkEnd w:id="38"/>
      <w:bookmarkEnd w:id="39"/>
      <w:r>
        <w:rPr>
          <w:b/>
          <w:bCs/>
          <w:sz w:val="24"/>
          <w:szCs w:val="21"/>
        </w:rPr>
        <w:t>推进美丽乡村建设</w:t>
      </w:r>
    </w:p>
    <w:p>
      <w:pPr>
        <w:pStyle w:val="26"/>
        <w:widowControl/>
        <w:spacing w:line="360" w:lineRule="auto"/>
        <w:ind w:firstLine="480"/>
        <w:rPr>
          <w:sz w:val="24"/>
        </w:rPr>
      </w:pPr>
      <w:bookmarkStart w:id="47" w:name="_Toc24682"/>
      <w:bookmarkStart w:id="48" w:name="_Toc131516433"/>
      <w:bookmarkStart w:id="49" w:name="_Toc30439"/>
      <w:r>
        <w:rPr>
          <w:sz w:val="24"/>
        </w:rPr>
        <w:t>《中共中央 国务院关于全面推进美丽中国建设的意见》要求到2035年，美丽中国目标基本实现，坚持做到全方位提升，重点推进美丽蓝天、美丽河湖、美丽海湾、美丽山川建设，打造美丽中国先行区、美丽城市、美丽乡村，因地制宜开展内源污染治理和生态修复，基本消除城乡黑臭水体并形成长效机制。为贯彻落实《中共中央 国务院关于全面推进美丽中国建设的意见》，全面加强农业农村生态环境保护，推进美丽乡村建设，生态环境部、农业农村部等9部门印发《美丽乡村建设实施方案》</w:t>
      </w:r>
      <w:r>
        <w:rPr>
          <w:rFonts w:hint="eastAsia"/>
          <w:sz w:val="24"/>
        </w:rPr>
        <w:t>，</w:t>
      </w:r>
      <w:r>
        <w:rPr>
          <w:sz w:val="24"/>
        </w:rPr>
        <w:t>要求基本消除农村黑臭水体和较大面积农村劣V类水体，持续开展农村黑臭水体动态排查，建立清单并动态更新，坚持以控源截污为根本，统筹农村生活污水、垃圾、农业源、工业源（小作坊</w:t>
      </w:r>
      <w:bookmarkStart w:id="50" w:name="OLE_LINK106"/>
      <w:bookmarkStart w:id="51" w:name="OLE_LINK92"/>
      <w:r>
        <w:rPr>
          <w:sz w:val="24"/>
        </w:rPr>
        <w:t>）</w:t>
      </w:r>
      <w:bookmarkEnd w:id="50"/>
      <w:bookmarkEnd w:id="51"/>
      <w:r>
        <w:rPr>
          <w:sz w:val="24"/>
        </w:rPr>
        <w:t>和内源等污染源，优先采用资源化、生态化治理措施，结合水系连通，综合治理农村黑臭水体、较大面积劣V类水体。鼓励将水体治理与</w:t>
      </w:r>
      <w:bookmarkStart w:id="52" w:name="OLE_LINK167"/>
      <w:bookmarkStart w:id="53" w:name="OLE_LINK166"/>
      <w:r>
        <w:rPr>
          <w:sz w:val="24"/>
        </w:rPr>
        <w:t>村庄</w:t>
      </w:r>
      <w:bookmarkEnd w:id="52"/>
      <w:bookmarkEnd w:id="53"/>
      <w:r>
        <w:rPr>
          <w:sz w:val="24"/>
        </w:rPr>
        <w:t>生活环境改善相结合。建立健全长效管护机制，畅通举报和反馈渠道。到2027年，基本消除农村黑臭水体。本标准能够为</w:t>
      </w:r>
      <w:r>
        <w:rPr>
          <w:rFonts w:hint="eastAsia"/>
          <w:sz w:val="24"/>
        </w:rPr>
        <w:t>农村小微</w:t>
      </w:r>
      <w:r>
        <w:rPr>
          <w:sz w:val="24"/>
        </w:rPr>
        <w:t>水体污染清单建立和动态更新提供技术指导。</w:t>
      </w:r>
    </w:p>
    <w:p>
      <w:pPr>
        <w:spacing w:line="360" w:lineRule="auto"/>
        <w:rPr>
          <w:b/>
          <w:bCs/>
          <w:sz w:val="24"/>
          <w:szCs w:val="21"/>
        </w:rPr>
      </w:pPr>
      <w:r>
        <w:rPr>
          <w:b/>
          <w:bCs/>
          <w:sz w:val="24"/>
          <w:szCs w:val="21"/>
        </w:rPr>
        <w:t>2.2.3</w:t>
      </w:r>
      <w:r>
        <w:rPr>
          <w:rFonts w:hint="eastAsia"/>
          <w:b/>
          <w:bCs/>
          <w:sz w:val="24"/>
          <w:szCs w:val="21"/>
        </w:rPr>
        <w:t xml:space="preserve"> 支撑</w:t>
      </w:r>
      <w:r>
        <w:rPr>
          <w:b/>
          <w:bCs/>
          <w:sz w:val="24"/>
          <w:szCs w:val="21"/>
        </w:rPr>
        <w:t>管理效率</w:t>
      </w:r>
      <w:r>
        <w:rPr>
          <w:rFonts w:hint="eastAsia"/>
          <w:b/>
          <w:bCs/>
          <w:sz w:val="24"/>
          <w:szCs w:val="21"/>
        </w:rPr>
        <w:t>提升</w:t>
      </w:r>
    </w:p>
    <w:p>
      <w:pPr>
        <w:pStyle w:val="26"/>
        <w:widowControl/>
        <w:spacing w:line="360" w:lineRule="auto"/>
        <w:ind w:firstLine="480"/>
        <w:rPr>
          <w:sz w:val="24"/>
        </w:rPr>
      </w:pPr>
      <w:bookmarkStart w:id="54" w:name="OLE_LINK36"/>
      <w:bookmarkStart w:id="55" w:name="OLE_LINK40"/>
      <w:r>
        <w:rPr>
          <w:sz w:val="24"/>
        </w:rPr>
        <w:t>农村小微水体数量多</w:t>
      </w:r>
      <w:bookmarkEnd w:id="54"/>
      <w:bookmarkEnd w:id="55"/>
      <w:r>
        <w:rPr>
          <w:sz w:val="24"/>
        </w:rPr>
        <w:t>、规模小、空间分散、位置隐蔽</w:t>
      </w:r>
      <w:r>
        <w:rPr>
          <w:rFonts w:hint="eastAsia"/>
          <w:sz w:val="24"/>
        </w:rPr>
        <w:t>，</w:t>
      </w:r>
      <w:r>
        <w:rPr>
          <w:sz w:val="24"/>
        </w:rPr>
        <w:t>常规的监测</w:t>
      </w:r>
      <w:r>
        <w:rPr>
          <w:rFonts w:hint="eastAsia"/>
          <w:sz w:val="24"/>
        </w:rPr>
        <w:t>和</w:t>
      </w:r>
      <w:r>
        <w:rPr>
          <w:sz w:val="24"/>
        </w:rPr>
        <w:t>排查手段难以发现</w:t>
      </w:r>
      <w:r>
        <w:rPr>
          <w:rFonts w:hint="eastAsia"/>
          <w:sz w:val="24"/>
        </w:rPr>
        <w:t>。</w:t>
      </w:r>
      <w:r>
        <w:rPr>
          <w:sz w:val="24"/>
        </w:rPr>
        <w:t>在监管环节，依靠人海战术完成任务困难</w:t>
      </w:r>
      <w:bookmarkStart w:id="56" w:name="OLE_LINK143"/>
      <w:r>
        <w:rPr>
          <w:sz w:val="24"/>
        </w:rPr>
        <w:t>巨</w:t>
      </w:r>
      <w:bookmarkEnd w:id="56"/>
      <w:r>
        <w:rPr>
          <w:sz w:val="24"/>
        </w:rPr>
        <w:t>大，耗费高、效率</w:t>
      </w:r>
      <w:r>
        <w:rPr>
          <w:rFonts w:hint="eastAsia"/>
          <w:sz w:val="24"/>
        </w:rPr>
        <w:t>有限</w:t>
      </w:r>
      <w:r>
        <w:rPr>
          <w:sz w:val="24"/>
        </w:rPr>
        <w:t>。使用遥感技术可以大范围、远程非接触、快速筛查，发现问题线索，驱动对小微水体污染开展针对性</w:t>
      </w:r>
      <w:bookmarkStart w:id="57" w:name="OLE_LINK134"/>
      <w:r>
        <w:rPr>
          <w:sz w:val="24"/>
        </w:rPr>
        <w:t>地</w:t>
      </w:r>
      <w:bookmarkEnd w:id="57"/>
      <w:r>
        <w:rPr>
          <w:sz w:val="24"/>
        </w:rPr>
        <w:t>现场</w:t>
      </w:r>
      <w:r>
        <w:rPr>
          <w:rFonts w:hint="eastAsia"/>
          <w:sz w:val="24"/>
        </w:rPr>
        <w:t>调</w:t>
      </w:r>
      <w:r>
        <w:rPr>
          <w:sz w:val="24"/>
        </w:rPr>
        <w:t>查，切实做到精准、高效监管。此外，通过遥感技术对农村小微水体污染进行动态监测，有利于支撑形成发现-治理-追踪的闭环机制，满足</w:t>
      </w:r>
      <w:r>
        <w:rPr>
          <w:rFonts w:hint="eastAsia"/>
          <w:sz w:val="24"/>
        </w:rPr>
        <w:t>常态化</w:t>
      </w:r>
      <w:r>
        <w:rPr>
          <w:sz w:val="24"/>
        </w:rPr>
        <w:t>管理需求。</w:t>
      </w:r>
    </w:p>
    <w:p>
      <w:pPr>
        <w:spacing w:line="360" w:lineRule="auto"/>
        <w:rPr>
          <w:b/>
          <w:bCs/>
          <w:sz w:val="24"/>
          <w:szCs w:val="21"/>
        </w:rPr>
      </w:pPr>
      <w:r>
        <w:rPr>
          <w:b/>
          <w:bCs/>
          <w:sz w:val="24"/>
          <w:szCs w:val="21"/>
        </w:rPr>
        <w:t>2.2.4</w:t>
      </w:r>
      <w:r>
        <w:rPr>
          <w:rFonts w:hint="eastAsia"/>
          <w:b/>
          <w:bCs/>
          <w:sz w:val="24"/>
          <w:szCs w:val="21"/>
        </w:rPr>
        <w:t xml:space="preserve"> 推动</w:t>
      </w:r>
      <w:r>
        <w:rPr>
          <w:b/>
          <w:bCs/>
          <w:sz w:val="24"/>
          <w:szCs w:val="21"/>
        </w:rPr>
        <w:t>遥感技术</w:t>
      </w:r>
      <w:r>
        <w:rPr>
          <w:rFonts w:hint="eastAsia"/>
          <w:b/>
          <w:bCs/>
          <w:sz w:val="24"/>
          <w:szCs w:val="21"/>
        </w:rPr>
        <w:t>发展</w:t>
      </w:r>
      <w:bookmarkEnd w:id="47"/>
      <w:bookmarkEnd w:id="48"/>
      <w:bookmarkEnd w:id="49"/>
    </w:p>
    <w:p>
      <w:pPr>
        <w:pStyle w:val="26"/>
        <w:widowControl/>
        <w:spacing w:line="360" w:lineRule="auto"/>
        <w:ind w:firstLine="480"/>
        <w:rPr>
          <w:sz w:val="24"/>
        </w:rPr>
      </w:pPr>
      <w:r>
        <w:rPr>
          <w:sz w:val="24"/>
        </w:rPr>
        <w:t>开展农村小微水体污染遥感监测指利用遥感影像</w:t>
      </w:r>
      <w:r>
        <w:rPr>
          <w:rFonts w:hint="eastAsia"/>
          <w:sz w:val="24"/>
        </w:rPr>
        <w:t>判识</w:t>
      </w:r>
      <w:r>
        <w:rPr>
          <w:sz w:val="24"/>
        </w:rPr>
        <w:t>农村地区小微水体的颜色、水中物体、周边环境等具体指标，</w:t>
      </w:r>
      <w:r>
        <w:rPr>
          <w:rFonts w:hint="eastAsia"/>
          <w:sz w:val="24"/>
        </w:rPr>
        <w:t>工作</w:t>
      </w:r>
      <w:r>
        <w:rPr>
          <w:sz w:val="24"/>
        </w:rPr>
        <w:t>内容</w:t>
      </w:r>
      <w:r>
        <w:rPr>
          <w:rFonts w:hint="eastAsia"/>
          <w:sz w:val="24"/>
        </w:rPr>
        <w:t>涉及</w:t>
      </w:r>
      <w:r>
        <w:rPr>
          <w:sz w:val="24"/>
        </w:rPr>
        <w:t>地理信息加工、遥感影像</w:t>
      </w:r>
      <w:r>
        <w:rPr>
          <w:rFonts w:hint="eastAsia"/>
          <w:sz w:val="24"/>
        </w:rPr>
        <w:t>处理</w:t>
      </w:r>
      <w:r>
        <w:rPr>
          <w:sz w:val="24"/>
        </w:rPr>
        <w:t>、遥感解译、现场调查、精度评定、报告编制及成果管理等，涉及多个技术领域，实际操作复杂。因此</w:t>
      </w:r>
      <w:r>
        <w:rPr>
          <w:rFonts w:hint="eastAsia"/>
          <w:sz w:val="24"/>
        </w:rPr>
        <w:t>，</w:t>
      </w:r>
      <w:r>
        <w:rPr>
          <w:sz w:val="24"/>
        </w:rPr>
        <w:t>为保证遥感能够全面、客观地反映农村小微水体污染情况，需要制定技术标准，固化技术路线和技术参数，形成具备参考价值的</w:t>
      </w:r>
      <w:r>
        <w:rPr>
          <w:rFonts w:hint="eastAsia"/>
          <w:sz w:val="24"/>
        </w:rPr>
        <w:t>规范性</w:t>
      </w:r>
      <w:r>
        <w:rPr>
          <w:sz w:val="24"/>
        </w:rPr>
        <w:t>文件。</w:t>
      </w:r>
    </w:p>
    <w:p>
      <w:pPr>
        <w:pStyle w:val="3"/>
        <w:numPr>
          <w:ilvl w:val="0"/>
          <w:numId w:val="0"/>
        </w:numPr>
        <w:spacing w:line="416" w:lineRule="auto"/>
        <w:rPr>
          <w:rFonts w:eastAsia="黑体"/>
          <w:b w:val="0"/>
          <w:kern w:val="0"/>
          <w:sz w:val="32"/>
        </w:rPr>
      </w:pPr>
      <w:bookmarkStart w:id="58" w:name="_Toc215478629"/>
      <w:bookmarkStart w:id="59" w:name="_Toc6594995"/>
      <w:r>
        <w:rPr>
          <w:rFonts w:eastAsia="黑体"/>
          <w:b w:val="0"/>
          <w:kern w:val="0"/>
          <w:sz w:val="32"/>
        </w:rPr>
        <w:t>2.3 标准制定的意义</w:t>
      </w:r>
      <w:bookmarkEnd w:id="58"/>
      <w:bookmarkEnd w:id="59"/>
    </w:p>
    <w:p>
      <w:pPr>
        <w:pStyle w:val="26"/>
        <w:widowControl/>
        <w:spacing w:line="360" w:lineRule="auto"/>
        <w:ind w:firstLine="480"/>
        <w:rPr>
          <w:sz w:val="24"/>
        </w:rPr>
      </w:pPr>
      <w:r>
        <w:rPr>
          <w:rFonts w:hint="eastAsia"/>
          <w:sz w:val="24"/>
        </w:rPr>
        <w:t>通过</w:t>
      </w:r>
      <w:r>
        <w:rPr>
          <w:sz w:val="24"/>
        </w:rPr>
        <w:t>调研国内外相关标准，综合考虑北京市农村小微水体污染的现实情况及北京市政策文件对农村</w:t>
      </w:r>
      <w:r>
        <w:rPr>
          <w:rFonts w:hint="eastAsia"/>
          <w:sz w:val="24"/>
        </w:rPr>
        <w:t>黑臭水体</w:t>
      </w:r>
      <w:r>
        <w:rPr>
          <w:sz w:val="24"/>
        </w:rPr>
        <w:t>的具体要求，提出农村小微水体污染遥感监测的技术要点，契合北京市黑臭水体治理的管理需求。本标准将助力高效落实《中华人民共和国水污染防治法》《美丽乡村建设实施方案》《北京市水污染防治条例》要求，提高农村黑臭水体监管和治理效率，切实提升农村人居环境。</w:t>
      </w:r>
    </w:p>
    <w:p>
      <w:pPr>
        <w:pStyle w:val="26"/>
        <w:widowControl/>
        <w:spacing w:line="360" w:lineRule="auto"/>
        <w:ind w:firstLine="480"/>
        <w:rPr>
          <w:sz w:val="24"/>
        </w:rPr>
      </w:pPr>
      <w:r>
        <w:rPr>
          <w:sz w:val="24"/>
        </w:rPr>
        <w:t>本标准综合考虑北京市农村小微水体污染特点和生态环境部门管理需求，规定了农村小微水体污染遥感监测</w:t>
      </w:r>
      <w:bookmarkStart w:id="60" w:name="OLE_LINK112"/>
      <w:bookmarkStart w:id="61" w:name="OLE_LINK116"/>
      <w:r>
        <w:rPr>
          <w:sz w:val="24"/>
        </w:rPr>
        <w:t>数据准备、遥感解译、现场</w:t>
      </w:r>
      <w:r>
        <w:rPr>
          <w:rFonts w:hint="eastAsia"/>
          <w:sz w:val="24"/>
        </w:rPr>
        <w:t>调</w:t>
      </w:r>
      <w:r>
        <w:rPr>
          <w:sz w:val="24"/>
        </w:rPr>
        <w:t>查</w:t>
      </w:r>
      <w:r>
        <w:rPr>
          <w:rFonts w:hint="eastAsia"/>
          <w:sz w:val="24"/>
        </w:rPr>
        <w:t>、精度评定、报告编制</w:t>
      </w:r>
      <w:r>
        <w:rPr>
          <w:sz w:val="24"/>
        </w:rPr>
        <w:t>和</w:t>
      </w:r>
      <w:bookmarkEnd w:id="60"/>
      <w:bookmarkEnd w:id="61"/>
      <w:r>
        <w:rPr>
          <w:sz w:val="24"/>
        </w:rPr>
        <w:t>成果管理的技术要求。</w:t>
      </w:r>
    </w:p>
    <w:bookmarkEnd w:id="26"/>
    <w:bookmarkEnd w:id="27"/>
    <w:p>
      <w:pPr>
        <w:pStyle w:val="2"/>
      </w:pPr>
      <w:bookmarkStart w:id="62" w:name="_Toc215478630"/>
      <w:bookmarkStart w:id="63" w:name="_Toc823467081"/>
      <w:bookmarkStart w:id="64" w:name="_Toc103617112"/>
      <w:bookmarkStart w:id="65" w:name="OLE_LINK15"/>
      <w:bookmarkStart w:id="66" w:name="OLE_LINK14"/>
      <w:r>
        <w:t xml:space="preserve">3 </w:t>
      </w:r>
      <w:r>
        <w:rPr>
          <w:rFonts w:hint="eastAsia"/>
        </w:rPr>
        <w:t>适用对象</w:t>
      </w:r>
      <w:r>
        <w:t>基本情况</w:t>
      </w:r>
      <w:bookmarkEnd w:id="62"/>
      <w:bookmarkEnd w:id="63"/>
    </w:p>
    <w:p>
      <w:pPr>
        <w:widowControl/>
        <w:spacing w:line="360" w:lineRule="auto"/>
        <w:ind w:firstLine="480" w:firstLineChars="200"/>
        <w:rPr>
          <w:sz w:val="24"/>
        </w:rPr>
      </w:pPr>
      <w:bookmarkStart w:id="67" w:name="OLE_LINK170"/>
      <w:bookmarkStart w:id="68" w:name="OLE_LINK171"/>
      <w:bookmarkStart w:id="69" w:name="OLE_LINK94"/>
      <w:bookmarkStart w:id="70" w:name="OLE_LINK22"/>
      <w:bookmarkStart w:id="71" w:name="OLE_LINK95"/>
      <w:r>
        <w:rPr>
          <w:rFonts w:hint="eastAsia"/>
          <w:sz w:val="24"/>
        </w:rPr>
        <w:t>本文件适用于</w:t>
      </w:r>
      <w:bookmarkStart w:id="72" w:name="OLE_LINK97"/>
      <w:bookmarkStart w:id="73" w:name="OLE_LINK96"/>
      <w:r>
        <w:rPr>
          <w:rFonts w:hint="eastAsia"/>
          <w:sz w:val="24"/>
        </w:rPr>
        <w:t>农村的河流、</w:t>
      </w:r>
      <w:bookmarkEnd w:id="67"/>
      <w:bookmarkEnd w:id="68"/>
      <w:r>
        <w:rPr>
          <w:rFonts w:hint="eastAsia"/>
          <w:sz w:val="24"/>
        </w:rPr>
        <w:t>沟渠、坑塘等线状或面状小微水体污染</w:t>
      </w:r>
      <w:bookmarkEnd w:id="72"/>
      <w:bookmarkEnd w:id="73"/>
      <w:r>
        <w:rPr>
          <w:rFonts w:hint="eastAsia"/>
          <w:sz w:val="24"/>
        </w:rPr>
        <w:t>的遥感监测。这些监测对象分布在自然村或村民小组等村民集聚区或聚集点及其周围1km范围内，坑塘主要用于蓄洪，沟渠和河流主要作为水系输运，部分农村对这些水体缺乏管护，导致出现污水乱排、</w:t>
      </w:r>
      <w:bookmarkStart w:id="74" w:name="OLE_LINK144"/>
      <w:bookmarkStart w:id="75" w:name="OLE_LINK145"/>
      <w:r>
        <w:rPr>
          <w:rFonts w:hint="eastAsia"/>
          <w:sz w:val="24"/>
        </w:rPr>
        <w:t>垃圾</w:t>
      </w:r>
      <w:bookmarkEnd w:id="74"/>
      <w:bookmarkEnd w:id="75"/>
      <w:r>
        <w:rPr>
          <w:rFonts w:hint="eastAsia"/>
          <w:sz w:val="24"/>
        </w:rPr>
        <w:t>乱倒等现象，水体出现黑臭问题。</w:t>
      </w:r>
      <w:bookmarkEnd w:id="69"/>
      <w:bookmarkEnd w:id="70"/>
      <w:bookmarkEnd w:id="71"/>
      <w:r>
        <w:rPr>
          <w:rFonts w:hint="eastAsia"/>
          <w:sz w:val="24"/>
        </w:rPr>
        <w:t>本标准旨在基于高分遥感影像监测</w:t>
      </w:r>
      <w:bookmarkStart w:id="76" w:name="OLE_LINK159"/>
      <w:r>
        <w:rPr>
          <w:rFonts w:hint="eastAsia"/>
          <w:sz w:val="24"/>
        </w:rPr>
        <w:t>农村</w:t>
      </w:r>
      <w:bookmarkStart w:id="77" w:name="OLE_LINK152"/>
      <w:bookmarkStart w:id="78" w:name="OLE_LINK157"/>
      <w:r>
        <w:rPr>
          <w:rFonts w:hint="eastAsia"/>
          <w:sz w:val="24"/>
        </w:rPr>
        <w:t>小微水体</w:t>
      </w:r>
      <w:bookmarkEnd w:id="77"/>
      <w:bookmarkEnd w:id="78"/>
      <w:r>
        <w:rPr>
          <w:rFonts w:hint="eastAsia"/>
          <w:sz w:val="24"/>
        </w:rPr>
        <w:t>污染</w:t>
      </w:r>
      <w:bookmarkEnd w:id="76"/>
      <w:r>
        <w:rPr>
          <w:rFonts w:hint="eastAsia"/>
          <w:sz w:val="24"/>
        </w:rPr>
        <w:t>，提供农村小微水体污染的位置、类型、面积等关键信息，将能够为管理部门高效开展农村小微水体污染治理提供清单线索，推动实现农村小微水体污染的动态清零。</w:t>
      </w:r>
    </w:p>
    <w:p>
      <w:pPr>
        <w:pStyle w:val="2"/>
      </w:pPr>
      <w:bookmarkStart w:id="79" w:name="_Toc215478631"/>
      <w:bookmarkStart w:id="80" w:name="_Toc1004021095"/>
      <w:bookmarkStart w:id="81" w:name="OLE_LINK23"/>
      <w:bookmarkStart w:id="82" w:name="OLE_LINK24"/>
      <w:r>
        <w:rPr>
          <w:rFonts w:hint="eastAsia"/>
        </w:rPr>
        <w:t>4</w:t>
      </w:r>
      <w:r>
        <w:t xml:space="preserve"> 主要</w:t>
      </w:r>
      <w:r>
        <w:rPr>
          <w:rFonts w:hint="eastAsia"/>
        </w:rPr>
        <w:t>起草</w:t>
      </w:r>
      <w:r>
        <w:t>过程</w:t>
      </w:r>
      <w:bookmarkEnd w:id="64"/>
      <w:bookmarkEnd w:id="79"/>
      <w:bookmarkEnd w:id="80"/>
    </w:p>
    <w:bookmarkEnd w:id="65"/>
    <w:bookmarkEnd w:id="66"/>
    <w:bookmarkEnd w:id="81"/>
    <w:bookmarkEnd w:id="82"/>
    <w:p>
      <w:pPr>
        <w:pStyle w:val="3"/>
        <w:numPr>
          <w:ilvl w:val="0"/>
          <w:numId w:val="0"/>
        </w:numPr>
        <w:spacing w:line="416" w:lineRule="auto"/>
        <w:rPr>
          <w:rFonts w:eastAsia="黑体"/>
          <w:b w:val="0"/>
          <w:kern w:val="0"/>
          <w:sz w:val="32"/>
        </w:rPr>
      </w:pPr>
      <w:bookmarkStart w:id="83" w:name="_Toc1935781569"/>
      <w:bookmarkStart w:id="84" w:name="_Toc215252878"/>
      <w:bookmarkStart w:id="85" w:name="OLE_LINK39"/>
      <w:bookmarkStart w:id="86" w:name="_Toc215478632"/>
      <w:r>
        <w:rPr>
          <w:rFonts w:hint="eastAsia" w:eastAsia="黑体"/>
          <w:b w:val="0"/>
          <w:kern w:val="0"/>
          <w:sz w:val="32"/>
        </w:rPr>
        <w:t>4</w:t>
      </w:r>
      <w:r>
        <w:rPr>
          <w:rFonts w:eastAsia="黑体"/>
          <w:b w:val="0"/>
          <w:kern w:val="0"/>
          <w:sz w:val="32"/>
        </w:rPr>
        <w:t>.1</w:t>
      </w:r>
      <w:r>
        <w:rPr>
          <w:rFonts w:hint="eastAsia" w:eastAsia="黑体"/>
          <w:b w:val="0"/>
          <w:kern w:val="0"/>
          <w:sz w:val="32"/>
        </w:rPr>
        <w:t xml:space="preserve"> 工作基础及起草</w:t>
      </w:r>
      <w:bookmarkEnd w:id="83"/>
    </w:p>
    <w:p>
      <w:pPr>
        <w:pStyle w:val="26"/>
        <w:widowControl/>
        <w:spacing w:line="360" w:lineRule="auto"/>
        <w:ind w:firstLine="480"/>
        <w:jc w:val="left"/>
        <w:rPr>
          <w:kern w:val="0"/>
          <w:sz w:val="24"/>
        </w:rPr>
      </w:pPr>
      <w:r>
        <w:rPr>
          <w:kern w:val="0"/>
          <w:sz w:val="24"/>
        </w:rPr>
        <w:t>2023年底，利用亚米级高分辨率遥感影像，对全市农村小微水体污染开展研究性试点监测。初步建立了农村小微水体污染遥感监测技术方案，并形成第4季度的农村小微水体污染遥感监测结果。</w:t>
      </w:r>
    </w:p>
    <w:p>
      <w:pPr>
        <w:pStyle w:val="26"/>
        <w:widowControl/>
        <w:spacing w:line="360" w:lineRule="auto"/>
        <w:ind w:firstLine="480"/>
        <w:jc w:val="left"/>
        <w:rPr>
          <w:kern w:val="0"/>
          <w:sz w:val="24"/>
        </w:rPr>
      </w:pPr>
      <w:r>
        <w:rPr>
          <w:kern w:val="0"/>
          <w:sz w:val="24"/>
        </w:rPr>
        <w:t>2024年，对已有技术方案进行完善、优化，</w:t>
      </w:r>
      <w:r>
        <w:rPr>
          <w:rFonts w:hint="eastAsia"/>
          <w:kern w:val="0"/>
          <w:sz w:val="24"/>
        </w:rPr>
        <w:t>明确</w:t>
      </w:r>
      <w:r>
        <w:rPr>
          <w:kern w:val="0"/>
          <w:sz w:val="24"/>
        </w:rPr>
        <w:t>监测流程及具体实施方式，并形成2、3、4季度共3期农村小微水体污染遥感监测结果。2024年底，在已有监测结果基础上，对历史监测数据开展追溯核查，</w:t>
      </w:r>
      <w:r>
        <w:rPr>
          <w:rFonts w:hint="eastAsia"/>
          <w:kern w:val="0"/>
          <w:sz w:val="24"/>
        </w:rPr>
        <w:t>明确</w:t>
      </w:r>
      <w:r>
        <w:rPr>
          <w:kern w:val="0"/>
          <w:sz w:val="24"/>
        </w:rPr>
        <w:t>农村小微水体污染监测范围不包括有经营主体的</w:t>
      </w:r>
      <w:r>
        <w:rPr>
          <w:rFonts w:hint="eastAsia"/>
          <w:kern w:val="0"/>
          <w:sz w:val="24"/>
        </w:rPr>
        <w:t>经营性</w:t>
      </w:r>
      <w:r>
        <w:rPr>
          <w:kern w:val="0"/>
          <w:sz w:val="24"/>
        </w:rPr>
        <w:t>水体，最终确定农村小微水体污染监测技术方案、监测对象、监测指标等内容。</w:t>
      </w:r>
      <w:r>
        <w:rPr>
          <w:rFonts w:hint="eastAsia"/>
          <w:kern w:val="0"/>
          <w:sz w:val="24"/>
        </w:rPr>
        <w:t>2025年，对北京市农村小微水体污染开展业务性监测，并形成3月、5月、6月、7月、8月、9月、10月、12月共8期农村小微水体污染遥感监测结果。</w:t>
      </w:r>
    </w:p>
    <w:p>
      <w:pPr>
        <w:pStyle w:val="26"/>
        <w:widowControl/>
        <w:spacing w:line="360" w:lineRule="auto"/>
        <w:ind w:firstLine="480"/>
        <w:jc w:val="left"/>
        <w:rPr>
          <w:kern w:val="0"/>
          <w:sz w:val="24"/>
        </w:rPr>
      </w:pPr>
      <w:r>
        <w:rPr>
          <w:kern w:val="0"/>
          <w:sz w:val="24"/>
        </w:rPr>
        <w:t>2024年6</w:t>
      </w:r>
      <w:r>
        <w:rPr>
          <w:rFonts w:hint="eastAsia"/>
          <w:kern w:val="0"/>
          <w:sz w:val="24"/>
        </w:rPr>
        <w:t>月</w:t>
      </w:r>
      <w:r>
        <w:rPr>
          <w:kern w:val="0"/>
          <w:sz w:val="24"/>
        </w:rPr>
        <w:t>，北京市生态环境监测中心成立《农村小微水体污染遥感监测技术规范》编制组，并举行标准启动会。</w:t>
      </w:r>
    </w:p>
    <w:p>
      <w:pPr>
        <w:pStyle w:val="26"/>
        <w:widowControl/>
        <w:spacing w:line="360" w:lineRule="auto"/>
        <w:ind w:firstLine="480"/>
        <w:jc w:val="left"/>
        <w:rPr>
          <w:kern w:val="0"/>
          <w:sz w:val="24"/>
        </w:rPr>
      </w:pPr>
      <w:r>
        <w:rPr>
          <w:kern w:val="0"/>
          <w:sz w:val="24"/>
        </w:rPr>
        <w:t>2024年7-9月，结合前期调研，明确了本文件的工作程序和技术内容，完成技术规范与编制说明初稿。</w:t>
      </w:r>
    </w:p>
    <w:p>
      <w:pPr>
        <w:pStyle w:val="26"/>
        <w:widowControl/>
        <w:spacing w:line="360" w:lineRule="auto"/>
        <w:ind w:firstLine="480"/>
        <w:jc w:val="left"/>
        <w:rPr>
          <w:sz w:val="24"/>
        </w:rPr>
      </w:pPr>
      <w:r>
        <w:rPr>
          <w:sz w:val="24"/>
        </w:rPr>
        <w:t>2024年10月12日，召开《</w:t>
      </w:r>
      <w:r>
        <w:rPr>
          <w:kern w:val="0"/>
          <w:sz w:val="24"/>
        </w:rPr>
        <w:t>农村小微水体污染遥感监测技术规范</w:t>
      </w:r>
      <w:r>
        <w:rPr>
          <w:sz w:val="24"/>
        </w:rPr>
        <w:t>》标准立项审查会，征求标准制订专家的意见。来自中国环境科学研究院环境标准研究所、国家市场监督管理总局国家标准技术审评中心和北京市标准化研究院的专家参加了会议。会后，标准编制组针对专家提</w:t>
      </w:r>
      <w:r>
        <w:rPr>
          <w:rFonts w:hint="eastAsia"/>
          <w:sz w:val="24"/>
        </w:rPr>
        <w:t>出</w:t>
      </w:r>
      <w:r>
        <w:rPr>
          <w:sz w:val="24"/>
        </w:rPr>
        <w:t>的3条意见进行了修改。</w:t>
      </w:r>
    </w:p>
    <w:bookmarkEnd w:id="84"/>
    <w:bookmarkEnd w:id="85"/>
    <w:bookmarkEnd w:id="86"/>
    <w:p>
      <w:pPr>
        <w:pStyle w:val="3"/>
        <w:numPr>
          <w:ilvl w:val="0"/>
          <w:numId w:val="0"/>
        </w:numPr>
        <w:spacing w:line="416" w:lineRule="auto"/>
        <w:rPr>
          <w:rFonts w:eastAsia="黑体"/>
          <w:b w:val="0"/>
          <w:kern w:val="0"/>
          <w:sz w:val="32"/>
        </w:rPr>
      </w:pPr>
      <w:bookmarkStart w:id="87" w:name="_Toc355351686"/>
      <w:bookmarkStart w:id="88" w:name="OLE_LINK38"/>
      <w:bookmarkStart w:id="89" w:name="_Toc215478633"/>
      <w:bookmarkStart w:id="90" w:name="_Toc215252879"/>
      <w:r>
        <w:rPr>
          <w:rFonts w:hint="eastAsia" w:eastAsia="黑体"/>
          <w:b w:val="0"/>
          <w:kern w:val="0"/>
          <w:sz w:val="32"/>
        </w:rPr>
        <w:t>4.2 立项</w:t>
      </w:r>
      <w:bookmarkEnd w:id="87"/>
    </w:p>
    <w:p>
      <w:pPr>
        <w:pStyle w:val="26"/>
        <w:widowControl/>
        <w:spacing w:line="360" w:lineRule="auto"/>
        <w:ind w:firstLine="480"/>
        <w:jc w:val="left"/>
        <w:rPr>
          <w:kern w:val="0"/>
          <w:sz w:val="24"/>
        </w:rPr>
      </w:pPr>
      <w:r>
        <w:rPr>
          <w:kern w:val="0"/>
          <w:sz w:val="24"/>
        </w:rPr>
        <w:t>本标准为一类标准，于</w:t>
      </w:r>
      <w:r>
        <w:rPr>
          <w:rFonts w:hint="eastAsia"/>
          <w:kern w:val="0"/>
          <w:sz w:val="24"/>
        </w:rPr>
        <w:t>2025年1月22日立项</w:t>
      </w:r>
      <w:r>
        <w:rPr>
          <w:kern w:val="0"/>
          <w:sz w:val="24"/>
        </w:rPr>
        <w:t>。</w:t>
      </w:r>
    </w:p>
    <w:bookmarkEnd w:id="88"/>
    <w:bookmarkEnd w:id="89"/>
    <w:bookmarkEnd w:id="90"/>
    <w:p>
      <w:pPr>
        <w:pStyle w:val="3"/>
        <w:numPr>
          <w:ilvl w:val="0"/>
          <w:numId w:val="0"/>
        </w:numPr>
        <w:rPr>
          <w:rFonts w:eastAsia="黑体"/>
          <w:b w:val="0"/>
          <w:kern w:val="0"/>
          <w:sz w:val="32"/>
        </w:rPr>
      </w:pPr>
      <w:bookmarkStart w:id="91" w:name="_Toc215252880"/>
      <w:bookmarkStart w:id="92" w:name="_Toc215478634"/>
      <w:bookmarkStart w:id="93" w:name="_Toc1656448041"/>
      <w:r>
        <w:rPr>
          <w:rFonts w:hint="eastAsia" w:eastAsia="黑体"/>
          <w:b w:val="0"/>
          <w:kern w:val="0"/>
          <w:sz w:val="32"/>
        </w:rPr>
        <w:t>4.3 专家咨询会</w:t>
      </w:r>
      <w:bookmarkEnd w:id="91"/>
      <w:bookmarkEnd w:id="92"/>
      <w:bookmarkEnd w:id="93"/>
    </w:p>
    <w:p>
      <w:pPr>
        <w:pStyle w:val="26"/>
        <w:widowControl/>
        <w:spacing w:line="360" w:lineRule="auto"/>
        <w:ind w:firstLine="480"/>
        <w:jc w:val="left"/>
        <w:rPr>
          <w:sz w:val="24"/>
        </w:rPr>
      </w:pPr>
      <w:bookmarkStart w:id="94" w:name="OLE_LINK6"/>
      <w:r>
        <w:rPr>
          <w:rFonts w:hint="eastAsia"/>
          <w:sz w:val="24"/>
        </w:rPr>
        <w:t>2025年5月9日，编制组组织召开</w:t>
      </w:r>
      <w:bookmarkStart w:id="95" w:name="OLE_LINK4"/>
      <w:r>
        <w:rPr>
          <w:sz w:val="24"/>
        </w:rPr>
        <w:t>《</w:t>
      </w:r>
      <w:r>
        <w:rPr>
          <w:kern w:val="0"/>
          <w:sz w:val="24"/>
        </w:rPr>
        <w:t>农村小微水体污染遥感监测技术规范</w:t>
      </w:r>
      <w:r>
        <w:rPr>
          <w:sz w:val="24"/>
        </w:rPr>
        <w:t>》</w:t>
      </w:r>
      <w:bookmarkEnd w:id="95"/>
      <w:r>
        <w:rPr>
          <w:sz w:val="24"/>
        </w:rPr>
        <w:t>标准专家研讨会</w:t>
      </w:r>
      <w:bookmarkStart w:id="96" w:name="OLE_LINK88"/>
      <w:bookmarkStart w:id="97" w:name="OLE_LINK87"/>
      <w:r>
        <w:rPr>
          <w:sz w:val="24"/>
        </w:rPr>
        <w:t>，</w:t>
      </w:r>
      <w:bookmarkStart w:id="98" w:name="OLE_LINK114"/>
      <w:bookmarkStart w:id="99" w:name="OLE_LINK115"/>
      <w:r>
        <w:rPr>
          <w:sz w:val="24"/>
        </w:rPr>
        <w:t>邀请标准编制、遥感、地理信息等领域</w:t>
      </w:r>
      <w:r>
        <w:rPr>
          <w:rFonts w:hint="eastAsia"/>
          <w:sz w:val="24"/>
        </w:rPr>
        <w:t>5位</w:t>
      </w:r>
      <w:r>
        <w:rPr>
          <w:sz w:val="24"/>
        </w:rPr>
        <w:t>专家对标准内容进行</w:t>
      </w:r>
      <w:bookmarkEnd w:id="96"/>
      <w:bookmarkEnd w:id="97"/>
      <w:bookmarkEnd w:id="98"/>
      <w:bookmarkEnd w:id="99"/>
      <w:r>
        <w:rPr>
          <w:rFonts w:hint="eastAsia"/>
          <w:sz w:val="24"/>
        </w:rPr>
        <w:t>审议</w:t>
      </w:r>
      <w:bookmarkEnd w:id="94"/>
      <w:r>
        <w:rPr>
          <w:rFonts w:hint="eastAsia"/>
          <w:sz w:val="24"/>
        </w:rPr>
        <w:t>，提出修改完善建议。</w:t>
      </w:r>
    </w:p>
    <w:p>
      <w:pPr>
        <w:pStyle w:val="3"/>
        <w:numPr>
          <w:ilvl w:val="0"/>
          <w:numId w:val="0"/>
        </w:numPr>
        <w:rPr>
          <w:rFonts w:eastAsia="黑体"/>
          <w:b w:val="0"/>
          <w:kern w:val="0"/>
          <w:sz w:val="32"/>
        </w:rPr>
      </w:pPr>
      <w:bookmarkStart w:id="100" w:name="_Toc215478635"/>
      <w:bookmarkStart w:id="101" w:name="_Toc215252881"/>
      <w:bookmarkStart w:id="102" w:name="_Toc1277260036"/>
      <w:r>
        <w:rPr>
          <w:rFonts w:hint="eastAsia" w:eastAsia="黑体"/>
          <w:b w:val="0"/>
          <w:kern w:val="0"/>
          <w:sz w:val="32"/>
        </w:rPr>
        <w:t xml:space="preserve">4.4 </w:t>
      </w:r>
      <w:r>
        <w:rPr>
          <w:rFonts w:eastAsia="黑体"/>
          <w:b w:val="0"/>
          <w:kern w:val="0"/>
          <w:sz w:val="32"/>
        </w:rPr>
        <w:t>相关单位征求意见</w:t>
      </w:r>
      <w:bookmarkEnd w:id="100"/>
      <w:bookmarkEnd w:id="101"/>
      <w:bookmarkEnd w:id="102"/>
    </w:p>
    <w:p>
      <w:pPr>
        <w:pStyle w:val="26"/>
        <w:widowControl/>
        <w:spacing w:line="360" w:lineRule="auto"/>
        <w:ind w:firstLine="480"/>
        <w:jc w:val="left"/>
        <w:rPr>
          <w:sz w:val="24"/>
        </w:rPr>
      </w:pPr>
      <w:r>
        <w:rPr>
          <w:rFonts w:hint="eastAsia"/>
          <w:sz w:val="24"/>
        </w:rPr>
        <w:t>2025年9月，开展</w:t>
      </w:r>
      <w:r>
        <w:rPr>
          <w:sz w:val="24"/>
        </w:rPr>
        <w:t>《农村小微水体污染遥感监测技术规范》标准</w:t>
      </w:r>
      <w:r>
        <w:rPr>
          <w:rFonts w:hint="eastAsia"/>
          <w:sz w:val="24"/>
        </w:rPr>
        <w:t>相关单位意见征求，</w:t>
      </w:r>
      <w:r>
        <w:rPr>
          <w:sz w:val="24"/>
        </w:rPr>
        <w:t>征求单位为</w:t>
      </w:r>
      <w:r>
        <w:rPr>
          <w:rFonts w:hint="eastAsia"/>
          <w:sz w:val="24"/>
        </w:rPr>
        <w:t>北京市水务局、北京市农业农村局，</w:t>
      </w:r>
      <w:r>
        <w:rPr>
          <w:sz w:val="24"/>
        </w:rPr>
        <w:t>北京市各区生态环境</w:t>
      </w:r>
      <w:r>
        <w:rPr>
          <w:rFonts w:hint="eastAsia"/>
          <w:sz w:val="24"/>
        </w:rPr>
        <w:t>部门，生态环境部土壤与农业农村生态环境监管技术中心，北京市标准化研究院。共收到5条意见，</w:t>
      </w:r>
      <w:r>
        <w:rPr>
          <w:sz w:val="24"/>
        </w:rPr>
        <w:t>具体如下：</w:t>
      </w:r>
    </w:p>
    <w:p>
      <w:pPr>
        <w:pStyle w:val="26"/>
        <w:widowControl/>
        <w:spacing w:line="360" w:lineRule="auto"/>
        <w:ind w:firstLine="480"/>
        <w:jc w:val="left"/>
        <w:rPr>
          <w:sz w:val="24"/>
        </w:rPr>
      </w:pPr>
      <w:r>
        <w:rPr>
          <w:rFonts w:hint="eastAsia"/>
          <w:sz w:val="24"/>
        </w:rPr>
        <w:t>（1）规范3.1“农村小微水体污染”定义为颜色异常或散发气味的水体，与农村黑臭水体相同，但从字面看表达的是“受污染的农村小微水体”；同时颜色和气味是否均适合“遥感监测”，建议斟酌定义。</w:t>
      </w:r>
    </w:p>
    <w:p>
      <w:pPr>
        <w:pStyle w:val="26"/>
        <w:widowControl/>
        <w:spacing w:line="360" w:lineRule="auto"/>
        <w:ind w:firstLine="480"/>
        <w:jc w:val="left"/>
        <w:rPr>
          <w:sz w:val="24"/>
        </w:rPr>
      </w:pPr>
      <w:r>
        <w:rPr>
          <w:rFonts w:hint="eastAsia"/>
          <w:sz w:val="24"/>
        </w:rPr>
        <w:t>（2）关于农村小微水体，是否只针对公共区域，属于单位内部</w:t>
      </w:r>
      <w:bookmarkStart w:id="103" w:name="OLE_LINK287"/>
      <w:bookmarkStart w:id="104" w:name="OLE_LINK291"/>
      <w:r>
        <w:rPr>
          <w:rFonts w:hint="eastAsia"/>
          <w:sz w:val="24"/>
        </w:rPr>
        <w:t>、</w:t>
      </w:r>
      <w:bookmarkEnd w:id="103"/>
      <w:bookmarkEnd w:id="104"/>
      <w:r>
        <w:rPr>
          <w:rFonts w:hint="eastAsia"/>
          <w:sz w:val="24"/>
        </w:rPr>
        <w:t>由其管理的水体，是否纳入后续排查及整治范围，建议斟酌。如不纳入后续管理，6.2.6中，建议增加“单位内部且不与外部河湖连接的水体”类似的表述。</w:t>
      </w:r>
    </w:p>
    <w:p>
      <w:pPr>
        <w:pStyle w:val="26"/>
        <w:widowControl/>
        <w:spacing w:line="360" w:lineRule="auto"/>
        <w:ind w:firstLine="480"/>
        <w:jc w:val="left"/>
        <w:rPr>
          <w:sz w:val="24"/>
        </w:rPr>
      </w:pPr>
      <w:r>
        <w:rPr>
          <w:rFonts w:hint="eastAsia"/>
          <w:sz w:val="24"/>
        </w:rPr>
        <w:t>（3）关于6.2.5评价指标，“氧化还原电位”指标设置的依据建议明确，建议了解建成区黑臭水体日常监测还是否保留“氧化还原电位”指标。此外，根据区内自动监测设施了解到，溶解氧指标受检测时间、光照等影响大（早晚差别大、阴天晴天差别大），是否明确此项指标的检测条件。</w:t>
      </w:r>
    </w:p>
    <w:p>
      <w:pPr>
        <w:pStyle w:val="26"/>
        <w:widowControl/>
        <w:spacing w:line="360" w:lineRule="auto"/>
        <w:ind w:firstLine="480"/>
        <w:jc w:val="left"/>
        <w:rPr>
          <w:sz w:val="24"/>
        </w:rPr>
      </w:pPr>
      <w:r>
        <w:rPr>
          <w:rFonts w:hint="eastAsia"/>
          <w:sz w:val="24"/>
        </w:rPr>
        <w:t>（4）附录C中，评价表、记录表均有“生活垃圾”有关评价内容，但6.2.5判定是否为农村小微水体污染中，无“生活垃圾”相关内容，建议斟酌。</w:t>
      </w:r>
    </w:p>
    <w:p>
      <w:pPr>
        <w:pStyle w:val="26"/>
        <w:widowControl/>
        <w:spacing w:line="360" w:lineRule="auto"/>
        <w:ind w:firstLine="480"/>
        <w:jc w:val="left"/>
        <w:rPr>
          <w:sz w:val="24"/>
        </w:rPr>
      </w:pPr>
      <w:r>
        <w:rPr>
          <w:rFonts w:hint="eastAsia"/>
          <w:sz w:val="24"/>
        </w:rPr>
        <w:t>（5）2019年前后，市</w:t>
      </w:r>
      <w:bookmarkStart w:id="105" w:name="OLE_LINK293"/>
      <w:bookmarkStart w:id="106" w:name="OLE_LINK292"/>
      <w:r>
        <w:rPr>
          <w:rFonts w:hint="eastAsia"/>
          <w:sz w:val="24"/>
        </w:rPr>
        <w:t>水</w:t>
      </w:r>
      <w:bookmarkEnd w:id="105"/>
      <w:bookmarkEnd w:id="106"/>
      <w:r>
        <w:rPr>
          <w:rFonts w:hint="eastAsia"/>
          <w:sz w:val="24"/>
        </w:rPr>
        <w:t>务局将小微水体整治纳入河长制管理体系，制定《小微水体专项整治工作方案》，主要对农村地区沟道、坑塘、马路边沟、公园池塘等进行摸排整治，2020年前后完成整治。后续市生态环境局是否要建立监管清单，安排区县环保部门牵头开展相关工作?建议斟酌后续安排。</w:t>
      </w:r>
    </w:p>
    <w:p>
      <w:pPr>
        <w:pStyle w:val="26"/>
        <w:widowControl/>
        <w:spacing w:line="360" w:lineRule="auto"/>
        <w:ind w:firstLine="480"/>
        <w:jc w:val="left"/>
        <w:rPr>
          <w:sz w:val="24"/>
        </w:rPr>
      </w:pPr>
      <w:r>
        <w:rPr>
          <w:rFonts w:hint="eastAsia"/>
          <w:sz w:val="24"/>
        </w:rPr>
        <w:t>对建议（2）、（3），完全采纳。对建议（1），部分采纳，原因是：</w:t>
      </w:r>
      <w:bookmarkStart w:id="107" w:name="OLE_LINK130"/>
      <w:bookmarkStart w:id="108" w:name="OLE_LINK125"/>
      <w:bookmarkStart w:id="109" w:name="OLE_LINK128"/>
      <w:r>
        <w:rPr>
          <w:rFonts w:hint="eastAsia"/>
          <w:sz w:val="24"/>
        </w:rPr>
        <w:t>术语将结合管理部门需求和相关技术部门的建议决定是</w:t>
      </w:r>
      <w:bookmarkStart w:id="110" w:name="OLE_LINK296"/>
      <w:bookmarkStart w:id="111" w:name="OLE_LINK294"/>
      <w:r>
        <w:rPr>
          <w:rFonts w:hint="eastAsia"/>
          <w:sz w:val="24"/>
        </w:rPr>
        <w:t>否</w:t>
      </w:r>
      <w:bookmarkEnd w:id="110"/>
      <w:bookmarkEnd w:id="111"/>
      <w:r>
        <w:rPr>
          <w:rFonts w:hint="eastAsia"/>
          <w:sz w:val="24"/>
        </w:rPr>
        <w:t>修改，</w:t>
      </w:r>
      <w:bookmarkEnd w:id="107"/>
      <w:r>
        <w:rPr>
          <w:rFonts w:hint="eastAsia"/>
          <w:sz w:val="24"/>
        </w:rPr>
        <w:t>部分农村小微水体确实会存在异常气味，且需要在现场调查阶段进行判定是否属于农村小微水体污染。</w:t>
      </w:r>
      <w:bookmarkEnd w:id="108"/>
      <w:bookmarkEnd w:id="109"/>
      <w:bookmarkStart w:id="112" w:name="OLE_LINK7"/>
      <w:bookmarkStart w:id="113" w:name="OLE_LINK21"/>
      <w:r>
        <w:rPr>
          <w:rFonts w:hint="eastAsia"/>
          <w:sz w:val="24"/>
        </w:rPr>
        <w:t>对建议（4）</w:t>
      </w:r>
      <w:bookmarkEnd w:id="112"/>
      <w:bookmarkEnd w:id="113"/>
      <w:r>
        <w:rPr>
          <w:rFonts w:hint="eastAsia"/>
          <w:sz w:val="24"/>
        </w:rPr>
        <w:t>，部分采纳，原因是：</w:t>
      </w:r>
      <w:bookmarkStart w:id="114" w:name="OLE_LINK131"/>
      <w:bookmarkStart w:id="115" w:name="OLE_LINK136"/>
      <w:r>
        <w:rPr>
          <w:rFonts w:hint="eastAsia"/>
          <w:sz w:val="24"/>
        </w:rPr>
        <w:t>“生活垃圾”是开展现场调查时确认农村小微水体污染的参考条件。</w:t>
      </w:r>
      <w:bookmarkEnd w:id="114"/>
      <w:bookmarkEnd w:id="115"/>
      <w:r>
        <w:rPr>
          <w:rFonts w:hint="eastAsia"/>
          <w:sz w:val="24"/>
        </w:rPr>
        <w:t>对建议（5），部分采纳，原因是：</w:t>
      </w:r>
      <w:bookmarkStart w:id="116" w:name="OLE_LINK137"/>
      <w:r>
        <w:rPr>
          <w:rFonts w:hint="eastAsia"/>
          <w:sz w:val="24"/>
        </w:rPr>
        <w:t>该条建议超过出本技术标准范围，而实际情况是，执行本标准开展遥感监测，能够支撑相关部门建立监管清单。</w:t>
      </w:r>
      <w:bookmarkEnd w:id="116"/>
    </w:p>
    <w:p>
      <w:pPr>
        <w:pStyle w:val="3"/>
        <w:numPr>
          <w:ilvl w:val="0"/>
          <w:numId w:val="0"/>
        </w:numPr>
        <w:rPr>
          <w:rFonts w:eastAsia="黑体"/>
          <w:b w:val="0"/>
          <w:kern w:val="0"/>
          <w:sz w:val="32"/>
        </w:rPr>
      </w:pPr>
      <w:bookmarkStart w:id="117" w:name="_Toc215478636"/>
      <w:bookmarkStart w:id="118" w:name="_Toc215252882"/>
      <w:bookmarkStart w:id="119" w:name="_Toc1130831206"/>
      <w:r>
        <w:rPr>
          <w:rFonts w:hint="eastAsia" w:eastAsia="黑体"/>
          <w:b w:val="0"/>
          <w:kern w:val="0"/>
          <w:sz w:val="32"/>
        </w:rPr>
        <w:t>4.5 初审会</w:t>
      </w:r>
      <w:bookmarkEnd w:id="117"/>
      <w:bookmarkEnd w:id="118"/>
      <w:bookmarkEnd w:id="119"/>
    </w:p>
    <w:p>
      <w:pPr>
        <w:pStyle w:val="26"/>
        <w:widowControl/>
        <w:spacing w:line="360" w:lineRule="auto"/>
        <w:ind w:firstLine="480"/>
        <w:jc w:val="left"/>
        <w:rPr>
          <w:sz w:val="24"/>
        </w:rPr>
      </w:pPr>
      <w:r>
        <w:rPr>
          <w:rFonts w:hint="eastAsia"/>
          <w:sz w:val="24"/>
        </w:rPr>
        <w:t>2025年11月11日，北京市生态环境局召开</w:t>
      </w:r>
      <w:r>
        <w:rPr>
          <w:sz w:val="24"/>
        </w:rPr>
        <w:t>《农村小微水体污染遥感监测技术规范》标准</w:t>
      </w:r>
      <w:r>
        <w:rPr>
          <w:rFonts w:hint="eastAsia"/>
          <w:sz w:val="24"/>
        </w:rPr>
        <w:t>初审会，</w:t>
      </w:r>
      <w:r>
        <w:rPr>
          <w:sz w:val="24"/>
        </w:rPr>
        <w:t>邀请标准编制、遥感、</w:t>
      </w:r>
      <w:r>
        <w:rPr>
          <w:rFonts w:hint="eastAsia"/>
          <w:sz w:val="24"/>
        </w:rPr>
        <w:t>环境保护、测绘</w:t>
      </w:r>
      <w:r>
        <w:rPr>
          <w:sz w:val="24"/>
        </w:rPr>
        <w:t>地理信息、水务、农业等相关领域专家对标准内容进行把关。</w:t>
      </w:r>
      <w:r>
        <w:rPr>
          <w:rFonts w:hint="eastAsia"/>
          <w:sz w:val="24"/>
        </w:rPr>
        <w:t>7位专家分别来自生态环境部卫星环境应用中心、国家标准技术审查中心、北京师范大学、北京林业大学、北京市测绘设计研究院、北京市河湖流域管理事务中心和北京市耕地建设保护中心，专家组同意标准通过初审，提出修改完善建议。编制组根据专家意见修改标准文本，形成公开征求意见稿。</w:t>
      </w:r>
    </w:p>
    <w:p>
      <w:pPr>
        <w:pStyle w:val="2"/>
      </w:pPr>
      <w:bookmarkStart w:id="120" w:name="_Toc103617113"/>
      <w:bookmarkStart w:id="121" w:name="_Toc215478637"/>
      <w:bookmarkStart w:id="122" w:name="_Toc333098067"/>
      <w:r>
        <w:rPr>
          <w:rFonts w:hint="eastAsia"/>
        </w:rPr>
        <w:t>5</w:t>
      </w:r>
      <w:r>
        <w:t xml:space="preserve"> 编制原则和编制依据</w:t>
      </w:r>
      <w:bookmarkEnd w:id="120"/>
      <w:bookmarkEnd w:id="121"/>
      <w:bookmarkEnd w:id="122"/>
    </w:p>
    <w:p>
      <w:pPr>
        <w:pStyle w:val="3"/>
        <w:numPr>
          <w:ilvl w:val="0"/>
          <w:numId w:val="0"/>
        </w:numPr>
        <w:rPr>
          <w:rFonts w:eastAsia="黑体"/>
          <w:b w:val="0"/>
          <w:bCs w:val="0"/>
          <w:sz w:val="32"/>
        </w:rPr>
      </w:pPr>
      <w:bookmarkStart w:id="123" w:name="_Toc103617114"/>
      <w:bookmarkStart w:id="124" w:name="_Toc215478638"/>
      <w:bookmarkStart w:id="125" w:name="_Toc1876079161"/>
      <w:r>
        <w:rPr>
          <w:rFonts w:hint="eastAsia" w:eastAsia="黑体"/>
          <w:b w:val="0"/>
          <w:bCs w:val="0"/>
          <w:sz w:val="32"/>
        </w:rPr>
        <w:t>5</w:t>
      </w:r>
      <w:r>
        <w:rPr>
          <w:rFonts w:eastAsia="黑体"/>
          <w:b w:val="0"/>
          <w:bCs w:val="0"/>
          <w:sz w:val="32"/>
        </w:rPr>
        <w:t>.1 编制原则</w:t>
      </w:r>
      <w:bookmarkEnd w:id="123"/>
      <w:bookmarkEnd w:id="124"/>
      <w:bookmarkEnd w:id="125"/>
    </w:p>
    <w:p>
      <w:pPr>
        <w:spacing w:line="360" w:lineRule="auto"/>
        <w:rPr>
          <w:b/>
          <w:bCs/>
          <w:sz w:val="24"/>
          <w:szCs w:val="21"/>
        </w:rPr>
      </w:pPr>
      <w:bookmarkStart w:id="126" w:name="_Toc131516445"/>
      <w:bookmarkStart w:id="127" w:name="_Toc17235"/>
      <w:bookmarkStart w:id="128" w:name="_Toc13427"/>
      <w:r>
        <w:rPr>
          <w:rFonts w:hint="eastAsia"/>
          <w:b/>
          <w:bCs/>
          <w:sz w:val="24"/>
          <w:szCs w:val="21"/>
        </w:rPr>
        <w:t>5</w:t>
      </w:r>
      <w:r>
        <w:rPr>
          <w:b/>
          <w:bCs/>
          <w:sz w:val="24"/>
          <w:szCs w:val="21"/>
        </w:rPr>
        <w:t>.</w:t>
      </w:r>
      <w:r>
        <w:rPr>
          <w:rFonts w:hint="eastAsia"/>
          <w:b/>
          <w:bCs/>
          <w:sz w:val="24"/>
          <w:szCs w:val="21"/>
        </w:rPr>
        <w:t>1</w:t>
      </w:r>
      <w:r>
        <w:rPr>
          <w:b/>
          <w:bCs/>
          <w:sz w:val="24"/>
          <w:szCs w:val="21"/>
        </w:rPr>
        <w:t>.1</w:t>
      </w:r>
      <w:r>
        <w:rPr>
          <w:rFonts w:hint="eastAsia"/>
          <w:b/>
          <w:bCs/>
          <w:sz w:val="24"/>
          <w:szCs w:val="21"/>
        </w:rPr>
        <w:t xml:space="preserve"> </w:t>
      </w:r>
      <w:r>
        <w:rPr>
          <w:b/>
          <w:bCs/>
          <w:sz w:val="24"/>
          <w:szCs w:val="21"/>
        </w:rPr>
        <w:t>衔接相关法律法规</w:t>
      </w:r>
      <w:bookmarkEnd w:id="126"/>
      <w:bookmarkEnd w:id="127"/>
      <w:bookmarkEnd w:id="128"/>
    </w:p>
    <w:p>
      <w:pPr>
        <w:pStyle w:val="26"/>
        <w:widowControl/>
        <w:spacing w:line="360" w:lineRule="auto"/>
        <w:ind w:firstLine="480"/>
        <w:jc w:val="left"/>
        <w:rPr>
          <w:sz w:val="24"/>
          <w:szCs w:val="21"/>
        </w:rPr>
      </w:pPr>
      <w:bookmarkStart w:id="129" w:name="OLE_LINK177"/>
      <w:bookmarkStart w:id="130" w:name="OLE_LINK176"/>
      <w:bookmarkStart w:id="131" w:name="_Toc16964"/>
      <w:bookmarkStart w:id="132" w:name="_Toc131516446"/>
      <w:bookmarkStart w:id="133" w:name="_Toc28247"/>
      <w:r>
        <w:rPr>
          <w:sz w:val="24"/>
          <w:szCs w:val="21"/>
        </w:rPr>
        <w:t>以</w:t>
      </w:r>
      <w:r>
        <w:rPr>
          <w:sz w:val="24"/>
        </w:rPr>
        <w:t>国家</w:t>
      </w:r>
      <w:r>
        <w:rPr>
          <w:sz w:val="24"/>
          <w:szCs w:val="21"/>
        </w:rPr>
        <w:t>和北京市现行生态环境相关法律、法规、政策和规划中农村黑臭水体治理的相关要求为依据，严格遵循上位法要求，与现行标准互补衔接，推动规划目标量化</w:t>
      </w:r>
      <w:r>
        <w:rPr>
          <w:rFonts w:hint="eastAsia"/>
          <w:sz w:val="24"/>
          <w:szCs w:val="21"/>
        </w:rPr>
        <w:t>落地</w:t>
      </w:r>
      <w:r>
        <w:rPr>
          <w:sz w:val="24"/>
          <w:szCs w:val="21"/>
        </w:rPr>
        <w:t>，满足环境监督管理要求。</w:t>
      </w:r>
    </w:p>
    <w:bookmarkEnd w:id="129"/>
    <w:bookmarkEnd w:id="130"/>
    <w:p>
      <w:pPr>
        <w:spacing w:line="360" w:lineRule="auto"/>
        <w:rPr>
          <w:b/>
          <w:bCs/>
          <w:sz w:val="24"/>
          <w:szCs w:val="21"/>
        </w:rPr>
      </w:pPr>
      <w:r>
        <w:rPr>
          <w:rFonts w:hint="eastAsia"/>
          <w:b/>
          <w:bCs/>
          <w:sz w:val="24"/>
          <w:szCs w:val="21"/>
        </w:rPr>
        <w:t>5</w:t>
      </w:r>
      <w:r>
        <w:rPr>
          <w:b/>
          <w:bCs/>
          <w:sz w:val="24"/>
          <w:szCs w:val="21"/>
        </w:rPr>
        <w:t>.</w:t>
      </w:r>
      <w:r>
        <w:rPr>
          <w:rFonts w:hint="eastAsia"/>
          <w:b/>
          <w:bCs/>
          <w:sz w:val="24"/>
          <w:szCs w:val="21"/>
        </w:rPr>
        <w:t>1</w:t>
      </w:r>
      <w:r>
        <w:rPr>
          <w:b/>
          <w:bCs/>
          <w:sz w:val="24"/>
          <w:szCs w:val="21"/>
        </w:rPr>
        <w:t>.2</w:t>
      </w:r>
      <w:r>
        <w:rPr>
          <w:rFonts w:hint="eastAsia"/>
          <w:b/>
          <w:bCs/>
          <w:sz w:val="24"/>
          <w:szCs w:val="21"/>
        </w:rPr>
        <w:t xml:space="preserve"> </w:t>
      </w:r>
      <w:r>
        <w:rPr>
          <w:b/>
          <w:bCs/>
          <w:sz w:val="24"/>
          <w:szCs w:val="21"/>
        </w:rPr>
        <w:t>科学性、可行性和系统性</w:t>
      </w:r>
      <w:bookmarkEnd w:id="131"/>
      <w:bookmarkEnd w:id="132"/>
      <w:bookmarkEnd w:id="133"/>
    </w:p>
    <w:p>
      <w:pPr>
        <w:pStyle w:val="26"/>
        <w:widowControl/>
        <w:spacing w:line="360" w:lineRule="auto"/>
        <w:ind w:firstLine="480"/>
        <w:jc w:val="left"/>
        <w:rPr>
          <w:sz w:val="24"/>
          <w:szCs w:val="21"/>
        </w:rPr>
      </w:pPr>
      <w:bookmarkStart w:id="134" w:name="_Toc26145"/>
      <w:bookmarkStart w:id="135" w:name="_Toc131516447"/>
      <w:bookmarkStart w:id="136" w:name="_Toc23033"/>
      <w:r>
        <w:rPr>
          <w:sz w:val="24"/>
        </w:rPr>
        <w:t>全面</w:t>
      </w:r>
      <w:r>
        <w:rPr>
          <w:sz w:val="24"/>
          <w:szCs w:val="21"/>
        </w:rPr>
        <w:t>调研国内外黑臭水体</w:t>
      </w:r>
      <w:r>
        <w:rPr>
          <w:rFonts w:hint="eastAsia"/>
          <w:sz w:val="24"/>
          <w:szCs w:val="21"/>
        </w:rPr>
        <w:t>监测</w:t>
      </w:r>
      <w:r>
        <w:rPr>
          <w:sz w:val="24"/>
          <w:szCs w:val="21"/>
        </w:rPr>
        <w:t>标准，充分借鉴北京市及其他省市</w:t>
      </w:r>
      <w:r>
        <w:rPr>
          <w:rFonts w:hint="eastAsia"/>
          <w:sz w:val="24"/>
          <w:szCs w:val="21"/>
        </w:rPr>
        <w:t>相关经验</w:t>
      </w:r>
      <w:r>
        <w:rPr>
          <w:sz w:val="24"/>
          <w:szCs w:val="21"/>
        </w:rPr>
        <w:t>，基于北京市农村小微水体污染现状，制定农村小微水体污染遥感监测技术规范，规定农村小微水体污染遥感监测</w:t>
      </w:r>
      <w:r>
        <w:rPr>
          <w:sz w:val="24"/>
        </w:rPr>
        <w:t>数据准备、遥感解译、现场</w:t>
      </w:r>
      <w:r>
        <w:rPr>
          <w:rFonts w:hint="eastAsia"/>
          <w:sz w:val="24"/>
        </w:rPr>
        <w:t>调</w:t>
      </w:r>
      <w:r>
        <w:rPr>
          <w:sz w:val="24"/>
        </w:rPr>
        <w:t>查</w:t>
      </w:r>
      <w:r>
        <w:rPr>
          <w:rFonts w:hint="eastAsia"/>
          <w:sz w:val="24"/>
        </w:rPr>
        <w:t>、精度评定、报告编制</w:t>
      </w:r>
      <w:r>
        <w:rPr>
          <w:sz w:val="24"/>
        </w:rPr>
        <w:t>和成果管理</w:t>
      </w:r>
      <w:r>
        <w:rPr>
          <w:sz w:val="24"/>
          <w:szCs w:val="21"/>
        </w:rPr>
        <w:t>的要求。</w:t>
      </w:r>
    </w:p>
    <w:p>
      <w:pPr>
        <w:spacing w:line="360" w:lineRule="auto"/>
        <w:rPr>
          <w:b/>
          <w:bCs/>
          <w:sz w:val="24"/>
          <w:szCs w:val="21"/>
        </w:rPr>
      </w:pPr>
      <w:r>
        <w:rPr>
          <w:rFonts w:hint="eastAsia"/>
          <w:b/>
          <w:bCs/>
          <w:sz w:val="24"/>
          <w:szCs w:val="21"/>
        </w:rPr>
        <w:t>5</w:t>
      </w:r>
      <w:r>
        <w:rPr>
          <w:b/>
          <w:bCs/>
          <w:sz w:val="24"/>
          <w:szCs w:val="21"/>
        </w:rPr>
        <w:t>.</w:t>
      </w:r>
      <w:r>
        <w:rPr>
          <w:rFonts w:hint="eastAsia"/>
          <w:b/>
          <w:bCs/>
          <w:sz w:val="24"/>
          <w:szCs w:val="21"/>
        </w:rPr>
        <w:t>1</w:t>
      </w:r>
      <w:r>
        <w:rPr>
          <w:b/>
          <w:bCs/>
          <w:sz w:val="24"/>
          <w:szCs w:val="21"/>
        </w:rPr>
        <w:t>.3</w:t>
      </w:r>
      <w:r>
        <w:rPr>
          <w:rFonts w:hint="eastAsia"/>
          <w:b/>
          <w:bCs/>
          <w:sz w:val="24"/>
          <w:szCs w:val="21"/>
        </w:rPr>
        <w:t xml:space="preserve"> </w:t>
      </w:r>
      <w:r>
        <w:rPr>
          <w:b/>
          <w:bCs/>
          <w:sz w:val="24"/>
          <w:szCs w:val="21"/>
        </w:rPr>
        <w:t>保护改善水生态环境</w:t>
      </w:r>
      <w:bookmarkEnd w:id="134"/>
      <w:bookmarkEnd w:id="135"/>
      <w:bookmarkEnd w:id="136"/>
    </w:p>
    <w:p>
      <w:pPr>
        <w:spacing w:line="360" w:lineRule="auto"/>
        <w:ind w:firstLine="480" w:firstLineChars="200"/>
        <w:rPr>
          <w:sz w:val="24"/>
          <w:szCs w:val="21"/>
        </w:rPr>
      </w:pPr>
      <w:r>
        <w:rPr>
          <w:sz w:val="24"/>
          <w:szCs w:val="21"/>
        </w:rPr>
        <w:t>基于农村小微水体的不同污染特征，以提升农村小微水体质量为目标，以满足公众对良好水生态环境的需求为导向，</w:t>
      </w:r>
      <w:r>
        <w:rPr>
          <w:rFonts w:hint="eastAsia"/>
          <w:sz w:val="24"/>
          <w:szCs w:val="21"/>
        </w:rPr>
        <w:t>支撑</w:t>
      </w:r>
      <w:r>
        <w:rPr>
          <w:sz w:val="24"/>
          <w:szCs w:val="21"/>
        </w:rPr>
        <w:t>农村小微水体污染治理。</w:t>
      </w:r>
    </w:p>
    <w:p>
      <w:pPr>
        <w:pStyle w:val="3"/>
        <w:numPr>
          <w:ilvl w:val="0"/>
          <w:numId w:val="0"/>
        </w:numPr>
        <w:rPr>
          <w:rFonts w:eastAsia="黑体"/>
          <w:b w:val="0"/>
          <w:bCs w:val="0"/>
          <w:sz w:val="32"/>
        </w:rPr>
      </w:pPr>
      <w:bookmarkStart w:id="137" w:name="_Toc215478639"/>
      <w:bookmarkStart w:id="138" w:name="_Toc707423868"/>
      <w:r>
        <w:rPr>
          <w:rFonts w:hint="eastAsia" w:eastAsia="黑体"/>
          <w:b w:val="0"/>
          <w:bCs w:val="0"/>
          <w:sz w:val="32"/>
        </w:rPr>
        <w:t>5</w:t>
      </w:r>
      <w:r>
        <w:rPr>
          <w:rFonts w:eastAsia="黑体"/>
          <w:b w:val="0"/>
          <w:bCs w:val="0"/>
          <w:sz w:val="32"/>
        </w:rPr>
        <w:t>.2</w:t>
      </w:r>
      <w:r>
        <w:rPr>
          <w:rFonts w:hint="eastAsia" w:eastAsia="黑体"/>
          <w:b w:val="0"/>
          <w:bCs w:val="0"/>
          <w:sz w:val="32"/>
        </w:rPr>
        <w:t xml:space="preserve"> 编制</w:t>
      </w:r>
      <w:r>
        <w:rPr>
          <w:rFonts w:eastAsia="黑体"/>
          <w:b w:val="0"/>
          <w:bCs w:val="0"/>
          <w:sz w:val="32"/>
        </w:rPr>
        <w:t>依据</w:t>
      </w:r>
      <w:bookmarkEnd w:id="137"/>
      <w:bookmarkEnd w:id="138"/>
    </w:p>
    <w:p>
      <w:pPr>
        <w:spacing w:line="360" w:lineRule="auto"/>
        <w:ind w:firstLine="480" w:firstLineChars="200"/>
        <w:rPr>
          <w:sz w:val="24"/>
          <w:szCs w:val="21"/>
        </w:rPr>
      </w:pPr>
      <w:r>
        <w:rPr>
          <w:sz w:val="24"/>
          <w:szCs w:val="21"/>
        </w:rPr>
        <w:t>依据以下法律法规和政策文件，结合北京市农村小微水体污染遥感监测业务</w:t>
      </w:r>
      <w:r>
        <w:rPr>
          <w:rFonts w:hint="eastAsia"/>
          <w:sz w:val="24"/>
          <w:szCs w:val="21"/>
        </w:rPr>
        <w:t>实践</w:t>
      </w:r>
      <w:r>
        <w:rPr>
          <w:sz w:val="24"/>
          <w:szCs w:val="21"/>
        </w:rPr>
        <w:t>经验编制本规范。</w:t>
      </w:r>
    </w:p>
    <w:p>
      <w:pPr>
        <w:spacing w:line="360" w:lineRule="auto"/>
        <w:rPr>
          <w:b/>
          <w:bCs/>
          <w:sz w:val="24"/>
          <w:szCs w:val="21"/>
        </w:rPr>
      </w:pPr>
      <w:bookmarkStart w:id="139" w:name="_Toc131516449"/>
      <w:bookmarkStart w:id="140" w:name="_Toc31566"/>
      <w:bookmarkStart w:id="141" w:name="_Toc22723"/>
      <w:r>
        <w:rPr>
          <w:rFonts w:hint="eastAsia"/>
          <w:b/>
          <w:bCs/>
          <w:sz w:val="24"/>
          <w:szCs w:val="21"/>
        </w:rPr>
        <w:t>5</w:t>
      </w:r>
      <w:r>
        <w:rPr>
          <w:b/>
          <w:bCs/>
          <w:sz w:val="24"/>
          <w:szCs w:val="21"/>
        </w:rPr>
        <w:t>.2.1</w:t>
      </w:r>
      <w:r>
        <w:rPr>
          <w:rFonts w:hint="eastAsia"/>
          <w:b/>
          <w:bCs/>
          <w:sz w:val="24"/>
          <w:szCs w:val="21"/>
        </w:rPr>
        <w:t xml:space="preserve"> </w:t>
      </w:r>
      <w:r>
        <w:rPr>
          <w:b/>
          <w:bCs/>
          <w:sz w:val="24"/>
          <w:szCs w:val="21"/>
        </w:rPr>
        <w:t>中华人民共和国环境保护法</w:t>
      </w:r>
      <w:bookmarkEnd w:id="139"/>
      <w:bookmarkEnd w:id="140"/>
      <w:bookmarkEnd w:id="141"/>
    </w:p>
    <w:p>
      <w:pPr>
        <w:spacing w:line="360" w:lineRule="auto"/>
        <w:ind w:firstLine="480" w:firstLineChars="200"/>
        <w:rPr>
          <w:rFonts w:eastAsia="仿宋_GB2312"/>
          <w:b/>
          <w:bCs/>
          <w:sz w:val="24"/>
        </w:rPr>
      </w:pPr>
      <w:bookmarkStart w:id="142" w:name="_Toc1059"/>
      <w:bookmarkStart w:id="143" w:name="_Toc20696"/>
      <w:bookmarkStart w:id="144" w:name="_Toc131516450"/>
      <w:r>
        <w:rPr>
          <w:rFonts w:eastAsia="仿宋_GB2312"/>
          <w:b/>
          <w:bCs/>
          <w:sz w:val="24"/>
        </w:rPr>
        <w:t>《中华人民共和国环境保护法》</w:t>
      </w:r>
      <w:r>
        <w:rPr>
          <w:rFonts w:hint="eastAsia" w:eastAsia="仿宋_GB2312"/>
          <w:b/>
          <w:bCs/>
          <w:sz w:val="24"/>
        </w:rPr>
        <w:t>，</w:t>
      </w:r>
      <w:r>
        <w:rPr>
          <w:rFonts w:eastAsia="仿宋_GB2312"/>
          <w:b/>
          <w:bCs/>
          <w:sz w:val="24"/>
        </w:rPr>
        <w:t>第三十二条要求建立完善对水的调查、评价制度。</w:t>
      </w:r>
    </w:p>
    <w:p>
      <w:pPr>
        <w:spacing w:line="360" w:lineRule="auto"/>
        <w:ind w:firstLine="480" w:firstLineChars="200"/>
        <w:rPr>
          <w:rFonts w:eastAsia="仿宋_GB2312"/>
          <w:b/>
          <w:bCs/>
          <w:sz w:val="24"/>
        </w:rPr>
      </w:pPr>
      <w:r>
        <w:rPr>
          <w:color w:val="333333"/>
          <w:sz w:val="24"/>
        </w:rPr>
        <w:t>第三十二条 国家加强对大气、水、土壤等的保护，建立和完善相应的调查、监测、评估和修复制度。</w:t>
      </w:r>
    </w:p>
    <w:p>
      <w:pPr>
        <w:spacing w:line="360" w:lineRule="auto"/>
        <w:rPr>
          <w:b/>
          <w:bCs/>
          <w:sz w:val="24"/>
          <w:szCs w:val="21"/>
        </w:rPr>
      </w:pPr>
      <w:r>
        <w:rPr>
          <w:rFonts w:hint="eastAsia"/>
          <w:b/>
          <w:bCs/>
          <w:sz w:val="24"/>
          <w:szCs w:val="21"/>
        </w:rPr>
        <w:t>5</w:t>
      </w:r>
      <w:r>
        <w:rPr>
          <w:b/>
          <w:bCs/>
          <w:sz w:val="24"/>
          <w:szCs w:val="21"/>
        </w:rPr>
        <w:t>.2.2</w:t>
      </w:r>
      <w:r>
        <w:rPr>
          <w:rFonts w:hint="eastAsia"/>
          <w:b/>
          <w:bCs/>
          <w:sz w:val="24"/>
          <w:szCs w:val="21"/>
        </w:rPr>
        <w:t xml:space="preserve"> </w:t>
      </w:r>
      <w:r>
        <w:rPr>
          <w:b/>
          <w:bCs/>
          <w:sz w:val="24"/>
          <w:szCs w:val="21"/>
        </w:rPr>
        <w:t>中华人民共和国水污染防治法</w:t>
      </w:r>
      <w:bookmarkEnd w:id="142"/>
      <w:bookmarkEnd w:id="143"/>
      <w:bookmarkEnd w:id="144"/>
    </w:p>
    <w:p>
      <w:pPr>
        <w:spacing w:line="360" w:lineRule="auto"/>
        <w:ind w:firstLine="480" w:firstLineChars="200"/>
        <w:rPr>
          <w:rFonts w:eastAsia="仿宋_GB2312"/>
          <w:b/>
          <w:bCs/>
          <w:sz w:val="24"/>
        </w:rPr>
      </w:pPr>
      <w:bookmarkStart w:id="145" w:name="_Toc30927"/>
      <w:bookmarkStart w:id="146" w:name="_Toc131516451"/>
      <w:bookmarkStart w:id="147" w:name="_Toc14571"/>
      <w:r>
        <w:rPr>
          <w:rFonts w:eastAsia="仿宋_GB2312"/>
          <w:b/>
          <w:bCs/>
          <w:sz w:val="24"/>
        </w:rPr>
        <w:t>《中华人民共和国水污染防治法》</w:t>
      </w:r>
      <w:r>
        <w:rPr>
          <w:rFonts w:hint="eastAsia" w:eastAsia="仿宋_GB2312"/>
          <w:b/>
          <w:bCs/>
          <w:sz w:val="24"/>
        </w:rPr>
        <w:t>，</w:t>
      </w:r>
      <w:r>
        <w:rPr>
          <w:rFonts w:eastAsia="仿宋_GB2312"/>
          <w:b/>
          <w:bCs/>
          <w:sz w:val="24"/>
        </w:rPr>
        <w:t>第二十九条要求整治黑臭水体。</w:t>
      </w:r>
    </w:p>
    <w:p>
      <w:pPr>
        <w:spacing w:line="360" w:lineRule="auto"/>
        <w:ind w:firstLine="480" w:firstLineChars="200"/>
        <w:rPr>
          <w:color w:val="333333"/>
          <w:sz w:val="24"/>
        </w:rPr>
      </w:pPr>
      <w:r>
        <w:rPr>
          <w:color w:val="333333"/>
          <w:sz w:val="24"/>
        </w:rPr>
        <w:t>第二十九条 国务院环境保护主管部门和省、自治区、直辖市人民政府环境保护主管部门应当会同同级有关部门根据流域生态环境功能需要，明确流域生态环境保护要求，组织开展流域环境资源承载能力监测、评价，实施流域环境资源承载能力预警。县级以上地方人民政府应当根据流域生态环境功能需要，组织开展江河、湖泊、湿地保护与修复，因地制宜建设人工湿地、水源涵养林、沿河沿湖植被缓冲带和隔离带等生态环境治理与保护工程，</w:t>
      </w:r>
      <w:r>
        <w:rPr>
          <w:b/>
          <w:color w:val="333333"/>
          <w:sz w:val="24"/>
        </w:rPr>
        <w:t>整治黑臭水体</w:t>
      </w:r>
      <w:r>
        <w:rPr>
          <w:color w:val="333333"/>
          <w:sz w:val="24"/>
        </w:rPr>
        <w:t>，提高流域环境资源承载能力。从事开发建设活动，应当采取有效措施，维护流域生态环境功能，严守生态保护红线。</w:t>
      </w:r>
    </w:p>
    <w:p>
      <w:pPr>
        <w:spacing w:line="360" w:lineRule="auto"/>
        <w:rPr>
          <w:b/>
          <w:bCs/>
          <w:sz w:val="24"/>
          <w:szCs w:val="21"/>
        </w:rPr>
      </w:pPr>
      <w:r>
        <w:rPr>
          <w:rFonts w:hint="eastAsia"/>
          <w:b/>
          <w:bCs/>
          <w:sz w:val="24"/>
          <w:szCs w:val="21"/>
        </w:rPr>
        <w:t>5</w:t>
      </w:r>
      <w:r>
        <w:rPr>
          <w:b/>
          <w:bCs/>
          <w:sz w:val="24"/>
          <w:szCs w:val="21"/>
        </w:rPr>
        <w:t>.2.3</w:t>
      </w:r>
      <w:r>
        <w:rPr>
          <w:rFonts w:hint="eastAsia"/>
          <w:b/>
          <w:bCs/>
          <w:sz w:val="24"/>
          <w:szCs w:val="21"/>
        </w:rPr>
        <w:t xml:space="preserve"> </w:t>
      </w:r>
      <w:r>
        <w:rPr>
          <w:b/>
          <w:bCs/>
          <w:sz w:val="24"/>
          <w:szCs w:val="21"/>
        </w:rPr>
        <w:t>中华人民共和国乡村振兴促进法</w:t>
      </w:r>
    </w:p>
    <w:p>
      <w:pPr>
        <w:spacing w:line="360" w:lineRule="auto"/>
        <w:ind w:firstLine="480" w:firstLineChars="200"/>
        <w:rPr>
          <w:b/>
          <w:bCs/>
          <w:sz w:val="24"/>
          <w:szCs w:val="21"/>
        </w:rPr>
      </w:pPr>
      <w:r>
        <w:rPr>
          <w:rFonts w:eastAsia="仿宋_GB2312"/>
          <w:b/>
          <w:bCs/>
          <w:sz w:val="24"/>
        </w:rPr>
        <w:t>《中华人民共和国乡村振兴促进法》</w:t>
      </w:r>
      <w:r>
        <w:rPr>
          <w:rFonts w:hint="eastAsia" w:eastAsia="仿宋_GB2312"/>
          <w:b/>
          <w:bCs/>
          <w:sz w:val="24"/>
        </w:rPr>
        <w:t>，</w:t>
      </w:r>
      <w:r>
        <w:rPr>
          <w:rFonts w:eastAsia="仿宋_GB2312"/>
          <w:b/>
          <w:bCs/>
          <w:sz w:val="24"/>
        </w:rPr>
        <w:t>第三十七条要求综合整治农村水系。</w:t>
      </w:r>
    </w:p>
    <w:p>
      <w:pPr>
        <w:spacing w:line="360" w:lineRule="auto"/>
        <w:ind w:firstLine="480" w:firstLineChars="200"/>
        <w:rPr>
          <w:color w:val="333333"/>
          <w:sz w:val="24"/>
        </w:rPr>
      </w:pPr>
      <w:r>
        <w:rPr>
          <w:color w:val="333333"/>
          <w:sz w:val="24"/>
        </w:rPr>
        <w:t>第三十七条 各级人民政府应当建立政府、村级组织、企业、农民等各方面参与的共建共管共享机制，</w:t>
      </w:r>
      <w:r>
        <w:rPr>
          <w:b/>
          <w:color w:val="333333"/>
          <w:sz w:val="24"/>
        </w:rPr>
        <w:t>综合整治农村水系</w:t>
      </w:r>
      <w:r>
        <w:rPr>
          <w:color w:val="333333"/>
          <w:sz w:val="24"/>
        </w:rPr>
        <w:t>，因地制宜推广卫生厕所和简便易行的垃圾分类，治理农村垃圾和污水，加强乡村无障碍设施建设，鼓励和支持使用清洁能源、可再生能源，持续改善农村人居环境。</w:t>
      </w:r>
    </w:p>
    <w:p>
      <w:pPr>
        <w:spacing w:line="360" w:lineRule="auto"/>
        <w:rPr>
          <w:b/>
          <w:bCs/>
          <w:sz w:val="24"/>
          <w:szCs w:val="21"/>
        </w:rPr>
      </w:pPr>
      <w:r>
        <w:rPr>
          <w:rFonts w:hint="eastAsia"/>
          <w:b/>
          <w:bCs/>
          <w:sz w:val="24"/>
          <w:szCs w:val="21"/>
        </w:rPr>
        <w:t>5</w:t>
      </w:r>
      <w:r>
        <w:rPr>
          <w:b/>
          <w:bCs/>
          <w:sz w:val="24"/>
          <w:szCs w:val="21"/>
        </w:rPr>
        <w:t>.2.4</w:t>
      </w:r>
      <w:r>
        <w:rPr>
          <w:rFonts w:hint="eastAsia"/>
          <w:b/>
          <w:bCs/>
          <w:sz w:val="24"/>
          <w:szCs w:val="21"/>
        </w:rPr>
        <w:t xml:space="preserve"> </w:t>
      </w:r>
      <w:r>
        <w:rPr>
          <w:b/>
          <w:bCs/>
          <w:sz w:val="24"/>
          <w:szCs w:val="21"/>
        </w:rPr>
        <w:t>中共中央 国务院关于深入打好污染防治攻坚战的意见</w:t>
      </w:r>
    </w:p>
    <w:p>
      <w:pPr>
        <w:spacing w:line="360" w:lineRule="auto"/>
        <w:ind w:firstLine="480" w:firstLineChars="200"/>
        <w:rPr>
          <w:b/>
          <w:bCs/>
          <w:sz w:val="24"/>
          <w:szCs w:val="21"/>
        </w:rPr>
      </w:pPr>
      <w:r>
        <w:rPr>
          <w:rFonts w:eastAsia="仿宋_GB2312"/>
          <w:b/>
          <w:bCs/>
          <w:sz w:val="24"/>
        </w:rPr>
        <w:t>《中共中央 国务院关于深入打好污染防治攻坚战的意见》</w:t>
      </w:r>
      <w:r>
        <w:rPr>
          <w:rFonts w:hint="eastAsia" w:eastAsia="仿宋_GB2312"/>
          <w:b/>
          <w:bCs/>
          <w:sz w:val="24"/>
        </w:rPr>
        <w:t>（2021年11月），</w:t>
      </w:r>
      <w:r>
        <w:rPr>
          <w:rFonts w:eastAsia="仿宋_GB2312"/>
          <w:b/>
          <w:bCs/>
          <w:sz w:val="24"/>
        </w:rPr>
        <w:t>第二十一条要求基本消除较大面积的黑臭水体。</w:t>
      </w:r>
    </w:p>
    <w:p>
      <w:pPr>
        <w:spacing w:line="360" w:lineRule="auto"/>
        <w:ind w:firstLine="480" w:firstLineChars="200"/>
        <w:rPr>
          <w:color w:val="333333"/>
          <w:sz w:val="24"/>
        </w:rPr>
      </w:pPr>
      <w:r>
        <w:rPr>
          <w:color w:val="333333"/>
          <w:sz w:val="24"/>
        </w:rPr>
        <w:t>第二十一条</w:t>
      </w:r>
      <w:r>
        <w:rPr>
          <w:rFonts w:hint="eastAsia"/>
          <w:color w:val="333333"/>
          <w:sz w:val="24"/>
        </w:rPr>
        <w:t xml:space="preserve"> </w:t>
      </w:r>
      <w:r>
        <w:rPr>
          <w:color w:val="333333"/>
          <w:sz w:val="24"/>
        </w:rPr>
        <w:t>持续打好农业农村污染治理攻坚战。注重统筹规划、有效衔接，因地制宜推进农村厕所革命、生活污水治理、生活垃圾治理，</w:t>
      </w:r>
      <w:r>
        <w:rPr>
          <w:b/>
          <w:color w:val="333333"/>
          <w:sz w:val="24"/>
        </w:rPr>
        <w:t>基本消除较大面积的农村黑臭水体</w:t>
      </w:r>
      <w:r>
        <w:rPr>
          <w:color w:val="333333"/>
          <w:sz w:val="24"/>
        </w:rPr>
        <w:t>，改善农村人居环境。实施化肥农药减量增效行动和农膜回收行动。加强种养结合，整县推进畜禽粪污资源化利用。规范工厂化水产养殖尾水排污口设置，在水产养殖主产区推进养殖尾水治理。到2025年，农村生活污水治理率达到40%，化肥农药利用率达到43%，全国畜禽粪污综合利用率达到80%以上。</w:t>
      </w:r>
    </w:p>
    <w:p>
      <w:pPr>
        <w:spacing w:line="360" w:lineRule="auto"/>
        <w:rPr>
          <w:rFonts w:eastAsia="仿宋_GB2312"/>
          <w:b/>
          <w:bCs/>
          <w:sz w:val="24"/>
        </w:rPr>
      </w:pPr>
      <w:r>
        <w:rPr>
          <w:rFonts w:hint="eastAsia"/>
          <w:b/>
          <w:bCs/>
          <w:sz w:val="24"/>
          <w:szCs w:val="21"/>
        </w:rPr>
        <w:t>5</w:t>
      </w:r>
      <w:r>
        <w:rPr>
          <w:b/>
          <w:bCs/>
          <w:sz w:val="24"/>
          <w:szCs w:val="21"/>
        </w:rPr>
        <w:t>.2.5</w:t>
      </w:r>
      <w:r>
        <w:rPr>
          <w:rFonts w:hint="eastAsia"/>
          <w:b/>
          <w:bCs/>
          <w:sz w:val="24"/>
          <w:szCs w:val="21"/>
        </w:rPr>
        <w:t xml:space="preserve"> </w:t>
      </w:r>
      <w:r>
        <w:rPr>
          <w:b/>
          <w:bCs/>
          <w:sz w:val="24"/>
          <w:szCs w:val="21"/>
        </w:rPr>
        <w:t>中共中央 国务院关于全面推进美丽中国建设的意见</w:t>
      </w:r>
    </w:p>
    <w:p>
      <w:pPr>
        <w:spacing w:line="360" w:lineRule="auto"/>
        <w:ind w:firstLine="480" w:firstLineChars="200"/>
        <w:rPr>
          <w:b/>
          <w:bCs/>
          <w:sz w:val="24"/>
          <w:szCs w:val="21"/>
        </w:rPr>
      </w:pPr>
      <w:r>
        <w:rPr>
          <w:rFonts w:eastAsia="仿宋_GB2312"/>
          <w:b/>
          <w:bCs/>
          <w:sz w:val="24"/>
        </w:rPr>
        <w:t>《中共中央 国务院关于全面推进美丽中国建设的意见》</w:t>
      </w:r>
      <w:r>
        <w:rPr>
          <w:rFonts w:hint="eastAsia" w:eastAsia="仿宋_GB2312"/>
          <w:b/>
          <w:bCs/>
          <w:sz w:val="24"/>
        </w:rPr>
        <w:t>（2023年12月），</w:t>
      </w:r>
      <w:r>
        <w:rPr>
          <w:rFonts w:eastAsia="仿宋_GB2312"/>
          <w:b/>
          <w:bCs/>
          <w:sz w:val="24"/>
        </w:rPr>
        <w:t>第十九条要求有效治理农村黑臭水体。</w:t>
      </w:r>
    </w:p>
    <w:p>
      <w:pPr>
        <w:spacing w:line="360" w:lineRule="auto"/>
        <w:ind w:firstLine="480" w:firstLineChars="200"/>
        <w:rPr>
          <w:color w:val="333333"/>
          <w:sz w:val="24"/>
        </w:rPr>
      </w:pPr>
      <w:r>
        <w:rPr>
          <w:color w:val="333333"/>
          <w:sz w:val="24"/>
        </w:rPr>
        <w:t>第</w:t>
      </w:r>
      <w:r>
        <w:rPr>
          <w:rFonts w:hint="eastAsia"/>
          <w:color w:val="333333"/>
          <w:sz w:val="24"/>
        </w:rPr>
        <w:t>十九</w:t>
      </w:r>
      <w:r>
        <w:rPr>
          <w:color w:val="333333"/>
          <w:sz w:val="24"/>
        </w:rPr>
        <w:t>条建设美丽乡村</w:t>
      </w:r>
      <w:r>
        <w:rPr>
          <w:rFonts w:hint="eastAsia"/>
          <w:color w:val="333333"/>
          <w:sz w:val="24"/>
        </w:rPr>
        <w:t xml:space="preserve"> </w:t>
      </w:r>
      <w:r>
        <w:rPr>
          <w:color w:val="333333"/>
          <w:sz w:val="24"/>
        </w:rPr>
        <w:t>因地制宜推广浙江“千万工程”经验，统筹推动乡村生态振兴和农村人居环境整治。加快农业投入品减量增效技术集成创新和推广应用，加强农业废弃物资源化利用和废旧农膜分类处置，聚焦农业面源污染突出区域强化系统治理。扎实推进农村厕所革命，</w:t>
      </w:r>
      <w:r>
        <w:rPr>
          <w:b/>
          <w:color w:val="333333"/>
          <w:sz w:val="24"/>
        </w:rPr>
        <w:t>有效治理农村生活污水、垃圾和黑臭水体</w:t>
      </w:r>
      <w:r>
        <w:rPr>
          <w:color w:val="333333"/>
          <w:sz w:val="24"/>
        </w:rPr>
        <w:t>。建立农村生态环境监测评价制度。科学推进乡村绿化美化，加强传统村落保护利用和乡村风貌引导。到2027年，美丽乡村整县建成比例达到40%；到2035年，美丽乡村基本建成。</w:t>
      </w:r>
    </w:p>
    <w:p>
      <w:pPr>
        <w:spacing w:line="360" w:lineRule="auto"/>
        <w:rPr>
          <w:rFonts w:eastAsia="仿宋_GB2312"/>
          <w:b/>
          <w:bCs/>
          <w:sz w:val="24"/>
        </w:rPr>
      </w:pPr>
      <w:r>
        <w:rPr>
          <w:rFonts w:hint="eastAsia"/>
          <w:b/>
          <w:bCs/>
          <w:sz w:val="24"/>
          <w:szCs w:val="21"/>
        </w:rPr>
        <w:t>5</w:t>
      </w:r>
      <w:r>
        <w:rPr>
          <w:b/>
          <w:bCs/>
          <w:sz w:val="24"/>
          <w:szCs w:val="21"/>
        </w:rPr>
        <w:t>.2.6</w:t>
      </w:r>
      <w:r>
        <w:rPr>
          <w:rFonts w:hint="eastAsia"/>
          <w:b/>
          <w:bCs/>
          <w:sz w:val="24"/>
          <w:szCs w:val="21"/>
        </w:rPr>
        <w:t xml:space="preserve"> </w:t>
      </w:r>
      <w:r>
        <w:rPr>
          <w:b/>
          <w:bCs/>
          <w:sz w:val="24"/>
          <w:szCs w:val="21"/>
        </w:rPr>
        <w:t>美丽乡村建设实施方案</w:t>
      </w:r>
    </w:p>
    <w:p>
      <w:pPr>
        <w:spacing w:line="360" w:lineRule="auto"/>
        <w:ind w:firstLine="480" w:firstLineChars="200"/>
        <w:rPr>
          <w:b/>
          <w:bCs/>
          <w:sz w:val="24"/>
          <w:szCs w:val="21"/>
        </w:rPr>
      </w:pPr>
      <w:r>
        <w:rPr>
          <w:rFonts w:eastAsia="仿宋_GB2312"/>
          <w:b/>
          <w:bCs/>
          <w:sz w:val="24"/>
        </w:rPr>
        <w:t>《美丽乡村建设实施方案》</w:t>
      </w:r>
      <w:r>
        <w:rPr>
          <w:rFonts w:hint="eastAsia" w:eastAsia="仿宋_GB2312"/>
          <w:b/>
          <w:bCs/>
          <w:sz w:val="24"/>
        </w:rPr>
        <w:t>（环土壤〔2025〕5号），</w:t>
      </w:r>
      <w:r>
        <w:rPr>
          <w:rFonts w:eastAsia="仿宋_GB2312"/>
          <w:b/>
          <w:bCs/>
          <w:sz w:val="24"/>
        </w:rPr>
        <w:t>第七条要求持续开展农村黑臭水体动态排查，基本消除农村黑臭水体。</w:t>
      </w:r>
    </w:p>
    <w:p>
      <w:pPr>
        <w:spacing w:line="360" w:lineRule="auto"/>
        <w:ind w:firstLine="480" w:firstLineChars="200"/>
        <w:rPr>
          <w:rFonts w:eastAsia="仿宋_GB2312"/>
          <w:b/>
          <w:bCs/>
          <w:sz w:val="24"/>
        </w:rPr>
      </w:pPr>
      <w:r>
        <w:rPr>
          <w:color w:val="333333"/>
          <w:sz w:val="24"/>
        </w:rPr>
        <w:t>第七条 基本消除农村黑臭水体和较大面积劣V类水体。</w:t>
      </w:r>
      <w:r>
        <w:rPr>
          <w:b/>
          <w:color w:val="333333"/>
          <w:sz w:val="24"/>
        </w:rPr>
        <w:t>持续开展农村黑臭水体动态排查</w:t>
      </w:r>
      <w:r>
        <w:rPr>
          <w:color w:val="333333"/>
          <w:sz w:val="24"/>
        </w:rPr>
        <w:t>。以农村居住集聚区、非正规或简易垃圾填埋场周边、群众反映强烈的水体为重点，开展农村较大面积劣V类水体摸底排查，建立清单并动态更新。坚持以控源截污为根本，统筹农村生活污水垃圾、农业源、工业（小作坊）源和内源等污染源，优先采用资源化、生态化治理措施，结合水系连通，</w:t>
      </w:r>
      <w:r>
        <w:rPr>
          <w:b/>
          <w:color w:val="333333"/>
          <w:sz w:val="24"/>
        </w:rPr>
        <w:t>综合治理农村黑臭水体、较大面积劣V类水体</w:t>
      </w:r>
      <w:r>
        <w:rPr>
          <w:color w:val="333333"/>
          <w:sz w:val="24"/>
        </w:rPr>
        <w:t>。鼓励将水体治理与村庄改善生活环境相结合。建立健全长效管护机制，畅通举报和反馈渠道。</w:t>
      </w:r>
      <w:r>
        <w:rPr>
          <w:b/>
          <w:color w:val="333333"/>
          <w:sz w:val="24"/>
        </w:rPr>
        <w:t>到2027年，基本消除农村黑臭水体</w:t>
      </w:r>
      <w:r>
        <w:rPr>
          <w:color w:val="333333"/>
          <w:sz w:val="24"/>
        </w:rPr>
        <w:t>。</w:t>
      </w:r>
    </w:p>
    <w:p>
      <w:pPr>
        <w:spacing w:line="360" w:lineRule="auto"/>
        <w:rPr>
          <w:b/>
          <w:bCs/>
          <w:sz w:val="24"/>
          <w:szCs w:val="21"/>
        </w:rPr>
      </w:pPr>
      <w:r>
        <w:rPr>
          <w:rFonts w:hint="eastAsia"/>
          <w:b/>
          <w:bCs/>
          <w:sz w:val="24"/>
          <w:szCs w:val="21"/>
        </w:rPr>
        <w:t>5</w:t>
      </w:r>
      <w:r>
        <w:rPr>
          <w:b/>
          <w:bCs/>
          <w:sz w:val="24"/>
          <w:szCs w:val="21"/>
        </w:rPr>
        <w:t>.2.7</w:t>
      </w:r>
      <w:r>
        <w:rPr>
          <w:rFonts w:hint="eastAsia"/>
          <w:b/>
          <w:bCs/>
          <w:sz w:val="24"/>
          <w:szCs w:val="21"/>
        </w:rPr>
        <w:t xml:space="preserve"> </w:t>
      </w:r>
      <w:r>
        <w:rPr>
          <w:b/>
          <w:bCs/>
          <w:sz w:val="24"/>
          <w:szCs w:val="21"/>
        </w:rPr>
        <w:t>乡村建设行动实施方案</w:t>
      </w:r>
    </w:p>
    <w:p>
      <w:pPr>
        <w:spacing w:line="360" w:lineRule="auto"/>
        <w:ind w:firstLine="480" w:firstLineChars="200"/>
        <w:rPr>
          <w:b/>
          <w:bCs/>
          <w:sz w:val="24"/>
          <w:szCs w:val="21"/>
        </w:rPr>
      </w:pPr>
      <w:r>
        <w:rPr>
          <w:rFonts w:hint="eastAsia" w:eastAsia="仿宋_GB2312"/>
          <w:b/>
          <w:bCs/>
          <w:sz w:val="24"/>
        </w:rPr>
        <w:t>中共中央办公厅、国务院办公厅印发</w:t>
      </w:r>
      <w:r>
        <w:rPr>
          <w:rFonts w:eastAsia="仿宋_GB2312"/>
          <w:b/>
          <w:bCs/>
          <w:sz w:val="24"/>
        </w:rPr>
        <w:t>《乡村建设行动实施方案》</w:t>
      </w:r>
      <w:r>
        <w:rPr>
          <w:rFonts w:hint="eastAsia" w:eastAsia="仿宋_GB2312"/>
          <w:b/>
          <w:bCs/>
          <w:sz w:val="24"/>
        </w:rPr>
        <w:t>（2022年5月），</w:t>
      </w:r>
      <w:r>
        <w:rPr>
          <w:rFonts w:eastAsia="仿宋_GB2312"/>
          <w:b/>
          <w:bCs/>
          <w:sz w:val="24"/>
        </w:rPr>
        <w:t>第十二条要求统筹农村改厕和生活污水、黑臭水体治理。</w:t>
      </w:r>
    </w:p>
    <w:p>
      <w:pPr>
        <w:spacing w:line="360" w:lineRule="auto"/>
        <w:ind w:firstLine="480" w:firstLineChars="200"/>
        <w:rPr>
          <w:rFonts w:eastAsia="仿宋_GB2312"/>
          <w:b/>
          <w:bCs/>
          <w:sz w:val="24"/>
        </w:rPr>
      </w:pPr>
      <w:r>
        <w:rPr>
          <w:color w:val="333333"/>
          <w:sz w:val="24"/>
        </w:rPr>
        <w:t>第十二条</w:t>
      </w:r>
      <w:r>
        <w:rPr>
          <w:rFonts w:hint="eastAsia"/>
          <w:color w:val="333333"/>
          <w:sz w:val="24"/>
        </w:rPr>
        <w:t xml:space="preserve"> </w:t>
      </w:r>
      <w:r>
        <w:rPr>
          <w:color w:val="333333"/>
          <w:sz w:val="24"/>
        </w:rPr>
        <w:t>实施农村人居环境整治提升五年行动。推进农村厕所革命，加快研发干旱、寒冷等地区卫生厕所适用技术和产品，因地制宜选择改厕技术模式，引导新改户用厕所基本入院入室，合理规划布局公共厕所，稳步提高卫生厕所普及率。</w:t>
      </w:r>
      <w:r>
        <w:rPr>
          <w:b/>
          <w:color w:val="333333"/>
          <w:sz w:val="24"/>
        </w:rPr>
        <w:t>统筹农村改厕和生活污水、黑臭水体治理，因地制宜建设污水处理设施，基本消除较大面积的农村黑臭水体</w:t>
      </w:r>
      <w:r>
        <w:rPr>
          <w:color w:val="333333"/>
          <w:sz w:val="24"/>
        </w:rPr>
        <w:t>。</w:t>
      </w:r>
    </w:p>
    <w:p>
      <w:pPr>
        <w:spacing w:line="360" w:lineRule="auto"/>
        <w:rPr>
          <w:b/>
          <w:bCs/>
          <w:sz w:val="24"/>
          <w:szCs w:val="21"/>
        </w:rPr>
      </w:pPr>
      <w:r>
        <w:rPr>
          <w:rFonts w:hint="eastAsia"/>
          <w:b/>
          <w:bCs/>
          <w:sz w:val="24"/>
          <w:szCs w:val="21"/>
        </w:rPr>
        <w:t>5</w:t>
      </w:r>
      <w:r>
        <w:rPr>
          <w:b/>
          <w:bCs/>
          <w:sz w:val="24"/>
          <w:szCs w:val="21"/>
        </w:rPr>
        <w:t>.2.8</w:t>
      </w:r>
      <w:r>
        <w:rPr>
          <w:rFonts w:hint="eastAsia"/>
          <w:b/>
          <w:bCs/>
          <w:sz w:val="24"/>
          <w:szCs w:val="21"/>
        </w:rPr>
        <w:t xml:space="preserve"> </w:t>
      </w:r>
      <w:r>
        <w:rPr>
          <w:b/>
          <w:bCs/>
          <w:sz w:val="24"/>
          <w:szCs w:val="21"/>
        </w:rPr>
        <w:t>关于有力有序有效推广浙江“千万工程”经验的指导意见</w:t>
      </w:r>
    </w:p>
    <w:p>
      <w:pPr>
        <w:spacing w:line="360" w:lineRule="auto"/>
        <w:ind w:firstLine="480" w:firstLineChars="200"/>
        <w:rPr>
          <w:b/>
          <w:bCs/>
          <w:sz w:val="24"/>
          <w:szCs w:val="21"/>
        </w:rPr>
      </w:pPr>
      <w:r>
        <w:rPr>
          <w:rFonts w:eastAsia="仿宋_GB2312"/>
          <w:b/>
          <w:bCs/>
          <w:sz w:val="24"/>
        </w:rPr>
        <w:t>《关于有力有序有效推广浙江“千万工程”经验的指导意见》</w:t>
      </w:r>
      <w:r>
        <w:rPr>
          <w:rFonts w:hint="eastAsia" w:eastAsia="仿宋_GB2312"/>
          <w:b/>
          <w:bCs/>
          <w:sz w:val="24"/>
        </w:rPr>
        <w:t>（中财办发〔2023〕6号），</w:t>
      </w:r>
      <w:r>
        <w:rPr>
          <w:rFonts w:eastAsia="仿宋_GB2312"/>
          <w:b/>
          <w:bCs/>
          <w:sz w:val="24"/>
        </w:rPr>
        <w:t>要求以农村黑臭水体为重点，全面提升农村人居环境。</w:t>
      </w:r>
    </w:p>
    <w:p>
      <w:pPr>
        <w:spacing w:line="360" w:lineRule="auto"/>
        <w:ind w:firstLine="480" w:firstLineChars="200"/>
        <w:rPr>
          <w:color w:val="333333"/>
          <w:sz w:val="24"/>
        </w:rPr>
      </w:pPr>
      <w:r>
        <w:rPr>
          <w:color w:val="333333"/>
          <w:sz w:val="24"/>
        </w:rPr>
        <w:t>深化农村人居环境整治。“千万工程”以整治环境为先手棋，全面推进厕所、垃圾、污水“三大革命”，全域建设美丽乡村。推广“千万工程”经验，要扎实推进农村人居环境整治提升五年行动，以农村厕所革命、生活污水垃圾治理、</w:t>
      </w:r>
      <w:r>
        <w:rPr>
          <w:b/>
          <w:color w:val="333333"/>
          <w:sz w:val="24"/>
        </w:rPr>
        <w:t>黑臭水体整治</w:t>
      </w:r>
      <w:r>
        <w:rPr>
          <w:color w:val="333333"/>
          <w:sz w:val="24"/>
        </w:rPr>
        <w:t>、村容村貌提升为重点，全面提升农村人居环境质量。因地制宜选择改厕技术模式，逐步普及农村卫生厕所。完善农村生活污水处理机制，有效提升农村水环境质量。健全农村生活垃圾收运处置体系，推动农村生活垃圾分类减量与资源化处理利用。全面清理私搭乱建、乱堆乱放，整治残垣断壁，支持设计下乡，增加村庄绿量、提升绿化质量，加强乡村风貌引导，推动现代宜居农房建设。</w:t>
      </w:r>
    </w:p>
    <w:p>
      <w:pPr>
        <w:spacing w:line="360" w:lineRule="auto"/>
        <w:rPr>
          <w:b/>
          <w:bCs/>
          <w:sz w:val="24"/>
          <w:szCs w:val="21"/>
        </w:rPr>
      </w:pPr>
      <w:r>
        <w:rPr>
          <w:rFonts w:hint="eastAsia"/>
          <w:b/>
          <w:bCs/>
          <w:sz w:val="24"/>
          <w:szCs w:val="21"/>
        </w:rPr>
        <w:t>5</w:t>
      </w:r>
      <w:r>
        <w:rPr>
          <w:b/>
          <w:bCs/>
          <w:sz w:val="24"/>
          <w:szCs w:val="21"/>
        </w:rPr>
        <w:t>.2.9</w:t>
      </w:r>
      <w:r>
        <w:rPr>
          <w:rFonts w:hint="eastAsia"/>
          <w:b/>
          <w:bCs/>
          <w:sz w:val="24"/>
          <w:szCs w:val="21"/>
        </w:rPr>
        <w:t xml:space="preserve"> </w:t>
      </w:r>
      <w:r>
        <w:rPr>
          <w:b/>
          <w:bCs/>
          <w:sz w:val="24"/>
          <w:szCs w:val="21"/>
        </w:rPr>
        <w:t>关于印发“十四五”土壤、地下水和农村生态环境保护规划的通知</w:t>
      </w:r>
    </w:p>
    <w:p>
      <w:pPr>
        <w:spacing w:line="360" w:lineRule="auto"/>
        <w:ind w:firstLine="480" w:firstLineChars="200"/>
        <w:rPr>
          <w:b/>
          <w:bCs/>
          <w:sz w:val="24"/>
          <w:szCs w:val="21"/>
        </w:rPr>
      </w:pPr>
      <w:r>
        <w:rPr>
          <w:rFonts w:eastAsia="仿宋_GB2312"/>
          <w:b/>
          <w:bCs/>
          <w:sz w:val="24"/>
        </w:rPr>
        <w:t>《关于印发“十四五”土壤、地下水和农村生态环境保护规划的通知》</w:t>
      </w:r>
      <w:r>
        <w:rPr>
          <w:rFonts w:hint="eastAsia" w:eastAsia="仿宋_GB2312"/>
          <w:b/>
          <w:bCs/>
          <w:sz w:val="24"/>
        </w:rPr>
        <w:t>（环土壤〔2021〕120号），</w:t>
      </w:r>
      <w:r>
        <w:rPr>
          <w:rFonts w:eastAsia="仿宋_GB2312"/>
          <w:b/>
          <w:bCs/>
          <w:sz w:val="24"/>
        </w:rPr>
        <w:t>要求稳步解决农村黑臭水体等突出环境问题。</w:t>
      </w:r>
    </w:p>
    <w:p>
      <w:pPr>
        <w:spacing w:line="360" w:lineRule="auto"/>
        <w:ind w:firstLine="480" w:firstLineChars="200"/>
        <w:rPr>
          <w:rFonts w:eastAsia="仿宋_GB2312"/>
          <w:b/>
          <w:bCs/>
          <w:sz w:val="24"/>
        </w:rPr>
      </w:pPr>
      <w:r>
        <w:rPr>
          <w:color w:val="333333"/>
          <w:sz w:val="24"/>
        </w:rPr>
        <w:t>深化农业农村环境治理。按照实施乡村振兴战略总要求，强化源头减量、循环利用、污染治理、生态保护，推进农业面源污染防治，新增完成8万个行政村环境整治任务，加大农村生活污水治理力度，</w:t>
      </w:r>
      <w:r>
        <w:rPr>
          <w:b/>
          <w:color w:val="333333"/>
          <w:sz w:val="24"/>
        </w:rPr>
        <w:t>稳步解决“垃圾围村”、农村黑臭水体等突出环境问题</w:t>
      </w:r>
      <w:r>
        <w:rPr>
          <w:color w:val="333333"/>
          <w:sz w:val="24"/>
        </w:rPr>
        <w:t>，深入打好农业农村污染治理攻坚战。</w:t>
      </w:r>
    </w:p>
    <w:p>
      <w:pPr>
        <w:spacing w:line="360" w:lineRule="auto"/>
        <w:rPr>
          <w:b/>
          <w:bCs/>
          <w:sz w:val="24"/>
          <w:szCs w:val="21"/>
        </w:rPr>
      </w:pPr>
      <w:r>
        <w:rPr>
          <w:rFonts w:hint="eastAsia"/>
          <w:b/>
          <w:bCs/>
          <w:sz w:val="24"/>
          <w:szCs w:val="21"/>
        </w:rPr>
        <w:t>5</w:t>
      </w:r>
      <w:r>
        <w:rPr>
          <w:b/>
          <w:bCs/>
          <w:sz w:val="24"/>
          <w:szCs w:val="21"/>
        </w:rPr>
        <w:t>.2.10</w:t>
      </w:r>
      <w:r>
        <w:rPr>
          <w:rFonts w:hint="eastAsia"/>
          <w:b/>
          <w:bCs/>
          <w:sz w:val="24"/>
          <w:szCs w:val="21"/>
        </w:rPr>
        <w:t xml:space="preserve"> </w:t>
      </w:r>
      <w:r>
        <w:rPr>
          <w:b/>
          <w:bCs/>
          <w:sz w:val="24"/>
          <w:szCs w:val="21"/>
        </w:rPr>
        <w:t>农业农村污染治理攻坚战行动方案</w:t>
      </w:r>
      <w:bookmarkStart w:id="148" w:name="OLE_LINK9"/>
      <w:r>
        <w:rPr>
          <w:b/>
          <w:bCs/>
          <w:sz w:val="24"/>
          <w:szCs w:val="21"/>
        </w:rPr>
        <w:t>（</w:t>
      </w:r>
      <w:bookmarkEnd w:id="148"/>
      <w:r>
        <w:rPr>
          <w:b/>
          <w:bCs/>
          <w:sz w:val="24"/>
          <w:szCs w:val="21"/>
        </w:rPr>
        <w:t>2021-2025</w:t>
      </w:r>
      <w:bookmarkStart w:id="149" w:name="OLE_LINK10"/>
      <w:bookmarkStart w:id="150" w:name="OLE_LINK11"/>
      <w:r>
        <w:rPr>
          <w:b/>
          <w:bCs/>
          <w:sz w:val="24"/>
          <w:szCs w:val="21"/>
        </w:rPr>
        <w:t>）</w:t>
      </w:r>
      <w:bookmarkEnd w:id="149"/>
      <w:bookmarkEnd w:id="150"/>
    </w:p>
    <w:p>
      <w:pPr>
        <w:spacing w:line="360" w:lineRule="auto"/>
        <w:ind w:firstLine="480" w:firstLineChars="200"/>
        <w:rPr>
          <w:b/>
          <w:bCs/>
          <w:sz w:val="24"/>
          <w:szCs w:val="21"/>
        </w:rPr>
      </w:pPr>
      <w:r>
        <w:rPr>
          <w:rFonts w:eastAsia="仿宋_GB2312"/>
          <w:b/>
          <w:bCs/>
          <w:sz w:val="24"/>
        </w:rPr>
        <w:t>《农业农村污染治理攻坚战行动方案</w:t>
      </w:r>
      <w:r>
        <w:rPr>
          <w:b/>
          <w:bCs/>
          <w:sz w:val="24"/>
          <w:szCs w:val="21"/>
        </w:rPr>
        <w:t>（</w:t>
      </w:r>
      <w:r>
        <w:rPr>
          <w:rFonts w:eastAsia="仿宋_GB2312"/>
          <w:b/>
          <w:bCs/>
          <w:sz w:val="24"/>
        </w:rPr>
        <w:t>202</w:t>
      </w:r>
      <w:r>
        <w:rPr>
          <w:rFonts w:hint="eastAsia" w:eastAsia="仿宋_GB2312"/>
          <w:b/>
          <w:bCs/>
          <w:sz w:val="24"/>
        </w:rPr>
        <w:t>1</w:t>
      </w:r>
      <w:r>
        <w:rPr>
          <w:rFonts w:eastAsia="仿宋_GB2312"/>
          <w:b/>
          <w:bCs/>
          <w:sz w:val="24"/>
        </w:rPr>
        <w:t>-2025</w:t>
      </w:r>
      <w:r>
        <w:rPr>
          <w:rFonts w:hint="eastAsia"/>
          <w:b/>
          <w:bCs/>
          <w:sz w:val="24"/>
          <w:szCs w:val="21"/>
        </w:rPr>
        <w:t>）</w:t>
      </w:r>
      <w:r>
        <w:rPr>
          <w:rFonts w:eastAsia="仿宋_GB2312"/>
          <w:b/>
          <w:bCs/>
          <w:sz w:val="24"/>
        </w:rPr>
        <w:t>》</w:t>
      </w:r>
      <w:r>
        <w:rPr>
          <w:rFonts w:hint="eastAsia" w:eastAsia="仿宋_GB2312"/>
          <w:b/>
          <w:bCs/>
          <w:sz w:val="24"/>
        </w:rPr>
        <w:t>（环土壤〔2022〕8号），</w:t>
      </w:r>
      <w:r>
        <w:rPr>
          <w:rFonts w:eastAsia="仿宋_GB2312"/>
          <w:b/>
          <w:bCs/>
          <w:sz w:val="24"/>
        </w:rPr>
        <w:t>要求建立黑臭水体监管清单、</w:t>
      </w:r>
      <w:r>
        <w:rPr>
          <w:rFonts w:hint="eastAsia" w:eastAsia="仿宋_GB2312"/>
          <w:b/>
          <w:bCs/>
          <w:sz w:val="24"/>
        </w:rPr>
        <w:t>开展农村黑臭水体整治</w:t>
      </w:r>
      <w:r>
        <w:rPr>
          <w:rFonts w:eastAsia="仿宋_GB2312"/>
          <w:b/>
          <w:bCs/>
          <w:sz w:val="24"/>
        </w:rPr>
        <w:t>。</w:t>
      </w:r>
    </w:p>
    <w:p>
      <w:pPr>
        <w:spacing w:line="360" w:lineRule="auto"/>
        <w:ind w:firstLine="480" w:firstLineChars="200"/>
        <w:rPr>
          <w:color w:val="333333"/>
          <w:sz w:val="24"/>
        </w:rPr>
      </w:pPr>
      <w:r>
        <w:rPr>
          <w:rFonts w:hint="eastAsia"/>
          <w:color w:val="333333"/>
          <w:sz w:val="24"/>
        </w:rPr>
        <w:t>开展农村黑臭水体整治。明确整治重点。</w:t>
      </w:r>
      <w:r>
        <w:rPr>
          <w:rFonts w:hint="eastAsia"/>
          <w:b/>
          <w:color w:val="333333"/>
          <w:sz w:val="24"/>
        </w:rPr>
        <w:t>建立农村黑臭水体国家监管清单</w:t>
      </w:r>
      <w:r>
        <w:rPr>
          <w:rFonts w:hint="eastAsia"/>
          <w:color w:val="333333"/>
          <w:sz w:val="24"/>
        </w:rPr>
        <w:t>，优先整治面积较大、群众反映强烈的水体，</w:t>
      </w:r>
      <w:r>
        <w:rPr>
          <w:rFonts w:hint="eastAsia"/>
          <w:b/>
          <w:color w:val="333333"/>
          <w:sz w:val="24"/>
        </w:rPr>
        <w:t>实行“拉条挂账、逐一销号”</w:t>
      </w:r>
      <w:r>
        <w:rPr>
          <w:rFonts w:hint="eastAsia"/>
          <w:color w:val="333333"/>
          <w:sz w:val="24"/>
        </w:rPr>
        <w:t>，</w:t>
      </w:r>
      <w:r>
        <w:rPr>
          <w:rFonts w:hint="eastAsia"/>
          <w:b/>
          <w:color w:val="333333"/>
          <w:sz w:val="24"/>
        </w:rPr>
        <w:t>稳步消除较大面积的农村黑臭水体</w:t>
      </w:r>
      <w:r>
        <w:rPr>
          <w:rFonts w:hint="eastAsia"/>
          <w:color w:val="333333"/>
          <w:sz w:val="24"/>
        </w:rPr>
        <w:t>。在农村河流湖塘分布密集地区，进一步核实黑臭水体排查结果，对新发现的黑臭水体及时纳入监管清单，加强动态管理。在治理任务较重、工作基础较好的地区，支持开展农村黑臭水体整治试点。</w:t>
      </w:r>
    </w:p>
    <w:p>
      <w:pPr>
        <w:spacing w:line="360" w:lineRule="auto"/>
        <w:ind w:firstLine="480" w:firstLineChars="200"/>
        <w:rPr>
          <w:color w:val="333333"/>
          <w:sz w:val="24"/>
        </w:rPr>
      </w:pPr>
      <w:r>
        <w:rPr>
          <w:rFonts w:hint="eastAsia"/>
          <w:color w:val="333333"/>
          <w:sz w:val="24"/>
        </w:rPr>
        <w:t>系统开展整治。针对黑臭水体问题成因，以控源截污为根本，综合采取清淤疏浚、生态修复、水体净化等措施。将农村黑臭水体整治与生活污水、垃圾、种植、养殖等污染统筹治理，将治理对象、目标、时序协同一致，确保治理成效。对垃圾坑、粪污塘、废弃鱼塘等淤积严重的水体进行底泥污染调查评估，采取必要的清淤疏浚措施。对清淤产生的底泥，经无害化处理后，可通过绿化等方式合理利用，禁止随意倾倒。根据水体的集雨、调蓄、纳污、净化、生态、景观等功能，科学选择生态修复措施，对于季节性断流、干涸水体，慎用浮水、沉水植物进行生态修复。对于滞流、缓流水体，采取必要的水系连通和人工增氧等措施。</w:t>
      </w:r>
    </w:p>
    <w:p>
      <w:pPr>
        <w:spacing w:line="360" w:lineRule="auto"/>
        <w:ind w:firstLine="480" w:firstLineChars="200"/>
        <w:rPr>
          <w:color w:val="333333"/>
          <w:sz w:val="24"/>
        </w:rPr>
      </w:pPr>
      <w:r>
        <w:rPr>
          <w:rFonts w:hint="eastAsia"/>
          <w:color w:val="333333"/>
          <w:sz w:val="24"/>
        </w:rPr>
        <w:t>推动“长治久清”。鼓励河长制湖长制体系向村级延伸。充分发挥河湖长制平台作用，压实部门责任，实现水体有效治理和管护。对已完成整治的黑臭水体，开展整治过程和效果评估，确保达到水质指标和村民满意度要求。严禁表面治理和虚假治理，禁止简单采用冲污稀释、一填了之等“治标不治本”的做法。将农村黑臭水体排查结果和整治进展通过县级媒体等向社会公开，在所在村公示，鼓励群众积极参与，对排查结果、整治情况监督举报。</w:t>
      </w:r>
    </w:p>
    <w:p>
      <w:pPr>
        <w:spacing w:line="360" w:lineRule="auto"/>
        <w:rPr>
          <w:b/>
          <w:bCs/>
          <w:sz w:val="24"/>
          <w:szCs w:val="21"/>
        </w:rPr>
      </w:pPr>
      <w:r>
        <w:rPr>
          <w:rFonts w:hint="eastAsia"/>
          <w:b/>
          <w:bCs/>
          <w:sz w:val="24"/>
          <w:szCs w:val="21"/>
        </w:rPr>
        <w:t>5</w:t>
      </w:r>
      <w:r>
        <w:rPr>
          <w:b/>
          <w:bCs/>
          <w:sz w:val="24"/>
          <w:szCs w:val="21"/>
        </w:rPr>
        <w:t>.2.1</w:t>
      </w:r>
      <w:r>
        <w:rPr>
          <w:rFonts w:hint="eastAsia"/>
          <w:b/>
          <w:bCs/>
          <w:sz w:val="24"/>
          <w:szCs w:val="21"/>
        </w:rPr>
        <w:t xml:space="preserve">1 </w:t>
      </w:r>
      <w:r>
        <w:rPr>
          <w:b/>
          <w:bCs/>
          <w:sz w:val="24"/>
          <w:szCs w:val="21"/>
        </w:rPr>
        <w:t>农村人居环境整治三年行动方案</w:t>
      </w:r>
    </w:p>
    <w:p>
      <w:pPr>
        <w:spacing w:line="360" w:lineRule="auto"/>
        <w:ind w:firstLine="480" w:firstLineChars="200"/>
        <w:rPr>
          <w:b/>
          <w:bCs/>
          <w:sz w:val="24"/>
          <w:szCs w:val="21"/>
        </w:rPr>
      </w:pPr>
      <w:r>
        <w:rPr>
          <w:rFonts w:hint="eastAsia" w:eastAsia="仿宋_GB2312"/>
          <w:b/>
          <w:bCs/>
          <w:sz w:val="24"/>
        </w:rPr>
        <w:t>中共中央办公厅 国务院办公厅印发</w:t>
      </w:r>
      <w:r>
        <w:rPr>
          <w:rFonts w:eastAsia="仿宋_GB2312"/>
          <w:b/>
          <w:bCs/>
          <w:sz w:val="24"/>
        </w:rPr>
        <w:t>《</w:t>
      </w:r>
      <w:r>
        <w:rPr>
          <w:rFonts w:hint="eastAsia" w:eastAsia="仿宋_GB2312"/>
          <w:b/>
          <w:bCs/>
          <w:sz w:val="24"/>
        </w:rPr>
        <w:t>农村人居环境整治三年行动方案</w:t>
      </w:r>
      <w:r>
        <w:rPr>
          <w:rFonts w:eastAsia="仿宋_GB2312"/>
          <w:b/>
          <w:bCs/>
          <w:sz w:val="24"/>
        </w:rPr>
        <w:t>》</w:t>
      </w:r>
      <w:r>
        <w:rPr>
          <w:rFonts w:hint="eastAsia" w:eastAsia="仿宋_GB2312"/>
          <w:b/>
          <w:bCs/>
          <w:sz w:val="24"/>
        </w:rPr>
        <w:t>（2018年2月），</w:t>
      </w:r>
      <w:r>
        <w:rPr>
          <w:rFonts w:eastAsia="仿宋_GB2312"/>
          <w:b/>
          <w:bCs/>
          <w:sz w:val="24"/>
        </w:rPr>
        <w:t>要求</w:t>
      </w:r>
      <w:r>
        <w:rPr>
          <w:rFonts w:hint="eastAsia" w:eastAsia="仿宋_GB2312"/>
          <w:b/>
          <w:bCs/>
          <w:sz w:val="24"/>
        </w:rPr>
        <w:t>逐步</w:t>
      </w:r>
      <w:r>
        <w:rPr>
          <w:rFonts w:eastAsia="仿宋_GB2312"/>
          <w:b/>
          <w:bCs/>
          <w:sz w:val="24"/>
        </w:rPr>
        <w:t>消除农村黑臭水体。</w:t>
      </w:r>
    </w:p>
    <w:p>
      <w:pPr>
        <w:spacing w:line="360" w:lineRule="auto"/>
        <w:ind w:firstLine="480" w:firstLineChars="200"/>
        <w:rPr>
          <w:rFonts w:eastAsia="仿宋_GB2312"/>
          <w:b/>
          <w:bCs/>
          <w:sz w:val="24"/>
        </w:rPr>
      </w:pPr>
      <w:r>
        <w:rPr>
          <w:rFonts w:hint="eastAsia"/>
          <w:color w:val="333333"/>
          <w:sz w:val="24"/>
        </w:rPr>
        <w:t>梯次推进农村生活污水治理。根据农村不同区位条件、村庄人口聚集程度、污水产生规模，因地制宜采用污染治理与资源利用相结合、工程措施与生态措施相结合、集中与分散相结合的建设模式和处理工艺。推动城镇污水管网向周边村庄延伸覆盖。积极推广低成本、低能耗、易维护、高效率的污水处理技术，鼓励采用生态处理工艺。加强生活污水源头减量和尾水回收利用。以房前屋后河塘沟渠为重点实施清淤疏浚，采取综合措施恢复水生态，</w:t>
      </w:r>
      <w:r>
        <w:rPr>
          <w:rFonts w:hint="eastAsia"/>
          <w:b/>
          <w:color w:val="333333"/>
          <w:sz w:val="24"/>
        </w:rPr>
        <w:t>逐步消除农村黑臭水体</w:t>
      </w:r>
      <w:r>
        <w:rPr>
          <w:rFonts w:hint="eastAsia"/>
          <w:color w:val="333333"/>
          <w:sz w:val="24"/>
        </w:rPr>
        <w:t>。将农村水环境治理纳入河长制、湖长制管理。</w:t>
      </w:r>
    </w:p>
    <w:p>
      <w:pPr>
        <w:spacing w:line="360" w:lineRule="auto"/>
        <w:rPr>
          <w:b/>
          <w:bCs/>
          <w:sz w:val="24"/>
          <w:szCs w:val="21"/>
        </w:rPr>
      </w:pPr>
      <w:r>
        <w:rPr>
          <w:rFonts w:hint="eastAsia"/>
          <w:b/>
          <w:bCs/>
          <w:sz w:val="24"/>
          <w:szCs w:val="21"/>
        </w:rPr>
        <w:t>5</w:t>
      </w:r>
      <w:r>
        <w:rPr>
          <w:b/>
          <w:bCs/>
          <w:sz w:val="24"/>
          <w:szCs w:val="21"/>
        </w:rPr>
        <w:t>.2.1</w:t>
      </w:r>
      <w:r>
        <w:rPr>
          <w:rFonts w:hint="eastAsia"/>
          <w:b/>
          <w:bCs/>
          <w:sz w:val="24"/>
          <w:szCs w:val="21"/>
        </w:rPr>
        <w:t xml:space="preserve">2 </w:t>
      </w:r>
      <w:r>
        <w:rPr>
          <w:b/>
          <w:bCs/>
          <w:sz w:val="24"/>
          <w:szCs w:val="21"/>
        </w:rPr>
        <w:t>北京市水污染防治条例</w:t>
      </w:r>
      <w:bookmarkEnd w:id="145"/>
      <w:bookmarkEnd w:id="146"/>
      <w:bookmarkEnd w:id="147"/>
    </w:p>
    <w:p>
      <w:pPr>
        <w:spacing w:line="360" w:lineRule="auto"/>
        <w:ind w:firstLine="480" w:firstLineChars="200"/>
        <w:rPr>
          <w:b/>
          <w:bCs/>
          <w:sz w:val="24"/>
          <w:szCs w:val="21"/>
        </w:rPr>
      </w:pPr>
      <w:bookmarkStart w:id="151" w:name="_Toc13612"/>
      <w:bookmarkStart w:id="152" w:name="_Toc131516452"/>
      <w:bookmarkStart w:id="153" w:name="_Toc951"/>
      <w:r>
        <w:rPr>
          <w:rFonts w:eastAsia="仿宋_GB2312"/>
          <w:b/>
          <w:bCs/>
          <w:sz w:val="24"/>
        </w:rPr>
        <w:t>《</w:t>
      </w:r>
      <w:r>
        <w:rPr>
          <w:rFonts w:hint="eastAsia" w:eastAsia="仿宋_GB2312"/>
          <w:b/>
          <w:bCs/>
          <w:sz w:val="24"/>
        </w:rPr>
        <w:t>北京市水污染防治条例</w:t>
      </w:r>
      <w:r>
        <w:rPr>
          <w:rFonts w:eastAsia="仿宋_GB2312"/>
          <w:b/>
          <w:bCs/>
          <w:sz w:val="24"/>
        </w:rPr>
        <w:t>》</w:t>
      </w:r>
      <w:r>
        <w:rPr>
          <w:rFonts w:hint="eastAsia" w:eastAsia="仿宋_GB2312"/>
          <w:b/>
          <w:bCs/>
          <w:sz w:val="24"/>
        </w:rPr>
        <w:t>，</w:t>
      </w:r>
      <w:r>
        <w:rPr>
          <w:rFonts w:eastAsia="仿宋_GB2312"/>
          <w:b/>
          <w:bCs/>
          <w:sz w:val="24"/>
        </w:rPr>
        <w:t>第</w:t>
      </w:r>
      <w:r>
        <w:rPr>
          <w:rFonts w:hint="eastAsia" w:eastAsia="仿宋_GB2312"/>
          <w:b/>
          <w:bCs/>
          <w:sz w:val="24"/>
        </w:rPr>
        <w:t>四十六</w:t>
      </w:r>
      <w:r>
        <w:rPr>
          <w:rFonts w:eastAsia="仿宋_GB2312"/>
          <w:b/>
          <w:bCs/>
          <w:sz w:val="24"/>
        </w:rPr>
        <w:t>条、四十七条、四十八条、四十九条、五十条、五十一条要求优化农村产业结构和产业发展布局，防治水环境污染。</w:t>
      </w:r>
    </w:p>
    <w:p>
      <w:pPr>
        <w:spacing w:line="360" w:lineRule="auto"/>
        <w:ind w:firstLine="480" w:firstLineChars="200"/>
        <w:rPr>
          <w:color w:val="333333"/>
          <w:sz w:val="24"/>
        </w:rPr>
      </w:pPr>
      <w:r>
        <w:rPr>
          <w:rFonts w:hint="eastAsia"/>
          <w:color w:val="333333"/>
          <w:sz w:val="24"/>
        </w:rPr>
        <w:t>第四十六条 区和乡镇人民政府应当对未纳入城镇污水管网的村庄的生活污水进行治理，优先采用生态、低能耗、资源化的污水处理技术；对在饮用水源保护区、河道两侧等重点区域的村庄，应当建设集中污水处理设施，并保证建设及运转资金。</w:t>
      </w:r>
    </w:p>
    <w:p>
      <w:pPr>
        <w:spacing w:line="360" w:lineRule="auto"/>
        <w:ind w:firstLine="480" w:firstLineChars="200"/>
        <w:rPr>
          <w:color w:val="333333"/>
          <w:sz w:val="24"/>
        </w:rPr>
      </w:pPr>
      <w:r>
        <w:rPr>
          <w:rFonts w:hint="eastAsia"/>
          <w:color w:val="333333"/>
          <w:sz w:val="24"/>
        </w:rPr>
        <w:t>第四十七条 市、区农业农村部门应当对畜禽养殖、水产养殖及种植业水污染防治进行监督管理，对农业生产环境进行监测，加强农业水污染防治的业务指导。</w:t>
      </w:r>
    </w:p>
    <w:p>
      <w:pPr>
        <w:spacing w:line="360" w:lineRule="auto"/>
        <w:ind w:firstLine="480" w:firstLineChars="200"/>
        <w:rPr>
          <w:color w:val="333333"/>
          <w:sz w:val="24"/>
        </w:rPr>
      </w:pPr>
      <w:r>
        <w:rPr>
          <w:rFonts w:hint="eastAsia"/>
          <w:color w:val="333333"/>
          <w:sz w:val="24"/>
        </w:rPr>
        <w:t>第四十八条 本市鼓励畜禽养殖场、养殖小区采取生态养殖方式。建设规模化畜禽养殖场、养殖小区，应当符合本市农业水污染防治规划的要求，并配套建设集中式畜禽粪污综合利用设施或者无害化处理设施。规划禁养区内已有的畜禽养殖场、养殖小区项目，由所在地区人民政府限期拆除。规模化畜禽养殖企业应当采取防渗漏、防流失、防遗撒措施，防止畜禽养殖废水、粪污渗漏、溢流、散落对环境造成污染。</w:t>
      </w:r>
    </w:p>
    <w:p>
      <w:pPr>
        <w:spacing w:line="360" w:lineRule="auto"/>
        <w:ind w:firstLine="480" w:firstLineChars="200"/>
        <w:rPr>
          <w:color w:val="333333"/>
          <w:sz w:val="24"/>
        </w:rPr>
      </w:pPr>
      <w:r>
        <w:rPr>
          <w:rFonts w:hint="eastAsia"/>
          <w:color w:val="333333"/>
          <w:sz w:val="24"/>
        </w:rPr>
        <w:t>第四十九条 市、区人民政府应当制定政策，鼓励、引导建设集中式畜禽粪污综合利用或者无害化处理设施，引入市场化机制进行运营。</w:t>
      </w:r>
    </w:p>
    <w:p>
      <w:pPr>
        <w:spacing w:line="360" w:lineRule="auto"/>
        <w:ind w:firstLine="480" w:firstLineChars="200"/>
        <w:rPr>
          <w:color w:val="333333"/>
          <w:sz w:val="24"/>
        </w:rPr>
      </w:pPr>
      <w:r>
        <w:rPr>
          <w:rFonts w:hint="eastAsia"/>
          <w:color w:val="333333"/>
          <w:sz w:val="24"/>
        </w:rPr>
        <w:t>第五十条 水产养殖的排水直接排入地表水体的，应当达到受纳水体水环境功能区的要求。</w:t>
      </w:r>
    </w:p>
    <w:p>
      <w:pPr>
        <w:spacing w:line="360" w:lineRule="auto"/>
        <w:ind w:firstLine="480" w:firstLineChars="200"/>
        <w:rPr>
          <w:color w:val="333333"/>
          <w:sz w:val="24"/>
        </w:rPr>
      </w:pPr>
      <w:r>
        <w:rPr>
          <w:rFonts w:hint="eastAsia"/>
          <w:color w:val="333333"/>
          <w:sz w:val="24"/>
        </w:rPr>
        <w:t>第五十一条 本市鼓励种植业通过推行测土配方施肥、病虫害生物防治等措施，提高肥料使用效率，合理使用有机肥和化肥，减少化学农药施用量，防止污染水环境。</w:t>
      </w:r>
    </w:p>
    <w:bookmarkEnd w:id="151"/>
    <w:bookmarkEnd w:id="152"/>
    <w:bookmarkEnd w:id="153"/>
    <w:p>
      <w:pPr>
        <w:pStyle w:val="3"/>
        <w:numPr>
          <w:ilvl w:val="0"/>
          <w:numId w:val="0"/>
        </w:numPr>
        <w:spacing w:line="416" w:lineRule="auto"/>
        <w:rPr>
          <w:rFonts w:eastAsia="黑体"/>
          <w:b w:val="0"/>
          <w:kern w:val="0"/>
          <w:sz w:val="32"/>
        </w:rPr>
      </w:pPr>
      <w:bookmarkStart w:id="154" w:name="_Toc215478640"/>
      <w:bookmarkStart w:id="155" w:name="_Toc503028980"/>
      <w:r>
        <w:rPr>
          <w:rFonts w:hint="eastAsia" w:eastAsia="黑体"/>
          <w:b w:val="0"/>
          <w:kern w:val="0"/>
          <w:sz w:val="32"/>
        </w:rPr>
        <w:t>5</w:t>
      </w:r>
      <w:r>
        <w:rPr>
          <w:rFonts w:eastAsia="黑体"/>
          <w:b w:val="0"/>
          <w:kern w:val="0"/>
          <w:sz w:val="32"/>
        </w:rPr>
        <w:t>.3</w:t>
      </w:r>
      <w:r>
        <w:rPr>
          <w:rFonts w:hint="eastAsia" w:eastAsia="黑体"/>
          <w:b w:val="0"/>
          <w:kern w:val="0"/>
          <w:sz w:val="32"/>
        </w:rPr>
        <w:t xml:space="preserve"> </w:t>
      </w:r>
      <w:r>
        <w:rPr>
          <w:rFonts w:eastAsia="黑体"/>
          <w:b w:val="0"/>
          <w:kern w:val="0"/>
          <w:sz w:val="32"/>
        </w:rPr>
        <w:t>与现行法律、法规、标准的关系</w:t>
      </w:r>
      <w:bookmarkEnd w:id="154"/>
      <w:bookmarkEnd w:id="155"/>
    </w:p>
    <w:p>
      <w:pPr>
        <w:spacing w:line="360" w:lineRule="auto"/>
        <w:rPr>
          <w:sz w:val="24"/>
          <w:szCs w:val="21"/>
        </w:rPr>
      </w:pPr>
      <w:r>
        <w:rPr>
          <w:rFonts w:hint="eastAsia"/>
          <w:b/>
          <w:bCs/>
          <w:sz w:val="24"/>
          <w:szCs w:val="21"/>
        </w:rPr>
        <w:t>5</w:t>
      </w:r>
      <w:r>
        <w:rPr>
          <w:b/>
          <w:bCs/>
          <w:sz w:val="24"/>
          <w:szCs w:val="21"/>
        </w:rPr>
        <w:t>.3.1</w:t>
      </w:r>
      <w:r>
        <w:rPr>
          <w:rFonts w:hint="eastAsia"/>
          <w:b/>
          <w:bCs/>
          <w:sz w:val="24"/>
          <w:szCs w:val="21"/>
        </w:rPr>
        <w:t xml:space="preserve"> </w:t>
      </w:r>
      <w:r>
        <w:rPr>
          <w:b/>
          <w:bCs/>
          <w:sz w:val="24"/>
          <w:szCs w:val="21"/>
        </w:rPr>
        <w:t>与现行法律、法规的关系</w:t>
      </w:r>
    </w:p>
    <w:p>
      <w:pPr>
        <w:spacing w:line="360" w:lineRule="auto"/>
        <w:ind w:firstLine="480" w:firstLineChars="200"/>
        <w:rPr>
          <w:sz w:val="24"/>
          <w:szCs w:val="21"/>
        </w:rPr>
      </w:pPr>
      <w:r>
        <w:rPr>
          <w:rFonts w:hint="eastAsia"/>
          <w:sz w:val="24"/>
          <w:szCs w:val="21"/>
        </w:rPr>
        <w:t>本标准是依据《中华人民共和国环境保护法》（2014年修订）、《中华人民共和国水污染防治法》（2017年修订）和《北京市水污染防治条例》（2018年修订）等水污染法律法规的相关条款制定的地方推荐性标准，有效衔接《水污染防治行动计划》（国发〔2015〕17号），用于规范农村小微水体污染遥感监测的技术要求，支撑农村黑臭水体治理，提升农村人居环境。</w:t>
      </w:r>
    </w:p>
    <w:p>
      <w:pPr>
        <w:spacing w:line="360" w:lineRule="auto"/>
        <w:rPr>
          <w:sz w:val="24"/>
          <w:szCs w:val="21"/>
        </w:rPr>
      </w:pPr>
      <w:r>
        <w:rPr>
          <w:rFonts w:hint="eastAsia"/>
          <w:b/>
          <w:bCs/>
          <w:sz w:val="24"/>
          <w:szCs w:val="21"/>
        </w:rPr>
        <w:t>5</w:t>
      </w:r>
      <w:r>
        <w:rPr>
          <w:b/>
          <w:bCs/>
          <w:sz w:val="24"/>
          <w:szCs w:val="21"/>
        </w:rPr>
        <w:t>.3.2</w:t>
      </w:r>
      <w:r>
        <w:rPr>
          <w:rFonts w:hint="eastAsia"/>
          <w:b/>
          <w:bCs/>
          <w:sz w:val="24"/>
          <w:szCs w:val="21"/>
        </w:rPr>
        <w:t xml:space="preserve"> </w:t>
      </w:r>
      <w:r>
        <w:rPr>
          <w:b/>
          <w:bCs/>
          <w:sz w:val="24"/>
          <w:szCs w:val="21"/>
        </w:rPr>
        <w:t>与现行标准的关系</w:t>
      </w:r>
    </w:p>
    <w:p>
      <w:pPr>
        <w:spacing w:line="360" w:lineRule="auto"/>
        <w:ind w:firstLine="480" w:firstLineChars="200"/>
        <w:rPr>
          <w:sz w:val="24"/>
          <w:szCs w:val="21"/>
        </w:rPr>
      </w:pPr>
      <w:r>
        <w:rPr>
          <w:rFonts w:hint="eastAsia"/>
          <w:sz w:val="24"/>
          <w:szCs w:val="21"/>
        </w:rPr>
        <w:t>本标准是对农村小微水体污染调查、风险评估、整治等系列标准在日常监管环节的延伸扩展，衔接《</w:t>
      </w:r>
      <w:bookmarkStart w:id="156" w:name="OLE_LINK5"/>
      <w:r>
        <w:rPr>
          <w:rFonts w:hint="eastAsia"/>
          <w:sz w:val="24"/>
          <w:szCs w:val="21"/>
        </w:rPr>
        <w:t>农村黑臭水体治理工作指南》</w:t>
      </w:r>
      <w:bookmarkEnd w:id="156"/>
      <w:r>
        <w:rPr>
          <w:rFonts w:hint="eastAsia"/>
          <w:sz w:val="24"/>
          <w:szCs w:val="21"/>
        </w:rPr>
        <w:t>（环办土壤〔2023〕23号）。该指南规定：设区的市级生态环境主管部门对农村黑臭水体清单核实后报送省级生态环境部门，由省级生态环境部门审核后确定纳入省监管清单。省级生态环境部门根据清单分级规定，对符合条件的水体，报生态环境部审核后纳入国家监管清单。黑臭水体排查后，应实施动态监管，通过卫星遥感监测、群众举报以及现场调查等方式，及时将新发现的黑臭水体按规定上报纳入省监管清单。对符合黑臭水体清单分级规定的，省级生态环境部门申请调整纳入国家监管清单。本标准参照了《</w:t>
      </w:r>
      <w:bookmarkStart w:id="157" w:name="OLE_LINK117"/>
      <w:bookmarkStart w:id="158" w:name="OLE_LINK118"/>
      <w:r>
        <w:rPr>
          <w:rFonts w:hint="eastAsia"/>
          <w:sz w:val="24"/>
          <w:szCs w:val="21"/>
        </w:rPr>
        <w:t>农村黑臭水体治理</w:t>
      </w:r>
      <w:bookmarkEnd w:id="157"/>
      <w:bookmarkEnd w:id="158"/>
      <w:r>
        <w:rPr>
          <w:rFonts w:hint="eastAsia"/>
          <w:sz w:val="24"/>
          <w:szCs w:val="21"/>
        </w:rPr>
        <w:t>工作指南》的工作流程和监测对象特征，以可执行为原则，对农村小微水体污染遥感监测指标进行了部分细化与调整。</w:t>
      </w:r>
    </w:p>
    <w:p>
      <w:pPr>
        <w:spacing w:line="360" w:lineRule="auto"/>
        <w:ind w:firstLine="480" w:firstLineChars="200"/>
        <w:rPr>
          <w:sz w:val="24"/>
          <w:szCs w:val="21"/>
        </w:rPr>
      </w:pPr>
      <w:r>
        <w:rPr>
          <w:rFonts w:hint="eastAsia"/>
          <w:sz w:val="24"/>
          <w:szCs w:val="21"/>
        </w:rPr>
        <w:t>测绘地理信息类国家标准。本标准采用《数字测绘成果质量检查与验收》（GB/T 18316）、《测绘成果质量检查与验收》（GB/T 24356）、《国家基本比例尺地图1:5000 1:10000正射影像地图》（GB/T 33182）、《工程摄影测量规范》（GB 50167）规范遥感解译及成果质量，以《地表水环境质量监测技术规范》（HJ 91.2）规范现场监测。</w:t>
      </w:r>
    </w:p>
    <w:p>
      <w:pPr>
        <w:pStyle w:val="2"/>
      </w:pPr>
      <w:bookmarkStart w:id="159" w:name="_Toc103617125"/>
      <w:bookmarkStart w:id="160" w:name="_Toc215478641"/>
      <w:bookmarkStart w:id="161" w:name="_Toc1845183731"/>
      <w:r>
        <w:rPr>
          <w:rFonts w:hint="eastAsia"/>
        </w:rPr>
        <w:t>6</w:t>
      </w:r>
      <w:r>
        <w:t xml:space="preserve"> 文件的主要技术内容</w:t>
      </w:r>
      <w:bookmarkEnd w:id="159"/>
      <w:bookmarkEnd w:id="160"/>
      <w:bookmarkEnd w:id="161"/>
    </w:p>
    <w:p>
      <w:pPr>
        <w:pStyle w:val="3"/>
        <w:numPr>
          <w:ilvl w:val="0"/>
          <w:numId w:val="0"/>
        </w:numPr>
        <w:spacing w:line="416" w:lineRule="auto"/>
        <w:rPr>
          <w:rFonts w:eastAsia="黑体"/>
          <w:b w:val="0"/>
          <w:kern w:val="0"/>
          <w:sz w:val="32"/>
        </w:rPr>
      </w:pPr>
      <w:bookmarkStart w:id="162" w:name="_Toc215478642"/>
      <w:bookmarkStart w:id="163" w:name="_Toc103617126"/>
      <w:bookmarkStart w:id="164" w:name="_Toc1123619693"/>
      <w:r>
        <w:rPr>
          <w:rFonts w:hint="eastAsia" w:eastAsia="黑体"/>
          <w:b w:val="0"/>
          <w:kern w:val="0"/>
          <w:sz w:val="32"/>
        </w:rPr>
        <w:t>6</w:t>
      </w:r>
      <w:r>
        <w:rPr>
          <w:rFonts w:eastAsia="黑体"/>
          <w:b w:val="0"/>
          <w:kern w:val="0"/>
          <w:sz w:val="32"/>
        </w:rPr>
        <w:t>.1 文件内容框架</w:t>
      </w:r>
      <w:bookmarkEnd w:id="162"/>
      <w:bookmarkEnd w:id="163"/>
      <w:bookmarkEnd w:id="164"/>
    </w:p>
    <w:p>
      <w:pPr>
        <w:spacing w:line="360" w:lineRule="auto"/>
        <w:ind w:firstLine="480" w:firstLineChars="200"/>
        <w:rPr>
          <w:sz w:val="24"/>
          <w:szCs w:val="21"/>
        </w:rPr>
      </w:pPr>
      <w:r>
        <w:rPr>
          <w:sz w:val="24"/>
          <w:szCs w:val="21"/>
        </w:rPr>
        <w:t>本标准包括范围</w:t>
      </w:r>
      <w:r>
        <w:rPr>
          <w:rFonts w:hint="eastAsia"/>
          <w:sz w:val="24"/>
          <w:szCs w:val="21"/>
        </w:rPr>
        <w:t>、</w:t>
      </w:r>
      <w:r>
        <w:rPr>
          <w:sz w:val="24"/>
          <w:szCs w:val="21"/>
        </w:rPr>
        <w:t>规范性引用文件</w:t>
      </w:r>
      <w:r>
        <w:rPr>
          <w:rFonts w:hint="eastAsia"/>
          <w:sz w:val="24"/>
          <w:szCs w:val="21"/>
        </w:rPr>
        <w:t>、</w:t>
      </w:r>
      <w:r>
        <w:rPr>
          <w:sz w:val="24"/>
          <w:szCs w:val="21"/>
        </w:rPr>
        <w:t>术语和定义</w:t>
      </w:r>
      <w:r>
        <w:rPr>
          <w:rFonts w:hint="eastAsia"/>
          <w:sz w:val="24"/>
          <w:szCs w:val="21"/>
        </w:rPr>
        <w:t>、数据准备、</w:t>
      </w:r>
      <w:r>
        <w:rPr>
          <w:sz w:val="24"/>
          <w:szCs w:val="21"/>
        </w:rPr>
        <w:t>遥感解译</w:t>
      </w:r>
      <w:r>
        <w:rPr>
          <w:rFonts w:hint="eastAsia"/>
          <w:sz w:val="24"/>
          <w:szCs w:val="21"/>
        </w:rPr>
        <w:t>、</w:t>
      </w:r>
      <w:r>
        <w:rPr>
          <w:sz w:val="24"/>
          <w:szCs w:val="21"/>
        </w:rPr>
        <w:t>现场调查</w:t>
      </w:r>
      <w:r>
        <w:rPr>
          <w:rFonts w:hint="eastAsia"/>
          <w:sz w:val="24"/>
          <w:szCs w:val="21"/>
        </w:rPr>
        <w:t>、精度评定、报告编制和</w:t>
      </w:r>
      <w:r>
        <w:rPr>
          <w:sz w:val="24"/>
          <w:szCs w:val="21"/>
        </w:rPr>
        <w:t>成果</w:t>
      </w:r>
      <w:r>
        <w:rPr>
          <w:rFonts w:hint="eastAsia"/>
          <w:sz w:val="24"/>
          <w:szCs w:val="21"/>
        </w:rPr>
        <w:t>管理，</w:t>
      </w:r>
      <w:r>
        <w:rPr>
          <w:sz w:val="24"/>
          <w:szCs w:val="21"/>
        </w:rPr>
        <w:t>共</w:t>
      </w:r>
      <w:r>
        <w:rPr>
          <w:rFonts w:hint="eastAsia"/>
          <w:sz w:val="24"/>
          <w:szCs w:val="21"/>
        </w:rPr>
        <w:t>九</w:t>
      </w:r>
      <w:r>
        <w:rPr>
          <w:sz w:val="24"/>
          <w:szCs w:val="21"/>
        </w:rPr>
        <w:t>部分。</w:t>
      </w:r>
    </w:p>
    <w:p>
      <w:pPr>
        <w:spacing w:line="360" w:lineRule="auto"/>
        <w:ind w:firstLine="480" w:firstLineChars="200"/>
        <w:rPr>
          <w:sz w:val="24"/>
          <w:szCs w:val="21"/>
        </w:rPr>
      </w:pPr>
      <w:r>
        <w:rPr>
          <w:b/>
          <w:bCs/>
          <w:sz w:val="24"/>
          <w:szCs w:val="21"/>
        </w:rPr>
        <w:t>（1）范围</w:t>
      </w:r>
      <w:r>
        <w:rPr>
          <w:sz w:val="24"/>
          <w:szCs w:val="21"/>
        </w:rPr>
        <w:t>：本标准的主要内容和适用范围的规定。</w:t>
      </w:r>
    </w:p>
    <w:p>
      <w:pPr>
        <w:spacing w:line="360" w:lineRule="auto"/>
        <w:ind w:firstLine="480" w:firstLineChars="200"/>
        <w:rPr>
          <w:sz w:val="24"/>
          <w:szCs w:val="21"/>
        </w:rPr>
      </w:pPr>
      <w:r>
        <w:rPr>
          <w:b/>
          <w:bCs/>
          <w:sz w:val="24"/>
          <w:szCs w:val="21"/>
        </w:rPr>
        <w:t>（2）规范性引用文件</w:t>
      </w:r>
      <w:r>
        <w:rPr>
          <w:sz w:val="24"/>
          <w:szCs w:val="21"/>
        </w:rPr>
        <w:t>：本标准中引用的标准清单。</w:t>
      </w:r>
    </w:p>
    <w:p>
      <w:pPr>
        <w:spacing w:line="360" w:lineRule="auto"/>
        <w:ind w:firstLine="480" w:firstLineChars="200"/>
        <w:rPr>
          <w:sz w:val="24"/>
          <w:szCs w:val="21"/>
        </w:rPr>
      </w:pPr>
      <w:r>
        <w:rPr>
          <w:b/>
          <w:bCs/>
          <w:sz w:val="24"/>
          <w:szCs w:val="21"/>
        </w:rPr>
        <w:t>（</w:t>
      </w:r>
      <w:bookmarkStart w:id="165" w:name="OLE_LINK46"/>
      <w:r>
        <w:rPr>
          <w:b/>
          <w:bCs/>
          <w:sz w:val="24"/>
          <w:szCs w:val="21"/>
        </w:rPr>
        <w:t>3）</w:t>
      </w:r>
      <w:bookmarkEnd w:id="165"/>
      <w:r>
        <w:rPr>
          <w:b/>
          <w:bCs/>
          <w:sz w:val="24"/>
          <w:szCs w:val="21"/>
        </w:rPr>
        <w:t>术语和定义</w:t>
      </w:r>
      <w:r>
        <w:rPr>
          <w:sz w:val="24"/>
          <w:szCs w:val="21"/>
        </w:rPr>
        <w:t>：本标准中</w:t>
      </w:r>
      <w:r>
        <w:rPr>
          <w:rFonts w:hint="eastAsia"/>
          <w:sz w:val="24"/>
          <w:szCs w:val="21"/>
        </w:rPr>
        <w:t>对</w:t>
      </w:r>
      <w:r>
        <w:rPr>
          <w:sz w:val="24"/>
          <w:szCs w:val="21"/>
        </w:rPr>
        <w:t>关键词的解释。</w:t>
      </w:r>
    </w:p>
    <w:p>
      <w:pPr>
        <w:spacing w:line="360" w:lineRule="auto"/>
        <w:ind w:firstLine="480" w:firstLineChars="200"/>
        <w:rPr>
          <w:sz w:val="24"/>
          <w:szCs w:val="21"/>
        </w:rPr>
      </w:pPr>
      <w:r>
        <w:rPr>
          <w:b/>
          <w:bCs/>
          <w:sz w:val="24"/>
          <w:szCs w:val="21"/>
        </w:rPr>
        <w:t>（</w:t>
      </w:r>
      <w:r>
        <w:rPr>
          <w:rFonts w:hint="eastAsia"/>
          <w:b/>
          <w:bCs/>
          <w:sz w:val="24"/>
          <w:szCs w:val="21"/>
        </w:rPr>
        <w:t>4</w:t>
      </w:r>
      <w:r>
        <w:rPr>
          <w:b/>
          <w:bCs/>
          <w:sz w:val="24"/>
          <w:szCs w:val="21"/>
        </w:rPr>
        <w:t>）数据准备：</w:t>
      </w:r>
      <w:r>
        <w:rPr>
          <w:rFonts w:hint="eastAsia"/>
          <w:bCs/>
          <w:sz w:val="24"/>
          <w:szCs w:val="21"/>
        </w:rPr>
        <w:t>开展农村小微水体污染遥感解译前需要准备的遥感影像及基础数据。</w:t>
      </w:r>
    </w:p>
    <w:p>
      <w:pPr>
        <w:spacing w:line="360" w:lineRule="auto"/>
        <w:ind w:firstLine="480" w:firstLineChars="200"/>
        <w:rPr>
          <w:sz w:val="24"/>
          <w:szCs w:val="21"/>
        </w:rPr>
      </w:pPr>
      <w:bookmarkStart w:id="166" w:name="OLE_LINK119"/>
      <w:r>
        <w:rPr>
          <w:b/>
          <w:bCs/>
          <w:sz w:val="24"/>
          <w:szCs w:val="21"/>
        </w:rPr>
        <w:t>（</w:t>
      </w:r>
      <w:r>
        <w:rPr>
          <w:rFonts w:hint="eastAsia"/>
          <w:b/>
          <w:bCs/>
          <w:sz w:val="24"/>
          <w:szCs w:val="21"/>
        </w:rPr>
        <w:t>5</w:t>
      </w:r>
      <w:r>
        <w:rPr>
          <w:b/>
          <w:bCs/>
          <w:sz w:val="24"/>
          <w:szCs w:val="21"/>
        </w:rPr>
        <w:t>）</w:t>
      </w:r>
      <w:bookmarkEnd w:id="166"/>
      <w:r>
        <w:rPr>
          <w:b/>
          <w:bCs/>
          <w:sz w:val="24"/>
          <w:szCs w:val="21"/>
        </w:rPr>
        <w:t>遥感解译</w:t>
      </w:r>
      <w:r>
        <w:rPr>
          <w:sz w:val="24"/>
          <w:szCs w:val="21"/>
        </w:rPr>
        <w:t>：本标准中遥感监测农村小微水体污染</w:t>
      </w:r>
      <w:r>
        <w:rPr>
          <w:rFonts w:hint="eastAsia"/>
          <w:sz w:val="24"/>
          <w:szCs w:val="21"/>
        </w:rPr>
        <w:t>的</w:t>
      </w:r>
      <w:r>
        <w:rPr>
          <w:sz w:val="24"/>
          <w:szCs w:val="21"/>
        </w:rPr>
        <w:t>解译方法及解译要求。</w:t>
      </w:r>
    </w:p>
    <w:p>
      <w:pPr>
        <w:spacing w:line="360" w:lineRule="auto"/>
        <w:ind w:firstLine="480" w:firstLineChars="200"/>
        <w:rPr>
          <w:sz w:val="24"/>
          <w:szCs w:val="21"/>
        </w:rPr>
      </w:pPr>
      <w:bookmarkStart w:id="167" w:name="OLE_LINK121"/>
      <w:bookmarkStart w:id="168" w:name="OLE_LINK120"/>
      <w:r>
        <w:rPr>
          <w:b/>
          <w:bCs/>
          <w:sz w:val="24"/>
          <w:szCs w:val="21"/>
        </w:rPr>
        <w:t>（</w:t>
      </w:r>
      <w:r>
        <w:rPr>
          <w:rFonts w:hint="eastAsia"/>
          <w:b/>
          <w:bCs/>
          <w:sz w:val="24"/>
          <w:szCs w:val="21"/>
        </w:rPr>
        <w:t>6</w:t>
      </w:r>
      <w:r>
        <w:rPr>
          <w:b/>
          <w:bCs/>
          <w:sz w:val="24"/>
          <w:szCs w:val="21"/>
        </w:rPr>
        <w:t>）</w:t>
      </w:r>
      <w:bookmarkEnd w:id="167"/>
      <w:bookmarkEnd w:id="168"/>
      <w:r>
        <w:rPr>
          <w:b/>
          <w:bCs/>
          <w:sz w:val="24"/>
          <w:szCs w:val="21"/>
        </w:rPr>
        <w:t>现场</w:t>
      </w:r>
      <w:r>
        <w:rPr>
          <w:rFonts w:hint="eastAsia"/>
          <w:b/>
          <w:bCs/>
          <w:sz w:val="24"/>
          <w:szCs w:val="21"/>
        </w:rPr>
        <w:t>调</w:t>
      </w:r>
      <w:r>
        <w:rPr>
          <w:b/>
          <w:bCs/>
          <w:sz w:val="24"/>
          <w:szCs w:val="21"/>
        </w:rPr>
        <w:t>查</w:t>
      </w:r>
      <w:r>
        <w:rPr>
          <w:sz w:val="24"/>
          <w:szCs w:val="21"/>
        </w:rPr>
        <w:t>：本标准中对遥感监测到的农村小微水体污染开展现场核查所需要做的前期准备</w:t>
      </w:r>
      <w:r>
        <w:rPr>
          <w:rFonts w:hint="eastAsia"/>
          <w:sz w:val="24"/>
          <w:szCs w:val="21"/>
        </w:rPr>
        <w:t>及</w:t>
      </w:r>
      <w:r>
        <w:rPr>
          <w:sz w:val="24"/>
          <w:szCs w:val="21"/>
        </w:rPr>
        <w:t>现场工作内容。</w:t>
      </w:r>
    </w:p>
    <w:p>
      <w:pPr>
        <w:spacing w:line="360" w:lineRule="auto"/>
        <w:ind w:firstLine="480" w:firstLineChars="200"/>
        <w:rPr>
          <w:sz w:val="24"/>
          <w:szCs w:val="21"/>
        </w:rPr>
      </w:pPr>
      <w:bookmarkStart w:id="169" w:name="OLE_LINK51"/>
      <w:bookmarkStart w:id="170" w:name="OLE_LINK50"/>
      <w:bookmarkStart w:id="171" w:name="OLE_LINK52"/>
      <w:bookmarkStart w:id="172" w:name="OLE_LINK53"/>
      <w:bookmarkStart w:id="173" w:name="OLE_LINK298"/>
      <w:bookmarkStart w:id="174" w:name="OLE_LINK297"/>
      <w:r>
        <w:rPr>
          <w:rFonts w:hint="eastAsia"/>
          <w:b/>
          <w:sz w:val="24"/>
          <w:szCs w:val="21"/>
        </w:rPr>
        <w:t>（7）精度评定</w:t>
      </w:r>
      <w:bookmarkEnd w:id="169"/>
      <w:bookmarkEnd w:id="170"/>
      <w:r>
        <w:rPr>
          <w:rFonts w:hint="eastAsia"/>
          <w:b/>
          <w:sz w:val="24"/>
          <w:szCs w:val="21"/>
        </w:rPr>
        <w:t>：</w:t>
      </w:r>
      <w:bookmarkEnd w:id="171"/>
      <w:bookmarkEnd w:id="172"/>
      <w:r>
        <w:rPr>
          <w:rFonts w:hint="eastAsia"/>
          <w:sz w:val="24"/>
          <w:szCs w:val="21"/>
        </w:rPr>
        <w:t>本标准</w:t>
      </w:r>
      <w:bookmarkEnd w:id="173"/>
      <w:bookmarkEnd w:id="174"/>
      <w:r>
        <w:rPr>
          <w:rFonts w:hint="eastAsia"/>
          <w:sz w:val="24"/>
          <w:szCs w:val="21"/>
        </w:rPr>
        <w:t>中对农村小微水体污染的遥感解译结果进行精度评价的依据。</w:t>
      </w:r>
    </w:p>
    <w:p>
      <w:pPr>
        <w:spacing w:line="360" w:lineRule="auto"/>
        <w:ind w:firstLine="480" w:firstLineChars="200"/>
        <w:rPr>
          <w:sz w:val="24"/>
          <w:szCs w:val="21"/>
        </w:rPr>
      </w:pPr>
      <w:r>
        <w:rPr>
          <w:rFonts w:hint="eastAsia"/>
          <w:b/>
          <w:sz w:val="24"/>
          <w:szCs w:val="21"/>
        </w:rPr>
        <w:t>（8）报告编制：</w:t>
      </w:r>
      <w:r>
        <w:rPr>
          <w:rFonts w:hint="eastAsia"/>
          <w:sz w:val="24"/>
          <w:szCs w:val="21"/>
        </w:rPr>
        <w:t>本标准中对遥感监测及现场调查信息进行综合分析后，需要形成的关于农村小微水体污染的总体情况报告及编制要求。</w:t>
      </w:r>
    </w:p>
    <w:p>
      <w:pPr>
        <w:spacing w:line="360" w:lineRule="auto"/>
        <w:ind w:firstLine="480" w:firstLineChars="200"/>
        <w:rPr>
          <w:sz w:val="24"/>
          <w:szCs w:val="21"/>
        </w:rPr>
      </w:pPr>
      <w:r>
        <w:rPr>
          <w:b/>
          <w:bCs/>
          <w:sz w:val="24"/>
          <w:szCs w:val="21"/>
        </w:rPr>
        <w:t>（</w:t>
      </w:r>
      <w:r>
        <w:rPr>
          <w:rFonts w:hint="eastAsia"/>
          <w:b/>
          <w:bCs/>
          <w:sz w:val="24"/>
          <w:szCs w:val="21"/>
        </w:rPr>
        <w:t>9</w:t>
      </w:r>
      <w:r>
        <w:rPr>
          <w:b/>
          <w:bCs/>
          <w:sz w:val="24"/>
          <w:szCs w:val="21"/>
        </w:rPr>
        <w:t>）成果管理</w:t>
      </w:r>
      <w:r>
        <w:rPr>
          <w:sz w:val="24"/>
          <w:szCs w:val="21"/>
        </w:rPr>
        <w:t>：本标准中</w:t>
      </w:r>
      <w:r>
        <w:rPr>
          <w:rFonts w:hint="eastAsia"/>
          <w:sz w:val="24"/>
          <w:szCs w:val="21"/>
        </w:rPr>
        <w:t>成果</w:t>
      </w:r>
      <w:r>
        <w:rPr>
          <w:sz w:val="24"/>
          <w:szCs w:val="21"/>
        </w:rPr>
        <w:t>管理</w:t>
      </w:r>
      <w:r>
        <w:rPr>
          <w:rFonts w:hint="eastAsia"/>
          <w:sz w:val="24"/>
          <w:szCs w:val="21"/>
        </w:rPr>
        <w:t>涉及</w:t>
      </w:r>
      <w:r>
        <w:rPr>
          <w:sz w:val="24"/>
          <w:szCs w:val="21"/>
        </w:rPr>
        <w:t>的内容及成果格式。</w:t>
      </w:r>
      <w:bookmarkStart w:id="175" w:name="_Toc103617127"/>
    </w:p>
    <w:p>
      <w:pPr>
        <w:pStyle w:val="3"/>
        <w:numPr>
          <w:ilvl w:val="0"/>
          <w:numId w:val="0"/>
        </w:numPr>
        <w:spacing w:line="416" w:lineRule="auto"/>
        <w:rPr>
          <w:rFonts w:eastAsia="黑体"/>
          <w:b w:val="0"/>
          <w:kern w:val="0"/>
          <w:sz w:val="32"/>
        </w:rPr>
      </w:pPr>
      <w:bookmarkStart w:id="176" w:name="_Toc215478643"/>
      <w:bookmarkStart w:id="177" w:name="_Toc2060672358"/>
      <w:r>
        <w:rPr>
          <w:rFonts w:hint="eastAsia" w:eastAsia="黑体"/>
          <w:b w:val="0"/>
          <w:kern w:val="0"/>
          <w:sz w:val="32"/>
        </w:rPr>
        <w:t>6</w:t>
      </w:r>
      <w:r>
        <w:rPr>
          <w:rFonts w:eastAsia="黑体"/>
          <w:b w:val="0"/>
          <w:kern w:val="0"/>
          <w:sz w:val="32"/>
        </w:rPr>
        <w:t>.2 范围</w:t>
      </w:r>
      <w:bookmarkEnd w:id="175"/>
      <w:bookmarkEnd w:id="176"/>
      <w:bookmarkEnd w:id="177"/>
    </w:p>
    <w:p>
      <w:pPr>
        <w:pStyle w:val="32"/>
        <w:spacing w:line="360" w:lineRule="auto"/>
        <w:ind w:firstLine="480"/>
        <w:rPr>
          <w:rFonts w:ascii="Times New Roman"/>
          <w:sz w:val="24"/>
          <w:szCs w:val="24"/>
        </w:rPr>
      </w:pPr>
      <w:r>
        <w:rPr>
          <w:rFonts w:hint="eastAsia" w:ascii="Times New Roman"/>
          <w:sz w:val="24"/>
          <w:szCs w:val="24"/>
        </w:rPr>
        <w:t>本文件规定了农村小微水体污染遥感监测的数据准备、遥感解译、现场调查、精度评定、报告编制和成果管理的技术要求。本文件适用于农村的河流、沟渠、坑塘等线状或面状小微水体污染的遥感监测。</w:t>
      </w:r>
    </w:p>
    <w:p>
      <w:pPr>
        <w:pStyle w:val="3"/>
        <w:numPr>
          <w:ilvl w:val="0"/>
          <w:numId w:val="0"/>
        </w:numPr>
        <w:spacing w:line="416" w:lineRule="auto"/>
        <w:rPr>
          <w:rFonts w:eastAsia="黑体"/>
          <w:b w:val="0"/>
          <w:kern w:val="0"/>
          <w:sz w:val="32"/>
        </w:rPr>
      </w:pPr>
      <w:bookmarkStart w:id="178" w:name="_Toc215478644"/>
      <w:bookmarkStart w:id="179" w:name="_Toc1999321717"/>
      <w:r>
        <w:rPr>
          <w:rFonts w:hint="eastAsia" w:eastAsia="黑体"/>
          <w:b w:val="0"/>
          <w:kern w:val="0"/>
          <w:sz w:val="32"/>
        </w:rPr>
        <w:t>6</w:t>
      </w:r>
      <w:r>
        <w:rPr>
          <w:rFonts w:eastAsia="黑体"/>
          <w:b w:val="0"/>
          <w:kern w:val="0"/>
          <w:sz w:val="32"/>
        </w:rPr>
        <w:t>.3 规范性引用文件</w:t>
      </w:r>
      <w:bookmarkEnd w:id="178"/>
      <w:bookmarkEnd w:id="179"/>
    </w:p>
    <w:p>
      <w:pPr>
        <w:pStyle w:val="32"/>
        <w:spacing w:line="360" w:lineRule="auto"/>
        <w:ind w:firstLine="480"/>
        <w:rPr>
          <w:rFonts w:ascii="Times New Roman"/>
          <w:color w:val="000000"/>
          <w:sz w:val="24"/>
          <w:szCs w:val="24"/>
        </w:rPr>
      </w:pPr>
      <w:r>
        <w:rPr>
          <w:rFonts w:ascii="Times New Roman"/>
          <w:color w:val="000000"/>
          <w:sz w:val="24"/>
          <w:szCs w:val="24"/>
        </w:rPr>
        <w:t>GB/T 18316 数字测绘成果质量检查与验收</w:t>
      </w:r>
    </w:p>
    <w:p>
      <w:pPr>
        <w:pStyle w:val="32"/>
        <w:spacing w:line="360" w:lineRule="auto"/>
        <w:ind w:firstLine="480"/>
        <w:rPr>
          <w:rFonts w:ascii="Times New Roman"/>
          <w:color w:val="000000"/>
          <w:sz w:val="24"/>
          <w:szCs w:val="24"/>
        </w:rPr>
      </w:pPr>
      <w:r>
        <w:rPr>
          <w:rFonts w:hint="eastAsia" w:ascii="Times New Roman"/>
          <w:color w:val="000000"/>
          <w:sz w:val="24"/>
          <w:szCs w:val="24"/>
        </w:rPr>
        <w:t>GB/T 24356 测绘成果质量检查与验收</w:t>
      </w:r>
    </w:p>
    <w:p>
      <w:pPr>
        <w:pStyle w:val="32"/>
        <w:spacing w:line="360" w:lineRule="auto"/>
        <w:ind w:firstLine="480"/>
        <w:rPr>
          <w:rFonts w:ascii="Times New Roman"/>
          <w:sz w:val="24"/>
          <w:szCs w:val="24"/>
        </w:rPr>
      </w:pPr>
      <w:r>
        <w:rPr>
          <w:rFonts w:hint="eastAsia" w:ascii="Times New Roman"/>
          <w:sz w:val="24"/>
          <w:szCs w:val="24"/>
        </w:rPr>
        <w:t>GB/T 33182 国家基本比例尺地图 1:5000 1:10000正射影像地图</w:t>
      </w:r>
    </w:p>
    <w:p>
      <w:pPr>
        <w:pStyle w:val="32"/>
        <w:spacing w:line="360" w:lineRule="auto"/>
        <w:ind w:firstLine="480"/>
        <w:rPr>
          <w:rFonts w:ascii="Times New Roman"/>
          <w:sz w:val="24"/>
          <w:szCs w:val="24"/>
        </w:rPr>
      </w:pPr>
      <w:r>
        <w:rPr>
          <w:rFonts w:ascii="Times New Roman"/>
          <w:sz w:val="24"/>
          <w:szCs w:val="24"/>
        </w:rPr>
        <w:t>GB 50167 工程摄影测量规范</w:t>
      </w:r>
    </w:p>
    <w:p>
      <w:pPr>
        <w:pStyle w:val="32"/>
        <w:spacing w:line="360" w:lineRule="auto"/>
        <w:ind w:firstLine="480"/>
        <w:rPr>
          <w:rFonts w:ascii="Times New Roman"/>
          <w:sz w:val="24"/>
          <w:szCs w:val="24"/>
        </w:rPr>
      </w:pPr>
      <w:r>
        <w:rPr>
          <w:rFonts w:hint="eastAsia" w:ascii="Times New Roman"/>
          <w:sz w:val="24"/>
          <w:szCs w:val="24"/>
        </w:rPr>
        <w:t>HJ 91.2 地表水环境质量监测技术规范</w:t>
      </w:r>
    </w:p>
    <w:p>
      <w:pPr>
        <w:pStyle w:val="32"/>
        <w:spacing w:line="360" w:lineRule="auto"/>
        <w:ind w:firstLine="480"/>
        <w:rPr>
          <w:sz w:val="24"/>
          <w:szCs w:val="21"/>
        </w:rPr>
      </w:pPr>
      <w:r>
        <w:rPr>
          <w:rFonts w:hint="eastAsia" w:ascii="Times New Roman"/>
          <w:sz w:val="24"/>
          <w:szCs w:val="24"/>
        </w:rPr>
        <w:t>本标准“7.1</w:t>
      </w:r>
      <w:r>
        <w:rPr>
          <w:rFonts w:ascii="Times New Roman"/>
          <w:sz w:val="24"/>
          <w:szCs w:val="24"/>
        </w:rPr>
        <w:t xml:space="preserve"> </w:t>
      </w:r>
      <w:r>
        <w:rPr>
          <w:rFonts w:hint="eastAsia" w:ascii="Times New Roman"/>
          <w:sz w:val="24"/>
          <w:szCs w:val="24"/>
        </w:rPr>
        <w:t>遥感解译成果验收与质量评定”应符合</w:t>
      </w:r>
      <w:r>
        <w:rPr>
          <w:rFonts w:hint="eastAsia"/>
          <w:sz w:val="24"/>
          <w:szCs w:val="21"/>
        </w:rPr>
        <w:t>《数字测绘成果质量检查与验收》</w:t>
      </w:r>
      <w:r>
        <w:rPr>
          <w:rFonts w:hint="eastAsia" w:ascii="Times New Roman"/>
          <w:sz w:val="24"/>
          <w:szCs w:val="21"/>
        </w:rPr>
        <w:t>（</w:t>
      </w:r>
      <w:r>
        <w:rPr>
          <w:rFonts w:ascii="Times New Roman"/>
          <w:sz w:val="24"/>
          <w:szCs w:val="21"/>
        </w:rPr>
        <w:t>GB/T 18316</w:t>
      </w:r>
      <w:r>
        <w:rPr>
          <w:rFonts w:hint="eastAsia" w:ascii="Times New Roman"/>
          <w:sz w:val="24"/>
          <w:szCs w:val="21"/>
        </w:rPr>
        <w:t>）</w:t>
      </w:r>
      <w:r>
        <w:rPr>
          <w:rFonts w:hint="eastAsia"/>
          <w:sz w:val="24"/>
          <w:szCs w:val="21"/>
        </w:rPr>
        <w:t>中过程检查、最终检查、验收、质量评价体系的要求；</w:t>
      </w:r>
    </w:p>
    <w:p>
      <w:pPr>
        <w:pStyle w:val="32"/>
        <w:spacing w:line="360" w:lineRule="auto"/>
        <w:ind w:firstLine="480"/>
      </w:pPr>
      <w:r>
        <w:rPr>
          <w:rFonts w:hint="eastAsia" w:ascii="Times New Roman"/>
          <w:sz w:val="24"/>
          <w:szCs w:val="24"/>
        </w:rPr>
        <w:t>本标准“7.2”中精度评定</w:t>
      </w:r>
      <w:bookmarkStart w:id="180" w:name="OLE_LINK56"/>
      <w:r>
        <w:rPr>
          <w:rFonts w:hint="eastAsia" w:ascii="Times New Roman"/>
          <w:sz w:val="24"/>
          <w:szCs w:val="24"/>
        </w:rPr>
        <w:t>样本</w:t>
      </w:r>
      <w:bookmarkEnd w:id="180"/>
      <w:r>
        <w:rPr>
          <w:rFonts w:hint="eastAsia" w:ascii="Times New Roman"/>
          <w:sz w:val="24"/>
          <w:szCs w:val="24"/>
        </w:rPr>
        <w:t>选取比例应符合《测绘成果质量检查与验收》（</w:t>
      </w:r>
      <w:r>
        <w:rPr>
          <w:rFonts w:ascii="Times New Roman"/>
          <w:sz w:val="24"/>
          <w:szCs w:val="24"/>
        </w:rPr>
        <w:t>GB/T</w:t>
      </w:r>
      <w:r>
        <w:rPr>
          <w:rFonts w:hint="eastAsia" w:ascii="Times New Roman"/>
          <w:sz w:val="24"/>
          <w:szCs w:val="24"/>
        </w:rPr>
        <w:t xml:space="preserve"> </w:t>
      </w:r>
      <w:r>
        <w:rPr>
          <w:rFonts w:ascii="Times New Roman"/>
          <w:sz w:val="24"/>
          <w:szCs w:val="24"/>
        </w:rPr>
        <w:t>24356</w:t>
      </w:r>
      <w:r>
        <w:rPr>
          <w:rFonts w:hint="eastAsia" w:ascii="Times New Roman"/>
          <w:sz w:val="24"/>
          <w:szCs w:val="24"/>
        </w:rPr>
        <w:t>）中抽样的要求；</w:t>
      </w:r>
    </w:p>
    <w:p>
      <w:pPr>
        <w:pStyle w:val="32"/>
        <w:spacing w:line="360" w:lineRule="auto"/>
        <w:ind w:firstLine="480"/>
        <w:rPr>
          <w:rFonts w:ascii="Times New Roman"/>
          <w:sz w:val="24"/>
          <w:szCs w:val="24"/>
        </w:rPr>
      </w:pPr>
      <w:r>
        <w:rPr>
          <w:rFonts w:hint="eastAsia" w:ascii="Times New Roman"/>
          <w:sz w:val="24"/>
          <w:szCs w:val="24"/>
        </w:rPr>
        <w:t>本标准“4</w:t>
      </w:r>
      <w:r>
        <w:rPr>
          <w:rFonts w:ascii="Times New Roman"/>
          <w:sz w:val="24"/>
          <w:szCs w:val="24"/>
        </w:rPr>
        <w:t>.</w:t>
      </w:r>
      <w:r>
        <w:rPr>
          <w:rFonts w:hint="eastAsia" w:ascii="Times New Roman"/>
          <w:sz w:val="24"/>
          <w:szCs w:val="24"/>
        </w:rPr>
        <w:t>2</w:t>
      </w:r>
      <w:r>
        <w:rPr>
          <w:rFonts w:ascii="Times New Roman"/>
          <w:sz w:val="24"/>
          <w:szCs w:val="24"/>
        </w:rPr>
        <w:t xml:space="preserve">.2.2 </w:t>
      </w:r>
      <w:r>
        <w:rPr>
          <w:rFonts w:hint="eastAsia" w:ascii="Times New Roman"/>
          <w:sz w:val="24"/>
          <w:szCs w:val="24"/>
        </w:rPr>
        <w:t>”正射遥感影像质量应符合《国家基本比例尺地图</w:t>
      </w:r>
      <w:r>
        <w:rPr>
          <w:rFonts w:ascii="Times New Roman"/>
          <w:sz w:val="24"/>
          <w:szCs w:val="24"/>
        </w:rPr>
        <w:t>1:5000 1:10000</w:t>
      </w:r>
      <w:r>
        <w:rPr>
          <w:rFonts w:hint="eastAsia" w:ascii="Times New Roman"/>
          <w:sz w:val="24"/>
          <w:szCs w:val="24"/>
        </w:rPr>
        <w:t>正射影像地图》（</w:t>
      </w:r>
      <w:r>
        <w:rPr>
          <w:rFonts w:ascii="Times New Roman"/>
          <w:sz w:val="24"/>
          <w:szCs w:val="24"/>
        </w:rPr>
        <w:t>GB/T 33182</w:t>
      </w:r>
      <w:r>
        <w:rPr>
          <w:rFonts w:hint="eastAsia" w:ascii="Times New Roman"/>
          <w:sz w:val="24"/>
          <w:szCs w:val="24"/>
        </w:rPr>
        <w:t>）中正射影像质量检验的要求；</w:t>
      </w:r>
    </w:p>
    <w:p>
      <w:pPr>
        <w:pStyle w:val="32"/>
        <w:spacing w:line="360" w:lineRule="auto"/>
        <w:ind w:firstLine="480"/>
        <w:rPr>
          <w:rFonts w:ascii="Times New Roman"/>
          <w:sz w:val="24"/>
          <w:szCs w:val="24"/>
        </w:rPr>
      </w:pPr>
      <w:r>
        <w:rPr>
          <w:rFonts w:hint="eastAsia" w:ascii="Times New Roman"/>
          <w:sz w:val="24"/>
          <w:szCs w:val="24"/>
        </w:rPr>
        <w:t>本标准“4</w:t>
      </w:r>
      <w:r>
        <w:rPr>
          <w:rFonts w:ascii="Times New Roman"/>
          <w:sz w:val="24"/>
          <w:szCs w:val="24"/>
        </w:rPr>
        <w:t>.</w:t>
      </w:r>
      <w:r>
        <w:rPr>
          <w:rFonts w:hint="eastAsia" w:ascii="Times New Roman"/>
          <w:sz w:val="24"/>
          <w:szCs w:val="24"/>
        </w:rPr>
        <w:t>2</w:t>
      </w:r>
      <w:r>
        <w:rPr>
          <w:rFonts w:ascii="Times New Roman"/>
          <w:sz w:val="24"/>
          <w:szCs w:val="24"/>
        </w:rPr>
        <w:t>.2</w:t>
      </w:r>
      <w:r>
        <w:rPr>
          <w:rFonts w:hint="eastAsia" w:ascii="Times New Roman"/>
          <w:sz w:val="24"/>
          <w:szCs w:val="24"/>
        </w:rPr>
        <w:t>.1”</w:t>
      </w:r>
      <w:r>
        <w:rPr>
          <w:rFonts w:ascii="Times New Roman"/>
          <w:sz w:val="24"/>
          <w:szCs w:val="24"/>
        </w:rPr>
        <w:t>遥感影像</w:t>
      </w:r>
      <w:r>
        <w:rPr>
          <w:rFonts w:hint="eastAsia" w:ascii="Times New Roman"/>
          <w:sz w:val="24"/>
          <w:szCs w:val="24"/>
        </w:rPr>
        <w:t>预处理</w:t>
      </w:r>
      <w:bookmarkStart w:id="181" w:name="OLE_LINK54"/>
      <w:bookmarkStart w:id="182" w:name="OLE_LINK55"/>
      <w:r>
        <w:rPr>
          <w:rFonts w:hint="eastAsia" w:ascii="Times New Roman"/>
          <w:sz w:val="24"/>
          <w:szCs w:val="24"/>
        </w:rPr>
        <w:t>应符合《工程摄影测量规范》（</w:t>
      </w:r>
      <w:r>
        <w:rPr>
          <w:rFonts w:ascii="Times New Roman"/>
          <w:sz w:val="24"/>
          <w:szCs w:val="24"/>
        </w:rPr>
        <w:t>GB 50167</w:t>
      </w:r>
      <w:r>
        <w:rPr>
          <w:rFonts w:hint="eastAsia" w:ascii="Times New Roman"/>
          <w:sz w:val="24"/>
          <w:szCs w:val="24"/>
        </w:rPr>
        <w:t>）中正射影像预处理的要求；</w:t>
      </w:r>
    </w:p>
    <w:bookmarkEnd w:id="181"/>
    <w:bookmarkEnd w:id="182"/>
    <w:p>
      <w:pPr>
        <w:pStyle w:val="32"/>
        <w:spacing w:line="360" w:lineRule="auto"/>
        <w:ind w:firstLine="480"/>
        <w:rPr>
          <w:rFonts w:ascii="Times New Roman"/>
          <w:sz w:val="24"/>
          <w:szCs w:val="24"/>
        </w:rPr>
      </w:pPr>
      <w:r>
        <w:rPr>
          <w:rFonts w:hint="eastAsia" w:ascii="Times New Roman"/>
          <w:sz w:val="24"/>
          <w:szCs w:val="24"/>
        </w:rPr>
        <w:t>本标准“6.1.2</w:t>
      </w:r>
      <w:r>
        <w:rPr>
          <w:rFonts w:ascii="Times New Roman"/>
          <w:sz w:val="24"/>
          <w:szCs w:val="24"/>
        </w:rPr>
        <w:t xml:space="preserve"> </w:t>
      </w:r>
      <w:r>
        <w:rPr>
          <w:rFonts w:hint="eastAsia" w:ascii="Times New Roman"/>
          <w:sz w:val="24"/>
          <w:szCs w:val="24"/>
        </w:rPr>
        <w:t>”小微水体指标检测设备应符合《地表水环境质量监测技术规范》（</w:t>
      </w:r>
      <w:bookmarkStart w:id="183" w:name="OLE_LINK41"/>
      <w:r>
        <w:rPr>
          <w:rFonts w:ascii="Times New Roman"/>
          <w:sz w:val="24"/>
          <w:szCs w:val="24"/>
        </w:rPr>
        <w:t>HJ</w:t>
      </w:r>
      <w:r>
        <w:rPr>
          <w:rFonts w:hint="eastAsia" w:ascii="Times New Roman"/>
          <w:sz w:val="24"/>
          <w:szCs w:val="24"/>
        </w:rPr>
        <w:t xml:space="preserve"> </w:t>
      </w:r>
      <w:r>
        <w:rPr>
          <w:rFonts w:ascii="Times New Roman"/>
          <w:sz w:val="24"/>
          <w:szCs w:val="24"/>
        </w:rPr>
        <w:t>91.2</w:t>
      </w:r>
      <w:bookmarkEnd w:id="183"/>
      <w:r>
        <w:rPr>
          <w:rFonts w:hint="eastAsia" w:ascii="Times New Roman"/>
          <w:sz w:val="24"/>
          <w:szCs w:val="24"/>
        </w:rPr>
        <w:t>）采样器材及现场测定仪器的要求；</w:t>
      </w:r>
    </w:p>
    <w:p>
      <w:pPr>
        <w:pStyle w:val="32"/>
        <w:spacing w:line="360" w:lineRule="auto"/>
        <w:ind w:firstLine="480"/>
        <w:rPr>
          <w:rFonts w:ascii="Times New Roman"/>
          <w:sz w:val="24"/>
          <w:szCs w:val="24"/>
          <w:highlight w:val="yellow"/>
        </w:rPr>
      </w:pPr>
      <w:r>
        <w:rPr>
          <w:rFonts w:hint="eastAsia" w:ascii="Times New Roman"/>
          <w:sz w:val="24"/>
          <w:szCs w:val="24"/>
        </w:rPr>
        <w:t>本标准“6</w:t>
      </w:r>
      <w:r>
        <w:rPr>
          <w:rFonts w:ascii="Times New Roman"/>
          <w:sz w:val="24"/>
          <w:szCs w:val="24"/>
        </w:rPr>
        <w:t>.</w:t>
      </w:r>
      <w:r>
        <w:rPr>
          <w:rFonts w:hint="eastAsia" w:ascii="Times New Roman"/>
          <w:sz w:val="24"/>
          <w:szCs w:val="24"/>
        </w:rPr>
        <w:t>2</w:t>
      </w:r>
      <w:r>
        <w:rPr>
          <w:rFonts w:ascii="Times New Roman"/>
          <w:sz w:val="24"/>
          <w:szCs w:val="24"/>
        </w:rPr>
        <w:t>.4</w:t>
      </w:r>
      <w:r>
        <w:rPr>
          <w:rFonts w:hint="eastAsia" w:ascii="Times New Roman"/>
          <w:sz w:val="24"/>
          <w:szCs w:val="24"/>
        </w:rPr>
        <w:t>”</w:t>
      </w:r>
      <w:r>
        <w:rPr>
          <w:rFonts w:ascii="Times New Roman"/>
          <w:sz w:val="24"/>
          <w:szCs w:val="24"/>
        </w:rPr>
        <w:t xml:space="preserve"> </w:t>
      </w:r>
      <w:r>
        <w:rPr>
          <w:rFonts w:hint="eastAsia" w:ascii="Times New Roman"/>
          <w:sz w:val="24"/>
          <w:szCs w:val="24"/>
        </w:rPr>
        <w:t>水质采样及监测点应符合《地表水环境质量监测技术规范》（</w:t>
      </w:r>
      <w:bookmarkStart w:id="184" w:name="OLE_LINK113"/>
      <w:r>
        <w:rPr>
          <w:rFonts w:ascii="Times New Roman"/>
          <w:sz w:val="24"/>
          <w:szCs w:val="24"/>
        </w:rPr>
        <w:t>HJ</w:t>
      </w:r>
      <w:r>
        <w:rPr>
          <w:rFonts w:hint="eastAsia" w:ascii="Times New Roman"/>
          <w:sz w:val="24"/>
          <w:szCs w:val="24"/>
        </w:rPr>
        <w:t xml:space="preserve"> </w:t>
      </w:r>
      <w:r>
        <w:rPr>
          <w:rFonts w:ascii="Times New Roman"/>
          <w:sz w:val="24"/>
          <w:szCs w:val="24"/>
        </w:rPr>
        <w:t>91.2</w:t>
      </w:r>
      <w:bookmarkEnd w:id="184"/>
      <w:r>
        <w:rPr>
          <w:rFonts w:hint="eastAsia" w:ascii="Times New Roman"/>
          <w:sz w:val="24"/>
          <w:szCs w:val="24"/>
        </w:rPr>
        <w:t>）中水质布点与采样的要求。</w:t>
      </w:r>
    </w:p>
    <w:p>
      <w:pPr>
        <w:pStyle w:val="32"/>
        <w:spacing w:before="156" w:after="156"/>
        <w:ind w:firstLine="0" w:firstLineChars="0"/>
        <w:outlineLvl w:val="1"/>
        <w:rPr>
          <w:rFonts w:ascii="Times New Roman" w:eastAsia="黑体"/>
          <w:sz w:val="32"/>
        </w:rPr>
      </w:pPr>
      <w:bookmarkStart w:id="185" w:name="_Toc215478645"/>
      <w:bookmarkStart w:id="186" w:name="_Toc1619400956"/>
      <w:r>
        <w:rPr>
          <w:rFonts w:hint="eastAsia" w:ascii="Times New Roman" w:eastAsia="黑体"/>
          <w:sz w:val="32"/>
        </w:rPr>
        <w:t>6</w:t>
      </w:r>
      <w:r>
        <w:rPr>
          <w:rFonts w:ascii="Times New Roman" w:eastAsia="黑体"/>
          <w:sz w:val="32"/>
        </w:rPr>
        <w:t>.4</w:t>
      </w:r>
      <w:r>
        <w:rPr>
          <w:rFonts w:hint="eastAsia" w:ascii="Times New Roman" w:eastAsia="黑体"/>
          <w:sz w:val="32"/>
        </w:rPr>
        <w:t xml:space="preserve"> </w:t>
      </w:r>
      <w:r>
        <w:rPr>
          <w:rFonts w:ascii="Times New Roman" w:eastAsia="黑体"/>
          <w:sz w:val="32"/>
        </w:rPr>
        <w:t>术语及定义</w:t>
      </w:r>
      <w:bookmarkEnd w:id="185"/>
      <w:bookmarkEnd w:id="186"/>
    </w:p>
    <w:p>
      <w:pPr>
        <w:pStyle w:val="32"/>
        <w:spacing w:before="156" w:after="156" w:line="360" w:lineRule="auto"/>
        <w:ind w:firstLine="480"/>
        <w:rPr>
          <w:rFonts w:ascii="Times New Roman"/>
          <w:sz w:val="24"/>
          <w:szCs w:val="24"/>
        </w:rPr>
      </w:pPr>
      <w:bookmarkStart w:id="187" w:name="OLE_LINK178"/>
      <w:r>
        <w:rPr>
          <w:rFonts w:ascii="Times New Roman"/>
          <w:sz w:val="24"/>
          <w:szCs w:val="24"/>
        </w:rPr>
        <w:t>本文件对农村</w:t>
      </w:r>
      <w:r>
        <w:rPr>
          <w:rFonts w:hint="eastAsia" w:ascii="Times New Roman"/>
          <w:sz w:val="24"/>
          <w:szCs w:val="24"/>
        </w:rPr>
        <w:t>小微</w:t>
      </w:r>
      <w:r>
        <w:rPr>
          <w:rFonts w:ascii="Times New Roman"/>
          <w:sz w:val="24"/>
          <w:szCs w:val="24"/>
        </w:rPr>
        <w:t>水体</w:t>
      </w:r>
      <w:r>
        <w:rPr>
          <w:rFonts w:hint="eastAsia" w:ascii="Times New Roman"/>
          <w:sz w:val="24"/>
          <w:szCs w:val="24"/>
        </w:rPr>
        <w:t>污染</w:t>
      </w:r>
      <w:r>
        <w:rPr>
          <w:rFonts w:ascii="Times New Roman"/>
          <w:sz w:val="24"/>
          <w:szCs w:val="24"/>
        </w:rPr>
        <w:t>遥感监测中涉及的常见名词进行了定义，包括农村小微水体、农村小微水体污染、解译标志、遥感解译、数字正射影像、</w:t>
      </w:r>
      <w:r>
        <w:rPr>
          <w:rFonts w:hint="eastAsia" w:ascii="Times New Roman"/>
          <w:sz w:val="24"/>
          <w:szCs w:val="24"/>
        </w:rPr>
        <w:t>解译</w:t>
      </w:r>
      <w:r>
        <w:rPr>
          <w:rFonts w:ascii="Times New Roman"/>
          <w:sz w:val="24"/>
          <w:szCs w:val="24"/>
        </w:rPr>
        <w:t>精度。</w:t>
      </w:r>
      <w:bookmarkEnd w:id="187"/>
    </w:p>
    <w:p>
      <w:pPr>
        <w:pStyle w:val="32"/>
        <w:spacing w:before="156" w:after="156" w:line="360" w:lineRule="auto"/>
        <w:ind w:firstLine="0" w:firstLineChars="0"/>
        <w:outlineLvl w:val="2"/>
        <w:rPr>
          <w:rFonts w:ascii="Times New Roman"/>
          <w:b/>
          <w:sz w:val="24"/>
          <w:szCs w:val="24"/>
        </w:rPr>
      </w:pPr>
      <w:bookmarkStart w:id="188" w:name="_Toc214098755"/>
      <w:bookmarkStart w:id="189" w:name="_Toc215252892"/>
      <w:bookmarkStart w:id="190" w:name="_Toc215256129"/>
      <w:bookmarkStart w:id="191" w:name="_Toc1045167074"/>
      <w:bookmarkStart w:id="192" w:name="_Toc215478646"/>
      <w:bookmarkStart w:id="193" w:name="_Toc28435847"/>
      <w:bookmarkStart w:id="194" w:name="_Toc198822283"/>
      <w:bookmarkStart w:id="195" w:name="_Toc197527936"/>
      <w:bookmarkStart w:id="196" w:name="_Toc198823453"/>
      <w:bookmarkStart w:id="197" w:name="_Toc213706668"/>
      <w:bookmarkStart w:id="198" w:name="_Toc213753738"/>
      <w:bookmarkStart w:id="199" w:name="_Toc206667511"/>
      <w:bookmarkStart w:id="200" w:name="_Toc207186332"/>
      <w:r>
        <w:rPr>
          <w:rFonts w:hint="eastAsia" w:ascii="Times New Roman"/>
          <w:b/>
          <w:sz w:val="24"/>
          <w:szCs w:val="24"/>
        </w:rPr>
        <w:t>6.4.1 农村小微水体 small water in rural areas</w:t>
      </w:r>
      <w:bookmarkEnd w:id="188"/>
      <w:bookmarkEnd w:id="189"/>
      <w:bookmarkEnd w:id="190"/>
      <w:bookmarkEnd w:id="191"/>
      <w:bookmarkEnd w:id="192"/>
      <w:bookmarkEnd w:id="193"/>
    </w:p>
    <w:p>
      <w:pPr>
        <w:pStyle w:val="32"/>
        <w:spacing w:before="156" w:after="156" w:line="360" w:lineRule="auto"/>
        <w:ind w:firstLine="480"/>
        <w:rPr>
          <w:rFonts w:ascii="Times New Roman"/>
          <w:b/>
          <w:sz w:val="24"/>
          <w:szCs w:val="24"/>
        </w:rPr>
      </w:pPr>
      <w:bookmarkStart w:id="201" w:name="_Toc215252893"/>
      <w:bookmarkStart w:id="202" w:name="_Toc214098756"/>
      <w:r>
        <w:rPr>
          <w:rFonts w:ascii="Times New Roman"/>
          <w:sz w:val="24"/>
          <w:szCs w:val="24"/>
        </w:rPr>
        <w:t>来源：本标准中农村小微水体的类型和所在的范围参考《</w:t>
      </w:r>
      <w:r>
        <w:rPr>
          <w:rFonts w:hint="eastAsia" w:ascii="Times New Roman"/>
          <w:sz w:val="24"/>
          <w:szCs w:val="24"/>
        </w:rPr>
        <w:t>农村黑臭水体治理工作指南</w:t>
      </w:r>
      <w:r>
        <w:rPr>
          <w:rFonts w:ascii="Times New Roman"/>
          <w:sz w:val="24"/>
          <w:szCs w:val="24"/>
        </w:rPr>
        <w:t>》中小微水体的相关要求。</w:t>
      </w:r>
      <w:bookmarkEnd w:id="201"/>
      <w:bookmarkEnd w:id="202"/>
    </w:p>
    <w:bookmarkEnd w:id="194"/>
    <w:bookmarkEnd w:id="195"/>
    <w:bookmarkEnd w:id="196"/>
    <w:bookmarkEnd w:id="197"/>
    <w:bookmarkEnd w:id="198"/>
    <w:bookmarkEnd w:id="199"/>
    <w:bookmarkEnd w:id="200"/>
    <w:p>
      <w:pPr>
        <w:pStyle w:val="32"/>
        <w:spacing w:before="156" w:after="156" w:line="360" w:lineRule="auto"/>
        <w:ind w:firstLine="0" w:firstLineChars="0"/>
        <w:outlineLvl w:val="2"/>
        <w:rPr>
          <w:rFonts w:ascii="Times New Roman"/>
          <w:b/>
          <w:sz w:val="24"/>
          <w:szCs w:val="24"/>
        </w:rPr>
      </w:pPr>
      <w:bookmarkStart w:id="203" w:name="_Toc197527937"/>
      <w:bookmarkStart w:id="204" w:name="_Toc198823454"/>
      <w:bookmarkStart w:id="205" w:name="_Toc206667512"/>
      <w:bookmarkStart w:id="206" w:name="_Toc215478648"/>
      <w:bookmarkStart w:id="207" w:name="_Toc215252895"/>
      <w:bookmarkStart w:id="208" w:name="_Toc822053585"/>
      <w:bookmarkStart w:id="209" w:name="_Toc207186333"/>
      <w:bookmarkStart w:id="210" w:name="_Toc213753739"/>
      <w:bookmarkStart w:id="211" w:name="_Toc214098758"/>
      <w:bookmarkStart w:id="212" w:name="_Toc213706669"/>
      <w:bookmarkStart w:id="213" w:name="_Toc215256131"/>
      <w:bookmarkStart w:id="214" w:name="_Toc198822284"/>
      <w:bookmarkStart w:id="215" w:name="_Toc1512091504"/>
      <w:r>
        <w:rPr>
          <w:rFonts w:hint="eastAsia" w:ascii="Times New Roman"/>
          <w:b/>
          <w:sz w:val="24"/>
          <w:szCs w:val="24"/>
        </w:rPr>
        <w:t>6.4.2 解译标志 interpretation sign</w:t>
      </w:r>
      <w:bookmarkEnd w:id="203"/>
      <w:bookmarkEnd w:id="204"/>
      <w:bookmarkEnd w:id="205"/>
      <w:bookmarkEnd w:id="206"/>
      <w:bookmarkEnd w:id="207"/>
      <w:bookmarkEnd w:id="208"/>
      <w:bookmarkEnd w:id="209"/>
      <w:bookmarkEnd w:id="210"/>
      <w:bookmarkEnd w:id="211"/>
      <w:bookmarkEnd w:id="212"/>
      <w:bookmarkEnd w:id="213"/>
      <w:bookmarkEnd w:id="214"/>
      <w:bookmarkEnd w:id="215"/>
    </w:p>
    <w:p>
      <w:pPr>
        <w:pStyle w:val="32"/>
        <w:spacing w:before="156" w:after="156" w:line="360" w:lineRule="auto"/>
        <w:ind w:firstLine="480"/>
        <w:rPr>
          <w:rFonts w:ascii="Times New Roman"/>
          <w:sz w:val="24"/>
          <w:szCs w:val="24"/>
        </w:rPr>
      </w:pPr>
      <w:r>
        <w:rPr>
          <w:rFonts w:ascii="Times New Roman"/>
          <w:sz w:val="24"/>
          <w:szCs w:val="24"/>
        </w:rPr>
        <w:t>参考HJ 1356-2024中“</w:t>
      </w:r>
      <w:r>
        <w:rPr>
          <w:rFonts w:hint="eastAsia" w:ascii="Times New Roman"/>
          <w:sz w:val="24"/>
          <w:szCs w:val="24"/>
        </w:rPr>
        <w:t xml:space="preserve">3.5 </w:t>
      </w:r>
      <w:r>
        <w:rPr>
          <w:rFonts w:ascii="Times New Roman"/>
          <w:sz w:val="24"/>
          <w:szCs w:val="24"/>
        </w:rPr>
        <w:t>解译标志”的定义，即卫星、无人机等遥感影像上能直接反映和判别饮用水水源地违法问题的影像信息，包括光谱、形状、大小、灰度、阴影、颜色、纹理、图案、布局和位置等</w:t>
      </w:r>
      <w:r>
        <w:rPr>
          <w:rFonts w:hint="eastAsia" w:ascii="Times New Roman"/>
          <w:sz w:val="24"/>
          <w:szCs w:val="24"/>
        </w:rPr>
        <w:t>。本标准中解译标志指根据农村小微水体污染在遥感影像上的特征进行总结所形成的适用于农村小微水体污染提取的特征，即遥感解译时，判别目标物所依据的形状、大小、纹理、颜色、位置等图像特征。</w:t>
      </w:r>
    </w:p>
    <w:p>
      <w:pPr>
        <w:pStyle w:val="32"/>
        <w:spacing w:before="156" w:after="156" w:line="360" w:lineRule="auto"/>
        <w:ind w:firstLine="0" w:firstLineChars="0"/>
        <w:outlineLvl w:val="2"/>
        <w:rPr>
          <w:rFonts w:ascii="Times New Roman"/>
          <w:b/>
          <w:sz w:val="24"/>
          <w:szCs w:val="24"/>
        </w:rPr>
      </w:pPr>
      <w:bookmarkStart w:id="216" w:name="_Toc207186334"/>
      <w:bookmarkStart w:id="217" w:name="_Toc213706670"/>
      <w:bookmarkStart w:id="218" w:name="_Toc215252896"/>
      <w:bookmarkStart w:id="219" w:name="_Toc206667513"/>
      <w:bookmarkStart w:id="220" w:name="_Toc213753740"/>
      <w:bookmarkStart w:id="221" w:name="_Toc198822285"/>
      <w:bookmarkStart w:id="222" w:name="_Toc214098759"/>
      <w:bookmarkStart w:id="223" w:name="_Toc670634395"/>
      <w:bookmarkStart w:id="224" w:name="_Toc215478649"/>
      <w:bookmarkStart w:id="225" w:name="_Toc197527938"/>
      <w:bookmarkStart w:id="226" w:name="_Toc215256132"/>
      <w:bookmarkStart w:id="227" w:name="_Toc198823455"/>
      <w:bookmarkStart w:id="228" w:name="_Toc416813690"/>
      <w:r>
        <w:rPr>
          <w:rFonts w:hint="eastAsia" w:ascii="Times New Roman"/>
          <w:b/>
          <w:sz w:val="24"/>
          <w:szCs w:val="24"/>
        </w:rPr>
        <w:t>6.4.3 遥感解译 remote sensing interpretation</w:t>
      </w:r>
      <w:bookmarkEnd w:id="216"/>
      <w:bookmarkEnd w:id="217"/>
      <w:bookmarkEnd w:id="218"/>
      <w:bookmarkEnd w:id="219"/>
      <w:bookmarkEnd w:id="220"/>
      <w:bookmarkEnd w:id="221"/>
      <w:bookmarkEnd w:id="222"/>
      <w:bookmarkEnd w:id="223"/>
      <w:bookmarkEnd w:id="224"/>
      <w:bookmarkEnd w:id="225"/>
      <w:bookmarkEnd w:id="226"/>
      <w:bookmarkEnd w:id="227"/>
      <w:bookmarkEnd w:id="228"/>
    </w:p>
    <w:p>
      <w:pPr>
        <w:pStyle w:val="32"/>
        <w:spacing w:before="156" w:after="156" w:line="360" w:lineRule="auto"/>
        <w:ind w:firstLine="480"/>
        <w:rPr>
          <w:rFonts w:ascii="Times New Roman"/>
          <w:sz w:val="24"/>
          <w:szCs w:val="24"/>
        </w:rPr>
      </w:pPr>
      <w:r>
        <w:rPr>
          <w:rFonts w:hint="eastAsia" w:ascii="Times New Roman"/>
          <w:sz w:val="24"/>
          <w:szCs w:val="24"/>
        </w:rPr>
        <w:t>引用HJ 1236</w:t>
      </w:r>
      <w:r>
        <w:rPr>
          <w:rFonts w:ascii="Times New Roman"/>
          <w:sz w:val="24"/>
          <w:szCs w:val="24"/>
        </w:rPr>
        <w:t>中“</w:t>
      </w:r>
      <w:r>
        <w:rPr>
          <w:rFonts w:hint="eastAsia" w:ascii="Times New Roman"/>
          <w:sz w:val="24"/>
          <w:szCs w:val="24"/>
        </w:rPr>
        <w:t>3.5 遥感解译</w:t>
      </w:r>
      <w:r>
        <w:rPr>
          <w:rFonts w:ascii="Times New Roman"/>
          <w:sz w:val="24"/>
          <w:szCs w:val="24"/>
        </w:rPr>
        <w:t>”的定义，</w:t>
      </w:r>
      <w:bookmarkStart w:id="229" w:name="OLE_LINK57"/>
      <w:bookmarkStart w:id="230" w:name="OLE_LINK58"/>
      <w:r>
        <w:rPr>
          <w:rFonts w:ascii="Times New Roman"/>
          <w:sz w:val="24"/>
          <w:szCs w:val="24"/>
        </w:rPr>
        <w:t>即</w:t>
      </w:r>
      <w:bookmarkEnd w:id="229"/>
      <w:bookmarkEnd w:id="230"/>
      <w:r>
        <w:rPr>
          <w:rFonts w:hint="eastAsia" w:ascii="Times New Roman"/>
          <w:sz w:val="24"/>
          <w:szCs w:val="24"/>
        </w:rPr>
        <w:t>根据</w:t>
      </w:r>
      <w:r>
        <w:rPr>
          <w:rFonts w:ascii="Times New Roman"/>
          <w:sz w:val="24"/>
          <w:szCs w:val="24"/>
        </w:rPr>
        <w:t>解译标志，从遥感影像上定性、定量地提取出解译目标的类型和分布等有关信息的过程</w:t>
      </w:r>
      <w:r>
        <w:rPr>
          <w:rFonts w:hint="eastAsia" w:ascii="Times New Roman"/>
          <w:sz w:val="24"/>
          <w:szCs w:val="24"/>
        </w:rPr>
        <w:t>。</w:t>
      </w:r>
    </w:p>
    <w:p>
      <w:pPr>
        <w:pStyle w:val="32"/>
        <w:spacing w:before="156" w:after="156" w:line="360" w:lineRule="auto"/>
        <w:ind w:firstLine="0" w:firstLineChars="0"/>
        <w:outlineLvl w:val="2"/>
        <w:rPr>
          <w:rFonts w:ascii="Times New Roman"/>
          <w:b/>
          <w:sz w:val="24"/>
          <w:szCs w:val="24"/>
        </w:rPr>
      </w:pPr>
      <w:bookmarkStart w:id="231" w:name="_Toc213753741"/>
      <w:bookmarkStart w:id="232" w:name="_Toc215256133"/>
      <w:bookmarkStart w:id="233" w:name="_Toc198822286"/>
      <w:bookmarkStart w:id="234" w:name="_Toc215478650"/>
      <w:bookmarkStart w:id="235" w:name="_Toc214098760"/>
      <w:bookmarkStart w:id="236" w:name="_Toc206667514"/>
      <w:bookmarkStart w:id="237" w:name="_Toc213706671"/>
      <w:bookmarkStart w:id="238" w:name="_Toc198823456"/>
      <w:bookmarkStart w:id="239" w:name="_Toc207186335"/>
      <w:bookmarkStart w:id="240" w:name="_Toc215252897"/>
      <w:bookmarkStart w:id="241" w:name="_Toc197527939"/>
      <w:bookmarkStart w:id="242" w:name="_Toc1940834140"/>
      <w:bookmarkStart w:id="243" w:name="_Toc1573833070"/>
      <w:r>
        <w:rPr>
          <w:rFonts w:hint="eastAsia" w:ascii="Times New Roman"/>
          <w:b/>
          <w:sz w:val="24"/>
          <w:szCs w:val="24"/>
        </w:rPr>
        <w:t>6.4.4 数字正射影像 digital orthophoto map</w:t>
      </w:r>
      <w:bookmarkEnd w:id="231"/>
      <w:bookmarkEnd w:id="232"/>
      <w:bookmarkEnd w:id="233"/>
      <w:bookmarkEnd w:id="234"/>
      <w:bookmarkEnd w:id="235"/>
      <w:bookmarkEnd w:id="236"/>
      <w:bookmarkEnd w:id="237"/>
      <w:bookmarkEnd w:id="238"/>
      <w:bookmarkEnd w:id="239"/>
      <w:bookmarkEnd w:id="240"/>
      <w:bookmarkEnd w:id="241"/>
      <w:bookmarkEnd w:id="242"/>
      <w:bookmarkEnd w:id="243"/>
    </w:p>
    <w:p>
      <w:pPr>
        <w:pStyle w:val="32"/>
        <w:spacing w:before="156" w:after="156" w:line="360" w:lineRule="auto"/>
        <w:ind w:firstLine="480"/>
        <w:rPr>
          <w:rFonts w:ascii="Times New Roman"/>
          <w:sz w:val="24"/>
          <w:szCs w:val="24"/>
        </w:rPr>
      </w:pPr>
      <w:r>
        <w:rPr>
          <w:rFonts w:hint="eastAsia" w:ascii="Times New Roman"/>
          <w:sz w:val="24"/>
          <w:szCs w:val="24"/>
        </w:rPr>
        <w:t>引用</w:t>
      </w:r>
      <w:bookmarkStart w:id="244" w:name="OLE_LINK310"/>
      <w:bookmarkStart w:id="245" w:name="OLE_LINK300"/>
      <w:r>
        <w:rPr>
          <w:rFonts w:hint="eastAsia" w:ascii="Times New Roman"/>
          <w:sz w:val="24"/>
          <w:szCs w:val="24"/>
        </w:rPr>
        <w:t>GB/T 14950-2009</w:t>
      </w:r>
      <w:bookmarkEnd w:id="244"/>
      <w:bookmarkEnd w:id="245"/>
      <w:r>
        <w:rPr>
          <w:rFonts w:hint="eastAsia" w:ascii="Times New Roman"/>
          <w:sz w:val="24"/>
          <w:szCs w:val="24"/>
        </w:rPr>
        <w:t>中“6.26 数字正射影像”的定义</w:t>
      </w:r>
      <w:r>
        <w:rPr>
          <w:rFonts w:ascii="Times New Roman"/>
          <w:sz w:val="24"/>
          <w:szCs w:val="24"/>
        </w:rPr>
        <w:t>，</w:t>
      </w:r>
      <w:r>
        <w:rPr>
          <w:rFonts w:hint="eastAsia" w:ascii="Times New Roman"/>
          <w:sz w:val="24"/>
          <w:szCs w:val="24"/>
        </w:rPr>
        <w:t>即经过正射投影改正的影像数据集。</w:t>
      </w:r>
    </w:p>
    <w:p>
      <w:pPr>
        <w:pStyle w:val="32"/>
        <w:spacing w:before="156" w:after="156" w:line="360" w:lineRule="auto"/>
        <w:ind w:firstLine="0" w:firstLineChars="0"/>
        <w:outlineLvl w:val="2"/>
        <w:rPr>
          <w:rFonts w:ascii="Times New Roman"/>
          <w:b/>
          <w:sz w:val="24"/>
          <w:szCs w:val="24"/>
        </w:rPr>
      </w:pPr>
      <w:bookmarkStart w:id="246" w:name="_Toc213753742"/>
      <w:bookmarkStart w:id="247" w:name="_Toc214098761"/>
      <w:bookmarkStart w:id="248" w:name="_Toc2038865012"/>
      <w:bookmarkStart w:id="249" w:name="_Toc207186336"/>
      <w:bookmarkStart w:id="250" w:name="_Toc213706672"/>
      <w:bookmarkStart w:id="251" w:name="_Toc197527940"/>
      <w:bookmarkStart w:id="252" w:name="_Toc206667515"/>
      <w:bookmarkStart w:id="253" w:name="_Toc215252898"/>
      <w:bookmarkStart w:id="254" w:name="_Toc198822287"/>
      <w:bookmarkStart w:id="255" w:name="_Toc198823457"/>
      <w:bookmarkStart w:id="256" w:name="_Toc215478651"/>
      <w:bookmarkStart w:id="257" w:name="_Toc215256134"/>
      <w:bookmarkStart w:id="258" w:name="_Toc447162159"/>
      <w:r>
        <w:rPr>
          <w:rFonts w:ascii="Times New Roman"/>
          <w:b/>
          <w:sz w:val="24"/>
          <w:szCs w:val="24"/>
        </w:rPr>
        <w:t>6.4.</w:t>
      </w:r>
      <w:r>
        <w:rPr>
          <w:rFonts w:hint="eastAsia" w:ascii="Times New Roman"/>
          <w:b/>
          <w:sz w:val="24"/>
          <w:szCs w:val="24"/>
        </w:rPr>
        <w:t>5</w:t>
      </w:r>
      <w:r>
        <w:rPr>
          <w:rFonts w:ascii="Times New Roman"/>
          <w:b/>
          <w:sz w:val="24"/>
          <w:szCs w:val="24"/>
        </w:rPr>
        <w:t xml:space="preserve"> </w:t>
      </w:r>
      <w:r>
        <w:rPr>
          <w:rFonts w:hint="eastAsia" w:ascii="Times New Roman"/>
          <w:b/>
          <w:sz w:val="24"/>
          <w:szCs w:val="24"/>
        </w:rPr>
        <w:t>解译精度</w:t>
      </w:r>
      <w:r>
        <w:rPr>
          <w:rFonts w:ascii="Times New Roman"/>
          <w:b/>
          <w:sz w:val="24"/>
          <w:szCs w:val="24"/>
        </w:rPr>
        <w:t xml:space="preserve"> </w:t>
      </w:r>
      <w:r>
        <w:rPr>
          <w:rFonts w:hint="eastAsia" w:ascii="Times New Roman"/>
          <w:b/>
          <w:sz w:val="24"/>
          <w:szCs w:val="24"/>
        </w:rPr>
        <w:t>interpretation</w:t>
      </w:r>
      <w:r>
        <w:rPr>
          <w:rFonts w:ascii="Times New Roman"/>
          <w:b/>
          <w:sz w:val="24"/>
          <w:szCs w:val="24"/>
        </w:rPr>
        <w:t xml:space="preserve"> accuracy</w:t>
      </w:r>
      <w:bookmarkEnd w:id="246"/>
      <w:bookmarkEnd w:id="247"/>
      <w:bookmarkEnd w:id="248"/>
      <w:bookmarkEnd w:id="249"/>
      <w:bookmarkEnd w:id="250"/>
      <w:bookmarkEnd w:id="251"/>
      <w:bookmarkEnd w:id="252"/>
      <w:bookmarkEnd w:id="253"/>
      <w:bookmarkEnd w:id="254"/>
      <w:bookmarkEnd w:id="255"/>
      <w:bookmarkEnd w:id="256"/>
      <w:bookmarkEnd w:id="257"/>
      <w:bookmarkEnd w:id="258"/>
    </w:p>
    <w:p>
      <w:pPr>
        <w:pStyle w:val="32"/>
        <w:spacing w:before="156" w:after="156" w:line="360" w:lineRule="auto"/>
        <w:ind w:firstLine="480"/>
        <w:rPr>
          <w:rFonts w:ascii="Times New Roman"/>
          <w:sz w:val="24"/>
          <w:szCs w:val="24"/>
          <w:highlight w:val="yellow"/>
        </w:rPr>
      </w:pPr>
      <w:r>
        <w:rPr>
          <w:rFonts w:hint="eastAsia" w:ascii="Times New Roman"/>
          <w:sz w:val="24"/>
          <w:szCs w:val="24"/>
        </w:rPr>
        <w:t>参考了</w:t>
      </w:r>
      <w:bookmarkStart w:id="259" w:name="OLE_LINK62"/>
      <w:bookmarkStart w:id="260" w:name="OLE_LINK61"/>
      <w:r>
        <w:rPr>
          <w:rFonts w:ascii="Times New Roman"/>
          <w:sz w:val="24"/>
          <w:szCs w:val="24"/>
        </w:rPr>
        <w:t>DB11/T 2217-2024</w:t>
      </w:r>
      <w:bookmarkEnd w:id="259"/>
      <w:bookmarkEnd w:id="260"/>
      <w:r>
        <w:rPr>
          <w:rFonts w:hint="eastAsia" w:ascii="Times New Roman"/>
          <w:sz w:val="24"/>
          <w:szCs w:val="24"/>
        </w:rPr>
        <w:t>中总体精度的定义，即被正确分类的遥感解译目标数量占遥感解译图斑总数的比例，有改动。本标准中的解译精度所指对象为农村小微水体污染，解译精度定义为被正确解译的图斑数量占遥感解译图斑总数量的比例。</w:t>
      </w:r>
    </w:p>
    <w:p>
      <w:pPr>
        <w:pStyle w:val="3"/>
        <w:numPr>
          <w:ilvl w:val="0"/>
          <w:numId w:val="0"/>
        </w:numPr>
        <w:spacing w:line="416" w:lineRule="auto"/>
        <w:rPr>
          <w:rFonts w:eastAsia="黑体"/>
          <w:b w:val="0"/>
          <w:kern w:val="0"/>
          <w:sz w:val="32"/>
        </w:rPr>
      </w:pPr>
      <w:bookmarkStart w:id="261" w:name="_Toc215478652"/>
      <w:bookmarkStart w:id="262" w:name="_Toc25550390"/>
      <w:r>
        <w:rPr>
          <w:rFonts w:hint="eastAsia" w:eastAsia="黑体"/>
          <w:b w:val="0"/>
          <w:kern w:val="0"/>
          <w:sz w:val="32"/>
        </w:rPr>
        <w:t>6</w:t>
      </w:r>
      <w:r>
        <w:rPr>
          <w:rFonts w:eastAsia="黑体"/>
          <w:b w:val="0"/>
          <w:kern w:val="0"/>
          <w:sz w:val="32"/>
        </w:rPr>
        <w:t>.</w:t>
      </w:r>
      <w:r>
        <w:rPr>
          <w:rFonts w:hint="eastAsia" w:eastAsia="黑体"/>
          <w:b w:val="0"/>
          <w:kern w:val="0"/>
          <w:sz w:val="32"/>
        </w:rPr>
        <w:t xml:space="preserve">5 </w:t>
      </w:r>
      <w:r>
        <w:rPr>
          <w:rFonts w:eastAsia="黑体"/>
          <w:b w:val="0"/>
          <w:kern w:val="0"/>
          <w:sz w:val="32"/>
        </w:rPr>
        <w:t>数据准备</w:t>
      </w:r>
      <w:bookmarkEnd w:id="261"/>
      <w:bookmarkEnd w:id="262"/>
    </w:p>
    <w:p>
      <w:pPr>
        <w:spacing w:line="360" w:lineRule="auto"/>
        <w:ind w:firstLine="480" w:firstLineChars="200"/>
        <w:rPr>
          <w:sz w:val="24"/>
          <w:szCs w:val="21"/>
        </w:rPr>
      </w:pPr>
      <w:bookmarkStart w:id="263" w:name="OLE_LINK69"/>
      <w:r>
        <w:rPr>
          <w:rFonts w:hint="eastAsia"/>
          <w:sz w:val="24"/>
          <w:szCs w:val="21"/>
        </w:rPr>
        <w:t>农村小微水体污染涉及多个类型，监测对象在不同时相差异大，对其开展监测的方法多样，本文件规定农村小微水体污染遥感解译的内容与方法，确保农村小微水体污染遥感监测结果具有可比性和可靠性。</w:t>
      </w:r>
    </w:p>
    <w:p>
      <w:pPr>
        <w:spacing w:line="360" w:lineRule="auto"/>
        <w:outlineLvl w:val="2"/>
        <w:rPr>
          <w:b/>
          <w:bCs/>
          <w:sz w:val="24"/>
          <w:szCs w:val="21"/>
        </w:rPr>
      </w:pPr>
      <w:bookmarkStart w:id="264" w:name="_Toc215256137"/>
      <w:bookmarkStart w:id="265" w:name="_Toc215252901"/>
      <w:bookmarkStart w:id="266" w:name="_Toc214098764"/>
      <w:bookmarkStart w:id="267" w:name="_Toc2105941118"/>
      <w:bookmarkStart w:id="268" w:name="_Toc215478653"/>
      <w:bookmarkStart w:id="269" w:name="_Toc1667759433"/>
      <w:r>
        <w:rPr>
          <w:rFonts w:hint="eastAsia"/>
          <w:b/>
          <w:bCs/>
          <w:sz w:val="24"/>
          <w:szCs w:val="21"/>
        </w:rPr>
        <w:t>6.5.1 监测</w:t>
      </w:r>
      <w:bookmarkEnd w:id="264"/>
      <w:bookmarkEnd w:id="265"/>
      <w:bookmarkEnd w:id="266"/>
      <w:r>
        <w:rPr>
          <w:rFonts w:hint="eastAsia"/>
          <w:b/>
          <w:bCs/>
          <w:sz w:val="24"/>
          <w:szCs w:val="21"/>
        </w:rPr>
        <w:t>区域</w:t>
      </w:r>
      <w:bookmarkEnd w:id="267"/>
      <w:bookmarkEnd w:id="268"/>
      <w:bookmarkEnd w:id="269"/>
    </w:p>
    <w:p>
      <w:pPr>
        <w:spacing w:line="360" w:lineRule="auto"/>
        <w:ind w:firstLine="480" w:firstLineChars="200"/>
        <w:rPr>
          <w:sz w:val="24"/>
          <w:szCs w:val="21"/>
        </w:rPr>
      </w:pPr>
      <w:bookmarkStart w:id="270" w:name="OLE_LINK301"/>
      <w:r>
        <w:rPr>
          <w:sz w:val="24"/>
          <w:szCs w:val="21"/>
        </w:rPr>
        <w:t>本标准中农村小微水体污染的</w:t>
      </w:r>
      <w:bookmarkEnd w:id="270"/>
      <w:r>
        <w:rPr>
          <w:sz w:val="24"/>
          <w:szCs w:val="21"/>
        </w:rPr>
        <w:t>监测范围参考了《农村黑臭水体治理工作指南》的要求，具体范围在“农村小微水体”术语中做了说明。</w:t>
      </w:r>
    </w:p>
    <w:bookmarkEnd w:id="263"/>
    <w:p>
      <w:pPr>
        <w:spacing w:line="360" w:lineRule="auto"/>
        <w:outlineLvl w:val="2"/>
        <w:rPr>
          <w:b/>
          <w:bCs/>
          <w:sz w:val="24"/>
          <w:szCs w:val="21"/>
        </w:rPr>
      </w:pPr>
      <w:bookmarkStart w:id="271" w:name="_Toc131516471"/>
      <w:bookmarkStart w:id="272" w:name="_Toc32537"/>
      <w:bookmarkStart w:id="273" w:name="_Toc198823460"/>
      <w:bookmarkStart w:id="274" w:name="_Toc215256138"/>
      <w:bookmarkStart w:id="275" w:name="_Toc213753745"/>
      <w:bookmarkStart w:id="276" w:name="OLE_LINK18"/>
      <w:bookmarkStart w:id="277" w:name="_Toc207186339"/>
      <w:bookmarkStart w:id="278" w:name="_Toc197527943"/>
      <w:bookmarkStart w:id="279" w:name="_Toc216591563"/>
      <w:bookmarkStart w:id="280" w:name="_Toc215252902"/>
      <w:bookmarkStart w:id="281" w:name="_Toc213706675"/>
      <w:bookmarkStart w:id="282" w:name="OLE_LINK19"/>
      <w:bookmarkStart w:id="283" w:name="OLE_LINK28"/>
      <w:bookmarkStart w:id="284" w:name="_Toc206667518"/>
      <w:bookmarkStart w:id="285" w:name="_Toc198822290"/>
      <w:bookmarkStart w:id="286" w:name="_Toc215478654"/>
      <w:bookmarkStart w:id="287" w:name="_Toc214098765"/>
      <w:bookmarkStart w:id="288" w:name="_Toc156465798"/>
      <w:bookmarkStart w:id="289" w:name="OLE_LINK12"/>
      <w:bookmarkStart w:id="290" w:name="OLE_LINK295"/>
      <w:r>
        <w:rPr>
          <w:rFonts w:hint="eastAsia"/>
          <w:b/>
          <w:bCs/>
          <w:sz w:val="24"/>
          <w:szCs w:val="21"/>
        </w:rPr>
        <w:t>6.5.</w:t>
      </w:r>
      <w:bookmarkEnd w:id="271"/>
      <w:bookmarkEnd w:id="272"/>
      <w:r>
        <w:rPr>
          <w:rFonts w:hint="eastAsia"/>
          <w:b/>
          <w:bCs/>
          <w:sz w:val="24"/>
          <w:szCs w:val="21"/>
        </w:rPr>
        <w:t>2 遥感影像</w:t>
      </w:r>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p>
    <w:bookmarkEnd w:id="289"/>
    <w:bookmarkEnd w:id="290"/>
    <w:p>
      <w:pPr>
        <w:spacing w:line="360" w:lineRule="auto"/>
        <w:outlineLvl w:val="3"/>
        <w:rPr>
          <w:sz w:val="24"/>
        </w:rPr>
      </w:pPr>
      <w:bookmarkStart w:id="291" w:name="OLE_LINK20"/>
      <w:r>
        <w:rPr>
          <w:rFonts w:hint="eastAsia"/>
          <w:b/>
          <w:bCs/>
          <w:sz w:val="24"/>
          <w:szCs w:val="21"/>
        </w:rPr>
        <w:t>6.5.2.1 基本要求</w:t>
      </w:r>
    </w:p>
    <w:bookmarkEnd w:id="291"/>
    <w:p>
      <w:pPr>
        <w:spacing w:line="360" w:lineRule="auto"/>
        <w:ind w:firstLine="480" w:firstLineChars="200"/>
        <w:rPr>
          <w:sz w:val="24"/>
        </w:rPr>
      </w:pPr>
      <w:bookmarkStart w:id="292" w:name="OLE_LINK302"/>
      <w:r>
        <w:rPr>
          <w:rFonts w:hint="eastAsia"/>
          <w:sz w:val="24"/>
        </w:rPr>
        <w:t>获取</w:t>
      </w:r>
      <w:bookmarkEnd w:id="292"/>
      <w:r>
        <w:rPr>
          <w:rFonts w:hint="eastAsia"/>
          <w:sz w:val="24"/>
        </w:rPr>
        <w:t>的遥感影像坐标系应符合相关政策要求，宜使用2000国家大地坐标系，以保证现场调查工作能够顺利开展。农村小微水体污染的水域面积通常较小，为减少混合像元的影响，遥感影像的分辨率须选用亚米级。农村小微水体污染的存续状态受降水、蒸发、人工补水等因素影响较大，为了缩小同期监测结果因时间差异产生的干扰，开展农村小微水体污染遥感解译所采用的同一期遥感影像拍摄时间须控制在30个自然日内；农村小微水体污染结冰后，其污染特征不明显，因此，</w:t>
      </w:r>
      <w:bookmarkStart w:id="293" w:name="OLE_LINK70"/>
      <w:bookmarkStart w:id="294" w:name="OLE_LINK72"/>
      <w:r>
        <w:rPr>
          <w:rFonts w:hint="eastAsia"/>
          <w:sz w:val="24"/>
        </w:rPr>
        <w:t>冬季遥感影像须在非结冰期拍</w:t>
      </w:r>
      <w:bookmarkEnd w:id="293"/>
      <w:bookmarkEnd w:id="294"/>
      <w:r>
        <w:rPr>
          <w:rFonts w:hint="eastAsia"/>
          <w:sz w:val="24"/>
        </w:rPr>
        <w:t>摄。当遥感影像云覆盖量较大时，会干扰遥感解译过程，为降低云的干扰作用，须保证遥感影像云覆盖范围小于等于5%，</w:t>
      </w:r>
      <w:bookmarkStart w:id="295" w:name="OLE_LINK303"/>
      <w:r>
        <w:rPr>
          <w:rFonts w:hint="eastAsia"/>
          <w:sz w:val="24"/>
        </w:rPr>
        <w:t>且小微水体所在的位置完全无云层覆盖。</w:t>
      </w:r>
      <w:bookmarkEnd w:id="295"/>
      <w:bookmarkStart w:id="296" w:name="OLE_LINK304"/>
      <w:r>
        <w:rPr>
          <w:rFonts w:hint="eastAsia"/>
          <w:sz w:val="24"/>
        </w:rPr>
        <w:t>当云量覆</w:t>
      </w:r>
      <w:bookmarkEnd w:id="296"/>
      <w:r>
        <w:rPr>
          <w:rFonts w:hint="eastAsia"/>
          <w:sz w:val="24"/>
        </w:rPr>
        <w:t>盖过高或农村小微水体所在位置有云层覆盖时，会影响对农村小微水体污染的综合判断。</w:t>
      </w:r>
    </w:p>
    <w:p>
      <w:pPr>
        <w:spacing w:line="360" w:lineRule="auto"/>
        <w:outlineLvl w:val="3"/>
        <w:rPr>
          <w:sz w:val="24"/>
        </w:rPr>
      </w:pPr>
      <w:bookmarkStart w:id="297" w:name="OLE_LINK27"/>
      <w:r>
        <w:rPr>
          <w:rFonts w:hint="eastAsia"/>
          <w:b/>
          <w:bCs/>
          <w:sz w:val="24"/>
          <w:szCs w:val="21"/>
        </w:rPr>
        <w:t>6.5.2.2 预处理要求</w:t>
      </w:r>
    </w:p>
    <w:bookmarkEnd w:id="297"/>
    <w:p>
      <w:pPr>
        <w:spacing w:line="360" w:lineRule="auto"/>
        <w:ind w:firstLine="480"/>
        <w:rPr>
          <w:sz w:val="24"/>
        </w:rPr>
      </w:pPr>
      <w:r>
        <w:rPr>
          <w:rFonts w:hint="eastAsia"/>
          <w:sz w:val="24"/>
        </w:rPr>
        <w:t>开展农村小微水体</w:t>
      </w:r>
      <w:bookmarkStart w:id="298" w:name="OLE_LINK74"/>
      <w:bookmarkStart w:id="299" w:name="OLE_LINK73"/>
      <w:r>
        <w:rPr>
          <w:rFonts w:hint="eastAsia"/>
          <w:sz w:val="24"/>
        </w:rPr>
        <w:t>污染遥感</w:t>
      </w:r>
      <w:bookmarkEnd w:id="298"/>
      <w:bookmarkEnd w:id="299"/>
      <w:r>
        <w:rPr>
          <w:rFonts w:hint="eastAsia"/>
          <w:sz w:val="24"/>
        </w:rPr>
        <w:t>解译前，须</w:t>
      </w:r>
      <w:bookmarkStart w:id="300" w:name="OLE_LINK81"/>
      <w:bookmarkStart w:id="301" w:name="OLE_LINK82"/>
      <w:r>
        <w:rPr>
          <w:rFonts w:hint="eastAsia"/>
          <w:sz w:val="24"/>
        </w:rPr>
        <w:t>保证</w:t>
      </w:r>
      <w:bookmarkEnd w:id="300"/>
      <w:bookmarkEnd w:id="301"/>
      <w:r>
        <w:rPr>
          <w:rFonts w:hint="eastAsia"/>
          <w:sz w:val="24"/>
        </w:rPr>
        <w:t>遥感</w:t>
      </w:r>
      <w:r>
        <w:rPr>
          <w:sz w:val="24"/>
        </w:rPr>
        <w:t>影像</w:t>
      </w:r>
      <w:r>
        <w:rPr>
          <w:rFonts w:hint="eastAsia"/>
          <w:sz w:val="24"/>
        </w:rPr>
        <w:t>已完成</w:t>
      </w:r>
      <w:r>
        <w:rPr>
          <w:sz w:val="24"/>
        </w:rPr>
        <w:t>大气校正、正射校正、</w:t>
      </w:r>
      <w:r>
        <w:rPr>
          <w:rFonts w:hint="eastAsia"/>
          <w:sz w:val="24"/>
        </w:rPr>
        <w:t>影像融合</w:t>
      </w:r>
      <w:r>
        <w:rPr>
          <w:sz w:val="24"/>
        </w:rPr>
        <w:t>预处理</w:t>
      </w:r>
      <w:r>
        <w:rPr>
          <w:rFonts w:hint="eastAsia"/>
          <w:sz w:val="24"/>
        </w:rPr>
        <w:t>工作</w:t>
      </w:r>
      <w:r>
        <w:rPr>
          <w:sz w:val="24"/>
        </w:rPr>
        <w:t>，必要时可增加影像镶嵌、影像匀色等预处理环节，</w:t>
      </w:r>
      <w:r>
        <w:rPr>
          <w:rFonts w:hint="eastAsia"/>
          <w:sz w:val="24"/>
        </w:rPr>
        <w:t>确保遥感</w:t>
      </w:r>
      <w:r>
        <w:rPr>
          <w:sz w:val="24"/>
        </w:rPr>
        <w:t>影像上农村小微水体的颜色、纹理等遥感特征与真实情况一致</w:t>
      </w:r>
      <w:r>
        <w:rPr>
          <w:rFonts w:hint="eastAsia"/>
          <w:sz w:val="24"/>
        </w:rPr>
        <w:t>，降低</w:t>
      </w:r>
      <w:r>
        <w:rPr>
          <w:sz w:val="24"/>
        </w:rPr>
        <w:t>辐射误差、几何误差等因素对农村小微水体污染</w:t>
      </w:r>
      <w:r>
        <w:rPr>
          <w:rFonts w:hint="eastAsia"/>
          <w:sz w:val="24"/>
        </w:rPr>
        <w:t>遥感解译结果</w:t>
      </w:r>
      <w:r>
        <w:rPr>
          <w:sz w:val="24"/>
        </w:rPr>
        <w:t>的影响。为确保遥感影像质量满足要求，预处理操作应符合GB</w:t>
      </w:r>
      <w:r>
        <w:rPr>
          <w:rFonts w:hint="eastAsia"/>
          <w:sz w:val="24"/>
        </w:rPr>
        <w:t xml:space="preserve"> 50167的相关要求。</w:t>
      </w:r>
    </w:p>
    <w:p>
      <w:pPr>
        <w:spacing w:line="360" w:lineRule="auto"/>
        <w:outlineLvl w:val="2"/>
        <w:rPr>
          <w:b/>
          <w:bCs/>
          <w:sz w:val="24"/>
          <w:szCs w:val="21"/>
        </w:rPr>
      </w:pPr>
      <w:bookmarkStart w:id="302" w:name="_Toc215256139"/>
      <w:bookmarkStart w:id="303" w:name="_Toc207186340"/>
      <w:bookmarkStart w:id="304" w:name="_Toc1702875721"/>
      <w:bookmarkStart w:id="305" w:name="_Toc214098766"/>
      <w:bookmarkStart w:id="306" w:name="_Toc215478655"/>
      <w:bookmarkStart w:id="307" w:name="_Toc213753746"/>
      <w:bookmarkStart w:id="308" w:name="_Toc213706676"/>
      <w:bookmarkStart w:id="309" w:name="_Toc215252903"/>
      <w:bookmarkStart w:id="310" w:name="_Toc2119830105"/>
      <w:r>
        <w:rPr>
          <w:rFonts w:hint="eastAsia"/>
          <w:b/>
          <w:bCs/>
          <w:sz w:val="24"/>
          <w:szCs w:val="21"/>
        </w:rPr>
        <w:t>6.5.3 基础数据</w:t>
      </w:r>
      <w:bookmarkEnd w:id="302"/>
      <w:bookmarkEnd w:id="303"/>
      <w:bookmarkEnd w:id="304"/>
      <w:bookmarkEnd w:id="305"/>
      <w:bookmarkEnd w:id="306"/>
      <w:bookmarkEnd w:id="307"/>
      <w:bookmarkEnd w:id="308"/>
      <w:bookmarkEnd w:id="309"/>
      <w:bookmarkEnd w:id="310"/>
    </w:p>
    <w:p>
      <w:pPr>
        <w:spacing w:line="360" w:lineRule="auto"/>
        <w:ind w:firstLine="480" w:firstLineChars="200"/>
        <w:rPr>
          <w:sz w:val="24"/>
        </w:rPr>
      </w:pPr>
      <w:bookmarkStart w:id="311" w:name="OLE_LINK181"/>
      <w:bookmarkStart w:id="312" w:name="OLE_LINK182"/>
      <w:r>
        <w:rPr>
          <w:sz w:val="24"/>
        </w:rPr>
        <w:t>为提高农村小微水体污染遥感解译的</w:t>
      </w:r>
      <w:bookmarkEnd w:id="311"/>
      <w:bookmarkEnd w:id="312"/>
      <w:r>
        <w:rPr>
          <w:rFonts w:hint="eastAsia"/>
          <w:sz w:val="24"/>
        </w:rPr>
        <w:t>精度</w:t>
      </w:r>
      <w:r>
        <w:rPr>
          <w:sz w:val="24"/>
        </w:rPr>
        <w:t>，更好地支撑管理部门开展农村</w:t>
      </w:r>
      <w:r>
        <w:rPr>
          <w:rFonts w:hint="eastAsia"/>
          <w:sz w:val="24"/>
        </w:rPr>
        <w:t>小微</w:t>
      </w:r>
      <w:r>
        <w:rPr>
          <w:sz w:val="24"/>
        </w:rPr>
        <w:t>水体污染治理工作，需要收集</w:t>
      </w:r>
      <w:r>
        <w:rPr>
          <w:rFonts w:hint="eastAsia"/>
          <w:sz w:val="24"/>
        </w:rPr>
        <w:t>行政区划、自然村、水体分布、畜禽养殖场、工业企业、排污口、垃圾填埋场、养鱼塘、农村污水收集输运分布等数据，锁定解译范围，帮助解译人员判断监测对象属性，提高遥感解译精度。</w:t>
      </w:r>
    </w:p>
    <w:p>
      <w:pPr>
        <w:spacing w:line="360" w:lineRule="auto"/>
        <w:outlineLvl w:val="1"/>
        <w:rPr>
          <w:rFonts w:eastAsia="黑体"/>
          <w:bCs/>
          <w:kern w:val="0"/>
          <w:sz w:val="32"/>
          <w:szCs w:val="32"/>
        </w:rPr>
      </w:pPr>
      <w:bookmarkStart w:id="313" w:name="_Toc197527944"/>
      <w:bookmarkStart w:id="314" w:name="_Toc215478656"/>
      <w:bookmarkStart w:id="315" w:name="_Toc697252228"/>
      <w:bookmarkStart w:id="316" w:name="OLE_LINK26"/>
      <w:bookmarkStart w:id="317" w:name="OLE_LINK25"/>
      <w:r>
        <w:rPr>
          <w:rFonts w:hint="eastAsia" w:eastAsia="黑体"/>
          <w:bCs/>
          <w:kern w:val="0"/>
          <w:sz w:val="32"/>
          <w:szCs w:val="32"/>
        </w:rPr>
        <w:t>6</w:t>
      </w:r>
      <w:r>
        <w:rPr>
          <w:rFonts w:eastAsia="黑体"/>
          <w:bCs/>
          <w:kern w:val="0"/>
          <w:sz w:val="32"/>
          <w:szCs w:val="32"/>
        </w:rPr>
        <w:t>.</w:t>
      </w:r>
      <w:r>
        <w:rPr>
          <w:rFonts w:hint="eastAsia" w:eastAsia="黑体"/>
          <w:bCs/>
          <w:kern w:val="0"/>
          <w:sz w:val="32"/>
          <w:szCs w:val="32"/>
        </w:rPr>
        <w:t>6 遥感解译</w:t>
      </w:r>
      <w:bookmarkEnd w:id="313"/>
      <w:bookmarkEnd w:id="314"/>
      <w:bookmarkEnd w:id="315"/>
    </w:p>
    <w:p>
      <w:pPr>
        <w:spacing w:line="360" w:lineRule="auto"/>
        <w:outlineLvl w:val="2"/>
        <w:rPr>
          <w:b/>
          <w:bCs/>
          <w:sz w:val="24"/>
          <w:szCs w:val="21"/>
        </w:rPr>
      </w:pPr>
      <w:bookmarkStart w:id="318" w:name="_Toc198822293"/>
      <w:bookmarkStart w:id="319" w:name="_Toc215256141"/>
      <w:bookmarkStart w:id="320" w:name="_Toc207186342"/>
      <w:bookmarkStart w:id="321" w:name="_Toc206667520"/>
      <w:bookmarkStart w:id="322" w:name="_Toc1632384780"/>
      <w:bookmarkStart w:id="323" w:name="_Toc213753748"/>
      <w:bookmarkStart w:id="324" w:name="_Toc213706678"/>
      <w:bookmarkStart w:id="325" w:name="_Toc215478657"/>
      <w:bookmarkStart w:id="326" w:name="_Toc198823462"/>
      <w:bookmarkStart w:id="327" w:name="_Toc214098768"/>
      <w:bookmarkStart w:id="328" w:name="_Toc215252905"/>
      <w:bookmarkStart w:id="329" w:name="_Toc611597140"/>
      <w:r>
        <w:rPr>
          <w:rFonts w:hint="eastAsia"/>
          <w:b/>
          <w:bCs/>
          <w:sz w:val="24"/>
          <w:szCs w:val="21"/>
        </w:rPr>
        <w:t>6</w:t>
      </w:r>
      <w:r>
        <w:rPr>
          <w:b/>
          <w:bCs/>
          <w:sz w:val="24"/>
          <w:szCs w:val="21"/>
        </w:rPr>
        <w:t>.</w:t>
      </w:r>
      <w:r>
        <w:rPr>
          <w:rFonts w:hint="eastAsia"/>
          <w:b/>
          <w:bCs/>
          <w:sz w:val="24"/>
          <w:szCs w:val="21"/>
        </w:rPr>
        <w:t>6</w:t>
      </w:r>
      <w:r>
        <w:rPr>
          <w:b/>
          <w:bCs/>
          <w:sz w:val="24"/>
          <w:szCs w:val="21"/>
        </w:rPr>
        <w:t>.1</w:t>
      </w:r>
      <w:r>
        <w:rPr>
          <w:rFonts w:hint="eastAsia"/>
          <w:b/>
          <w:bCs/>
          <w:sz w:val="24"/>
          <w:szCs w:val="21"/>
        </w:rPr>
        <w:t xml:space="preserve"> 解译方法</w:t>
      </w:r>
      <w:bookmarkEnd w:id="318"/>
      <w:bookmarkEnd w:id="319"/>
      <w:bookmarkEnd w:id="320"/>
      <w:bookmarkEnd w:id="321"/>
      <w:bookmarkEnd w:id="322"/>
      <w:bookmarkEnd w:id="323"/>
      <w:bookmarkEnd w:id="324"/>
      <w:bookmarkEnd w:id="325"/>
      <w:bookmarkEnd w:id="326"/>
      <w:bookmarkEnd w:id="327"/>
      <w:bookmarkEnd w:id="328"/>
      <w:bookmarkEnd w:id="329"/>
    </w:p>
    <w:bookmarkEnd w:id="316"/>
    <w:bookmarkEnd w:id="317"/>
    <w:p>
      <w:pPr>
        <w:spacing w:line="360" w:lineRule="auto"/>
        <w:ind w:firstLine="480" w:firstLineChars="200"/>
        <w:rPr>
          <w:sz w:val="24"/>
          <w:szCs w:val="21"/>
        </w:rPr>
      </w:pPr>
      <w:bookmarkStart w:id="330" w:name="OLE_LINK183"/>
      <w:bookmarkStart w:id="331" w:name="OLE_LINK187"/>
      <w:bookmarkStart w:id="332" w:name="OLE_LINK186"/>
      <w:r>
        <w:rPr>
          <w:rFonts w:hint="eastAsia"/>
          <w:sz w:val="24"/>
          <w:szCs w:val="21"/>
        </w:rPr>
        <w:t>开展农村小微水体污染遥感解译时</w:t>
      </w:r>
      <w:bookmarkEnd w:id="330"/>
      <w:r>
        <w:rPr>
          <w:rFonts w:hint="eastAsia"/>
          <w:sz w:val="24"/>
          <w:szCs w:val="21"/>
        </w:rPr>
        <w:t>，</w:t>
      </w:r>
      <w:bookmarkStart w:id="333" w:name="OLE_LINK185"/>
      <w:bookmarkStart w:id="334" w:name="OLE_LINK184"/>
      <w:r>
        <w:rPr>
          <w:rFonts w:hint="eastAsia"/>
          <w:sz w:val="24"/>
          <w:szCs w:val="21"/>
        </w:rPr>
        <w:t>根据解译标志准确</w:t>
      </w:r>
      <w:bookmarkEnd w:id="333"/>
      <w:bookmarkEnd w:id="334"/>
      <w:r>
        <w:rPr>
          <w:rFonts w:hint="eastAsia"/>
          <w:sz w:val="24"/>
          <w:szCs w:val="21"/>
        </w:rPr>
        <w:t>判断提取农村小微水体污染图斑</w:t>
      </w:r>
      <w:bookmarkStart w:id="335" w:name="OLE_LINK83"/>
      <w:bookmarkStart w:id="336" w:name="OLE_LINK84"/>
      <w:r>
        <w:rPr>
          <w:rFonts w:hint="eastAsia"/>
          <w:sz w:val="24"/>
          <w:szCs w:val="21"/>
        </w:rPr>
        <w:t>是遥感</w:t>
      </w:r>
      <w:bookmarkEnd w:id="335"/>
      <w:bookmarkEnd w:id="336"/>
      <w:r>
        <w:rPr>
          <w:rFonts w:hint="eastAsia"/>
          <w:sz w:val="24"/>
          <w:szCs w:val="21"/>
        </w:rPr>
        <w:t>解译结果是否准确的关键。</w:t>
      </w:r>
      <w:bookmarkEnd w:id="331"/>
      <w:bookmarkEnd w:id="332"/>
      <w:r>
        <w:rPr>
          <w:rFonts w:hint="eastAsia"/>
          <w:sz w:val="24"/>
          <w:szCs w:val="21"/>
        </w:rPr>
        <w:t>本文件规定对农村小微水体污染按面状图斑解译，信息提取时可采用</w:t>
      </w:r>
      <w:bookmarkStart w:id="337" w:name="OLE_LINK188"/>
      <w:bookmarkStart w:id="338" w:name="OLE_LINK189"/>
      <w:r>
        <w:rPr>
          <w:rFonts w:hint="eastAsia"/>
          <w:sz w:val="24"/>
          <w:szCs w:val="21"/>
        </w:rPr>
        <w:t>目视</w:t>
      </w:r>
      <w:bookmarkEnd w:id="337"/>
      <w:bookmarkEnd w:id="338"/>
      <w:r>
        <w:rPr>
          <w:rFonts w:hint="eastAsia"/>
          <w:sz w:val="24"/>
          <w:szCs w:val="21"/>
        </w:rPr>
        <w:t>解译、智能识别或定量反演等方法。采用目视解译法提取农村小微水体污染图斑时，应参考表1及表2中农村小微水体类型解译标志及农村小微水体污染颜色解译标志。当监测对象的遥感影像特征显著，且识别精度满足要求时，可以选择采用智能识别方法。此外，可以利用遥感光谱反射率数据，根据小微水体污染的遥感反演模型，采用定量反演方法开展农村小微水体污染的遥感解译工作。不同规模的目标物在影像上的表征不同，解译时需要综合考虑经济性和科学性，选择合适分辨率的遥感影像，并采用合适的比例尺，使目标物在影像上清晰可识别，保证遥感解译精度。</w:t>
      </w:r>
      <w:bookmarkStart w:id="339" w:name="OLE_LINK279"/>
      <w:bookmarkStart w:id="340" w:name="OLE_LINK280"/>
      <w:r>
        <w:rPr>
          <w:rFonts w:hint="eastAsia"/>
          <w:sz w:val="24"/>
          <w:szCs w:val="21"/>
        </w:rPr>
        <w:t>表1所列水体类型，为北京市农村小微水体污染遥感监测实践中总结的常见类型，</w:t>
      </w:r>
      <w:bookmarkEnd w:id="339"/>
      <w:bookmarkEnd w:id="340"/>
      <w:r>
        <w:rPr>
          <w:rFonts w:hint="eastAsia"/>
          <w:sz w:val="24"/>
          <w:szCs w:val="21"/>
        </w:rPr>
        <w:t>表2中的颜色解译标志基本涵盖了北京市所有农村小微水体污染遥感监测过程中涉及到的颜色类型。</w:t>
      </w:r>
    </w:p>
    <w:p>
      <w:pPr>
        <w:spacing w:line="360" w:lineRule="auto"/>
        <w:jc w:val="center"/>
        <w:rPr>
          <w:rFonts w:ascii="黑体" w:hAnsi="黑体" w:eastAsia="黑体"/>
        </w:rPr>
      </w:pPr>
      <w:bookmarkStart w:id="341" w:name="OLE_LINK278"/>
      <w:r>
        <w:rPr>
          <w:rFonts w:ascii="黑体" w:hAnsi="黑体" w:eastAsia="黑体"/>
        </w:rPr>
        <w:br w:type="page"/>
      </w:r>
    </w:p>
    <w:p>
      <w:pPr>
        <w:spacing w:line="360" w:lineRule="auto"/>
        <w:jc w:val="center"/>
        <w:rPr>
          <w:rFonts w:ascii="黑体" w:hAnsi="黑体" w:eastAsia="黑体"/>
        </w:rPr>
      </w:pPr>
      <w:r>
        <w:rPr>
          <w:rFonts w:hint="eastAsia" w:ascii="黑体" w:hAnsi="黑体" w:eastAsia="黑体"/>
        </w:rPr>
        <w:t>表1农村小微水体类型解译标志</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5"/>
        <w:gridCol w:w="3299"/>
        <w:gridCol w:w="41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649" w:type="pct"/>
            <w:vAlign w:val="center"/>
          </w:tcPr>
          <w:p>
            <w:pPr>
              <w:adjustRightInd w:val="0"/>
              <w:jc w:val="center"/>
              <w:rPr>
                <w:rFonts w:ascii="宋体" w:hAnsi="宋体"/>
                <w:b/>
                <w:sz w:val="18"/>
                <w:szCs w:val="18"/>
              </w:rPr>
            </w:pPr>
            <w:r>
              <w:rPr>
                <w:rFonts w:hint="eastAsia" w:ascii="宋体" w:hAnsi="宋体"/>
                <w:b/>
                <w:sz w:val="18"/>
                <w:szCs w:val="18"/>
              </w:rPr>
              <w:t>水体类型</w:t>
            </w:r>
          </w:p>
        </w:tc>
        <w:tc>
          <w:tcPr>
            <w:tcW w:w="1937" w:type="pct"/>
            <w:vAlign w:val="center"/>
          </w:tcPr>
          <w:p>
            <w:pPr>
              <w:adjustRightInd w:val="0"/>
              <w:jc w:val="center"/>
              <w:rPr>
                <w:rFonts w:ascii="宋体" w:hAnsi="宋体"/>
                <w:b/>
                <w:sz w:val="18"/>
                <w:szCs w:val="18"/>
              </w:rPr>
            </w:pPr>
            <w:r>
              <w:rPr>
                <w:rFonts w:hint="eastAsia" w:ascii="宋体" w:hAnsi="宋体"/>
                <w:b/>
                <w:sz w:val="18"/>
                <w:szCs w:val="18"/>
              </w:rPr>
              <w:t>遥感影像</w:t>
            </w:r>
          </w:p>
        </w:tc>
        <w:tc>
          <w:tcPr>
            <w:tcW w:w="2414" w:type="pct"/>
            <w:vAlign w:val="center"/>
          </w:tcPr>
          <w:p>
            <w:pPr>
              <w:adjustRightInd w:val="0"/>
              <w:jc w:val="center"/>
              <w:rPr>
                <w:rFonts w:ascii="宋体" w:hAnsi="宋体"/>
                <w:b/>
                <w:sz w:val="18"/>
                <w:szCs w:val="18"/>
              </w:rPr>
            </w:pPr>
            <w:r>
              <w:rPr>
                <w:rFonts w:hint="eastAsia" w:ascii="宋体" w:hAnsi="宋体"/>
                <w:b/>
                <w:sz w:val="18"/>
                <w:szCs w:val="18"/>
              </w:rPr>
              <w:t>现场照片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2" w:hRule="atLeast"/>
          <w:jc w:val="center"/>
        </w:trPr>
        <w:tc>
          <w:tcPr>
            <w:tcW w:w="649" w:type="pct"/>
            <w:vAlign w:val="center"/>
          </w:tcPr>
          <w:p>
            <w:pPr>
              <w:adjustRightInd w:val="0"/>
              <w:jc w:val="center"/>
              <w:rPr>
                <w:rFonts w:ascii="宋体" w:hAnsi="宋体"/>
                <w:sz w:val="18"/>
                <w:szCs w:val="18"/>
              </w:rPr>
            </w:pPr>
            <w:r>
              <w:rPr>
                <w:rFonts w:hint="eastAsia" w:ascii="宋体" w:hAnsi="宋体"/>
                <w:sz w:val="18"/>
                <w:szCs w:val="18"/>
              </w:rPr>
              <w:t>河流</w:t>
            </w:r>
          </w:p>
        </w:tc>
        <w:tc>
          <w:tcPr>
            <w:tcW w:w="1937" w:type="pct"/>
            <w:vAlign w:val="center"/>
          </w:tcPr>
          <w:p>
            <w:pPr>
              <w:adjustRightInd w:val="0"/>
              <w:jc w:val="center"/>
              <w:rPr>
                <w:rFonts w:ascii="宋体" w:hAnsi="宋体"/>
                <w:sz w:val="18"/>
                <w:szCs w:val="18"/>
              </w:rPr>
            </w:pPr>
            <w:r>
              <w:rPr>
                <w:rFonts w:ascii="宋体" w:hAnsi="宋体"/>
                <w:sz w:val="18"/>
                <w:szCs w:val="18"/>
              </w:rPr>
              <w:drawing>
                <wp:inline distT="0" distB="0" distL="0" distR="0">
                  <wp:extent cx="1438275" cy="1438275"/>
                  <wp:effectExtent l="0" t="0" r="9525" b="9525"/>
                  <wp:docPr id="8" name="图片 8"/>
                  <wp:cNvGraphicFramePr/>
                  <a:graphic xmlns:a="http://schemas.openxmlformats.org/drawingml/2006/main">
                    <a:graphicData uri="http://schemas.openxmlformats.org/drawingml/2006/picture">
                      <pic:pic xmlns:pic="http://schemas.openxmlformats.org/drawingml/2006/picture">
                        <pic:nvPicPr>
                          <pic:cNvPr id="8" name="图片 8"/>
                          <pic:cNvPicPr>
                            <a:picLocks noChangeArrowheads="true"/>
                          </pic:cNvPicPr>
                        </pic:nvPicPr>
                        <pic:blipFill>
                          <a:blip r:embed="rId9">
                            <a:extLst>
                              <a:ext uri="{28A0092B-C50C-407E-A947-70E740481C1C}">
                                <a14:useLocalDpi xmlns:a14="http://schemas.microsoft.com/office/drawing/2010/main" val="false"/>
                              </a:ext>
                            </a:extLst>
                          </a:blip>
                          <a:srcRect r="7156"/>
                          <a:stretch>
                            <a:fillRect/>
                          </a:stretch>
                        </pic:blipFill>
                        <pic:spPr>
                          <a:xfrm>
                            <a:off x="0" y="0"/>
                            <a:ext cx="1438275" cy="1438275"/>
                          </a:xfrm>
                          <a:prstGeom prst="rect">
                            <a:avLst/>
                          </a:prstGeom>
                          <a:noFill/>
                          <a:ln>
                            <a:noFill/>
                          </a:ln>
                        </pic:spPr>
                      </pic:pic>
                    </a:graphicData>
                  </a:graphic>
                </wp:inline>
              </w:drawing>
            </w:r>
          </w:p>
        </w:tc>
        <w:tc>
          <w:tcPr>
            <w:tcW w:w="2414" w:type="pct"/>
            <w:vAlign w:val="center"/>
          </w:tcPr>
          <w:p>
            <w:pPr>
              <w:adjustRightInd w:val="0"/>
              <w:jc w:val="center"/>
              <w:rPr>
                <w:rFonts w:ascii="宋体" w:hAnsi="宋体"/>
                <w:sz w:val="18"/>
                <w:szCs w:val="18"/>
              </w:rPr>
            </w:pPr>
            <w:r>
              <w:rPr>
                <w:rFonts w:ascii="宋体" w:hAnsi="宋体"/>
                <w:sz w:val="18"/>
                <w:szCs w:val="18"/>
              </w:rPr>
              <w:drawing>
                <wp:inline distT="0" distB="0" distL="0" distR="0">
                  <wp:extent cx="1438275" cy="1438275"/>
                  <wp:effectExtent l="0" t="0" r="9525" b="9525"/>
                  <wp:docPr id="7" name="图片 7" descr="F:\04 污染地块项目数据（2023年度）\07疑似黑臭水体\北京市疑似黑臭水体矢量成果\外业成果\外业照片\202404_HCS-2310\20240402_HCS-2310_NE3.jpg"/>
                  <wp:cNvGraphicFramePr/>
                  <a:graphic xmlns:a="http://schemas.openxmlformats.org/drawingml/2006/main">
                    <a:graphicData uri="http://schemas.openxmlformats.org/drawingml/2006/picture">
                      <pic:pic xmlns:pic="http://schemas.openxmlformats.org/drawingml/2006/picture">
                        <pic:nvPicPr>
                          <pic:cNvPr id="7" name="图片 7" descr="F:\04 污染地块项目数据（2023年度）\07疑似黑臭水体\北京市疑似黑臭水体矢量成果\外业成果\外业照片\202404_HCS-2310\20240402_HCS-2310_NE3.jpg"/>
                          <pic:cNvPicPr>
                            <a:picLocks noChangeArrowheads="true"/>
                          </pic:cNvPicPr>
                        </pic:nvPicPr>
                        <pic:blipFill>
                          <a:blip r:embed="rId10">
                            <a:extLst>
                              <a:ext uri="{28A0092B-C50C-407E-A947-70E740481C1C}">
                                <a14:useLocalDpi xmlns:a14="http://schemas.microsoft.com/office/drawing/2010/main" val="false"/>
                              </a:ext>
                            </a:extLst>
                          </a:blip>
                          <a:srcRect l="9741" b="13426"/>
                          <a:stretch>
                            <a:fillRect/>
                          </a:stretch>
                        </pic:blipFill>
                        <pic:spPr>
                          <a:xfrm>
                            <a:off x="0" y="0"/>
                            <a:ext cx="1438275" cy="14382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pct"/>
            <w:vAlign w:val="center"/>
          </w:tcPr>
          <w:p>
            <w:pPr>
              <w:adjustRightInd w:val="0"/>
              <w:jc w:val="center"/>
              <w:rPr>
                <w:rFonts w:ascii="宋体" w:hAnsi="宋体"/>
                <w:sz w:val="18"/>
                <w:szCs w:val="18"/>
              </w:rPr>
            </w:pPr>
            <w:r>
              <w:rPr>
                <w:rFonts w:hint="eastAsia" w:ascii="宋体" w:hAnsi="宋体"/>
                <w:sz w:val="18"/>
                <w:szCs w:val="18"/>
              </w:rPr>
              <w:t>沟渠</w:t>
            </w:r>
          </w:p>
        </w:tc>
        <w:tc>
          <w:tcPr>
            <w:tcW w:w="1937" w:type="pct"/>
            <w:vAlign w:val="center"/>
          </w:tcPr>
          <w:p>
            <w:pPr>
              <w:adjustRightInd w:val="0"/>
              <w:jc w:val="center"/>
              <w:rPr>
                <w:rFonts w:ascii="宋体" w:hAnsi="宋体"/>
                <w:sz w:val="18"/>
                <w:szCs w:val="18"/>
              </w:rPr>
            </w:pPr>
            <w:r>
              <w:rPr>
                <w:rFonts w:ascii="宋体" w:hAnsi="宋体"/>
                <w:sz w:val="18"/>
                <w:szCs w:val="18"/>
              </w:rPr>
              <w:drawing>
                <wp:inline distT="0" distB="0" distL="0" distR="0">
                  <wp:extent cx="1438275" cy="1438275"/>
                  <wp:effectExtent l="0" t="0" r="9525" b="9525"/>
                  <wp:docPr id="6" name="图片 6"/>
                  <wp:cNvGraphicFramePr/>
                  <a:graphic xmlns:a="http://schemas.openxmlformats.org/drawingml/2006/main">
                    <a:graphicData uri="http://schemas.openxmlformats.org/drawingml/2006/picture">
                      <pic:pic xmlns:pic="http://schemas.openxmlformats.org/drawingml/2006/picture">
                        <pic:nvPicPr>
                          <pic:cNvPr id="6" name="图片 6"/>
                          <pic:cNvPicPr>
                            <a:picLocks noChangeArrowheads="true"/>
                          </pic:cNvPicPr>
                        </pic:nvPicPr>
                        <pic:blipFill>
                          <a:blip r:embed="rId11">
                            <a:extLst>
                              <a:ext uri="{28A0092B-C50C-407E-A947-70E740481C1C}">
                                <a14:useLocalDpi xmlns:a14="http://schemas.microsoft.com/office/drawing/2010/main" val="false"/>
                              </a:ext>
                            </a:extLst>
                          </a:blip>
                          <a:srcRect/>
                          <a:stretch>
                            <a:fillRect/>
                          </a:stretch>
                        </pic:blipFill>
                        <pic:spPr>
                          <a:xfrm>
                            <a:off x="0" y="0"/>
                            <a:ext cx="1438275" cy="1438275"/>
                          </a:xfrm>
                          <a:prstGeom prst="rect">
                            <a:avLst/>
                          </a:prstGeom>
                          <a:noFill/>
                          <a:ln>
                            <a:noFill/>
                          </a:ln>
                        </pic:spPr>
                      </pic:pic>
                    </a:graphicData>
                  </a:graphic>
                </wp:inline>
              </w:drawing>
            </w:r>
          </w:p>
        </w:tc>
        <w:tc>
          <w:tcPr>
            <w:tcW w:w="2414" w:type="pct"/>
            <w:vAlign w:val="center"/>
          </w:tcPr>
          <w:p>
            <w:pPr>
              <w:widowControl/>
              <w:spacing w:before="100" w:beforeAutospacing="1" w:after="100" w:afterAutospacing="1"/>
              <w:jc w:val="center"/>
              <w:rPr>
                <w:rFonts w:ascii="宋体" w:hAnsi="宋体" w:cs="宋体"/>
                <w:kern w:val="0"/>
                <w:sz w:val="18"/>
                <w:szCs w:val="18"/>
              </w:rPr>
            </w:pPr>
            <w:r>
              <w:rPr>
                <w:rFonts w:ascii="Calibri" w:hAnsi="Calibri"/>
              </w:rPr>
              <w:drawing>
                <wp:inline distT="0" distB="0" distL="0" distR="0">
                  <wp:extent cx="1438275" cy="1438275"/>
                  <wp:effectExtent l="0" t="0" r="9525" b="9525"/>
                  <wp:docPr id="5" name="图片 5" descr="D:\外业\2024\20240923黑臭水体\黑臭水联合外业昌平20240925\外业照片\7\7-1.jpg"/>
                  <wp:cNvGraphicFramePr/>
                  <a:graphic xmlns:a="http://schemas.openxmlformats.org/drawingml/2006/main">
                    <a:graphicData uri="http://schemas.openxmlformats.org/drawingml/2006/picture">
                      <pic:pic xmlns:pic="http://schemas.openxmlformats.org/drawingml/2006/picture">
                        <pic:nvPicPr>
                          <pic:cNvPr id="5" name="图片 5" descr="D:\外业\2024\20240923黑臭水体\黑臭水联合外业昌平20240925\外业照片\7\7-1.jpg"/>
                          <pic:cNvPicPr>
                            <a:picLocks noChangeArrowheads="true"/>
                          </pic:cNvPicPr>
                        </pic:nvPicPr>
                        <pic:blipFill>
                          <a:blip r:embed="rId12">
                            <a:extLst>
                              <a:ext uri="{28A0092B-C50C-407E-A947-70E740481C1C}">
                                <a14:useLocalDpi xmlns:a14="http://schemas.microsoft.com/office/drawing/2010/main" val="false"/>
                              </a:ext>
                            </a:extLst>
                          </a:blip>
                          <a:srcRect l="14354" t="35129" r="24252" b="21188"/>
                          <a:stretch>
                            <a:fillRect/>
                          </a:stretch>
                        </pic:blipFill>
                        <pic:spPr>
                          <a:xfrm>
                            <a:off x="0" y="0"/>
                            <a:ext cx="1438275" cy="143827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49" w:type="pct"/>
            <w:vAlign w:val="center"/>
          </w:tcPr>
          <w:p>
            <w:pPr>
              <w:adjustRightInd w:val="0"/>
              <w:jc w:val="center"/>
              <w:rPr>
                <w:rFonts w:ascii="宋体" w:hAnsi="宋体"/>
                <w:sz w:val="18"/>
                <w:szCs w:val="18"/>
              </w:rPr>
            </w:pPr>
            <w:r>
              <w:rPr>
                <w:rFonts w:hint="eastAsia" w:ascii="宋体" w:hAnsi="宋体"/>
                <w:sz w:val="18"/>
                <w:szCs w:val="18"/>
              </w:rPr>
              <w:t>坑塘</w:t>
            </w:r>
          </w:p>
        </w:tc>
        <w:tc>
          <w:tcPr>
            <w:tcW w:w="1937" w:type="pct"/>
            <w:vAlign w:val="center"/>
          </w:tcPr>
          <w:p>
            <w:pPr>
              <w:adjustRightInd w:val="0"/>
              <w:jc w:val="center"/>
              <w:rPr>
                <w:rFonts w:ascii="宋体" w:hAnsi="宋体"/>
                <w:sz w:val="18"/>
                <w:szCs w:val="18"/>
              </w:rPr>
            </w:pPr>
            <w:r>
              <w:rPr>
                <w:rFonts w:ascii="宋体" w:hAnsi="宋体"/>
                <w:sz w:val="18"/>
                <w:szCs w:val="18"/>
              </w:rPr>
              <w:drawing>
                <wp:inline distT="0" distB="0" distL="0" distR="0">
                  <wp:extent cx="1438275" cy="1438275"/>
                  <wp:effectExtent l="0" t="0" r="9525" b="9525"/>
                  <wp:docPr id="3" name="图片 3"/>
                  <wp:cNvGraphicFramePr/>
                  <a:graphic xmlns:a="http://schemas.openxmlformats.org/drawingml/2006/main">
                    <a:graphicData uri="http://schemas.openxmlformats.org/drawingml/2006/picture">
                      <pic:pic xmlns:pic="http://schemas.openxmlformats.org/drawingml/2006/picture">
                        <pic:nvPicPr>
                          <pic:cNvPr id="3" name="图片 3"/>
                          <pic:cNvPicPr>
                            <a:picLocks noChangeArrowheads="true"/>
                          </pic:cNvPicPr>
                        </pic:nvPicPr>
                        <pic:blipFill>
                          <a:blip r:embed="rId13">
                            <a:extLst>
                              <a:ext uri="{28A0092B-C50C-407E-A947-70E740481C1C}">
                                <a14:useLocalDpi xmlns:a14="http://schemas.microsoft.com/office/drawing/2010/main" val="false"/>
                              </a:ext>
                            </a:extLst>
                          </a:blip>
                          <a:srcRect/>
                          <a:stretch>
                            <a:fillRect/>
                          </a:stretch>
                        </pic:blipFill>
                        <pic:spPr>
                          <a:xfrm>
                            <a:off x="0" y="0"/>
                            <a:ext cx="1438275" cy="1438275"/>
                          </a:xfrm>
                          <a:prstGeom prst="rect">
                            <a:avLst/>
                          </a:prstGeom>
                          <a:noFill/>
                          <a:ln>
                            <a:noFill/>
                          </a:ln>
                        </pic:spPr>
                      </pic:pic>
                    </a:graphicData>
                  </a:graphic>
                </wp:inline>
              </w:drawing>
            </w:r>
          </w:p>
        </w:tc>
        <w:tc>
          <w:tcPr>
            <w:tcW w:w="2414" w:type="pct"/>
            <w:vAlign w:val="center"/>
          </w:tcPr>
          <w:p>
            <w:pPr>
              <w:widowControl/>
              <w:spacing w:before="100" w:beforeAutospacing="1" w:after="100" w:afterAutospacing="1"/>
              <w:jc w:val="center"/>
              <w:rPr>
                <w:rFonts w:ascii="Calibri" w:hAnsi="Calibri"/>
              </w:rPr>
            </w:pPr>
            <w:r>
              <w:rPr>
                <w:rFonts w:ascii="Calibri" w:hAnsi="Calibri"/>
              </w:rPr>
              <w:drawing>
                <wp:inline distT="0" distB="0" distL="0" distR="0">
                  <wp:extent cx="1440180" cy="1440180"/>
                  <wp:effectExtent l="0" t="0" r="7620" b="7620"/>
                  <wp:docPr id="9" name="图片 9"/>
                  <wp:cNvGraphicFramePr/>
                  <a:graphic xmlns:a="http://schemas.openxmlformats.org/drawingml/2006/main">
                    <a:graphicData uri="http://schemas.openxmlformats.org/drawingml/2006/picture">
                      <pic:pic xmlns:pic="http://schemas.openxmlformats.org/drawingml/2006/picture">
                        <pic:nvPicPr>
                          <pic:cNvPr id="9" name="图片 9"/>
                          <pic:cNvPicPr>
                            <a:picLocks noChangeArrowheads="true"/>
                          </pic:cNvPicPr>
                        </pic:nvPicPr>
                        <pic:blipFill>
                          <a:blip r:embed="rId14">
                            <a:extLst>
                              <a:ext uri="{28A0092B-C50C-407E-A947-70E740481C1C}">
                                <a14:useLocalDpi xmlns:a14="http://schemas.microsoft.com/office/drawing/2010/main" val="false"/>
                              </a:ext>
                            </a:extLst>
                          </a:blip>
                          <a:srcRect/>
                          <a:stretch>
                            <a:fillRect/>
                          </a:stretch>
                        </pic:blipFill>
                        <pic:spPr>
                          <a:xfrm>
                            <a:off x="0" y="0"/>
                            <a:ext cx="1440180" cy="1440180"/>
                          </a:xfrm>
                          <a:prstGeom prst="rect">
                            <a:avLst/>
                          </a:prstGeom>
                          <a:noFill/>
                          <a:ln>
                            <a:noFill/>
                          </a:ln>
                        </pic:spPr>
                      </pic:pic>
                    </a:graphicData>
                  </a:graphic>
                </wp:inline>
              </w:drawing>
            </w:r>
          </w:p>
        </w:tc>
      </w:tr>
    </w:tbl>
    <w:p>
      <w:pPr>
        <w:spacing w:line="360" w:lineRule="auto"/>
        <w:jc w:val="center"/>
        <w:rPr>
          <w:rFonts w:ascii="黑体" w:hAnsi="黑体" w:eastAsia="黑体"/>
        </w:rPr>
      </w:pPr>
    </w:p>
    <w:bookmarkEnd w:id="341"/>
    <w:p>
      <w:pPr>
        <w:spacing w:line="360" w:lineRule="auto"/>
        <w:jc w:val="center"/>
        <w:rPr>
          <w:rFonts w:ascii="黑体" w:hAnsi="黑体" w:eastAsia="黑体"/>
        </w:rPr>
      </w:pPr>
      <w:r>
        <w:rPr>
          <w:rFonts w:ascii="黑体" w:hAnsi="黑体" w:eastAsia="黑体"/>
        </w:rPr>
        <w:br w:type="page"/>
      </w:r>
    </w:p>
    <w:p>
      <w:pPr>
        <w:spacing w:line="360" w:lineRule="auto"/>
        <w:jc w:val="center"/>
        <w:rPr>
          <w:rFonts w:ascii="黑体" w:hAnsi="黑体" w:eastAsia="黑体"/>
        </w:rPr>
      </w:pPr>
      <w:r>
        <w:rPr>
          <w:rFonts w:hint="eastAsia" w:ascii="黑体" w:hAnsi="黑体" w:eastAsia="黑体"/>
        </w:rPr>
        <w:t>表2农村小微水体污染</w:t>
      </w:r>
      <w:bookmarkStart w:id="342" w:name="OLE_LINK282"/>
      <w:bookmarkStart w:id="343" w:name="OLE_LINK281"/>
      <w:r>
        <w:rPr>
          <w:rFonts w:hint="eastAsia" w:ascii="黑体" w:hAnsi="黑体" w:eastAsia="黑体"/>
        </w:rPr>
        <w:t>颜色解译标志</w:t>
      </w:r>
      <w:bookmarkEnd w:id="342"/>
      <w:bookmarkEnd w:id="343"/>
    </w:p>
    <w:tbl>
      <w:tblPr>
        <w:tblStyle w:val="15"/>
        <w:tblW w:w="4998"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09"/>
        <w:gridCol w:w="3950"/>
        <w:gridCol w:w="365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93" w:hRule="atLeast"/>
        </w:trPr>
        <w:tc>
          <w:tcPr>
            <w:tcW w:w="534" w:type="pct"/>
          </w:tcPr>
          <w:p>
            <w:pPr>
              <w:spacing w:before="156" w:after="156"/>
              <w:jc w:val="center"/>
              <w:rPr>
                <w:rFonts w:ascii="宋体"/>
                <w:b/>
                <w:sz w:val="18"/>
                <w:szCs w:val="18"/>
              </w:rPr>
            </w:pPr>
            <w:r>
              <w:rPr>
                <w:rFonts w:hint="eastAsia" w:ascii="宋体"/>
                <w:b/>
                <w:sz w:val="18"/>
                <w:szCs w:val="18"/>
              </w:rPr>
              <w:t>颜色</w:t>
            </w:r>
          </w:p>
        </w:tc>
        <w:tc>
          <w:tcPr>
            <w:tcW w:w="2320" w:type="pct"/>
          </w:tcPr>
          <w:p>
            <w:pPr>
              <w:spacing w:before="156" w:after="156"/>
              <w:jc w:val="center"/>
              <w:rPr>
                <w:rFonts w:ascii="宋体"/>
                <w:b/>
                <w:sz w:val="18"/>
                <w:szCs w:val="18"/>
              </w:rPr>
            </w:pPr>
            <w:r>
              <w:rPr>
                <w:rFonts w:hint="eastAsia" w:ascii="宋体"/>
                <w:b/>
                <w:sz w:val="18"/>
                <w:szCs w:val="18"/>
              </w:rPr>
              <w:t>遥感影像</w:t>
            </w:r>
          </w:p>
        </w:tc>
        <w:tc>
          <w:tcPr>
            <w:tcW w:w="2146" w:type="pct"/>
          </w:tcPr>
          <w:p>
            <w:pPr>
              <w:spacing w:before="156" w:after="156"/>
              <w:jc w:val="center"/>
              <w:rPr>
                <w:rFonts w:ascii="宋体"/>
                <w:b/>
                <w:sz w:val="18"/>
                <w:szCs w:val="18"/>
              </w:rPr>
            </w:pPr>
            <w:r>
              <w:rPr>
                <w:rFonts w:hint="eastAsia" w:ascii="宋体"/>
                <w:b/>
                <w:sz w:val="18"/>
                <w:szCs w:val="18"/>
              </w:rPr>
              <w:t>现场照片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66" w:hRule="atLeast"/>
        </w:trPr>
        <w:tc>
          <w:tcPr>
            <w:tcW w:w="534" w:type="pct"/>
            <w:vAlign w:val="center"/>
          </w:tcPr>
          <w:p>
            <w:pPr>
              <w:spacing w:before="156" w:after="156"/>
              <w:jc w:val="center"/>
              <w:rPr>
                <w:rFonts w:ascii="宋体"/>
                <w:sz w:val="18"/>
                <w:szCs w:val="18"/>
              </w:rPr>
            </w:pPr>
            <w:r>
              <w:rPr>
                <w:rFonts w:hint="eastAsia" w:ascii="宋体"/>
                <w:sz w:val="18"/>
                <w:szCs w:val="18"/>
              </w:rPr>
              <w:t>绿色</w:t>
            </w:r>
          </w:p>
        </w:tc>
        <w:tc>
          <w:tcPr>
            <w:tcW w:w="2320" w:type="pct"/>
          </w:tcPr>
          <w:p>
            <w:pPr>
              <w:spacing w:before="156" w:after="156"/>
              <w:jc w:val="center"/>
              <w:rPr>
                <w:rFonts w:ascii="宋体"/>
                <w:sz w:val="18"/>
                <w:szCs w:val="18"/>
              </w:rPr>
            </w:pPr>
            <w:r>
              <w:drawing>
                <wp:inline distT="0" distB="0" distL="0" distR="0">
                  <wp:extent cx="1438275" cy="1438275"/>
                  <wp:effectExtent l="0" t="0" r="9525" b="9525"/>
                  <wp:docPr id="23" name="图片 23"/>
                  <wp:cNvGraphicFramePr/>
                  <a:graphic xmlns:a="http://schemas.openxmlformats.org/drawingml/2006/main">
                    <a:graphicData uri="http://schemas.openxmlformats.org/drawingml/2006/picture">
                      <pic:pic xmlns:pic="http://schemas.openxmlformats.org/drawingml/2006/picture">
                        <pic:nvPicPr>
                          <pic:cNvPr id="23" name="图片 23"/>
                          <pic:cNvPicPr>
                            <a:picLocks noChangeArrowheads="true"/>
                          </pic:cNvPicPr>
                        </pic:nvPicPr>
                        <pic:blipFill>
                          <a:blip r:embed="rId15" cstate="print">
                            <a:extLst>
                              <a:ext uri="{28A0092B-C50C-407E-A947-70E740481C1C}">
                                <a14:useLocalDpi xmlns:a14="http://schemas.microsoft.com/office/drawing/2010/main" val="false"/>
                              </a:ext>
                            </a:extLst>
                          </a:blip>
                          <a:srcRect/>
                          <a:stretch>
                            <a:fillRect/>
                          </a:stretch>
                        </pic:blipFill>
                        <pic:spPr>
                          <a:xfrm>
                            <a:off x="0" y="0"/>
                            <a:ext cx="1438275" cy="1438275"/>
                          </a:xfrm>
                          <a:prstGeom prst="rect">
                            <a:avLst/>
                          </a:prstGeom>
                          <a:noFill/>
                          <a:ln>
                            <a:noFill/>
                          </a:ln>
                        </pic:spPr>
                      </pic:pic>
                    </a:graphicData>
                  </a:graphic>
                </wp:inline>
              </w:drawing>
            </w:r>
          </w:p>
        </w:tc>
        <w:tc>
          <w:tcPr>
            <w:tcW w:w="2146" w:type="pct"/>
          </w:tcPr>
          <w:p>
            <w:pPr>
              <w:spacing w:before="156" w:after="156"/>
              <w:jc w:val="center"/>
              <w:rPr>
                <w:rFonts w:ascii="宋体"/>
                <w:sz w:val="18"/>
                <w:szCs w:val="18"/>
              </w:rPr>
            </w:pPr>
            <w:r>
              <w:rPr>
                <w:rFonts w:ascii="宋体"/>
                <w:sz w:val="18"/>
                <w:szCs w:val="18"/>
              </w:rPr>
              <w:drawing>
                <wp:inline distT="0" distB="0" distL="0" distR="0">
                  <wp:extent cx="1438275" cy="1438275"/>
                  <wp:effectExtent l="0" t="0" r="9525" b="9525"/>
                  <wp:docPr id="22" name="图片 22" descr="Y:\103.外业成果\002.生态环保项目\2025年\环保长效项目\21ATRD25059-2025年6月黑臭水体提取外业成果-2025年6月\外业照片\顺义区\1101131120000037\20250624-1101131120000037-9.jpg"/>
                  <wp:cNvGraphicFramePr/>
                  <a:graphic xmlns:a="http://schemas.openxmlformats.org/drawingml/2006/main">
                    <a:graphicData uri="http://schemas.openxmlformats.org/drawingml/2006/picture">
                      <pic:pic xmlns:pic="http://schemas.openxmlformats.org/drawingml/2006/picture">
                        <pic:nvPicPr>
                          <pic:cNvPr id="22" name="图片 22" descr="Y:\103.外业成果\002.生态环保项目\2025年\环保长效项目\21ATRD25059-2025年6月黑臭水体提取外业成果-2025年6月\外业照片\顺义区\1101131120000037\20250624-1101131120000037-9.jpg"/>
                          <pic:cNvPicPr>
                            <a:picLocks noChangeArrowheads="true"/>
                          </pic:cNvPicPr>
                        </pic:nvPicPr>
                        <pic:blipFill>
                          <a:blip r:embed="rId16">
                            <a:extLst>
                              <a:ext uri="{28A0092B-C50C-407E-A947-70E740481C1C}">
                                <a14:useLocalDpi xmlns:a14="http://schemas.microsoft.com/office/drawing/2010/main" val="false"/>
                              </a:ext>
                            </a:extLst>
                          </a:blip>
                          <a:srcRect l="15602" r="16527" b="34349"/>
                          <a:stretch>
                            <a:fillRect/>
                          </a:stretch>
                        </pic:blipFill>
                        <pic:spPr>
                          <a:xfrm>
                            <a:off x="0" y="0"/>
                            <a:ext cx="1438275" cy="1438275"/>
                          </a:xfrm>
                          <a:prstGeom prst="rect">
                            <a:avLst/>
                          </a:prstGeom>
                          <a:noFill/>
                          <a:ln>
                            <a:noFill/>
                          </a:ln>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pct"/>
            <w:vAlign w:val="center"/>
          </w:tcPr>
          <w:p>
            <w:pPr>
              <w:spacing w:before="156" w:after="156"/>
              <w:jc w:val="center"/>
              <w:rPr>
                <w:rFonts w:ascii="宋体"/>
                <w:sz w:val="18"/>
                <w:szCs w:val="18"/>
              </w:rPr>
            </w:pPr>
            <w:r>
              <w:rPr>
                <w:rFonts w:hint="eastAsia" w:ascii="宋体"/>
                <w:sz w:val="18"/>
                <w:szCs w:val="18"/>
              </w:rPr>
              <w:t>黑色</w:t>
            </w:r>
          </w:p>
        </w:tc>
        <w:tc>
          <w:tcPr>
            <w:tcW w:w="2320" w:type="pct"/>
          </w:tcPr>
          <w:p>
            <w:pPr>
              <w:spacing w:before="156" w:after="156"/>
              <w:jc w:val="center"/>
              <w:rPr>
                <w:rFonts w:ascii="宋体"/>
                <w:sz w:val="18"/>
                <w:szCs w:val="18"/>
              </w:rPr>
            </w:pPr>
            <w:r>
              <w:drawing>
                <wp:inline distT="0" distB="0" distL="0" distR="0">
                  <wp:extent cx="1438275" cy="1438275"/>
                  <wp:effectExtent l="0" t="0" r="9525" b="9525"/>
                  <wp:docPr id="15" name="图片 15"/>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5" name="图片 15"/>
                          <pic:cNvPicPr>
                            <a:picLocks noChangeAspect="true" noChangeArrowheads="true"/>
                          </pic:cNvPicPr>
                        </pic:nvPicPr>
                        <pic:blipFill>
                          <a:blip r:embed="rId17" cstate="print">
                            <a:extLst>
                              <a:ext uri="{28A0092B-C50C-407E-A947-70E740481C1C}">
                                <a14:useLocalDpi xmlns:a14="http://schemas.microsoft.com/office/drawing/2010/main" val="false"/>
                              </a:ext>
                            </a:extLst>
                          </a:blip>
                          <a:srcRect/>
                          <a:stretch>
                            <a:fillRect/>
                          </a:stretch>
                        </pic:blipFill>
                        <pic:spPr>
                          <a:xfrm>
                            <a:off x="0" y="0"/>
                            <a:ext cx="1438275" cy="1438275"/>
                          </a:xfrm>
                          <a:prstGeom prst="rect">
                            <a:avLst/>
                          </a:prstGeom>
                          <a:noFill/>
                          <a:ln>
                            <a:noFill/>
                          </a:ln>
                        </pic:spPr>
                      </pic:pic>
                    </a:graphicData>
                  </a:graphic>
                </wp:inline>
              </w:drawing>
            </w:r>
          </w:p>
        </w:tc>
        <w:tc>
          <w:tcPr>
            <w:tcW w:w="2146" w:type="pct"/>
          </w:tcPr>
          <w:p>
            <w:pPr>
              <w:spacing w:before="156" w:after="156"/>
              <w:jc w:val="center"/>
            </w:pPr>
            <w:r>
              <w:drawing>
                <wp:inline distT="0" distB="0" distL="0" distR="0">
                  <wp:extent cx="1438275" cy="1438275"/>
                  <wp:effectExtent l="0" t="0" r="9525" b="9525"/>
                  <wp:docPr id="14" name="图片 14"/>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rrowheads="true"/>
                          </pic:cNvPicPr>
                        </pic:nvPicPr>
                        <pic:blipFill>
                          <a:blip r:embed="rId18">
                            <a:extLst>
                              <a:ext uri="{28A0092B-C50C-407E-A947-70E740481C1C}">
                                <a14:useLocalDpi xmlns:a14="http://schemas.microsoft.com/office/drawing/2010/main" val="false"/>
                              </a:ext>
                            </a:extLst>
                          </a:blip>
                          <a:srcRect r="27417" b="34012"/>
                          <a:stretch>
                            <a:fillRect/>
                          </a:stretch>
                        </pic:blipFill>
                        <pic:spPr>
                          <a:xfrm>
                            <a:off x="0" y="0"/>
                            <a:ext cx="1438275" cy="1438275"/>
                          </a:xfrm>
                          <a:prstGeom prst="rect">
                            <a:avLst/>
                          </a:prstGeom>
                          <a:noFill/>
                          <a:ln>
                            <a:noFill/>
                          </a:ln>
                        </pic:spPr>
                      </pic:pic>
                    </a:graphicData>
                  </a:graphic>
                </wp:inline>
              </w:drawing>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534" w:type="pct"/>
            <w:vAlign w:val="center"/>
          </w:tcPr>
          <w:p>
            <w:pPr>
              <w:spacing w:before="156" w:after="156"/>
              <w:jc w:val="center"/>
              <w:rPr>
                <w:rFonts w:ascii="宋体"/>
                <w:sz w:val="18"/>
                <w:szCs w:val="18"/>
              </w:rPr>
            </w:pPr>
            <w:r>
              <w:rPr>
                <w:rFonts w:hint="eastAsia" w:ascii="宋体"/>
                <w:sz w:val="18"/>
                <w:szCs w:val="18"/>
              </w:rPr>
              <w:t>白色</w:t>
            </w:r>
          </w:p>
        </w:tc>
        <w:tc>
          <w:tcPr>
            <w:tcW w:w="2320" w:type="pct"/>
          </w:tcPr>
          <w:p>
            <w:pPr>
              <w:spacing w:before="156" w:after="156"/>
              <w:jc w:val="center"/>
              <w:rPr>
                <w:rFonts w:ascii="宋体"/>
                <w:sz w:val="18"/>
                <w:szCs w:val="18"/>
              </w:rPr>
            </w:pPr>
            <w:r>
              <w:drawing>
                <wp:inline distT="0" distB="0" distL="0" distR="0">
                  <wp:extent cx="1438275" cy="1438275"/>
                  <wp:effectExtent l="0" t="0" r="9525" b="9525"/>
                  <wp:docPr id="13" name="图片 1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true" noChangeArrowheads="true"/>
                          </pic:cNvPicPr>
                        </pic:nvPicPr>
                        <pic:blipFill>
                          <a:blip r:embed="rId19" cstate="print">
                            <a:extLst>
                              <a:ext uri="{28A0092B-C50C-407E-A947-70E740481C1C}">
                                <a14:useLocalDpi xmlns:a14="http://schemas.microsoft.com/office/drawing/2010/main" val="false"/>
                              </a:ext>
                            </a:extLst>
                          </a:blip>
                          <a:srcRect/>
                          <a:stretch>
                            <a:fillRect/>
                          </a:stretch>
                        </pic:blipFill>
                        <pic:spPr>
                          <a:xfrm>
                            <a:off x="0" y="0"/>
                            <a:ext cx="1438275" cy="1438275"/>
                          </a:xfrm>
                          <a:prstGeom prst="rect">
                            <a:avLst/>
                          </a:prstGeom>
                          <a:noFill/>
                          <a:ln>
                            <a:noFill/>
                          </a:ln>
                        </pic:spPr>
                      </pic:pic>
                    </a:graphicData>
                  </a:graphic>
                </wp:inline>
              </w:drawing>
            </w:r>
          </w:p>
        </w:tc>
        <w:tc>
          <w:tcPr>
            <w:tcW w:w="2146" w:type="pct"/>
          </w:tcPr>
          <w:p>
            <w:pPr>
              <w:spacing w:before="156" w:after="156"/>
              <w:jc w:val="center"/>
              <w:rPr>
                <w:rFonts w:ascii="宋体"/>
                <w:sz w:val="18"/>
                <w:szCs w:val="18"/>
              </w:rPr>
            </w:pPr>
            <w:r>
              <w:drawing>
                <wp:inline distT="0" distB="0" distL="0" distR="0">
                  <wp:extent cx="1438275" cy="1438275"/>
                  <wp:effectExtent l="0" t="0" r="9525" b="9525"/>
                  <wp:docPr id="12" name="图片 12"/>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rrowheads="true"/>
                          </pic:cNvPicPr>
                        </pic:nvPicPr>
                        <pic:blipFill>
                          <a:blip r:embed="rId20">
                            <a:extLst>
                              <a:ext uri="{28A0092B-C50C-407E-A947-70E740481C1C}">
                                <a14:useLocalDpi xmlns:a14="http://schemas.microsoft.com/office/drawing/2010/main" val="false"/>
                              </a:ext>
                            </a:extLst>
                          </a:blip>
                          <a:srcRect l="21005" r="9271" b="33333"/>
                          <a:stretch>
                            <a:fillRect/>
                          </a:stretch>
                        </pic:blipFill>
                        <pic:spPr>
                          <a:xfrm>
                            <a:off x="0" y="0"/>
                            <a:ext cx="1438275" cy="1438275"/>
                          </a:xfrm>
                          <a:prstGeom prst="rect">
                            <a:avLst/>
                          </a:prstGeom>
                          <a:noFill/>
                          <a:ln>
                            <a:noFill/>
                          </a:ln>
                        </pic:spPr>
                      </pic:pic>
                    </a:graphicData>
                  </a:graphic>
                </wp:inline>
              </w:drawing>
            </w:r>
          </w:p>
        </w:tc>
      </w:tr>
    </w:tbl>
    <w:p>
      <w:pPr>
        <w:spacing w:line="360" w:lineRule="auto"/>
        <w:outlineLvl w:val="2"/>
        <w:rPr>
          <w:b/>
          <w:bCs/>
          <w:sz w:val="24"/>
          <w:szCs w:val="21"/>
        </w:rPr>
      </w:pPr>
      <w:bookmarkStart w:id="344" w:name="_Toc197527945"/>
      <w:bookmarkStart w:id="345" w:name="_Toc207186343"/>
      <w:bookmarkStart w:id="346" w:name="_Toc198823463"/>
      <w:bookmarkStart w:id="347" w:name="_Toc215252906"/>
      <w:bookmarkStart w:id="348" w:name="_Toc213706679"/>
      <w:bookmarkStart w:id="349" w:name="_Toc956857107"/>
      <w:bookmarkStart w:id="350" w:name="_Toc213753749"/>
      <w:bookmarkStart w:id="351" w:name="_Toc215256142"/>
      <w:bookmarkStart w:id="352" w:name="_Toc206667521"/>
      <w:bookmarkStart w:id="353" w:name="_Toc214098769"/>
      <w:bookmarkStart w:id="354" w:name="_Toc215478658"/>
      <w:bookmarkStart w:id="355" w:name="_Toc198822294"/>
      <w:bookmarkStart w:id="356" w:name="_Toc1879599047"/>
      <w:r>
        <w:rPr>
          <w:rFonts w:hint="eastAsia"/>
          <w:b/>
          <w:bCs/>
          <w:sz w:val="24"/>
          <w:szCs w:val="21"/>
        </w:rPr>
        <w:t>6.6.2 解译要求</w:t>
      </w:r>
      <w:bookmarkEnd w:id="344"/>
      <w:bookmarkEnd w:id="345"/>
      <w:bookmarkEnd w:id="346"/>
      <w:bookmarkEnd w:id="347"/>
      <w:bookmarkEnd w:id="348"/>
      <w:bookmarkEnd w:id="349"/>
      <w:bookmarkEnd w:id="350"/>
      <w:bookmarkEnd w:id="351"/>
      <w:bookmarkEnd w:id="352"/>
      <w:bookmarkEnd w:id="353"/>
      <w:bookmarkEnd w:id="354"/>
      <w:bookmarkEnd w:id="355"/>
      <w:bookmarkEnd w:id="356"/>
    </w:p>
    <w:p>
      <w:pPr>
        <w:spacing w:line="360" w:lineRule="auto"/>
        <w:outlineLvl w:val="3"/>
        <w:rPr>
          <w:sz w:val="24"/>
        </w:rPr>
      </w:pPr>
      <w:bookmarkStart w:id="357" w:name="OLE_LINK76"/>
      <w:bookmarkStart w:id="358" w:name="OLE_LINK75"/>
      <w:bookmarkStart w:id="359" w:name="OLE_LINK29"/>
      <w:r>
        <w:rPr>
          <w:rFonts w:hint="eastAsia"/>
          <w:b/>
          <w:bCs/>
          <w:sz w:val="24"/>
          <w:szCs w:val="21"/>
        </w:rPr>
        <w:t>6.6.2.1</w:t>
      </w:r>
      <w:bookmarkEnd w:id="357"/>
      <w:bookmarkEnd w:id="358"/>
      <w:r>
        <w:rPr>
          <w:rFonts w:hint="eastAsia"/>
          <w:b/>
          <w:bCs/>
          <w:sz w:val="24"/>
          <w:szCs w:val="21"/>
        </w:rPr>
        <w:t xml:space="preserve"> 解译操作规则</w:t>
      </w:r>
      <w:bookmarkEnd w:id="359"/>
    </w:p>
    <w:p>
      <w:pPr>
        <w:spacing w:line="360" w:lineRule="auto"/>
        <w:ind w:firstLine="480" w:firstLineChars="200"/>
        <w:rPr>
          <w:sz w:val="24"/>
          <w:szCs w:val="21"/>
        </w:rPr>
      </w:pPr>
      <w:r>
        <w:rPr>
          <w:rFonts w:hint="eastAsia"/>
          <w:sz w:val="24"/>
          <w:szCs w:val="21"/>
        </w:rPr>
        <w:t>为保证农村小微水体污染在遥感影像上清晰、特征明显，易于解译人员判断，遥</w:t>
      </w:r>
      <w:bookmarkStart w:id="360" w:name="OLE_LINK307"/>
      <w:bookmarkStart w:id="361" w:name="OLE_LINK306"/>
      <w:r>
        <w:rPr>
          <w:rFonts w:hint="eastAsia"/>
          <w:sz w:val="24"/>
          <w:szCs w:val="21"/>
        </w:rPr>
        <w:t>感解译的比例尺宜大于1:5000</w:t>
      </w:r>
      <w:bookmarkEnd w:id="360"/>
      <w:bookmarkEnd w:id="361"/>
      <w:r>
        <w:rPr>
          <w:rFonts w:hint="eastAsia"/>
          <w:sz w:val="24"/>
          <w:szCs w:val="21"/>
        </w:rPr>
        <w:t>，该比例尺规定来源于业务实践经验。为使农村小微水体污染矢量图斑面积尽量准确，须以水岸交界处混合像元的中心分割线为准勾画农村小微水体污染图斑边界。为保证农村小微水体污染图斑与实际情况一致，解译边界线应保持连续、光滑。</w:t>
      </w:r>
    </w:p>
    <w:p>
      <w:pPr>
        <w:spacing w:line="360" w:lineRule="auto"/>
        <w:outlineLvl w:val="3"/>
        <w:rPr>
          <w:b/>
          <w:bCs/>
          <w:sz w:val="24"/>
          <w:szCs w:val="21"/>
        </w:rPr>
      </w:pPr>
      <w:bookmarkStart w:id="362" w:name="OLE_LINK33"/>
      <w:bookmarkStart w:id="363" w:name="OLE_LINK32"/>
      <w:r>
        <w:rPr>
          <w:rFonts w:hint="eastAsia"/>
          <w:b/>
          <w:bCs/>
          <w:sz w:val="24"/>
          <w:szCs w:val="21"/>
        </w:rPr>
        <w:t>6.6.2.2 解译矢量文件要求</w:t>
      </w:r>
    </w:p>
    <w:bookmarkEnd w:id="362"/>
    <w:bookmarkEnd w:id="363"/>
    <w:p>
      <w:pPr>
        <w:spacing w:line="360" w:lineRule="auto"/>
        <w:ind w:firstLine="480" w:firstLineChars="200"/>
        <w:rPr>
          <w:sz w:val="24"/>
          <w:szCs w:val="21"/>
        </w:rPr>
      </w:pPr>
      <w:bookmarkStart w:id="364" w:name="OLE_LINK190"/>
      <w:r>
        <w:rPr>
          <w:sz w:val="24"/>
          <w:szCs w:val="21"/>
        </w:rPr>
        <w:t>农村小微水体污染矢量图斑须与</w:t>
      </w:r>
      <w:bookmarkEnd w:id="364"/>
      <w:r>
        <w:rPr>
          <w:rFonts w:hint="eastAsia"/>
          <w:sz w:val="24"/>
          <w:szCs w:val="21"/>
        </w:rPr>
        <w:t>遥感</w:t>
      </w:r>
      <w:r>
        <w:rPr>
          <w:sz w:val="24"/>
          <w:szCs w:val="21"/>
        </w:rPr>
        <w:t>影像保持一致，宜选用</w:t>
      </w:r>
      <w:r>
        <w:rPr>
          <w:rFonts w:hint="eastAsia"/>
          <w:sz w:val="24"/>
          <w:szCs w:val="21"/>
        </w:rPr>
        <w:t>2000国家大地坐标系，为保证面积准确，投影坐标系须采用</w:t>
      </w:r>
      <w:r>
        <w:rPr>
          <w:sz w:val="24"/>
          <w:szCs w:val="21"/>
        </w:rPr>
        <w:t>阿尔伯斯等积圆锥投影（</w:t>
      </w:r>
      <w:r>
        <w:rPr>
          <w:rFonts w:hint="eastAsia"/>
          <w:sz w:val="24"/>
          <w:szCs w:val="21"/>
        </w:rPr>
        <w:t>Albers</w:t>
      </w:r>
      <w:bookmarkStart w:id="365" w:name="OLE_LINK30"/>
      <w:bookmarkStart w:id="366" w:name="OLE_LINK31"/>
      <w:r>
        <w:rPr>
          <w:rFonts w:hint="eastAsia"/>
          <w:sz w:val="24"/>
          <w:szCs w:val="21"/>
        </w:rPr>
        <w:t>_</w:t>
      </w:r>
      <w:bookmarkEnd w:id="365"/>
      <w:bookmarkEnd w:id="366"/>
      <w:r>
        <w:rPr>
          <w:rFonts w:hint="eastAsia"/>
          <w:sz w:val="24"/>
          <w:szCs w:val="21"/>
        </w:rPr>
        <w:t>Conic_Equal</w:t>
      </w:r>
      <w:r>
        <w:rPr>
          <w:sz w:val="24"/>
          <w:szCs w:val="21"/>
        </w:rPr>
        <w:t>_</w:t>
      </w:r>
      <w:r>
        <w:rPr>
          <w:rFonts w:hint="eastAsia"/>
          <w:sz w:val="24"/>
          <w:szCs w:val="21"/>
        </w:rPr>
        <w:t>Area</w:t>
      </w:r>
      <w:r>
        <w:rPr>
          <w:sz w:val="24"/>
          <w:szCs w:val="21"/>
        </w:rPr>
        <w:t>）</w:t>
      </w:r>
      <w:r>
        <w:rPr>
          <w:rFonts w:hint="eastAsia"/>
          <w:sz w:val="24"/>
          <w:szCs w:val="21"/>
        </w:rPr>
        <w:t>。为便于成果管理和信息查询，</w:t>
      </w:r>
      <w:bookmarkStart w:id="367" w:name="OLE_LINK85"/>
      <w:bookmarkStart w:id="368" w:name="OLE_LINK86"/>
      <w:r>
        <w:rPr>
          <w:rFonts w:hint="eastAsia"/>
          <w:sz w:val="24"/>
          <w:szCs w:val="21"/>
        </w:rPr>
        <w:t>解译矢</w:t>
      </w:r>
      <w:bookmarkEnd w:id="367"/>
      <w:bookmarkEnd w:id="368"/>
      <w:r>
        <w:rPr>
          <w:rFonts w:hint="eastAsia"/>
          <w:sz w:val="24"/>
          <w:szCs w:val="21"/>
        </w:rPr>
        <w:t>量文件命名应采用“农村小微水体污染</w:t>
      </w:r>
      <w:r>
        <w:rPr>
          <w:sz w:val="24"/>
          <w:szCs w:val="21"/>
        </w:rPr>
        <w:t>-</w:t>
      </w:r>
      <w:r>
        <w:rPr>
          <w:rFonts w:hint="eastAsia"/>
          <w:sz w:val="24"/>
          <w:szCs w:val="21"/>
        </w:rPr>
        <w:t>行政区划名称（区级</w:t>
      </w:r>
      <w:r>
        <w:rPr>
          <w:sz w:val="24"/>
          <w:szCs w:val="21"/>
        </w:rPr>
        <w:t>+</w:t>
      </w:r>
      <w:r>
        <w:rPr>
          <w:rFonts w:hint="eastAsia"/>
          <w:sz w:val="24"/>
          <w:szCs w:val="21"/>
        </w:rPr>
        <w:t>乡镇级）</w:t>
      </w:r>
      <w:r>
        <w:rPr>
          <w:sz w:val="24"/>
          <w:szCs w:val="21"/>
        </w:rPr>
        <w:t>-</w:t>
      </w:r>
      <w:r>
        <w:rPr>
          <w:rFonts w:hint="eastAsia"/>
          <w:sz w:val="24"/>
          <w:szCs w:val="21"/>
        </w:rPr>
        <w:t>时间（</w:t>
      </w:r>
      <w:r>
        <w:rPr>
          <w:sz w:val="24"/>
          <w:szCs w:val="21"/>
        </w:rPr>
        <w:t>YYYYMM</w:t>
      </w:r>
      <w:r>
        <w:rPr>
          <w:rFonts w:hint="eastAsia"/>
          <w:sz w:val="24"/>
          <w:szCs w:val="21"/>
        </w:rPr>
        <w:t>）”的形式。解译矢量文件的属性字段应符合表3-表7的规定。</w:t>
      </w:r>
    </w:p>
    <w:p>
      <w:pPr>
        <w:pStyle w:val="32"/>
        <w:spacing w:before="156" w:after="156"/>
        <w:ind w:firstLine="0" w:firstLineChars="0"/>
        <w:jc w:val="center"/>
        <w:rPr>
          <w:rFonts w:ascii="黑体" w:hAnsi="黑体" w:eastAsia="黑体"/>
        </w:rPr>
      </w:pPr>
      <w:r>
        <w:rPr>
          <w:rFonts w:hint="eastAsia" w:ascii="黑体" w:hAnsi="黑体" w:eastAsia="黑体"/>
        </w:rPr>
        <w:t>表3 农村小微水体污染遥感解译矢量文件属性字段及填写要求</w:t>
      </w:r>
    </w:p>
    <w:tbl>
      <w:tblPr>
        <w:tblStyle w:val="15"/>
        <w:tblW w:w="5000" w:type="pct"/>
        <w:tblInd w:w="0" w:type="dxa"/>
        <w:tblLayout w:type="autofit"/>
        <w:tblCellMar>
          <w:top w:w="0" w:type="dxa"/>
          <w:left w:w="108" w:type="dxa"/>
          <w:bottom w:w="0" w:type="dxa"/>
          <w:right w:w="108" w:type="dxa"/>
        </w:tblCellMar>
      </w:tblPr>
      <w:tblGrid>
        <w:gridCol w:w="657"/>
        <w:gridCol w:w="1099"/>
        <w:gridCol w:w="1872"/>
        <w:gridCol w:w="841"/>
        <w:gridCol w:w="601"/>
        <w:gridCol w:w="702"/>
        <w:gridCol w:w="2744"/>
      </w:tblGrid>
      <w:tr>
        <w:tblPrEx>
          <w:tblCellMar>
            <w:top w:w="0" w:type="dxa"/>
            <w:left w:w="108" w:type="dxa"/>
            <w:bottom w:w="0" w:type="dxa"/>
            <w:right w:w="108" w:type="dxa"/>
          </w:tblCellMar>
        </w:tblPrEx>
        <w:trPr>
          <w:trHeight w:val="280" w:hRule="atLeast"/>
          <w:tblHeader/>
        </w:trPr>
        <w:tc>
          <w:tcPr>
            <w:tcW w:w="386" w:type="pct"/>
            <w:tcBorders>
              <w:top w:val="single" w:color="auto" w:sz="4" w:space="0"/>
              <w:left w:val="single" w:color="auto" w:sz="4" w:space="0"/>
              <w:bottom w:val="single" w:color="auto" w:sz="4" w:space="0"/>
              <w:right w:val="single" w:color="auto" w:sz="4" w:space="0"/>
            </w:tcBorders>
            <w:vAlign w:val="center"/>
          </w:tcPr>
          <w:p>
            <w:pPr>
              <w:widowControl/>
              <w:jc w:val="center"/>
              <w:rPr>
                <w:rFonts w:ascii="宋体" w:hAnsi="宋体"/>
                <w:b/>
                <w:bCs/>
                <w:color w:val="000000"/>
                <w:kern w:val="0"/>
                <w:sz w:val="18"/>
                <w:szCs w:val="18"/>
              </w:rPr>
            </w:pPr>
            <w:bookmarkStart w:id="369" w:name="OLE_LINK142"/>
            <w:r>
              <w:rPr>
                <w:rFonts w:hint="eastAsia" w:ascii="宋体" w:hAnsi="宋体"/>
                <w:b/>
                <w:bCs/>
                <w:color w:val="000000"/>
                <w:kern w:val="0"/>
                <w:sz w:val="18"/>
                <w:szCs w:val="18"/>
              </w:rPr>
              <w:t>序号</w:t>
            </w:r>
          </w:p>
        </w:tc>
        <w:tc>
          <w:tcPr>
            <w:tcW w:w="645" w:type="pct"/>
            <w:tcBorders>
              <w:top w:val="single" w:color="auto" w:sz="4" w:space="0"/>
              <w:left w:val="nil"/>
              <w:bottom w:val="single" w:color="auto" w:sz="4" w:space="0"/>
              <w:right w:val="single" w:color="auto" w:sz="4" w:space="0"/>
            </w:tcBorders>
            <w:vAlign w:val="center"/>
          </w:tcPr>
          <w:p>
            <w:pPr>
              <w:widowControl/>
              <w:jc w:val="center"/>
              <w:rPr>
                <w:rFonts w:ascii="宋体" w:hAnsi="宋体"/>
                <w:b/>
                <w:bCs/>
                <w:color w:val="000000"/>
                <w:kern w:val="0"/>
                <w:sz w:val="18"/>
                <w:szCs w:val="18"/>
              </w:rPr>
            </w:pPr>
            <w:r>
              <w:rPr>
                <w:rFonts w:hint="eastAsia" w:ascii="宋体" w:hAnsi="宋体"/>
                <w:b/>
                <w:bCs/>
                <w:color w:val="000000"/>
                <w:kern w:val="0"/>
                <w:sz w:val="18"/>
                <w:szCs w:val="18"/>
              </w:rPr>
              <w:t>字段名称</w:t>
            </w:r>
          </w:p>
        </w:tc>
        <w:tc>
          <w:tcPr>
            <w:tcW w:w="1099" w:type="pct"/>
            <w:tcBorders>
              <w:top w:val="single" w:color="auto" w:sz="4" w:space="0"/>
              <w:left w:val="nil"/>
              <w:bottom w:val="single" w:color="auto" w:sz="4" w:space="0"/>
              <w:right w:val="single" w:color="auto" w:sz="4" w:space="0"/>
            </w:tcBorders>
            <w:vAlign w:val="center"/>
          </w:tcPr>
          <w:p>
            <w:pPr>
              <w:widowControl/>
              <w:jc w:val="center"/>
              <w:rPr>
                <w:rFonts w:ascii="宋体" w:hAnsi="宋体"/>
                <w:b/>
                <w:bCs/>
                <w:color w:val="000000"/>
                <w:kern w:val="0"/>
                <w:sz w:val="18"/>
                <w:szCs w:val="18"/>
              </w:rPr>
            </w:pPr>
            <w:r>
              <w:rPr>
                <w:rFonts w:hint="eastAsia" w:ascii="宋体" w:hAnsi="宋体"/>
                <w:b/>
                <w:bCs/>
                <w:color w:val="000000"/>
                <w:kern w:val="0"/>
                <w:sz w:val="18"/>
                <w:szCs w:val="18"/>
              </w:rPr>
              <w:t>字段描述</w:t>
            </w:r>
          </w:p>
        </w:tc>
        <w:tc>
          <w:tcPr>
            <w:tcW w:w="494" w:type="pct"/>
            <w:tcBorders>
              <w:top w:val="single" w:color="auto" w:sz="4" w:space="0"/>
              <w:left w:val="nil"/>
              <w:bottom w:val="single" w:color="auto" w:sz="4" w:space="0"/>
              <w:right w:val="single" w:color="auto" w:sz="4" w:space="0"/>
            </w:tcBorders>
            <w:vAlign w:val="center"/>
          </w:tcPr>
          <w:p>
            <w:pPr>
              <w:widowControl/>
              <w:jc w:val="center"/>
              <w:rPr>
                <w:rFonts w:ascii="宋体" w:hAnsi="宋体"/>
                <w:b/>
                <w:bCs/>
                <w:color w:val="000000"/>
                <w:kern w:val="0"/>
                <w:sz w:val="18"/>
                <w:szCs w:val="18"/>
              </w:rPr>
            </w:pPr>
            <w:r>
              <w:rPr>
                <w:rFonts w:hint="eastAsia" w:ascii="宋体" w:hAnsi="宋体"/>
                <w:b/>
                <w:bCs/>
                <w:color w:val="000000"/>
                <w:kern w:val="0"/>
                <w:sz w:val="18"/>
                <w:szCs w:val="18"/>
              </w:rPr>
              <w:t>字段类型</w:t>
            </w:r>
          </w:p>
        </w:tc>
        <w:tc>
          <w:tcPr>
            <w:tcW w:w="353" w:type="pct"/>
            <w:tcBorders>
              <w:top w:val="single" w:color="auto" w:sz="4" w:space="0"/>
              <w:left w:val="nil"/>
              <w:bottom w:val="single" w:color="auto" w:sz="4" w:space="0"/>
              <w:right w:val="single" w:color="auto" w:sz="4" w:space="0"/>
            </w:tcBorders>
            <w:vAlign w:val="center"/>
          </w:tcPr>
          <w:p>
            <w:pPr>
              <w:widowControl/>
              <w:jc w:val="center"/>
              <w:rPr>
                <w:rFonts w:ascii="宋体" w:hAnsi="宋体"/>
                <w:b/>
                <w:bCs/>
                <w:color w:val="000000"/>
                <w:kern w:val="0"/>
                <w:sz w:val="18"/>
                <w:szCs w:val="18"/>
              </w:rPr>
            </w:pPr>
            <w:r>
              <w:rPr>
                <w:rFonts w:hint="eastAsia" w:ascii="宋体" w:hAnsi="宋体"/>
                <w:b/>
                <w:bCs/>
                <w:color w:val="000000"/>
                <w:kern w:val="0"/>
                <w:sz w:val="18"/>
                <w:szCs w:val="18"/>
              </w:rPr>
              <w:t>字段长度</w:t>
            </w:r>
          </w:p>
        </w:tc>
        <w:tc>
          <w:tcPr>
            <w:tcW w:w="412" w:type="pct"/>
            <w:tcBorders>
              <w:top w:val="single" w:color="auto" w:sz="4" w:space="0"/>
              <w:left w:val="nil"/>
              <w:bottom w:val="single" w:color="auto" w:sz="4" w:space="0"/>
              <w:right w:val="single" w:color="auto" w:sz="4" w:space="0"/>
            </w:tcBorders>
            <w:vAlign w:val="center"/>
          </w:tcPr>
          <w:p>
            <w:pPr>
              <w:widowControl/>
              <w:jc w:val="center"/>
              <w:rPr>
                <w:rFonts w:ascii="宋体" w:hAnsi="宋体"/>
                <w:b/>
                <w:bCs/>
                <w:color w:val="000000"/>
                <w:kern w:val="0"/>
                <w:sz w:val="18"/>
                <w:szCs w:val="18"/>
              </w:rPr>
            </w:pPr>
            <w:r>
              <w:rPr>
                <w:rFonts w:hint="eastAsia" w:ascii="宋体" w:hAnsi="宋体"/>
                <w:b/>
                <w:bCs/>
                <w:color w:val="000000"/>
                <w:kern w:val="0"/>
                <w:sz w:val="18"/>
                <w:szCs w:val="18"/>
              </w:rPr>
              <w:t>小数位数</w:t>
            </w:r>
          </w:p>
        </w:tc>
        <w:tc>
          <w:tcPr>
            <w:tcW w:w="1611" w:type="pct"/>
            <w:tcBorders>
              <w:top w:val="single" w:color="auto" w:sz="4" w:space="0"/>
              <w:left w:val="nil"/>
              <w:bottom w:val="single" w:color="auto" w:sz="4" w:space="0"/>
              <w:right w:val="single" w:color="auto" w:sz="4" w:space="0"/>
            </w:tcBorders>
            <w:vAlign w:val="center"/>
          </w:tcPr>
          <w:p>
            <w:pPr>
              <w:widowControl/>
              <w:jc w:val="center"/>
              <w:rPr>
                <w:rFonts w:ascii="宋体" w:hAnsi="宋体"/>
                <w:b/>
                <w:bCs/>
                <w:color w:val="000000"/>
                <w:kern w:val="0"/>
                <w:sz w:val="18"/>
                <w:szCs w:val="18"/>
              </w:rPr>
            </w:pPr>
            <w:r>
              <w:rPr>
                <w:rFonts w:hint="eastAsia" w:ascii="宋体" w:hAnsi="宋体"/>
                <w:b/>
                <w:bCs/>
                <w:color w:val="000000"/>
                <w:kern w:val="0"/>
                <w:sz w:val="18"/>
                <w:szCs w:val="18"/>
              </w:rPr>
              <w:t>备注</w:t>
            </w:r>
          </w:p>
        </w:tc>
      </w:tr>
      <w:tr>
        <w:tblPrEx>
          <w:tblCellMar>
            <w:top w:w="0" w:type="dxa"/>
            <w:left w:w="108" w:type="dxa"/>
            <w:bottom w:w="0" w:type="dxa"/>
            <w:right w:w="108" w:type="dxa"/>
          </w:tblCellMar>
        </w:tblPrEx>
        <w:trPr>
          <w:trHeight w:val="310" w:hRule="atLeast"/>
        </w:trPr>
        <w:tc>
          <w:tcPr>
            <w:tcW w:w="386" w:type="pc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1</w:t>
            </w:r>
          </w:p>
        </w:tc>
        <w:tc>
          <w:tcPr>
            <w:tcW w:w="645"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Q</w:t>
            </w:r>
            <w:r>
              <w:rPr>
                <w:rFonts w:hint="eastAsia" w:ascii="宋体" w:hAnsi="宋体"/>
                <w:color w:val="000000"/>
                <w:kern w:val="0"/>
                <w:sz w:val="18"/>
                <w:szCs w:val="18"/>
              </w:rPr>
              <w:t>MC</w:t>
            </w:r>
          </w:p>
        </w:tc>
        <w:tc>
          <w:tcPr>
            <w:tcW w:w="1099" w:type="pct"/>
            <w:tcBorders>
              <w:top w:val="nil"/>
              <w:left w:val="nil"/>
              <w:bottom w:val="single" w:color="auto" w:sz="4" w:space="0"/>
              <w:right w:val="single" w:color="auto" w:sz="4" w:space="0"/>
            </w:tcBorders>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区名称</w:t>
            </w:r>
          </w:p>
        </w:tc>
        <w:tc>
          <w:tcPr>
            <w:tcW w:w="494"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Text</w:t>
            </w:r>
          </w:p>
        </w:tc>
        <w:tc>
          <w:tcPr>
            <w:tcW w:w="353"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50</w:t>
            </w:r>
          </w:p>
        </w:tc>
        <w:tc>
          <w:tcPr>
            <w:tcW w:w="412"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p>
        </w:tc>
        <w:tc>
          <w:tcPr>
            <w:tcW w:w="1611"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区</w:t>
            </w:r>
          </w:p>
        </w:tc>
      </w:tr>
      <w:tr>
        <w:tblPrEx>
          <w:tblCellMar>
            <w:top w:w="0" w:type="dxa"/>
            <w:left w:w="108" w:type="dxa"/>
            <w:bottom w:w="0" w:type="dxa"/>
            <w:right w:w="108" w:type="dxa"/>
          </w:tblCellMar>
        </w:tblPrEx>
        <w:trPr>
          <w:trHeight w:val="310" w:hRule="atLeast"/>
        </w:trPr>
        <w:tc>
          <w:tcPr>
            <w:tcW w:w="386" w:type="pc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2</w:t>
            </w:r>
          </w:p>
        </w:tc>
        <w:tc>
          <w:tcPr>
            <w:tcW w:w="645"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QBM</w:t>
            </w:r>
          </w:p>
        </w:tc>
        <w:tc>
          <w:tcPr>
            <w:tcW w:w="1099" w:type="pct"/>
            <w:tcBorders>
              <w:top w:val="nil"/>
              <w:left w:val="nil"/>
              <w:bottom w:val="single" w:color="auto" w:sz="4" w:space="0"/>
              <w:right w:val="single" w:color="auto" w:sz="4" w:space="0"/>
            </w:tcBorders>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区编码</w:t>
            </w:r>
          </w:p>
        </w:tc>
        <w:tc>
          <w:tcPr>
            <w:tcW w:w="494"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Text</w:t>
            </w:r>
          </w:p>
        </w:tc>
        <w:tc>
          <w:tcPr>
            <w:tcW w:w="353"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50</w:t>
            </w:r>
          </w:p>
        </w:tc>
        <w:tc>
          <w:tcPr>
            <w:tcW w:w="412"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p>
        </w:tc>
        <w:tc>
          <w:tcPr>
            <w:tcW w:w="1611"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w:t>
            </w:r>
          </w:p>
        </w:tc>
      </w:tr>
      <w:tr>
        <w:tblPrEx>
          <w:tblCellMar>
            <w:top w:w="0" w:type="dxa"/>
            <w:left w:w="108" w:type="dxa"/>
            <w:bottom w:w="0" w:type="dxa"/>
            <w:right w:w="108" w:type="dxa"/>
          </w:tblCellMar>
        </w:tblPrEx>
        <w:trPr>
          <w:trHeight w:val="310" w:hRule="atLeast"/>
        </w:trPr>
        <w:tc>
          <w:tcPr>
            <w:tcW w:w="386" w:type="pc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3</w:t>
            </w:r>
          </w:p>
        </w:tc>
        <w:tc>
          <w:tcPr>
            <w:tcW w:w="645"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XZ</w:t>
            </w:r>
            <w:r>
              <w:rPr>
                <w:rFonts w:hint="eastAsia" w:ascii="宋体" w:hAnsi="宋体"/>
                <w:color w:val="000000"/>
                <w:kern w:val="0"/>
                <w:sz w:val="18"/>
                <w:szCs w:val="18"/>
              </w:rPr>
              <w:t>MC</w:t>
            </w:r>
          </w:p>
        </w:tc>
        <w:tc>
          <w:tcPr>
            <w:tcW w:w="1099" w:type="pct"/>
            <w:tcBorders>
              <w:top w:val="nil"/>
              <w:left w:val="nil"/>
              <w:bottom w:val="single" w:color="auto" w:sz="4" w:space="0"/>
              <w:right w:val="single" w:color="auto" w:sz="4" w:space="0"/>
            </w:tcBorders>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乡镇名称</w:t>
            </w:r>
          </w:p>
        </w:tc>
        <w:tc>
          <w:tcPr>
            <w:tcW w:w="494"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Text</w:t>
            </w:r>
          </w:p>
        </w:tc>
        <w:tc>
          <w:tcPr>
            <w:tcW w:w="353"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50</w:t>
            </w:r>
          </w:p>
        </w:tc>
        <w:tc>
          <w:tcPr>
            <w:tcW w:w="412"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p>
        </w:tc>
        <w:tc>
          <w:tcPr>
            <w:tcW w:w="1611"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乡镇</w:t>
            </w:r>
          </w:p>
        </w:tc>
      </w:tr>
      <w:tr>
        <w:tblPrEx>
          <w:tblCellMar>
            <w:top w:w="0" w:type="dxa"/>
            <w:left w:w="108" w:type="dxa"/>
            <w:bottom w:w="0" w:type="dxa"/>
            <w:right w:w="108" w:type="dxa"/>
          </w:tblCellMar>
        </w:tblPrEx>
        <w:trPr>
          <w:trHeight w:val="310" w:hRule="atLeast"/>
        </w:trPr>
        <w:tc>
          <w:tcPr>
            <w:tcW w:w="386" w:type="pc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4</w:t>
            </w:r>
          </w:p>
        </w:tc>
        <w:tc>
          <w:tcPr>
            <w:tcW w:w="645"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XZBM</w:t>
            </w:r>
          </w:p>
        </w:tc>
        <w:tc>
          <w:tcPr>
            <w:tcW w:w="1099" w:type="pct"/>
            <w:tcBorders>
              <w:top w:val="nil"/>
              <w:left w:val="nil"/>
              <w:bottom w:val="single" w:color="auto" w:sz="4" w:space="0"/>
              <w:right w:val="single" w:color="auto" w:sz="4" w:space="0"/>
            </w:tcBorders>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乡镇编码</w:t>
            </w:r>
          </w:p>
        </w:tc>
        <w:tc>
          <w:tcPr>
            <w:tcW w:w="494"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Text</w:t>
            </w:r>
          </w:p>
        </w:tc>
        <w:tc>
          <w:tcPr>
            <w:tcW w:w="353"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50</w:t>
            </w:r>
          </w:p>
        </w:tc>
        <w:tc>
          <w:tcPr>
            <w:tcW w:w="412"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p>
        </w:tc>
        <w:tc>
          <w:tcPr>
            <w:tcW w:w="1611"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w:t>
            </w:r>
          </w:p>
        </w:tc>
      </w:tr>
      <w:tr>
        <w:tblPrEx>
          <w:tblCellMar>
            <w:top w:w="0" w:type="dxa"/>
            <w:left w:w="108" w:type="dxa"/>
            <w:bottom w:w="0" w:type="dxa"/>
            <w:right w:w="108" w:type="dxa"/>
          </w:tblCellMar>
        </w:tblPrEx>
        <w:trPr>
          <w:trHeight w:val="310" w:hRule="atLeast"/>
        </w:trPr>
        <w:tc>
          <w:tcPr>
            <w:tcW w:w="386" w:type="pc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5</w:t>
            </w:r>
          </w:p>
        </w:tc>
        <w:tc>
          <w:tcPr>
            <w:tcW w:w="645"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FW</w:t>
            </w:r>
          </w:p>
        </w:tc>
        <w:tc>
          <w:tcPr>
            <w:tcW w:w="1099"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范围</w:t>
            </w:r>
          </w:p>
        </w:tc>
        <w:tc>
          <w:tcPr>
            <w:tcW w:w="494"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Text</w:t>
            </w:r>
          </w:p>
        </w:tc>
        <w:tc>
          <w:tcPr>
            <w:tcW w:w="353"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50</w:t>
            </w:r>
          </w:p>
        </w:tc>
        <w:tc>
          <w:tcPr>
            <w:tcW w:w="412"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p>
        </w:tc>
        <w:tc>
          <w:tcPr>
            <w:tcW w:w="1611"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建成区外</w:t>
            </w:r>
          </w:p>
        </w:tc>
      </w:tr>
      <w:tr>
        <w:tblPrEx>
          <w:tblCellMar>
            <w:top w:w="0" w:type="dxa"/>
            <w:left w:w="108" w:type="dxa"/>
            <w:bottom w:w="0" w:type="dxa"/>
            <w:right w:w="108" w:type="dxa"/>
          </w:tblCellMar>
        </w:tblPrEx>
        <w:trPr>
          <w:trHeight w:val="310" w:hRule="atLeast"/>
        </w:trPr>
        <w:tc>
          <w:tcPr>
            <w:tcW w:w="386" w:type="pc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kern w:val="0"/>
                <w:sz w:val="18"/>
                <w:szCs w:val="18"/>
              </w:rPr>
            </w:pPr>
            <w:r>
              <w:rPr>
                <w:rFonts w:ascii="宋体" w:hAnsi="宋体"/>
                <w:kern w:val="0"/>
                <w:sz w:val="18"/>
                <w:szCs w:val="18"/>
              </w:rPr>
              <w:t>6</w:t>
            </w:r>
          </w:p>
        </w:tc>
        <w:tc>
          <w:tcPr>
            <w:tcW w:w="645"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kern w:val="0"/>
                <w:sz w:val="18"/>
                <w:szCs w:val="18"/>
              </w:rPr>
            </w:pPr>
            <w:r>
              <w:rPr>
                <w:rFonts w:ascii="宋体" w:hAnsi="宋体"/>
                <w:kern w:val="0"/>
                <w:sz w:val="18"/>
                <w:szCs w:val="18"/>
              </w:rPr>
              <w:t>STLX</w:t>
            </w:r>
          </w:p>
        </w:tc>
        <w:tc>
          <w:tcPr>
            <w:tcW w:w="1099"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kern w:val="0"/>
                <w:sz w:val="18"/>
                <w:szCs w:val="18"/>
              </w:rPr>
            </w:pPr>
            <w:r>
              <w:rPr>
                <w:rFonts w:hint="eastAsia" w:ascii="宋体" w:hAnsi="宋体"/>
                <w:kern w:val="0"/>
                <w:sz w:val="18"/>
                <w:szCs w:val="18"/>
              </w:rPr>
              <w:t>水体类型</w:t>
            </w:r>
          </w:p>
        </w:tc>
        <w:tc>
          <w:tcPr>
            <w:tcW w:w="494"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kern w:val="0"/>
                <w:sz w:val="18"/>
                <w:szCs w:val="18"/>
              </w:rPr>
            </w:pPr>
            <w:r>
              <w:rPr>
                <w:rFonts w:ascii="宋体" w:hAnsi="宋体"/>
                <w:kern w:val="0"/>
                <w:sz w:val="18"/>
                <w:szCs w:val="18"/>
              </w:rPr>
              <w:t>Text</w:t>
            </w:r>
          </w:p>
        </w:tc>
        <w:tc>
          <w:tcPr>
            <w:tcW w:w="353"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kern w:val="0"/>
                <w:sz w:val="18"/>
                <w:szCs w:val="18"/>
              </w:rPr>
            </w:pPr>
            <w:r>
              <w:rPr>
                <w:rFonts w:ascii="宋体" w:hAnsi="宋体"/>
                <w:kern w:val="0"/>
                <w:sz w:val="18"/>
                <w:szCs w:val="18"/>
              </w:rPr>
              <w:t>50</w:t>
            </w:r>
          </w:p>
        </w:tc>
        <w:tc>
          <w:tcPr>
            <w:tcW w:w="412"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kern w:val="0"/>
                <w:sz w:val="18"/>
                <w:szCs w:val="18"/>
              </w:rPr>
            </w:pPr>
          </w:p>
        </w:tc>
        <w:tc>
          <w:tcPr>
            <w:tcW w:w="1611"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kern w:val="0"/>
                <w:sz w:val="18"/>
                <w:szCs w:val="18"/>
              </w:rPr>
            </w:pPr>
            <w:r>
              <w:rPr>
                <w:rFonts w:hint="eastAsia"/>
                <w:sz w:val="18"/>
              </w:rPr>
              <w:t>坑塘、河流、沟渠</w:t>
            </w:r>
          </w:p>
        </w:tc>
      </w:tr>
      <w:tr>
        <w:tblPrEx>
          <w:tblCellMar>
            <w:top w:w="0" w:type="dxa"/>
            <w:left w:w="108" w:type="dxa"/>
            <w:bottom w:w="0" w:type="dxa"/>
            <w:right w:w="108" w:type="dxa"/>
          </w:tblCellMar>
        </w:tblPrEx>
        <w:trPr>
          <w:trHeight w:val="310" w:hRule="atLeast"/>
        </w:trPr>
        <w:tc>
          <w:tcPr>
            <w:tcW w:w="386" w:type="pc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7</w:t>
            </w:r>
          </w:p>
        </w:tc>
        <w:tc>
          <w:tcPr>
            <w:tcW w:w="645"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STYS</w:t>
            </w:r>
          </w:p>
        </w:tc>
        <w:tc>
          <w:tcPr>
            <w:tcW w:w="1099"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水体颜色</w:t>
            </w:r>
          </w:p>
        </w:tc>
        <w:tc>
          <w:tcPr>
            <w:tcW w:w="494"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Text</w:t>
            </w:r>
          </w:p>
        </w:tc>
        <w:tc>
          <w:tcPr>
            <w:tcW w:w="353"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50</w:t>
            </w:r>
          </w:p>
        </w:tc>
        <w:tc>
          <w:tcPr>
            <w:tcW w:w="412"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p>
        </w:tc>
        <w:tc>
          <w:tcPr>
            <w:tcW w:w="1611"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根据实际情况填写</w:t>
            </w:r>
          </w:p>
        </w:tc>
      </w:tr>
      <w:tr>
        <w:tblPrEx>
          <w:tblCellMar>
            <w:top w:w="0" w:type="dxa"/>
            <w:left w:w="108" w:type="dxa"/>
            <w:bottom w:w="0" w:type="dxa"/>
            <w:right w:w="108" w:type="dxa"/>
          </w:tblCellMar>
        </w:tblPrEx>
        <w:trPr>
          <w:trHeight w:val="320" w:hRule="atLeast"/>
        </w:trPr>
        <w:tc>
          <w:tcPr>
            <w:tcW w:w="386" w:type="pc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8</w:t>
            </w:r>
          </w:p>
        </w:tc>
        <w:tc>
          <w:tcPr>
            <w:tcW w:w="645"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STWRQ</w:t>
            </w:r>
            <w:r>
              <w:rPr>
                <w:rFonts w:hint="eastAsia" w:ascii="宋体" w:hAnsi="宋体"/>
                <w:color w:val="000000"/>
                <w:kern w:val="0"/>
                <w:sz w:val="18"/>
                <w:szCs w:val="18"/>
              </w:rPr>
              <w:t>D</w:t>
            </w:r>
            <w:r>
              <w:rPr>
                <w:rFonts w:ascii="宋体" w:hAnsi="宋体"/>
                <w:color w:val="000000"/>
                <w:kern w:val="0"/>
                <w:sz w:val="18"/>
                <w:szCs w:val="18"/>
              </w:rPr>
              <w:t>D</w:t>
            </w:r>
          </w:p>
        </w:tc>
        <w:tc>
          <w:tcPr>
            <w:tcW w:w="1099"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小微水体污染确定度</w:t>
            </w:r>
          </w:p>
        </w:tc>
        <w:tc>
          <w:tcPr>
            <w:tcW w:w="494"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Text</w:t>
            </w:r>
          </w:p>
        </w:tc>
        <w:tc>
          <w:tcPr>
            <w:tcW w:w="353"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50</w:t>
            </w:r>
          </w:p>
        </w:tc>
        <w:tc>
          <w:tcPr>
            <w:tcW w:w="412"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p>
        </w:tc>
        <w:tc>
          <w:tcPr>
            <w:tcW w:w="1611"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1</w:t>
            </w:r>
            <w:r>
              <w:rPr>
                <w:rFonts w:hint="eastAsia" w:ascii="宋体" w:hAnsi="宋体"/>
                <w:color w:val="000000"/>
                <w:kern w:val="0"/>
                <w:sz w:val="18"/>
                <w:szCs w:val="18"/>
              </w:rPr>
              <w:t>-确定、</w:t>
            </w:r>
            <w:r>
              <w:rPr>
                <w:rFonts w:ascii="宋体" w:hAnsi="宋体"/>
                <w:color w:val="000000"/>
                <w:kern w:val="0"/>
                <w:sz w:val="18"/>
                <w:szCs w:val="18"/>
              </w:rPr>
              <w:t>2</w:t>
            </w:r>
            <w:r>
              <w:rPr>
                <w:rFonts w:hint="eastAsia" w:ascii="宋体" w:hAnsi="宋体"/>
                <w:color w:val="000000"/>
                <w:kern w:val="0"/>
                <w:sz w:val="18"/>
                <w:szCs w:val="18"/>
              </w:rPr>
              <w:t>-不确定</w:t>
            </w:r>
          </w:p>
        </w:tc>
      </w:tr>
      <w:tr>
        <w:tblPrEx>
          <w:tblCellMar>
            <w:top w:w="0" w:type="dxa"/>
            <w:left w:w="108" w:type="dxa"/>
            <w:bottom w:w="0" w:type="dxa"/>
            <w:right w:w="108" w:type="dxa"/>
          </w:tblCellMar>
        </w:tblPrEx>
        <w:trPr>
          <w:trHeight w:val="310" w:hRule="atLeast"/>
        </w:trPr>
        <w:tc>
          <w:tcPr>
            <w:tcW w:w="386" w:type="pc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9</w:t>
            </w:r>
          </w:p>
        </w:tc>
        <w:tc>
          <w:tcPr>
            <w:tcW w:w="645"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WRY</w:t>
            </w:r>
            <w:r>
              <w:rPr>
                <w:rFonts w:hint="eastAsia" w:ascii="宋体" w:hAnsi="宋体"/>
                <w:color w:val="000000"/>
                <w:kern w:val="0"/>
                <w:sz w:val="18"/>
                <w:szCs w:val="18"/>
              </w:rPr>
              <w:t>LX</w:t>
            </w:r>
          </w:p>
        </w:tc>
        <w:tc>
          <w:tcPr>
            <w:tcW w:w="1099"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污染源类型</w:t>
            </w:r>
          </w:p>
        </w:tc>
        <w:tc>
          <w:tcPr>
            <w:tcW w:w="494"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Text</w:t>
            </w:r>
          </w:p>
        </w:tc>
        <w:tc>
          <w:tcPr>
            <w:tcW w:w="353"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200</w:t>
            </w:r>
          </w:p>
        </w:tc>
        <w:tc>
          <w:tcPr>
            <w:tcW w:w="412"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p>
        </w:tc>
        <w:tc>
          <w:tcPr>
            <w:tcW w:w="1611"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可</w:t>
            </w:r>
            <w:r>
              <w:rPr>
                <w:rFonts w:hint="eastAsia" w:ascii="宋体" w:hAnsi="宋体"/>
                <w:color w:val="000000"/>
                <w:kern w:val="0"/>
                <w:sz w:val="18"/>
                <w:szCs w:val="18"/>
              </w:rPr>
              <w:t>多选</w:t>
            </w:r>
          </w:p>
        </w:tc>
      </w:tr>
      <w:tr>
        <w:tblPrEx>
          <w:tblCellMar>
            <w:top w:w="0" w:type="dxa"/>
            <w:left w:w="108" w:type="dxa"/>
            <w:bottom w:w="0" w:type="dxa"/>
            <w:right w:w="108" w:type="dxa"/>
          </w:tblCellMar>
        </w:tblPrEx>
        <w:trPr>
          <w:trHeight w:val="363" w:hRule="atLeast"/>
        </w:trPr>
        <w:tc>
          <w:tcPr>
            <w:tcW w:w="386" w:type="pc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10</w:t>
            </w:r>
          </w:p>
        </w:tc>
        <w:tc>
          <w:tcPr>
            <w:tcW w:w="645"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BH</w:t>
            </w:r>
          </w:p>
        </w:tc>
        <w:tc>
          <w:tcPr>
            <w:tcW w:w="1099"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编号</w:t>
            </w:r>
          </w:p>
        </w:tc>
        <w:tc>
          <w:tcPr>
            <w:tcW w:w="494"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Text</w:t>
            </w:r>
          </w:p>
        </w:tc>
        <w:tc>
          <w:tcPr>
            <w:tcW w:w="353"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50</w:t>
            </w:r>
          </w:p>
        </w:tc>
        <w:tc>
          <w:tcPr>
            <w:tcW w:w="412"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p>
        </w:tc>
        <w:tc>
          <w:tcPr>
            <w:tcW w:w="1611"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kern w:val="0"/>
                <w:sz w:val="18"/>
                <w:szCs w:val="18"/>
              </w:rPr>
            </w:pPr>
            <w:r>
              <w:rPr>
                <w:rFonts w:hint="eastAsia" w:ascii="宋体" w:hAnsi="宋体"/>
                <w:kern w:val="0"/>
                <w:sz w:val="18"/>
                <w:szCs w:val="18"/>
              </w:rPr>
              <w:t>区乡镇代码</w:t>
            </w:r>
            <w:r>
              <w:rPr>
                <w:rFonts w:ascii="宋体" w:hAnsi="宋体"/>
                <w:kern w:val="0"/>
                <w:sz w:val="18"/>
                <w:szCs w:val="18"/>
              </w:rPr>
              <w:t>+</w:t>
            </w:r>
            <w:r>
              <w:rPr>
                <w:rFonts w:hint="eastAsia" w:ascii="宋体" w:hAnsi="宋体"/>
                <w:kern w:val="0"/>
                <w:sz w:val="18"/>
                <w:szCs w:val="18"/>
              </w:rPr>
              <w:t>四位流水号</w:t>
            </w:r>
          </w:p>
        </w:tc>
      </w:tr>
      <w:tr>
        <w:tblPrEx>
          <w:tblCellMar>
            <w:top w:w="0" w:type="dxa"/>
            <w:left w:w="108" w:type="dxa"/>
            <w:bottom w:w="0" w:type="dxa"/>
            <w:right w:w="108" w:type="dxa"/>
          </w:tblCellMar>
        </w:tblPrEx>
        <w:trPr>
          <w:trHeight w:val="411" w:hRule="atLeast"/>
        </w:trPr>
        <w:tc>
          <w:tcPr>
            <w:tcW w:w="386" w:type="pc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11</w:t>
            </w:r>
          </w:p>
        </w:tc>
        <w:tc>
          <w:tcPr>
            <w:tcW w:w="645"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CXZT</w:t>
            </w:r>
          </w:p>
        </w:tc>
        <w:tc>
          <w:tcPr>
            <w:tcW w:w="1099"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存续状态</w:t>
            </w:r>
          </w:p>
        </w:tc>
        <w:tc>
          <w:tcPr>
            <w:tcW w:w="494"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Text</w:t>
            </w:r>
          </w:p>
        </w:tc>
        <w:tc>
          <w:tcPr>
            <w:tcW w:w="353"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50</w:t>
            </w:r>
          </w:p>
        </w:tc>
        <w:tc>
          <w:tcPr>
            <w:tcW w:w="412"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p>
        </w:tc>
        <w:tc>
          <w:tcPr>
            <w:tcW w:w="1611"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kern w:val="0"/>
                <w:sz w:val="18"/>
                <w:szCs w:val="18"/>
              </w:rPr>
            </w:pPr>
            <w:r>
              <w:rPr>
                <w:rFonts w:hint="eastAsia" w:ascii="宋体" w:hAnsi="宋体"/>
                <w:kern w:val="0"/>
                <w:sz w:val="18"/>
                <w:szCs w:val="18"/>
              </w:rPr>
              <w:t>反复出现、新增、季节性出现、退出</w:t>
            </w:r>
          </w:p>
        </w:tc>
      </w:tr>
      <w:tr>
        <w:tblPrEx>
          <w:tblCellMar>
            <w:top w:w="0" w:type="dxa"/>
            <w:left w:w="108" w:type="dxa"/>
            <w:bottom w:w="0" w:type="dxa"/>
            <w:right w:w="108" w:type="dxa"/>
          </w:tblCellMar>
        </w:tblPrEx>
        <w:trPr>
          <w:trHeight w:val="310" w:hRule="atLeast"/>
        </w:trPr>
        <w:tc>
          <w:tcPr>
            <w:tcW w:w="386" w:type="pc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12</w:t>
            </w:r>
          </w:p>
        </w:tc>
        <w:tc>
          <w:tcPr>
            <w:tcW w:w="645"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XCDC</w:t>
            </w:r>
            <w:r>
              <w:rPr>
                <w:rFonts w:ascii="宋体" w:hAnsi="宋体"/>
                <w:color w:val="000000"/>
                <w:kern w:val="0"/>
                <w:sz w:val="18"/>
                <w:szCs w:val="18"/>
              </w:rPr>
              <w:t>SJ</w:t>
            </w:r>
          </w:p>
        </w:tc>
        <w:tc>
          <w:tcPr>
            <w:tcW w:w="1099"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现场调查时间</w:t>
            </w:r>
          </w:p>
        </w:tc>
        <w:tc>
          <w:tcPr>
            <w:tcW w:w="494"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Text</w:t>
            </w:r>
          </w:p>
        </w:tc>
        <w:tc>
          <w:tcPr>
            <w:tcW w:w="353"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50</w:t>
            </w:r>
          </w:p>
        </w:tc>
        <w:tc>
          <w:tcPr>
            <w:tcW w:w="412" w:type="pct"/>
            <w:tcBorders>
              <w:top w:val="nil"/>
              <w:left w:val="nil"/>
              <w:bottom w:val="single" w:color="auto" w:sz="4" w:space="0"/>
              <w:right w:val="single" w:color="auto" w:sz="4" w:space="0"/>
            </w:tcBorders>
            <w:noWrap/>
            <w:vAlign w:val="bottom"/>
          </w:tcPr>
          <w:p>
            <w:pPr>
              <w:widowControl/>
              <w:jc w:val="center"/>
              <w:rPr>
                <w:rFonts w:ascii="宋体" w:hAnsi="宋体"/>
                <w:color w:val="000000"/>
                <w:kern w:val="0"/>
                <w:sz w:val="18"/>
                <w:szCs w:val="18"/>
              </w:rPr>
            </w:pPr>
          </w:p>
        </w:tc>
        <w:tc>
          <w:tcPr>
            <w:tcW w:w="1611" w:type="pct"/>
            <w:tcBorders>
              <w:top w:val="nil"/>
              <w:left w:val="nil"/>
              <w:bottom w:val="single" w:color="auto" w:sz="4" w:space="0"/>
              <w:right w:val="single" w:color="auto" w:sz="4" w:space="0"/>
            </w:tcBorders>
            <w:noWrap/>
            <w:vAlign w:val="bottom"/>
          </w:tcPr>
          <w:p>
            <w:pPr>
              <w:widowControl/>
              <w:jc w:val="center"/>
              <w:rPr>
                <w:rFonts w:ascii="宋体" w:hAnsi="宋体"/>
                <w:color w:val="000000"/>
                <w:kern w:val="0"/>
                <w:sz w:val="18"/>
                <w:szCs w:val="18"/>
              </w:rPr>
            </w:pPr>
            <w:r>
              <w:rPr>
                <w:rFonts w:ascii="宋体" w:hAnsi="宋体"/>
                <w:color w:val="000000"/>
                <w:kern w:val="0"/>
                <w:sz w:val="18"/>
                <w:szCs w:val="18"/>
              </w:rPr>
              <w:t>YYYYMM</w:t>
            </w:r>
          </w:p>
        </w:tc>
      </w:tr>
      <w:tr>
        <w:tblPrEx>
          <w:tblCellMar>
            <w:top w:w="0" w:type="dxa"/>
            <w:left w:w="108" w:type="dxa"/>
            <w:bottom w:w="0" w:type="dxa"/>
            <w:right w:w="108" w:type="dxa"/>
          </w:tblCellMar>
        </w:tblPrEx>
        <w:trPr>
          <w:trHeight w:val="310" w:hRule="atLeast"/>
        </w:trPr>
        <w:tc>
          <w:tcPr>
            <w:tcW w:w="386" w:type="pc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13</w:t>
            </w:r>
          </w:p>
        </w:tc>
        <w:tc>
          <w:tcPr>
            <w:tcW w:w="645"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SF</w:t>
            </w:r>
            <w:r>
              <w:rPr>
                <w:rFonts w:ascii="宋体" w:hAnsi="宋体"/>
                <w:color w:val="000000"/>
                <w:kern w:val="0"/>
                <w:sz w:val="18"/>
                <w:szCs w:val="18"/>
              </w:rPr>
              <w:t>FQYT</w:t>
            </w:r>
          </w:p>
        </w:tc>
        <w:tc>
          <w:tcPr>
            <w:tcW w:w="1099"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是否废弃鱼塘</w:t>
            </w:r>
          </w:p>
        </w:tc>
        <w:tc>
          <w:tcPr>
            <w:tcW w:w="494"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Text</w:t>
            </w:r>
          </w:p>
        </w:tc>
        <w:tc>
          <w:tcPr>
            <w:tcW w:w="353"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50</w:t>
            </w:r>
          </w:p>
        </w:tc>
        <w:tc>
          <w:tcPr>
            <w:tcW w:w="412"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p>
        </w:tc>
        <w:tc>
          <w:tcPr>
            <w:tcW w:w="1611"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是、否</w:t>
            </w:r>
          </w:p>
        </w:tc>
      </w:tr>
      <w:tr>
        <w:tblPrEx>
          <w:tblCellMar>
            <w:top w:w="0" w:type="dxa"/>
            <w:left w:w="108" w:type="dxa"/>
            <w:bottom w:w="0" w:type="dxa"/>
            <w:right w:w="108" w:type="dxa"/>
          </w:tblCellMar>
        </w:tblPrEx>
        <w:trPr>
          <w:trHeight w:val="310" w:hRule="atLeast"/>
        </w:trPr>
        <w:tc>
          <w:tcPr>
            <w:tcW w:w="386" w:type="pc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14</w:t>
            </w:r>
          </w:p>
        </w:tc>
        <w:tc>
          <w:tcPr>
            <w:tcW w:w="645"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MJ</w:t>
            </w:r>
          </w:p>
        </w:tc>
        <w:tc>
          <w:tcPr>
            <w:tcW w:w="1099"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面积</w:t>
            </w:r>
          </w:p>
        </w:tc>
        <w:tc>
          <w:tcPr>
            <w:tcW w:w="494"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Double</w:t>
            </w:r>
          </w:p>
        </w:tc>
        <w:tc>
          <w:tcPr>
            <w:tcW w:w="353"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15</w:t>
            </w:r>
          </w:p>
        </w:tc>
        <w:tc>
          <w:tcPr>
            <w:tcW w:w="412"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1</w:t>
            </w:r>
          </w:p>
        </w:tc>
        <w:tc>
          <w:tcPr>
            <w:tcW w:w="1611"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单位：m</w:t>
            </w:r>
            <w:r>
              <w:rPr>
                <w:rFonts w:hint="eastAsia" w:ascii="宋体" w:hAnsi="宋体"/>
                <w:color w:val="000000"/>
                <w:kern w:val="0"/>
                <w:sz w:val="18"/>
                <w:szCs w:val="18"/>
                <w:vertAlign w:val="superscript"/>
              </w:rPr>
              <w:t>2</w:t>
            </w:r>
          </w:p>
        </w:tc>
      </w:tr>
      <w:tr>
        <w:tblPrEx>
          <w:tblCellMar>
            <w:top w:w="0" w:type="dxa"/>
            <w:left w:w="108" w:type="dxa"/>
            <w:bottom w:w="0" w:type="dxa"/>
            <w:right w:w="108" w:type="dxa"/>
          </w:tblCellMar>
        </w:tblPrEx>
        <w:trPr>
          <w:trHeight w:val="310" w:hRule="atLeast"/>
        </w:trPr>
        <w:tc>
          <w:tcPr>
            <w:tcW w:w="386" w:type="pc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15</w:t>
            </w:r>
          </w:p>
        </w:tc>
        <w:tc>
          <w:tcPr>
            <w:tcW w:w="645"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LON</w:t>
            </w:r>
          </w:p>
        </w:tc>
        <w:tc>
          <w:tcPr>
            <w:tcW w:w="1099"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经度</w:t>
            </w:r>
          </w:p>
        </w:tc>
        <w:tc>
          <w:tcPr>
            <w:tcW w:w="494"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Double</w:t>
            </w:r>
          </w:p>
        </w:tc>
        <w:tc>
          <w:tcPr>
            <w:tcW w:w="353"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15</w:t>
            </w:r>
          </w:p>
        </w:tc>
        <w:tc>
          <w:tcPr>
            <w:tcW w:w="412"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5</w:t>
            </w:r>
          </w:p>
        </w:tc>
        <w:tc>
          <w:tcPr>
            <w:tcW w:w="1611"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w:t>
            </w:r>
          </w:p>
        </w:tc>
      </w:tr>
      <w:tr>
        <w:tblPrEx>
          <w:tblCellMar>
            <w:top w:w="0" w:type="dxa"/>
            <w:left w:w="108" w:type="dxa"/>
            <w:bottom w:w="0" w:type="dxa"/>
            <w:right w:w="108" w:type="dxa"/>
          </w:tblCellMar>
        </w:tblPrEx>
        <w:trPr>
          <w:trHeight w:val="310" w:hRule="atLeast"/>
        </w:trPr>
        <w:tc>
          <w:tcPr>
            <w:tcW w:w="386" w:type="pc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16</w:t>
            </w:r>
          </w:p>
        </w:tc>
        <w:tc>
          <w:tcPr>
            <w:tcW w:w="645"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LAT</w:t>
            </w:r>
          </w:p>
        </w:tc>
        <w:tc>
          <w:tcPr>
            <w:tcW w:w="1099"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纬度</w:t>
            </w:r>
          </w:p>
        </w:tc>
        <w:tc>
          <w:tcPr>
            <w:tcW w:w="494"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Double</w:t>
            </w:r>
          </w:p>
        </w:tc>
        <w:tc>
          <w:tcPr>
            <w:tcW w:w="353"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15</w:t>
            </w:r>
          </w:p>
        </w:tc>
        <w:tc>
          <w:tcPr>
            <w:tcW w:w="412"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5</w:t>
            </w:r>
          </w:p>
        </w:tc>
        <w:tc>
          <w:tcPr>
            <w:tcW w:w="1611"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w:t>
            </w:r>
          </w:p>
        </w:tc>
      </w:tr>
      <w:tr>
        <w:tblPrEx>
          <w:tblCellMar>
            <w:top w:w="0" w:type="dxa"/>
            <w:left w:w="108" w:type="dxa"/>
            <w:bottom w:w="0" w:type="dxa"/>
            <w:right w:w="108" w:type="dxa"/>
          </w:tblCellMar>
        </w:tblPrEx>
        <w:trPr>
          <w:trHeight w:val="310" w:hRule="atLeast"/>
        </w:trPr>
        <w:tc>
          <w:tcPr>
            <w:tcW w:w="386" w:type="pct"/>
            <w:tcBorders>
              <w:top w:val="nil"/>
              <w:left w:val="single" w:color="auto" w:sz="4" w:space="0"/>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17</w:t>
            </w:r>
          </w:p>
        </w:tc>
        <w:tc>
          <w:tcPr>
            <w:tcW w:w="645"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BZ</w:t>
            </w:r>
          </w:p>
        </w:tc>
        <w:tc>
          <w:tcPr>
            <w:tcW w:w="1099"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hint="eastAsia" w:ascii="宋体" w:hAnsi="宋体"/>
                <w:color w:val="000000"/>
                <w:kern w:val="0"/>
                <w:sz w:val="18"/>
                <w:szCs w:val="18"/>
              </w:rPr>
              <w:t>备注</w:t>
            </w:r>
          </w:p>
        </w:tc>
        <w:tc>
          <w:tcPr>
            <w:tcW w:w="494"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Text</w:t>
            </w:r>
          </w:p>
        </w:tc>
        <w:tc>
          <w:tcPr>
            <w:tcW w:w="353"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200</w:t>
            </w:r>
          </w:p>
        </w:tc>
        <w:tc>
          <w:tcPr>
            <w:tcW w:w="412"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p>
        </w:tc>
        <w:tc>
          <w:tcPr>
            <w:tcW w:w="1611" w:type="pct"/>
            <w:tcBorders>
              <w:top w:val="nil"/>
              <w:left w:val="nil"/>
              <w:bottom w:val="single" w:color="auto" w:sz="4" w:space="0"/>
              <w:right w:val="single" w:color="auto" w:sz="4" w:space="0"/>
            </w:tcBorders>
            <w:shd w:val="clear" w:color="000000" w:fill="FFFFFF"/>
            <w:vAlign w:val="center"/>
          </w:tcPr>
          <w:p>
            <w:pPr>
              <w:widowControl/>
              <w:jc w:val="center"/>
              <w:rPr>
                <w:rFonts w:ascii="宋体" w:hAnsi="宋体"/>
                <w:color w:val="000000"/>
                <w:kern w:val="0"/>
                <w:sz w:val="18"/>
                <w:szCs w:val="18"/>
              </w:rPr>
            </w:pPr>
            <w:r>
              <w:rPr>
                <w:rFonts w:ascii="宋体" w:hAnsi="宋体"/>
                <w:color w:val="000000"/>
                <w:kern w:val="0"/>
                <w:sz w:val="18"/>
                <w:szCs w:val="18"/>
              </w:rPr>
              <w:t>-</w:t>
            </w:r>
          </w:p>
        </w:tc>
      </w:tr>
      <w:bookmarkEnd w:id="369"/>
    </w:tbl>
    <w:p>
      <w:pPr>
        <w:pStyle w:val="32"/>
        <w:spacing w:before="156" w:after="156"/>
        <w:ind w:firstLine="0" w:firstLineChars="0"/>
        <w:jc w:val="center"/>
        <w:rPr>
          <w:rFonts w:ascii="黑体" w:hAnsi="黑体" w:eastAsia="黑体"/>
        </w:rPr>
      </w:pPr>
      <w:r>
        <w:rPr>
          <w:rFonts w:hint="eastAsia" w:ascii="黑体" w:hAnsi="黑体" w:eastAsia="黑体"/>
        </w:rPr>
        <w:t>表4 农村小微水体类型</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736"/>
        <w:gridCol w:w="67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9" w:type="pct"/>
          </w:tcPr>
          <w:p>
            <w:pPr>
              <w:spacing w:before="156" w:after="156"/>
              <w:jc w:val="center"/>
              <w:rPr>
                <w:rFonts w:ascii="宋体"/>
                <w:b/>
                <w:sz w:val="18"/>
                <w:szCs w:val="18"/>
              </w:rPr>
            </w:pPr>
            <w:bookmarkStart w:id="370" w:name="OLE_LINK277"/>
            <w:r>
              <w:rPr>
                <w:rFonts w:hint="eastAsia" w:ascii="宋体"/>
                <w:b/>
                <w:sz w:val="18"/>
                <w:szCs w:val="18"/>
              </w:rPr>
              <w:t>水体类型</w:t>
            </w:r>
          </w:p>
        </w:tc>
        <w:tc>
          <w:tcPr>
            <w:tcW w:w="3981" w:type="pct"/>
          </w:tcPr>
          <w:p>
            <w:pPr>
              <w:spacing w:before="156" w:after="156"/>
              <w:jc w:val="center"/>
              <w:rPr>
                <w:rFonts w:ascii="宋体"/>
                <w:b/>
                <w:sz w:val="18"/>
                <w:szCs w:val="18"/>
              </w:rPr>
            </w:pPr>
            <w:r>
              <w:rPr>
                <w:rFonts w:hint="eastAsia" w:ascii="宋体"/>
                <w:b/>
                <w:sz w:val="18"/>
                <w:szCs w:val="18"/>
              </w:rPr>
              <w:t>说明</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9" w:type="pct"/>
          </w:tcPr>
          <w:p>
            <w:pPr>
              <w:spacing w:before="156" w:after="156"/>
              <w:jc w:val="center"/>
              <w:rPr>
                <w:rFonts w:ascii="宋体"/>
                <w:sz w:val="18"/>
                <w:szCs w:val="18"/>
              </w:rPr>
            </w:pPr>
            <w:r>
              <w:rPr>
                <w:rFonts w:hint="eastAsia" w:ascii="宋体"/>
                <w:sz w:val="18"/>
                <w:szCs w:val="18"/>
              </w:rPr>
              <w:t>河流</w:t>
            </w:r>
          </w:p>
        </w:tc>
        <w:tc>
          <w:tcPr>
            <w:tcW w:w="3981" w:type="pct"/>
          </w:tcPr>
          <w:p>
            <w:pPr>
              <w:spacing w:before="156" w:after="156"/>
              <w:jc w:val="center"/>
              <w:rPr>
                <w:rFonts w:ascii="宋体"/>
                <w:sz w:val="18"/>
                <w:szCs w:val="18"/>
              </w:rPr>
            </w:pPr>
            <w:r>
              <w:rPr>
                <w:rFonts w:hint="eastAsia" w:ascii="宋体"/>
                <w:sz w:val="18"/>
                <w:szCs w:val="18"/>
              </w:rPr>
              <w:t>天然形成或人工开挖河流常水位岸线之间的水面，不包括被堤坝拦截后形成的水库区段水面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9" w:type="pct"/>
          </w:tcPr>
          <w:p>
            <w:pPr>
              <w:spacing w:before="156" w:after="156"/>
              <w:jc w:val="center"/>
              <w:rPr>
                <w:rFonts w:ascii="宋体"/>
                <w:sz w:val="18"/>
                <w:szCs w:val="18"/>
              </w:rPr>
            </w:pPr>
            <w:r>
              <w:rPr>
                <w:rFonts w:hint="eastAsia" w:ascii="宋体"/>
                <w:sz w:val="18"/>
                <w:szCs w:val="18"/>
              </w:rPr>
              <w:t>沟渠</w:t>
            </w:r>
          </w:p>
        </w:tc>
        <w:tc>
          <w:tcPr>
            <w:tcW w:w="3981" w:type="pct"/>
          </w:tcPr>
          <w:p>
            <w:pPr>
              <w:spacing w:before="156" w:after="156"/>
              <w:jc w:val="center"/>
              <w:rPr>
                <w:rFonts w:ascii="宋体"/>
                <w:sz w:val="18"/>
                <w:szCs w:val="18"/>
              </w:rPr>
            </w:pPr>
            <w:r>
              <w:rPr>
                <w:rFonts w:hint="eastAsia" w:ascii="宋体"/>
                <w:sz w:val="18"/>
                <w:szCs w:val="18"/>
              </w:rPr>
              <w:t>人工修建，宽度大于等于2.0m用于引、排、灌的渠道</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019" w:type="pct"/>
          </w:tcPr>
          <w:p>
            <w:pPr>
              <w:spacing w:before="156" w:after="156"/>
              <w:jc w:val="center"/>
              <w:rPr>
                <w:rFonts w:ascii="宋体"/>
                <w:sz w:val="18"/>
                <w:szCs w:val="18"/>
              </w:rPr>
            </w:pPr>
            <w:r>
              <w:rPr>
                <w:rFonts w:hint="eastAsia" w:ascii="宋体"/>
                <w:sz w:val="18"/>
                <w:szCs w:val="18"/>
              </w:rPr>
              <w:t>坑塘</w:t>
            </w:r>
          </w:p>
        </w:tc>
        <w:tc>
          <w:tcPr>
            <w:tcW w:w="3981" w:type="pct"/>
          </w:tcPr>
          <w:p>
            <w:pPr>
              <w:spacing w:before="156" w:after="156"/>
              <w:jc w:val="center"/>
              <w:rPr>
                <w:rFonts w:ascii="宋体"/>
                <w:sz w:val="18"/>
                <w:szCs w:val="18"/>
              </w:rPr>
            </w:pPr>
            <w:r>
              <w:rPr>
                <w:rFonts w:hint="eastAsia" w:ascii="宋体"/>
                <w:sz w:val="18"/>
                <w:szCs w:val="18"/>
              </w:rPr>
              <w:t>人工开挖或天然形成的蓄水量小于10万m</w:t>
            </w:r>
            <w:r>
              <w:rPr>
                <w:rFonts w:hint="eastAsia" w:ascii="宋体"/>
                <w:sz w:val="18"/>
                <w:szCs w:val="18"/>
                <w:vertAlign w:val="superscript"/>
              </w:rPr>
              <w:t>3</w:t>
            </w:r>
            <w:r>
              <w:rPr>
                <w:rFonts w:hint="eastAsia" w:ascii="宋体"/>
                <w:sz w:val="18"/>
                <w:szCs w:val="18"/>
              </w:rPr>
              <w:t>的常水位岸线所围成的水面</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19" w:type="pct"/>
          </w:tcPr>
          <w:p>
            <w:pPr>
              <w:spacing w:before="156" w:after="156"/>
              <w:jc w:val="center"/>
              <w:rPr>
                <w:rFonts w:ascii="宋体"/>
                <w:sz w:val="18"/>
                <w:szCs w:val="18"/>
              </w:rPr>
            </w:pPr>
            <w:r>
              <w:rPr>
                <w:rFonts w:hint="eastAsia" w:ascii="宋体"/>
                <w:sz w:val="18"/>
                <w:szCs w:val="18"/>
              </w:rPr>
              <w:t>其他</w:t>
            </w:r>
          </w:p>
        </w:tc>
        <w:tc>
          <w:tcPr>
            <w:tcW w:w="3981" w:type="pct"/>
          </w:tcPr>
          <w:p>
            <w:pPr>
              <w:spacing w:before="156" w:after="156"/>
              <w:jc w:val="center"/>
              <w:rPr>
                <w:rFonts w:ascii="宋体"/>
                <w:sz w:val="18"/>
                <w:szCs w:val="18"/>
              </w:rPr>
            </w:pPr>
            <w:r>
              <w:rPr>
                <w:rFonts w:hint="eastAsia" w:ascii="宋体"/>
                <w:sz w:val="18"/>
                <w:szCs w:val="18"/>
              </w:rPr>
              <w:t>除以上情况外，归为其他类型水体</w:t>
            </w:r>
          </w:p>
        </w:tc>
      </w:tr>
      <w:bookmarkEnd w:id="370"/>
    </w:tbl>
    <w:p>
      <w:pPr>
        <w:pStyle w:val="32"/>
        <w:spacing w:before="156" w:after="156"/>
        <w:ind w:firstLine="0" w:firstLineChars="0"/>
        <w:jc w:val="center"/>
        <w:rPr>
          <w:rFonts w:ascii="黑体" w:hAnsi="黑体" w:eastAsia="黑体"/>
        </w:rPr>
      </w:pPr>
      <w:r>
        <w:rPr>
          <w:rFonts w:hint="eastAsia" w:ascii="黑体" w:hAnsi="黑体" w:eastAsia="黑体"/>
        </w:rPr>
        <w:t>表5 农村小微水体污染源类型</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221"/>
        <w:gridCol w:w="5001"/>
        <w:gridCol w:w="129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blHeader/>
        </w:trPr>
        <w:tc>
          <w:tcPr>
            <w:tcW w:w="1304" w:type="pct"/>
          </w:tcPr>
          <w:p>
            <w:pPr>
              <w:spacing w:before="156" w:after="156"/>
              <w:jc w:val="center"/>
              <w:rPr>
                <w:rFonts w:ascii="宋体"/>
                <w:b/>
                <w:sz w:val="18"/>
                <w:szCs w:val="18"/>
              </w:rPr>
            </w:pPr>
            <w:r>
              <w:rPr>
                <w:rFonts w:hint="eastAsia" w:ascii="宋体"/>
                <w:b/>
                <w:sz w:val="18"/>
                <w:szCs w:val="18"/>
              </w:rPr>
              <w:t>污染源类型</w:t>
            </w:r>
          </w:p>
        </w:tc>
        <w:tc>
          <w:tcPr>
            <w:tcW w:w="2936" w:type="pct"/>
          </w:tcPr>
          <w:p>
            <w:pPr>
              <w:spacing w:before="156" w:after="156"/>
              <w:jc w:val="center"/>
              <w:rPr>
                <w:rFonts w:ascii="宋体"/>
                <w:b/>
                <w:sz w:val="18"/>
                <w:szCs w:val="18"/>
              </w:rPr>
            </w:pPr>
            <w:r>
              <w:rPr>
                <w:rFonts w:hint="eastAsia" w:ascii="宋体"/>
                <w:b/>
                <w:sz w:val="18"/>
                <w:szCs w:val="18"/>
              </w:rPr>
              <w:t>说明</w:t>
            </w:r>
          </w:p>
        </w:tc>
        <w:tc>
          <w:tcPr>
            <w:tcW w:w="760" w:type="pct"/>
          </w:tcPr>
          <w:p>
            <w:pPr>
              <w:spacing w:before="156" w:after="156"/>
              <w:jc w:val="center"/>
              <w:rPr>
                <w:rFonts w:ascii="宋体"/>
                <w:b/>
                <w:sz w:val="18"/>
                <w:szCs w:val="18"/>
              </w:rPr>
            </w:pPr>
            <w:r>
              <w:rPr>
                <w:rFonts w:hint="eastAsia" w:ascii="宋体"/>
                <w:b/>
                <w:sz w:val="18"/>
                <w:szCs w:val="1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04" w:type="pct"/>
          </w:tcPr>
          <w:p>
            <w:pPr>
              <w:spacing w:before="156" w:after="156"/>
              <w:jc w:val="center"/>
              <w:rPr>
                <w:rFonts w:ascii="宋体"/>
                <w:sz w:val="18"/>
                <w:szCs w:val="18"/>
              </w:rPr>
            </w:pPr>
            <w:r>
              <w:rPr>
                <w:rFonts w:hint="eastAsia" w:ascii="宋体"/>
                <w:sz w:val="18"/>
                <w:szCs w:val="18"/>
              </w:rPr>
              <w:t>生活污水</w:t>
            </w:r>
          </w:p>
        </w:tc>
        <w:tc>
          <w:tcPr>
            <w:tcW w:w="2936" w:type="pct"/>
          </w:tcPr>
          <w:p>
            <w:pPr>
              <w:spacing w:before="156" w:after="156"/>
              <w:jc w:val="center"/>
              <w:rPr>
                <w:rFonts w:ascii="宋体"/>
                <w:sz w:val="18"/>
                <w:szCs w:val="18"/>
              </w:rPr>
            </w:pPr>
            <w:r>
              <w:rPr>
                <w:rFonts w:hint="eastAsia" w:ascii="宋体"/>
                <w:sz w:val="18"/>
                <w:szCs w:val="18"/>
              </w:rPr>
              <w:t>居民点周边</w:t>
            </w:r>
          </w:p>
        </w:tc>
        <w:tc>
          <w:tcPr>
            <w:tcW w:w="760" w:type="pct"/>
            <w:vMerge w:val="restart"/>
            <w:vAlign w:val="center"/>
          </w:tcPr>
          <w:p>
            <w:pPr>
              <w:spacing w:before="156" w:after="156"/>
              <w:jc w:val="center"/>
              <w:rPr>
                <w:rFonts w:ascii="宋体"/>
                <w:sz w:val="18"/>
                <w:szCs w:val="18"/>
              </w:rPr>
            </w:pPr>
            <w:bookmarkStart w:id="371" w:name="OLE_LINK207"/>
            <w:bookmarkStart w:id="372" w:name="OLE_LINK206"/>
            <w:r>
              <w:rPr>
                <w:rFonts w:hint="eastAsia" w:ascii="宋体"/>
                <w:sz w:val="18"/>
                <w:szCs w:val="18"/>
              </w:rPr>
              <w:t>基于遥感影像，结合</w:t>
            </w:r>
            <w:bookmarkStart w:id="373" w:name="OLE_LINK321"/>
            <w:bookmarkStart w:id="374" w:name="OLE_LINK320"/>
            <w:r>
              <w:rPr>
                <w:rFonts w:hint="eastAsia" w:ascii="宋体"/>
                <w:sz w:val="18"/>
                <w:szCs w:val="18"/>
              </w:rPr>
              <w:t>自然村或村民小组等村民集聚区或聚集点、畜禽养殖场、排污口、工业企业、排污口、垃圾填埋场、养鱼塘、农村污水收集</w:t>
            </w:r>
            <w:bookmarkEnd w:id="373"/>
            <w:bookmarkEnd w:id="374"/>
            <w:r>
              <w:rPr>
                <w:rFonts w:hint="eastAsia" w:ascii="宋体"/>
                <w:sz w:val="18"/>
                <w:szCs w:val="18"/>
              </w:rPr>
              <w:t>输运分布等数据</w:t>
            </w:r>
            <w:bookmarkStart w:id="375" w:name="OLE_LINK172"/>
            <w:r>
              <w:rPr>
                <w:rFonts w:hint="eastAsia" w:ascii="宋体"/>
                <w:sz w:val="18"/>
                <w:szCs w:val="18"/>
              </w:rPr>
              <w:t>判定</w:t>
            </w:r>
            <w:bookmarkEnd w:id="371"/>
            <w:bookmarkEnd w:id="372"/>
            <w:bookmarkEnd w:id="375"/>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04" w:type="pct"/>
          </w:tcPr>
          <w:p>
            <w:pPr>
              <w:spacing w:before="156" w:after="156"/>
              <w:jc w:val="center"/>
              <w:rPr>
                <w:rFonts w:ascii="宋体"/>
                <w:sz w:val="18"/>
                <w:szCs w:val="18"/>
              </w:rPr>
            </w:pPr>
            <w:r>
              <w:rPr>
                <w:rFonts w:hint="eastAsia" w:ascii="宋体"/>
                <w:sz w:val="18"/>
                <w:szCs w:val="18"/>
              </w:rPr>
              <w:t>生活垃圾和生活废弃物</w:t>
            </w:r>
          </w:p>
        </w:tc>
        <w:tc>
          <w:tcPr>
            <w:tcW w:w="2936" w:type="pct"/>
          </w:tcPr>
          <w:p>
            <w:pPr>
              <w:spacing w:before="156" w:after="156"/>
              <w:jc w:val="center"/>
              <w:rPr>
                <w:rFonts w:ascii="宋体"/>
                <w:sz w:val="18"/>
                <w:szCs w:val="18"/>
              </w:rPr>
            </w:pPr>
            <w:r>
              <w:rPr>
                <w:rFonts w:hint="eastAsia" w:ascii="宋体"/>
                <w:sz w:val="18"/>
                <w:szCs w:val="18"/>
              </w:rPr>
              <w:t>居民点周边</w:t>
            </w:r>
          </w:p>
        </w:tc>
        <w:tc>
          <w:tcPr>
            <w:tcW w:w="760" w:type="pct"/>
            <w:vMerge w:val="continue"/>
            <w:vAlign w:val="center"/>
          </w:tcPr>
          <w:p>
            <w:pPr>
              <w:spacing w:before="156" w:after="156"/>
              <w:jc w:val="center"/>
              <w:rPr>
                <w:rFonts w:asci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304" w:type="pct"/>
          </w:tcPr>
          <w:p>
            <w:pPr>
              <w:spacing w:before="156" w:after="156"/>
              <w:jc w:val="center"/>
              <w:rPr>
                <w:rFonts w:ascii="宋体"/>
                <w:sz w:val="18"/>
                <w:szCs w:val="18"/>
              </w:rPr>
            </w:pPr>
            <w:r>
              <w:rPr>
                <w:rFonts w:hint="eastAsia" w:ascii="宋体"/>
                <w:sz w:val="18"/>
                <w:szCs w:val="18"/>
              </w:rPr>
              <w:t>畜禽养殖</w:t>
            </w:r>
          </w:p>
        </w:tc>
        <w:tc>
          <w:tcPr>
            <w:tcW w:w="2936" w:type="pct"/>
          </w:tcPr>
          <w:p>
            <w:pPr>
              <w:spacing w:before="156" w:after="156"/>
              <w:jc w:val="center"/>
              <w:rPr>
                <w:rFonts w:ascii="宋体"/>
                <w:sz w:val="18"/>
                <w:szCs w:val="18"/>
              </w:rPr>
            </w:pPr>
            <w:r>
              <w:rPr>
                <w:rFonts w:hint="eastAsia" w:ascii="宋体"/>
                <w:sz w:val="18"/>
                <w:szCs w:val="18"/>
              </w:rPr>
              <w:t>畜禽养殖场周边</w:t>
            </w:r>
          </w:p>
        </w:tc>
        <w:tc>
          <w:tcPr>
            <w:tcW w:w="760" w:type="pct"/>
            <w:vMerge w:val="continue"/>
            <w:vAlign w:val="center"/>
          </w:tcPr>
          <w:p>
            <w:pPr>
              <w:spacing w:before="156" w:after="156"/>
              <w:jc w:val="center"/>
              <w:rPr>
                <w:rFonts w:asci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04" w:type="pct"/>
          </w:tcPr>
          <w:p>
            <w:pPr>
              <w:spacing w:before="156" w:after="156"/>
              <w:jc w:val="center"/>
              <w:rPr>
                <w:rFonts w:ascii="宋体"/>
                <w:sz w:val="18"/>
                <w:szCs w:val="18"/>
              </w:rPr>
            </w:pPr>
            <w:r>
              <w:rPr>
                <w:rFonts w:hint="eastAsia" w:ascii="宋体"/>
                <w:sz w:val="18"/>
                <w:szCs w:val="18"/>
              </w:rPr>
              <w:t>水产养殖</w:t>
            </w:r>
          </w:p>
        </w:tc>
        <w:tc>
          <w:tcPr>
            <w:tcW w:w="2936" w:type="pct"/>
          </w:tcPr>
          <w:p>
            <w:pPr>
              <w:spacing w:before="156" w:after="156"/>
              <w:jc w:val="center"/>
              <w:rPr>
                <w:rFonts w:ascii="宋体"/>
                <w:sz w:val="18"/>
                <w:szCs w:val="18"/>
              </w:rPr>
            </w:pPr>
            <w:r>
              <w:rPr>
                <w:rFonts w:hint="eastAsia" w:ascii="宋体"/>
                <w:sz w:val="18"/>
                <w:szCs w:val="18"/>
              </w:rPr>
              <w:t>废旧养鱼塘</w:t>
            </w:r>
          </w:p>
        </w:tc>
        <w:tc>
          <w:tcPr>
            <w:tcW w:w="760" w:type="pct"/>
            <w:vMerge w:val="continue"/>
            <w:vAlign w:val="center"/>
          </w:tcPr>
          <w:p>
            <w:pPr>
              <w:spacing w:before="156" w:after="156"/>
              <w:jc w:val="center"/>
              <w:rPr>
                <w:rFonts w:asci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04" w:type="pct"/>
          </w:tcPr>
          <w:p>
            <w:pPr>
              <w:spacing w:before="156" w:after="156"/>
              <w:jc w:val="center"/>
              <w:rPr>
                <w:rFonts w:ascii="宋体"/>
                <w:sz w:val="18"/>
                <w:szCs w:val="18"/>
              </w:rPr>
            </w:pPr>
            <w:r>
              <w:rPr>
                <w:rFonts w:hint="eastAsia" w:ascii="宋体"/>
                <w:sz w:val="18"/>
                <w:szCs w:val="18"/>
              </w:rPr>
              <w:t>种植业</w:t>
            </w:r>
          </w:p>
        </w:tc>
        <w:tc>
          <w:tcPr>
            <w:tcW w:w="2936" w:type="pct"/>
          </w:tcPr>
          <w:p>
            <w:pPr>
              <w:spacing w:before="156" w:after="156"/>
              <w:jc w:val="center"/>
              <w:rPr>
                <w:rFonts w:ascii="宋体"/>
                <w:sz w:val="18"/>
                <w:szCs w:val="18"/>
              </w:rPr>
            </w:pPr>
            <w:r>
              <w:rPr>
                <w:rFonts w:hint="eastAsia" w:ascii="宋体"/>
                <w:sz w:val="18"/>
                <w:szCs w:val="18"/>
              </w:rPr>
              <w:t>农用地周边</w:t>
            </w:r>
          </w:p>
        </w:tc>
        <w:tc>
          <w:tcPr>
            <w:tcW w:w="760" w:type="pct"/>
            <w:vMerge w:val="continue"/>
          </w:tcPr>
          <w:p>
            <w:pPr>
              <w:spacing w:before="156" w:after="156"/>
              <w:jc w:val="center"/>
              <w:rPr>
                <w:rFonts w:asci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04" w:type="pct"/>
            <w:vAlign w:val="center"/>
          </w:tcPr>
          <w:p>
            <w:pPr>
              <w:spacing w:before="156" w:after="156"/>
              <w:jc w:val="center"/>
              <w:rPr>
                <w:rFonts w:ascii="宋体"/>
                <w:sz w:val="18"/>
                <w:szCs w:val="18"/>
              </w:rPr>
            </w:pPr>
            <w:r>
              <w:rPr>
                <w:rFonts w:hint="eastAsia" w:ascii="宋体"/>
                <w:sz w:val="18"/>
                <w:szCs w:val="18"/>
              </w:rPr>
              <w:t>企业排污</w:t>
            </w:r>
          </w:p>
        </w:tc>
        <w:tc>
          <w:tcPr>
            <w:tcW w:w="2936" w:type="pct"/>
          </w:tcPr>
          <w:p>
            <w:pPr>
              <w:spacing w:before="156" w:after="156"/>
              <w:jc w:val="center"/>
              <w:rPr>
                <w:rFonts w:ascii="宋体"/>
                <w:sz w:val="18"/>
                <w:szCs w:val="18"/>
              </w:rPr>
            </w:pPr>
            <w:bookmarkStart w:id="376" w:name="OLE_LINK205"/>
            <w:bookmarkStart w:id="377" w:name="OLE_LINK204"/>
            <w:r>
              <w:rPr>
                <w:rFonts w:hint="eastAsia" w:ascii="宋体"/>
                <w:sz w:val="18"/>
                <w:szCs w:val="18"/>
              </w:rPr>
              <w:t>水体位于工业企业周边且周围无农村住户，现场调查发现企业排污口</w:t>
            </w:r>
            <w:bookmarkEnd w:id="376"/>
            <w:bookmarkEnd w:id="377"/>
          </w:p>
        </w:tc>
        <w:tc>
          <w:tcPr>
            <w:tcW w:w="760" w:type="pct"/>
            <w:vMerge w:val="continue"/>
          </w:tcPr>
          <w:p>
            <w:pPr>
              <w:spacing w:before="156" w:after="156"/>
              <w:jc w:val="center"/>
              <w:rPr>
                <w:rFonts w:asci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304" w:type="pct"/>
          </w:tcPr>
          <w:p>
            <w:pPr>
              <w:spacing w:before="156" w:after="156"/>
              <w:jc w:val="center"/>
              <w:rPr>
                <w:rFonts w:ascii="宋体"/>
                <w:sz w:val="18"/>
                <w:szCs w:val="18"/>
              </w:rPr>
            </w:pPr>
            <w:r>
              <w:rPr>
                <w:rFonts w:hint="eastAsia" w:ascii="宋体"/>
                <w:sz w:val="18"/>
                <w:szCs w:val="18"/>
              </w:rPr>
              <w:t>底泥淤积</w:t>
            </w:r>
          </w:p>
        </w:tc>
        <w:tc>
          <w:tcPr>
            <w:tcW w:w="2936" w:type="pct"/>
          </w:tcPr>
          <w:p>
            <w:pPr>
              <w:spacing w:before="156" w:after="156"/>
              <w:jc w:val="center"/>
              <w:rPr>
                <w:rFonts w:ascii="宋体"/>
                <w:sz w:val="18"/>
                <w:szCs w:val="18"/>
              </w:rPr>
            </w:pPr>
            <w:r>
              <w:rPr>
                <w:rFonts w:hint="eastAsia" w:ascii="宋体"/>
                <w:sz w:val="18"/>
                <w:szCs w:val="18"/>
              </w:rPr>
              <w:t>水体不流动导致底泥淤积</w:t>
            </w:r>
          </w:p>
        </w:tc>
        <w:tc>
          <w:tcPr>
            <w:tcW w:w="760" w:type="pct"/>
            <w:vMerge w:val="continue"/>
          </w:tcPr>
          <w:p>
            <w:pPr>
              <w:spacing w:before="156" w:after="156"/>
              <w:jc w:val="center"/>
              <w:rPr>
                <w:rFonts w:asci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04" w:type="pct"/>
          </w:tcPr>
          <w:p>
            <w:pPr>
              <w:spacing w:before="156" w:after="156"/>
              <w:jc w:val="center"/>
              <w:rPr>
                <w:rFonts w:ascii="宋体"/>
                <w:sz w:val="18"/>
                <w:szCs w:val="18"/>
              </w:rPr>
            </w:pPr>
            <w:r>
              <w:rPr>
                <w:rFonts w:hint="eastAsia" w:ascii="宋体"/>
                <w:sz w:val="18"/>
                <w:szCs w:val="18"/>
              </w:rPr>
              <w:t>粪污</w:t>
            </w:r>
          </w:p>
        </w:tc>
        <w:tc>
          <w:tcPr>
            <w:tcW w:w="2936" w:type="pct"/>
          </w:tcPr>
          <w:p>
            <w:pPr>
              <w:spacing w:before="156" w:after="156"/>
              <w:jc w:val="center"/>
              <w:rPr>
                <w:rFonts w:ascii="宋体"/>
                <w:sz w:val="18"/>
                <w:szCs w:val="18"/>
              </w:rPr>
            </w:pPr>
            <w:r>
              <w:rPr>
                <w:rFonts w:hint="eastAsia" w:ascii="宋体"/>
                <w:sz w:val="18"/>
                <w:szCs w:val="18"/>
              </w:rPr>
              <w:t>居民点周边</w:t>
            </w:r>
          </w:p>
        </w:tc>
        <w:tc>
          <w:tcPr>
            <w:tcW w:w="760" w:type="pct"/>
            <w:vMerge w:val="continue"/>
          </w:tcPr>
          <w:p>
            <w:pPr>
              <w:spacing w:before="156" w:after="156"/>
              <w:jc w:val="center"/>
              <w:rPr>
                <w:rFonts w:asci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04" w:type="pct"/>
          </w:tcPr>
          <w:p>
            <w:pPr>
              <w:spacing w:before="156" w:after="156"/>
              <w:jc w:val="center"/>
              <w:rPr>
                <w:rFonts w:ascii="宋体"/>
                <w:sz w:val="18"/>
                <w:szCs w:val="18"/>
              </w:rPr>
            </w:pPr>
            <w:r>
              <w:rPr>
                <w:rFonts w:hint="eastAsia" w:ascii="宋体"/>
                <w:sz w:val="18"/>
                <w:szCs w:val="18"/>
              </w:rPr>
              <w:t>其他污染源</w:t>
            </w:r>
          </w:p>
        </w:tc>
        <w:tc>
          <w:tcPr>
            <w:tcW w:w="2936" w:type="pct"/>
          </w:tcPr>
          <w:p>
            <w:pPr>
              <w:spacing w:before="156" w:after="156"/>
              <w:jc w:val="center"/>
              <w:rPr>
                <w:rFonts w:ascii="宋体"/>
                <w:sz w:val="18"/>
                <w:szCs w:val="18"/>
              </w:rPr>
            </w:pPr>
            <w:r>
              <w:rPr>
                <w:rFonts w:hint="eastAsia" w:ascii="宋体"/>
                <w:sz w:val="18"/>
                <w:szCs w:val="18"/>
              </w:rPr>
              <w:t>除以上情况外，归为其他类型污染源</w:t>
            </w:r>
          </w:p>
        </w:tc>
        <w:tc>
          <w:tcPr>
            <w:tcW w:w="760" w:type="pct"/>
            <w:vMerge w:val="continue"/>
          </w:tcPr>
          <w:p>
            <w:pPr>
              <w:spacing w:before="156" w:after="156"/>
              <w:jc w:val="center"/>
              <w:rPr>
                <w:rFonts w:ascii="宋体"/>
                <w:sz w:val="18"/>
                <w:szCs w:val="18"/>
              </w:rPr>
            </w:pPr>
          </w:p>
        </w:tc>
      </w:tr>
    </w:tbl>
    <w:p>
      <w:pPr>
        <w:pStyle w:val="32"/>
        <w:spacing w:before="156" w:after="156"/>
        <w:ind w:firstLine="0" w:firstLineChars="0"/>
        <w:jc w:val="center"/>
        <w:rPr>
          <w:rFonts w:ascii="黑体" w:hAnsi="黑体" w:eastAsia="黑体"/>
        </w:rPr>
      </w:pPr>
      <w:r>
        <w:rPr>
          <w:rFonts w:hint="eastAsia" w:ascii="黑体" w:hAnsi="黑体" w:eastAsia="黑体"/>
        </w:rPr>
        <w:t>表6 农村小微水体污染存续状态</w:t>
      </w:r>
    </w:p>
    <w:tbl>
      <w:tblPr>
        <w:tblStyle w:val="15"/>
        <w:tblW w:w="5000"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241"/>
        <w:gridCol w:w="4670"/>
        <w:gridCol w:w="160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6" w:type="pct"/>
          </w:tcPr>
          <w:p>
            <w:pPr>
              <w:spacing w:before="156" w:after="156"/>
              <w:jc w:val="center"/>
              <w:rPr>
                <w:rFonts w:ascii="宋体"/>
                <w:b/>
                <w:sz w:val="18"/>
                <w:szCs w:val="18"/>
              </w:rPr>
            </w:pPr>
            <w:bookmarkStart w:id="378" w:name="OLE_LINK274"/>
            <w:r>
              <w:rPr>
                <w:rFonts w:hint="eastAsia" w:ascii="宋体"/>
                <w:b/>
                <w:sz w:val="18"/>
                <w:szCs w:val="18"/>
              </w:rPr>
              <w:t>存续状态</w:t>
            </w:r>
          </w:p>
        </w:tc>
        <w:tc>
          <w:tcPr>
            <w:tcW w:w="2742" w:type="pct"/>
          </w:tcPr>
          <w:p>
            <w:pPr>
              <w:spacing w:before="156" w:after="156"/>
              <w:jc w:val="center"/>
              <w:rPr>
                <w:rFonts w:ascii="宋体"/>
                <w:b/>
                <w:sz w:val="18"/>
                <w:szCs w:val="18"/>
              </w:rPr>
            </w:pPr>
            <w:r>
              <w:rPr>
                <w:rFonts w:hint="eastAsia" w:ascii="宋体"/>
                <w:b/>
                <w:sz w:val="18"/>
                <w:szCs w:val="18"/>
              </w:rPr>
              <w:t>说明</w:t>
            </w:r>
          </w:p>
        </w:tc>
        <w:tc>
          <w:tcPr>
            <w:tcW w:w="942" w:type="pct"/>
          </w:tcPr>
          <w:p>
            <w:pPr>
              <w:spacing w:before="156" w:after="156"/>
              <w:jc w:val="center"/>
              <w:rPr>
                <w:rFonts w:ascii="宋体"/>
                <w:b/>
                <w:sz w:val="18"/>
                <w:szCs w:val="18"/>
              </w:rPr>
            </w:pPr>
            <w:r>
              <w:rPr>
                <w:rFonts w:hint="eastAsia" w:ascii="宋体"/>
                <w:b/>
                <w:sz w:val="18"/>
                <w:szCs w:val="18"/>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6" w:type="pct"/>
          </w:tcPr>
          <w:p>
            <w:pPr>
              <w:spacing w:before="156" w:after="156"/>
              <w:jc w:val="center"/>
              <w:rPr>
                <w:rFonts w:ascii="宋体"/>
                <w:sz w:val="18"/>
                <w:szCs w:val="18"/>
              </w:rPr>
            </w:pPr>
            <w:r>
              <w:rPr>
                <w:rFonts w:hint="eastAsia" w:ascii="宋体"/>
                <w:sz w:val="18"/>
                <w:szCs w:val="18"/>
              </w:rPr>
              <w:t>反复出现</w:t>
            </w:r>
          </w:p>
        </w:tc>
        <w:tc>
          <w:tcPr>
            <w:tcW w:w="2742" w:type="pct"/>
          </w:tcPr>
          <w:p>
            <w:pPr>
              <w:spacing w:before="156" w:after="156"/>
              <w:jc w:val="center"/>
              <w:rPr>
                <w:rFonts w:ascii="宋体"/>
                <w:sz w:val="18"/>
                <w:szCs w:val="18"/>
              </w:rPr>
            </w:pPr>
            <w:r>
              <w:rPr>
                <w:rFonts w:hint="eastAsia" w:ascii="宋体"/>
                <w:sz w:val="18"/>
                <w:szCs w:val="18"/>
              </w:rPr>
              <w:t>相对前一期，范围不变、扩大或缩小的小微水体污染</w:t>
            </w:r>
          </w:p>
        </w:tc>
        <w:tc>
          <w:tcPr>
            <w:tcW w:w="942" w:type="pct"/>
            <w:vMerge w:val="restart"/>
            <w:vAlign w:val="center"/>
          </w:tcPr>
          <w:p>
            <w:pPr>
              <w:spacing w:before="156" w:after="156"/>
              <w:jc w:val="center"/>
              <w:rPr>
                <w:rFonts w:ascii="宋体"/>
                <w:sz w:val="18"/>
                <w:szCs w:val="18"/>
              </w:rPr>
            </w:pPr>
            <w:r>
              <w:rPr>
                <w:rFonts w:hint="eastAsia" w:ascii="宋体"/>
                <w:sz w:val="18"/>
                <w:szCs w:val="18"/>
              </w:rPr>
              <w:t>基于多期遥感影像判定</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6" w:type="pct"/>
          </w:tcPr>
          <w:p>
            <w:pPr>
              <w:spacing w:before="156" w:after="156"/>
              <w:jc w:val="center"/>
              <w:rPr>
                <w:rFonts w:ascii="宋体"/>
                <w:sz w:val="18"/>
                <w:szCs w:val="18"/>
              </w:rPr>
            </w:pPr>
            <w:r>
              <w:rPr>
                <w:rFonts w:hint="eastAsia" w:ascii="宋体"/>
                <w:sz w:val="18"/>
                <w:szCs w:val="18"/>
              </w:rPr>
              <w:t>新增</w:t>
            </w:r>
          </w:p>
        </w:tc>
        <w:tc>
          <w:tcPr>
            <w:tcW w:w="2742" w:type="pct"/>
          </w:tcPr>
          <w:p>
            <w:pPr>
              <w:spacing w:before="156" w:after="156"/>
              <w:jc w:val="center"/>
              <w:rPr>
                <w:rFonts w:ascii="宋体"/>
                <w:sz w:val="18"/>
                <w:szCs w:val="18"/>
              </w:rPr>
            </w:pPr>
            <w:r>
              <w:rPr>
                <w:rFonts w:hint="eastAsia" w:ascii="宋体"/>
                <w:sz w:val="18"/>
                <w:szCs w:val="18"/>
              </w:rPr>
              <w:t>相对前一期，新出现的小微水体污染</w:t>
            </w:r>
          </w:p>
        </w:tc>
        <w:tc>
          <w:tcPr>
            <w:tcW w:w="942" w:type="pct"/>
            <w:vMerge w:val="continue"/>
          </w:tcPr>
          <w:p>
            <w:pPr>
              <w:spacing w:before="156" w:after="156"/>
              <w:jc w:val="center"/>
              <w:rPr>
                <w:rFonts w:asci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1316" w:type="pct"/>
          </w:tcPr>
          <w:p>
            <w:pPr>
              <w:spacing w:before="156" w:after="156"/>
              <w:jc w:val="center"/>
              <w:rPr>
                <w:rFonts w:ascii="宋体"/>
                <w:sz w:val="18"/>
                <w:szCs w:val="18"/>
              </w:rPr>
            </w:pPr>
            <w:r>
              <w:rPr>
                <w:rFonts w:hint="eastAsia" w:ascii="宋体"/>
                <w:sz w:val="18"/>
                <w:szCs w:val="18"/>
              </w:rPr>
              <w:t>季节性出现</w:t>
            </w:r>
          </w:p>
        </w:tc>
        <w:tc>
          <w:tcPr>
            <w:tcW w:w="2742" w:type="pct"/>
          </w:tcPr>
          <w:p>
            <w:pPr>
              <w:spacing w:before="156" w:after="156"/>
              <w:jc w:val="center"/>
              <w:rPr>
                <w:rFonts w:ascii="宋体"/>
                <w:sz w:val="18"/>
                <w:szCs w:val="18"/>
              </w:rPr>
            </w:pPr>
            <w:r>
              <w:rPr>
                <w:rFonts w:hint="eastAsia" w:ascii="宋体"/>
                <w:sz w:val="18"/>
                <w:szCs w:val="18"/>
              </w:rPr>
              <w:t>随季节变化间歇性出现的小微水体污染</w:t>
            </w:r>
          </w:p>
        </w:tc>
        <w:tc>
          <w:tcPr>
            <w:tcW w:w="942" w:type="pct"/>
            <w:vMerge w:val="continue"/>
          </w:tcPr>
          <w:p>
            <w:pPr>
              <w:spacing w:before="156" w:after="156"/>
              <w:jc w:val="center"/>
              <w:rPr>
                <w:rFonts w:ascii="宋体"/>
                <w:sz w:val="18"/>
                <w:szCs w:val="1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316" w:type="pct"/>
          </w:tcPr>
          <w:p>
            <w:pPr>
              <w:spacing w:before="156" w:after="156"/>
              <w:jc w:val="center"/>
              <w:rPr>
                <w:rFonts w:ascii="宋体"/>
                <w:sz w:val="18"/>
                <w:szCs w:val="18"/>
              </w:rPr>
            </w:pPr>
            <w:r>
              <w:rPr>
                <w:rFonts w:hint="eastAsia" w:ascii="宋体"/>
                <w:sz w:val="18"/>
                <w:szCs w:val="18"/>
              </w:rPr>
              <w:t>退出</w:t>
            </w:r>
          </w:p>
        </w:tc>
        <w:tc>
          <w:tcPr>
            <w:tcW w:w="2742" w:type="pct"/>
          </w:tcPr>
          <w:p>
            <w:pPr>
              <w:spacing w:before="156" w:after="156"/>
              <w:jc w:val="center"/>
              <w:rPr>
                <w:rFonts w:ascii="宋体"/>
                <w:sz w:val="18"/>
                <w:szCs w:val="18"/>
              </w:rPr>
            </w:pPr>
            <w:r>
              <w:rPr>
                <w:rFonts w:hint="eastAsia" w:ascii="宋体"/>
                <w:sz w:val="18"/>
                <w:szCs w:val="18"/>
              </w:rPr>
              <w:t>相对前一期，消失的小微水体污染</w:t>
            </w:r>
          </w:p>
        </w:tc>
        <w:tc>
          <w:tcPr>
            <w:tcW w:w="942" w:type="pct"/>
            <w:vMerge w:val="continue"/>
          </w:tcPr>
          <w:p>
            <w:pPr>
              <w:spacing w:before="156" w:after="156"/>
              <w:jc w:val="center"/>
              <w:rPr>
                <w:rFonts w:ascii="宋体"/>
                <w:sz w:val="18"/>
                <w:szCs w:val="18"/>
              </w:rPr>
            </w:pPr>
          </w:p>
        </w:tc>
      </w:tr>
      <w:bookmarkEnd w:id="378"/>
    </w:tbl>
    <w:p>
      <w:pPr>
        <w:pStyle w:val="32"/>
        <w:spacing w:before="156" w:after="156"/>
        <w:ind w:firstLine="0" w:firstLineChars="0"/>
        <w:jc w:val="center"/>
        <w:rPr>
          <w:rFonts w:ascii="黑体" w:hAnsi="黑体" w:eastAsia="黑体"/>
        </w:rPr>
      </w:pPr>
      <w:r>
        <w:rPr>
          <w:rFonts w:hint="eastAsia" w:ascii="黑体" w:hAnsi="黑体" w:eastAsia="黑体"/>
        </w:rPr>
        <w:t>表7 农村小微水体污染遥感解译矢量文件属性字段缺省值填写要求</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69"/>
        <w:gridCol w:w="42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9" w:type="dxa"/>
          </w:tcPr>
          <w:p>
            <w:pPr>
              <w:widowControl/>
              <w:jc w:val="center"/>
              <w:rPr>
                <w:b/>
                <w:bCs/>
                <w:color w:val="000000"/>
                <w:kern w:val="0"/>
                <w:sz w:val="18"/>
                <w:szCs w:val="18"/>
              </w:rPr>
            </w:pPr>
            <w:r>
              <w:rPr>
                <w:rFonts w:hint="eastAsia"/>
                <w:b/>
                <w:bCs/>
                <w:color w:val="000000"/>
                <w:kern w:val="0"/>
                <w:sz w:val="18"/>
                <w:szCs w:val="18"/>
              </w:rPr>
              <w:t>类型</w:t>
            </w:r>
          </w:p>
        </w:tc>
        <w:tc>
          <w:tcPr>
            <w:tcW w:w="4247" w:type="dxa"/>
          </w:tcPr>
          <w:p>
            <w:pPr>
              <w:widowControl/>
              <w:jc w:val="center"/>
              <w:rPr>
                <w:b/>
                <w:bCs/>
                <w:color w:val="000000"/>
                <w:kern w:val="0"/>
                <w:sz w:val="18"/>
                <w:szCs w:val="18"/>
              </w:rPr>
            </w:pPr>
            <w:r>
              <w:rPr>
                <w:rFonts w:hint="eastAsia"/>
                <w:b/>
                <w:bCs/>
                <w:color w:val="000000"/>
                <w:kern w:val="0"/>
                <w:sz w:val="18"/>
                <w:szCs w:val="18"/>
              </w:rPr>
              <w:t>属性项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69" w:type="dxa"/>
          </w:tcPr>
          <w:p>
            <w:pPr>
              <w:widowControl/>
              <w:jc w:val="center"/>
              <w:rPr>
                <w:bCs/>
                <w:color w:val="000000"/>
                <w:kern w:val="0"/>
                <w:sz w:val="18"/>
                <w:szCs w:val="18"/>
              </w:rPr>
            </w:pPr>
            <w:r>
              <w:rPr>
                <w:bCs/>
                <w:color w:val="000000"/>
                <w:kern w:val="0"/>
                <w:sz w:val="18"/>
                <w:szCs w:val="18"/>
              </w:rPr>
              <w:t>DOUBLE</w:t>
            </w:r>
          </w:p>
        </w:tc>
        <w:tc>
          <w:tcPr>
            <w:tcW w:w="4247" w:type="dxa"/>
          </w:tcPr>
          <w:p>
            <w:pPr>
              <w:widowControl/>
              <w:jc w:val="center"/>
              <w:rPr>
                <w:bCs/>
                <w:color w:val="000000"/>
                <w:kern w:val="0"/>
                <w:sz w:val="18"/>
                <w:szCs w:val="18"/>
              </w:rPr>
            </w:pPr>
            <w:r>
              <w:rPr>
                <w:bCs/>
                <w:color w:val="000000"/>
                <w:kern w:val="0"/>
                <w:sz w:val="18"/>
                <w:szCs w:val="18"/>
              </w:rPr>
              <w:t>-999999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trPr>
        <w:tc>
          <w:tcPr>
            <w:tcW w:w="4269" w:type="dxa"/>
          </w:tcPr>
          <w:p>
            <w:pPr>
              <w:widowControl/>
              <w:jc w:val="center"/>
              <w:rPr>
                <w:bCs/>
                <w:color w:val="000000"/>
                <w:kern w:val="0"/>
                <w:sz w:val="18"/>
                <w:szCs w:val="18"/>
              </w:rPr>
            </w:pPr>
            <w:r>
              <w:rPr>
                <w:bCs/>
                <w:color w:val="000000"/>
                <w:kern w:val="0"/>
                <w:sz w:val="18"/>
                <w:szCs w:val="18"/>
              </w:rPr>
              <w:t>TEXT</w:t>
            </w:r>
          </w:p>
        </w:tc>
        <w:tc>
          <w:tcPr>
            <w:tcW w:w="4247" w:type="dxa"/>
          </w:tcPr>
          <w:p>
            <w:pPr>
              <w:widowControl/>
              <w:jc w:val="center"/>
              <w:rPr>
                <w:bCs/>
                <w:color w:val="000000"/>
                <w:kern w:val="0"/>
                <w:sz w:val="18"/>
                <w:szCs w:val="18"/>
              </w:rPr>
            </w:pPr>
            <w:r>
              <w:rPr>
                <w:bCs/>
                <w:color w:val="000000"/>
                <w:kern w:val="0"/>
                <w:sz w:val="18"/>
                <w:szCs w:val="18"/>
              </w:rPr>
              <w:t>“-”</w:t>
            </w:r>
          </w:p>
        </w:tc>
      </w:tr>
    </w:tbl>
    <w:p>
      <w:pPr>
        <w:pStyle w:val="3"/>
        <w:numPr>
          <w:ilvl w:val="0"/>
          <w:numId w:val="0"/>
        </w:numPr>
        <w:spacing w:line="416" w:lineRule="auto"/>
        <w:rPr>
          <w:rFonts w:eastAsia="黑体"/>
          <w:b w:val="0"/>
          <w:kern w:val="0"/>
          <w:sz w:val="32"/>
          <w:highlight w:val="red"/>
        </w:rPr>
      </w:pPr>
      <w:bookmarkStart w:id="379" w:name="_Toc215478659"/>
      <w:bookmarkStart w:id="380" w:name="_Toc1088281894"/>
      <w:r>
        <w:rPr>
          <w:rFonts w:hint="eastAsia" w:eastAsia="黑体"/>
          <w:b w:val="0"/>
          <w:kern w:val="0"/>
          <w:sz w:val="32"/>
        </w:rPr>
        <w:t>6</w:t>
      </w:r>
      <w:r>
        <w:rPr>
          <w:rFonts w:eastAsia="黑体"/>
          <w:b w:val="0"/>
          <w:kern w:val="0"/>
          <w:sz w:val="32"/>
        </w:rPr>
        <w:t>.</w:t>
      </w:r>
      <w:r>
        <w:rPr>
          <w:rFonts w:hint="eastAsia" w:eastAsia="黑体"/>
          <w:b w:val="0"/>
          <w:kern w:val="0"/>
          <w:sz w:val="32"/>
        </w:rPr>
        <w:t xml:space="preserve">7 </w:t>
      </w:r>
      <w:r>
        <w:rPr>
          <w:rFonts w:eastAsia="黑体"/>
          <w:b w:val="0"/>
          <w:kern w:val="0"/>
          <w:sz w:val="32"/>
        </w:rPr>
        <w:t>现场调查</w:t>
      </w:r>
      <w:bookmarkEnd w:id="379"/>
      <w:bookmarkEnd w:id="380"/>
    </w:p>
    <w:p>
      <w:pPr>
        <w:spacing w:line="360" w:lineRule="auto"/>
        <w:rPr>
          <w:b/>
          <w:bCs/>
          <w:sz w:val="24"/>
          <w:szCs w:val="21"/>
        </w:rPr>
      </w:pPr>
      <w:r>
        <w:rPr>
          <w:rFonts w:hint="eastAsia"/>
          <w:b/>
          <w:bCs/>
          <w:sz w:val="24"/>
          <w:szCs w:val="21"/>
        </w:rPr>
        <w:t>6.7.1 前期准备</w:t>
      </w:r>
    </w:p>
    <w:p>
      <w:pPr>
        <w:spacing w:line="360" w:lineRule="auto"/>
        <w:ind w:firstLine="480" w:firstLineChars="200"/>
        <w:rPr>
          <w:sz w:val="24"/>
        </w:rPr>
      </w:pPr>
      <w:bookmarkStart w:id="381" w:name="OLE_LINK211"/>
      <w:bookmarkStart w:id="382" w:name="OLE_LINK210"/>
      <w:r>
        <w:rPr>
          <w:sz w:val="24"/>
        </w:rPr>
        <w:t>为保证现场调查工作顺利</w:t>
      </w:r>
      <w:r>
        <w:rPr>
          <w:rFonts w:hint="eastAsia"/>
          <w:sz w:val="24"/>
        </w:rPr>
        <w:t>完成</w:t>
      </w:r>
      <w:bookmarkEnd w:id="381"/>
      <w:bookmarkEnd w:id="382"/>
      <w:r>
        <w:rPr>
          <w:sz w:val="24"/>
        </w:rPr>
        <w:t>，前期需做好人员培训、调查资料准备</w:t>
      </w:r>
      <w:r>
        <w:rPr>
          <w:rFonts w:hint="eastAsia"/>
          <w:sz w:val="24"/>
        </w:rPr>
        <w:t>和</w:t>
      </w:r>
      <w:r>
        <w:rPr>
          <w:sz w:val="24"/>
        </w:rPr>
        <w:t>设备准备</w:t>
      </w:r>
      <w:r>
        <w:rPr>
          <w:rFonts w:hint="eastAsia"/>
          <w:sz w:val="24"/>
        </w:rPr>
        <w:t>。为保证现场调查过程中不同调查人员的判断标准一致，需针对小微水体污染的判别标准、设备使用、现场调查要求等内容开展人员培训。为保证现场调查工作顺利开展，需准备解译矢量文件、遥感影像、导航信息、农村小微水体污染判别居民评价表（表8）、农村小微水体污染现场调查记录表（表9）等调查资料。需携带便携式检测设备，对感官判断无法确定是否污染的农村小微水体开展指标检测；为确保现场调查工作的可靠性和有效性，需携带具备录音、拍照、定位等功能的手机或其他移动设备进行现场调查记录。农村小微水体污染判别居民评价表及农村小微水体污染现场调查记录表的内容设计参考了《农村黑臭水体治理工作指南》中的相关内容。</w:t>
      </w:r>
    </w:p>
    <w:p>
      <w:pPr>
        <w:pStyle w:val="32"/>
        <w:spacing w:before="156" w:after="156"/>
        <w:ind w:firstLine="0" w:firstLineChars="0"/>
        <w:jc w:val="center"/>
        <w:rPr>
          <w:rFonts w:ascii="黑体" w:hAnsi="黑体" w:eastAsia="黑体"/>
        </w:rPr>
      </w:pPr>
      <w:r>
        <w:rPr>
          <w:rFonts w:hint="eastAsia" w:ascii="黑体" w:hAnsi="黑体" w:eastAsia="黑体"/>
        </w:rPr>
        <w:t xml:space="preserve">表8 </w:t>
      </w:r>
      <w:bookmarkStart w:id="383" w:name="OLE_LINK288"/>
      <w:r>
        <w:rPr>
          <w:rFonts w:hint="eastAsia" w:ascii="黑体" w:hAnsi="黑体" w:eastAsia="黑体"/>
        </w:rPr>
        <w:t>农村小微水体污染判别居民评价表</w:t>
      </w:r>
      <w:bookmarkEnd w:id="383"/>
    </w:p>
    <w:tbl>
      <w:tblPr>
        <w:tblStyle w:val="15"/>
        <w:tblW w:w="5000" w:type="pct"/>
        <w:tblInd w:w="0" w:type="dxa"/>
        <w:tblLayout w:type="autofit"/>
        <w:tblCellMar>
          <w:top w:w="0" w:type="dxa"/>
          <w:left w:w="108" w:type="dxa"/>
          <w:bottom w:w="0" w:type="dxa"/>
          <w:right w:w="108" w:type="dxa"/>
        </w:tblCellMar>
      </w:tblPr>
      <w:tblGrid>
        <w:gridCol w:w="3502"/>
        <w:gridCol w:w="2522"/>
        <w:gridCol w:w="2492"/>
      </w:tblGrid>
      <w:tr>
        <w:tblPrEx>
          <w:tblCellMar>
            <w:top w:w="0" w:type="dxa"/>
            <w:left w:w="108" w:type="dxa"/>
            <w:bottom w:w="0" w:type="dxa"/>
            <w:right w:w="108" w:type="dxa"/>
          </w:tblCellMar>
        </w:tblPrEx>
        <w:trPr>
          <w:trHeight w:val="270" w:hRule="atLeast"/>
        </w:trPr>
        <w:tc>
          <w:tcPr>
            <w:tcW w:w="2056" w:type="pct"/>
            <w:tcBorders>
              <w:top w:val="single" w:color="auto" w:sz="4" w:space="0"/>
              <w:left w:val="single" w:color="auto" w:sz="4" w:space="0"/>
              <w:bottom w:val="single" w:color="auto" w:sz="4" w:space="0"/>
              <w:right w:val="single" w:color="auto" w:sz="4" w:space="0"/>
            </w:tcBorders>
            <w:noWrap/>
            <w:vAlign w:val="bottom"/>
          </w:tcPr>
          <w:p>
            <w:pPr>
              <w:widowControl/>
              <w:rPr>
                <w:rFonts w:ascii="宋体" w:hAnsi="宋体" w:cs="宋体"/>
                <w:color w:val="000000"/>
                <w:kern w:val="0"/>
                <w:sz w:val="18"/>
                <w:szCs w:val="18"/>
              </w:rPr>
            </w:pPr>
            <w:bookmarkStart w:id="384" w:name="OLE_LINK149"/>
            <w:bookmarkStart w:id="385" w:name="OLE_LINK148"/>
            <w:r>
              <w:rPr>
                <w:rFonts w:hint="eastAsia" w:ascii="宋体" w:hAnsi="宋体" w:cs="宋体"/>
                <w:color w:val="000000"/>
                <w:kern w:val="0"/>
                <w:sz w:val="18"/>
                <w:szCs w:val="18"/>
              </w:rPr>
              <w:t>农村小微水体位置或名称：</w:t>
            </w:r>
          </w:p>
        </w:tc>
        <w:tc>
          <w:tcPr>
            <w:tcW w:w="2944" w:type="pct"/>
            <w:gridSpan w:val="2"/>
            <w:tcBorders>
              <w:top w:val="single" w:color="auto" w:sz="4" w:space="0"/>
              <w:left w:val="nil"/>
              <w:bottom w:val="single" w:color="auto" w:sz="4" w:space="0"/>
              <w:right w:val="single" w:color="auto" w:sz="4" w:space="0"/>
            </w:tcBorders>
            <w:noWrap/>
            <w:vAlign w:val="bottom"/>
          </w:tcPr>
          <w:p>
            <w:pPr>
              <w:widowControl/>
              <w:rPr>
                <w:rFonts w:ascii="宋体" w:hAnsi="宋体" w:cs="宋体"/>
                <w:color w:val="000000"/>
                <w:kern w:val="0"/>
                <w:sz w:val="18"/>
                <w:szCs w:val="18"/>
              </w:rPr>
            </w:pPr>
            <w:r>
              <w:rPr>
                <w:rFonts w:hint="eastAsia" w:ascii="宋体" w:hAnsi="宋体" w:cs="宋体"/>
                <w:color w:val="000000"/>
                <w:kern w:val="0"/>
                <w:sz w:val="18"/>
                <w:szCs w:val="18"/>
              </w:rPr>
              <w:t xml:space="preserve">调查时间： </w:t>
            </w:r>
            <w:r>
              <w:rPr>
                <w:rFonts w:ascii="宋体" w:hAnsi="宋体" w:cs="宋体"/>
                <w:color w:val="000000"/>
                <w:kern w:val="0"/>
                <w:sz w:val="18"/>
                <w:szCs w:val="18"/>
              </w:rPr>
              <w:t xml:space="preserve">     年     月</w:t>
            </w:r>
            <w:r>
              <w:rPr>
                <w:rFonts w:hint="eastAsia" w:ascii="宋体" w:hAnsi="宋体" w:cs="宋体"/>
                <w:color w:val="000000"/>
                <w:kern w:val="0"/>
                <w:sz w:val="18"/>
                <w:szCs w:val="18"/>
              </w:rPr>
              <w:t xml:space="preserve">  </w:t>
            </w:r>
            <w:r>
              <w:rPr>
                <w:rFonts w:ascii="宋体" w:hAnsi="宋体" w:cs="宋体"/>
                <w:color w:val="000000"/>
                <w:kern w:val="0"/>
                <w:sz w:val="18"/>
                <w:szCs w:val="18"/>
              </w:rPr>
              <w:t xml:space="preserve">   日</w:t>
            </w:r>
          </w:p>
        </w:tc>
      </w:tr>
      <w:tr>
        <w:tblPrEx>
          <w:tblCellMar>
            <w:top w:w="0" w:type="dxa"/>
            <w:left w:w="108" w:type="dxa"/>
            <w:bottom w:w="0" w:type="dxa"/>
            <w:right w:w="108" w:type="dxa"/>
          </w:tblCellMar>
        </w:tblPrEx>
        <w:trPr>
          <w:trHeight w:val="270" w:hRule="atLeast"/>
        </w:trPr>
        <w:tc>
          <w:tcPr>
            <w:tcW w:w="2056" w:type="pct"/>
            <w:tcBorders>
              <w:top w:val="nil"/>
              <w:left w:val="single" w:color="auto" w:sz="4" w:space="0"/>
              <w:bottom w:val="single" w:color="auto" w:sz="4" w:space="0"/>
              <w:right w:val="single" w:color="auto" w:sz="4" w:space="0"/>
            </w:tcBorders>
            <w:noWrap/>
            <w:vAlign w:val="bottom"/>
          </w:tcPr>
          <w:p>
            <w:pPr>
              <w:widowControl/>
              <w:rPr>
                <w:rFonts w:ascii="宋体" w:hAnsi="宋体" w:cs="宋体"/>
                <w:color w:val="000000"/>
                <w:kern w:val="0"/>
                <w:sz w:val="18"/>
                <w:szCs w:val="18"/>
              </w:rPr>
            </w:pPr>
            <w:r>
              <w:rPr>
                <w:rFonts w:hint="eastAsia" w:ascii="宋体" w:hAnsi="宋体" w:cs="宋体"/>
                <w:color w:val="000000"/>
                <w:kern w:val="0"/>
                <w:sz w:val="18"/>
                <w:szCs w:val="18"/>
              </w:rPr>
              <w:t>性别：</w:t>
            </w:r>
          </w:p>
        </w:tc>
        <w:tc>
          <w:tcPr>
            <w:tcW w:w="1481" w:type="pct"/>
            <w:tcBorders>
              <w:top w:val="nil"/>
              <w:left w:val="nil"/>
              <w:bottom w:val="single" w:color="auto" w:sz="4" w:space="0"/>
              <w:right w:val="single" w:color="auto" w:sz="4" w:space="0"/>
            </w:tcBorders>
            <w:noWrap/>
            <w:vAlign w:val="bottom"/>
          </w:tcPr>
          <w:p>
            <w:pPr>
              <w:widowControl/>
              <w:rPr>
                <w:rFonts w:ascii="宋体" w:hAnsi="宋体" w:cs="宋体"/>
                <w:color w:val="000000"/>
                <w:kern w:val="0"/>
                <w:sz w:val="18"/>
                <w:szCs w:val="18"/>
              </w:rPr>
            </w:pPr>
            <w:r>
              <w:rPr>
                <w:rFonts w:hint="eastAsia" w:ascii="宋体" w:hAnsi="宋体" w:cs="宋体"/>
                <w:color w:val="000000"/>
                <w:kern w:val="0"/>
                <w:sz w:val="18"/>
                <w:szCs w:val="18"/>
              </w:rPr>
              <w:t>年龄：</w:t>
            </w:r>
          </w:p>
        </w:tc>
        <w:tc>
          <w:tcPr>
            <w:tcW w:w="1463" w:type="pct"/>
            <w:tcBorders>
              <w:top w:val="nil"/>
              <w:left w:val="nil"/>
              <w:bottom w:val="single" w:color="auto" w:sz="4" w:space="0"/>
              <w:right w:val="single" w:color="auto" w:sz="4" w:space="0"/>
            </w:tcBorders>
            <w:vAlign w:val="bottom"/>
          </w:tcPr>
          <w:p>
            <w:pPr>
              <w:widowControl/>
              <w:rPr>
                <w:rFonts w:ascii="宋体" w:hAnsi="宋体" w:cs="宋体"/>
                <w:color w:val="000000"/>
                <w:kern w:val="0"/>
                <w:sz w:val="18"/>
                <w:szCs w:val="18"/>
              </w:rPr>
            </w:pPr>
            <w:r>
              <w:rPr>
                <w:rFonts w:hint="eastAsia" w:ascii="宋体" w:hAnsi="宋体" w:cs="宋体"/>
                <w:color w:val="000000"/>
                <w:kern w:val="0"/>
                <w:sz w:val="18"/>
                <w:szCs w:val="18"/>
              </w:rPr>
              <w:t>联系方式：</w:t>
            </w:r>
          </w:p>
        </w:tc>
      </w:tr>
      <w:tr>
        <w:tblPrEx>
          <w:tblCellMar>
            <w:top w:w="0" w:type="dxa"/>
            <w:left w:w="108" w:type="dxa"/>
            <w:bottom w:w="0" w:type="dxa"/>
            <w:right w:w="108" w:type="dxa"/>
          </w:tblCellMar>
        </w:tblPrEx>
        <w:trPr>
          <w:trHeight w:val="270" w:hRule="atLeast"/>
        </w:trPr>
        <w:tc>
          <w:tcPr>
            <w:tcW w:w="5000" w:type="pct"/>
            <w:gridSpan w:val="3"/>
            <w:tcBorders>
              <w:top w:val="single" w:color="auto" w:sz="4" w:space="0"/>
              <w:left w:val="single" w:color="auto" w:sz="4" w:space="0"/>
              <w:bottom w:val="single" w:color="auto" w:sz="4" w:space="0"/>
              <w:right w:val="single" w:color="auto" w:sz="4" w:space="0"/>
            </w:tcBorders>
            <w:noWrap/>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您居住的地方与该水体的距离？□</w:t>
            </w:r>
            <w:r>
              <w:rPr>
                <w:rFonts w:ascii="宋体" w:hAnsi="宋体" w:cs="宋体"/>
                <w:color w:val="000000"/>
                <w:kern w:val="0"/>
                <w:sz w:val="18"/>
                <w:szCs w:val="18"/>
              </w:rPr>
              <w:t xml:space="preserve"> 100m</w:t>
            </w:r>
            <w:r>
              <w:rPr>
                <w:rFonts w:hint="eastAsia" w:ascii="宋体" w:hAnsi="宋体" w:cs="宋体"/>
                <w:color w:val="000000"/>
                <w:kern w:val="0"/>
                <w:sz w:val="18"/>
                <w:szCs w:val="18"/>
              </w:rPr>
              <w:t>以内</w:t>
            </w:r>
            <w:r>
              <w:rPr>
                <w:rFonts w:ascii="宋体" w:hAnsi="宋体" w:cs="宋体"/>
                <w:color w:val="000000"/>
                <w:kern w:val="0"/>
                <w:sz w:val="18"/>
                <w:szCs w:val="18"/>
              </w:rPr>
              <w:t xml:space="preserve">  </w:t>
            </w:r>
            <w:r>
              <w:rPr>
                <w:rFonts w:hint="eastAsia" w:ascii="宋体" w:hAnsi="宋体" w:cs="宋体"/>
                <w:color w:val="000000"/>
                <w:kern w:val="0"/>
                <w:sz w:val="18"/>
                <w:szCs w:val="18"/>
              </w:rPr>
              <w:t>□</w:t>
            </w:r>
            <w:r>
              <w:rPr>
                <w:rFonts w:ascii="宋体" w:hAnsi="宋体" w:cs="宋体"/>
                <w:color w:val="000000"/>
                <w:kern w:val="0"/>
                <w:sz w:val="18"/>
                <w:szCs w:val="18"/>
              </w:rPr>
              <w:t>100m</w:t>
            </w:r>
            <w:r>
              <w:rPr>
                <w:rFonts w:hint="eastAsia"/>
              </w:rPr>
              <w:t>～</w:t>
            </w:r>
            <w:r>
              <w:rPr>
                <w:rFonts w:ascii="宋体" w:hAnsi="宋体" w:cs="宋体"/>
                <w:color w:val="000000"/>
                <w:kern w:val="0"/>
                <w:sz w:val="18"/>
                <w:szCs w:val="18"/>
              </w:rPr>
              <w:t>500m  □500m</w:t>
            </w:r>
            <w:r>
              <w:rPr>
                <w:rFonts w:hint="eastAsia"/>
              </w:rPr>
              <w:t>～</w:t>
            </w:r>
            <w:r>
              <w:rPr>
                <w:rFonts w:ascii="宋体" w:hAnsi="宋体" w:cs="宋体"/>
                <w:color w:val="000000"/>
                <w:kern w:val="0"/>
                <w:sz w:val="18"/>
                <w:szCs w:val="18"/>
              </w:rPr>
              <w:t>1000m  □1000m</w:t>
            </w:r>
            <w:r>
              <w:rPr>
                <w:rFonts w:hint="eastAsia" w:ascii="宋体" w:hAnsi="宋体" w:cs="宋体"/>
                <w:color w:val="000000"/>
                <w:kern w:val="0"/>
                <w:sz w:val="18"/>
                <w:szCs w:val="18"/>
              </w:rPr>
              <w:t>以外</w:t>
            </w:r>
          </w:p>
        </w:tc>
      </w:tr>
      <w:tr>
        <w:tblPrEx>
          <w:tblCellMar>
            <w:top w:w="0" w:type="dxa"/>
            <w:left w:w="108" w:type="dxa"/>
            <w:bottom w:w="0" w:type="dxa"/>
            <w:right w:w="108" w:type="dxa"/>
          </w:tblCellMar>
        </w:tblPrEx>
        <w:trPr>
          <w:trHeight w:val="270" w:hRule="atLeast"/>
        </w:trPr>
        <w:tc>
          <w:tcPr>
            <w:tcW w:w="5000" w:type="pct"/>
            <w:gridSpan w:val="3"/>
            <w:tcBorders>
              <w:top w:val="single" w:color="auto" w:sz="4" w:space="0"/>
              <w:left w:val="single" w:color="auto" w:sz="4" w:space="0"/>
              <w:bottom w:val="single" w:color="auto" w:sz="4" w:space="0"/>
              <w:right w:val="single" w:color="auto" w:sz="4" w:space="0"/>
            </w:tcBorders>
            <w:noWrap/>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您认为该水体有臭味吗？□有</w:t>
            </w:r>
            <w:r>
              <w:rPr>
                <w:rFonts w:ascii="宋体" w:hAnsi="宋体" w:cs="宋体"/>
                <w:color w:val="000000"/>
                <w:kern w:val="0"/>
                <w:sz w:val="18"/>
                <w:szCs w:val="18"/>
              </w:rPr>
              <w:t xml:space="preserve"> </w:t>
            </w:r>
            <w:r>
              <w:rPr>
                <w:rFonts w:hint="eastAsia" w:ascii="宋体" w:hAnsi="宋体" w:cs="宋体"/>
                <w:color w:val="000000"/>
                <w:kern w:val="0"/>
                <w:sz w:val="18"/>
                <w:szCs w:val="18"/>
              </w:rPr>
              <w:t>□没有</w:t>
            </w:r>
            <w:r>
              <w:rPr>
                <w:rFonts w:ascii="宋体" w:hAnsi="宋体" w:cs="宋体"/>
                <w:color w:val="000000"/>
                <w:kern w:val="0"/>
                <w:sz w:val="18"/>
                <w:szCs w:val="18"/>
              </w:rPr>
              <w:t xml:space="preserve"> </w:t>
            </w:r>
            <w:r>
              <w:rPr>
                <w:rFonts w:hint="eastAsia" w:ascii="宋体" w:hAnsi="宋体" w:cs="宋体"/>
                <w:color w:val="000000"/>
                <w:kern w:val="0"/>
                <w:sz w:val="18"/>
                <w:szCs w:val="18"/>
              </w:rPr>
              <w:t>□偶尔有</w:t>
            </w:r>
          </w:p>
        </w:tc>
      </w:tr>
      <w:tr>
        <w:tblPrEx>
          <w:tblCellMar>
            <w:top w:w="0" w:type="dxa"/>
            <w:left w:w="108" w:type="dxa"/>
            <w:bottom w:w="0" w:type="dxa"/>
            <w:right w:w="108" w:type="dxa"/>
          </w:tblCellMar>
        </w:tblPrEx>
        <w:trPr>
          <w:trHeight w:val="270" w:hRule="atLeast"/>
        </w:trPr>
        <w:tc>
          <w:tcPr>
            <w:tcW w:w="5000" w:type="pct"/>
            <w:gridSpan w:val="3"/>
            <w:tcBorders>
              <w:top w:val="single" w:color="auto" w:sz="4" w:space="0"/>
              <w:left w:val="single" w:color="auto" w:sz="4" w:space="0"/>
              <w:bottom w:val="single" w:color="auto" w:sz="4" w:space="0"/>
              <w:right w:val="single" w:color="auto" w:sz="4" w:space="0"/>
            </w:tcBorders>
            <w:noWrap/>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您觉得该水体的颜色正常吗？□正常</w:t>
            </w:r>
            <w:r>
              <w:rPr>
                <w:rFonts w:ascii="宋体" w:hAnsi="宋体" w:cs="宋体"/>
                <w:color w:val="000000"/>
                <w:kern w:val="0"/>
                <w:sz w:val="18"/>
                <w:szCs w:val="18"/>
              </w:rPr>
              <w:t xml:space="preserve"> </w:t>
            </w:r>
            <w:r>
              <w:rPr>
                <w:rFonts w:hint="eastAsia" w:ascii="宋体" w:hAnsi="宋体" w:cs="宋体"/>
                <w:color w:val="000000"/>
                <w:kern w:val="0"/>
                <w:sz w:val="18"/>
                <w:szCs w:val="18"/>
              </w:rPr>
              <w:t>□不正常</w:t>
            </w:r>
            <w:r>
              <w:rPr>
                <w:rFonts w:ascii="宋体" w:hAnsi="宋体" w:cs="宋体"/>
                <w:color w:val="000000"/>
                <w:kern w:val="0"/>
                <w:sz w:val="18"/>
                <w:szCs w:val="18"/>
              </w:rPr>
              <w:t xml:space="preserve"> </w:t>
            </w:r>
            <w:r>
              <w:rPr>
                <w:rFonts w:hint="eastAsia" w:ascii="宋体" w:hAnsi="宋体" w:cs="宋体"/>
                <w:color w:val="000000"/>
                <w:kern w:val="0"/>
                <w:sz w:val="18"/>
                <w:szCs w:val="18"/>
              </w:rPr>
              <w:t>□偶尔正常</w:t>
            </w:r>
          </w:p>
        </w:tc>
      </w:tr>
      <w:tr>
        <w:tblPrEx>
          <w:tblCellMar>
            <w:top w:w="0" w:type="dxa"/>
            <w:left w:w="108" w:type="dxa"/>
            <w:bottom w:w="0" w:type="dxa"/>
            <w:right w:w="108" w:type="dxa"/>
          </w:tblCellMar>
        </w:tblPrEx>
        <w:trPr>
          <w:trHeight w:val="270" w:hRule="atLeast"/>
        </w:trPr>
        <w:tc>
          <w:tcPr>
            <w:tcW w:w="5000" w:type="pct"/>
            <w:gridSpan w:val="3"/>
            <w:tcBorders>
              <w:top w:val="single" w:color="auto" w:sz="4" w:space="0"/>
              <w:left w:val="single" w:color="auto" w:sz="4" w:space="0"/>
              <w:bottom w:val="single" w:color="auto" w:sz="4" w:space="0"/>
              <w:right w:val="single" w:color="auto" w:sz="4" w:space="0"/>
            </w:tcBorders>
            <w:noWrap/>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您平常会向该水体扔投生活垃圾吗？□会</w:t>
            </w:r>
            <w:r>
              <w:rPr>
                <w:rFonts w:ascii="宋体" w:hAnsi="宋体" w:cs="宋体"/>
                <w:color w:val="000000"/>
                <w:kern w:val="0"/>
                <w:sz w:val="18"/>
                <w:szCs w:val="18"/>
              </w:rPr>
              <w:t xml:space="preserve"> </w:t>
            </w:r>
            <w:r>
              <w:rPr>
                <w:rFonts w:hint="eastAsia" w:ascii="宋体" w:hAnsi="宋体" w:cs="宋体"/>
                <w:color w:val="000000"/>
                <w:kern w:val="0"/>
                <w:sz w:val="18"/>
                <w:szCs w:val="18"/>
              </w:rPr>
              <w:t>□不会</w:t>
            </w:r>
            <w:r>
              <w:rPr>
                <w:rFonts w:ascii="宋体" w:hAnsi="宋体" w:cs="宋体"/>
                <w:color w:val="000000"/>
                <w:kern w:val="0"/>
                <w:sz w:val="18"/>
                <w:szCs w:val="18"/>
              </w:rPr>
              <w:t xml:space="preserve"> </w:t>
            </w:r>
            <w:r>
              <w:rPr>
                <w:rFonts w:hint="eastAsia" w:ascii="宋体" w:hAnsi="宋体" w:cs="宋体"/>
                <w:color w:val="000000"/>
                <w:kern w:val="0"/>
                <w:sz w:val="18"/>
                <w:szCs w:val="18"/>
              </w:rPr>
              <w:t>□偶尔会</w:t>
            </w:r>
          </w:p>
        </w:tc>
      </w:tr>
      <w:tr>
        <w:tblPrEx>
          <w:tblCellMar>
            <w:top w:w="0" w:type="dxa"/>
            <w:left w:w="108" w:type="dxa"/>
            <w:bottom w:w="0" w:type="dxa"/>
            <w:right w:w="108" w:type="dxa"/>
          </w:tblCellMar>
        </w:tblPrEx>
        <w:trPr>
          <w:trHeight w:val="270" w:hRule="atLeast"/>
        </w:trPr>
        <w:tc>
          <w:tcPr>
            <w:tcW w:w="5000" w:type="pct"/>
            <w:gridSpan w:val="3"/>
            <w:tcBorders>
              <w:top w:val="single" w:color="auto" w:sz="4" w:space="0"/>
              <w:left w:val="single" w:color="auto" w:sz="4" w:space="0"/>
              <w:bottom w:val="single" w:color="auto" w:sz="4" w:space="0"/>
              <w:right w:val="single" w:color="auto" w:sz="4" w:space="0"/>
            </w:tcBorders>
            <w:noWrap/>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村里的污水会排到这个水体吗？□会</w:t>
            </w:r>
            <w:r>
              <w:rPr>
                <w:rFonts w:ascii="宋体" w:hAnsi="宋体" w:cs="宋体"/>
                <w:color w:val="000000"/>
                <w:kern w:val="0"/>
                <w:sz w:val="18"/>
                <w:szCs w:val="18"/>
              </w:rPr>
              <w:t xml:space="preserve"> </w:t>
            </w:r>
            <w:r>
              <w:rPr>
                <w:rFonts w:hint="eastAsia" w:ascii="宋体" w:hAnsi="宋体" w:cs="宋体"/>
                <w:color w:val="000000"/>
                <w:kern w:val="0"/>
                <w:sz w:val="18"/>
                <w:szCs w:val="18"/>
              </w:rPr>
              <w:t>□不会</w:t>
            </w:r>
            <w:r>
              <w:rPr>
                <w:rFonts w:ascii="宋体" w:hAnsi="宋体" w:cs="宋体"/>
                <w:color w:val="000000"/>
                <w:kern w:val="0"/>
                <w:sz w:val="18"/>
                <w:szCs w:val="18"/>
              </w:rPr>
              <w:t xml:space="preserve"> </w:t>
            </w:r>
            <w:r>
              <w:rPr>
                <w:rFonts w:hint="eastAsia" w:ascii="宋体" w:hAnsi="宋体" w:cs="宋体"/>
                <w:color w:val="000000"/>
                <w:kern w:val="0"/>
                <w:sz w:val="18"/>
                <w:szCs w:val="18"/>
              </w:rPr>
              <w:t>□部分会</w:t>
            </w:r>
          </w:p>
        </w:tc>
      </w:tr>
      <w:tr>
        <w:tblPrEx>
          <w:tblCellMar>
            <w:top w:w="0" w:type="dxa"/>
            <w:left w:w="108" w:type="dxa"/>
            <w:bottom w:w="0" w:type="dxa"/>
            <w:right w:w="108" w:type="dxa"/>
          </w:tblCellMar>
        </w:tblPrEx>
        <w:trPr>
          <w:trHeight w:val="270" w:hRule="atLeast"/>
        </w:trPr>
        <w:tc>
          <w:tcPr>
            <w:tcW w:w="5000" w:type="pct"/>
            <w:gridSpan w:val="3"/>
            <w:tcBorders>
              <w:top w:val="single" w:color="auto" w:sz="4" w:space="0"/>
              <w:left w:val="single" w:color="auto" w:sz="4" w:space="0"/>
              <w:bottom w:val="single" w:color="auto" w:sz="4" w:space="0"/>
              <w:right w:val="single" w:color="auto" w:sz="4" w:space="0"/>
            </w:tcBorders>
            <w:noWrap/>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水体出现黑或者臭通常在什么季节？□春</w:t>
            </w:r>
            <w:r>
              <w:rPr>
                <w:rFonts w:ascii="宋体" w:hAnsi="宋体" w:cs="宋体"/>
                <w:color w:val="000000"/>
                <w:kern w:val="0"/>
                <w:sz w:val="18"/>
                <w:szCs w:val="18"/>
              </w:rPr>
              <w:t xml:space="preserve"> </w:t>
            </w:r>
            <w:r>
              <w:rPr>
                <w:rFonts w:hint="eastAsia" w:ascii="宋体" w:hAnsi="宋体" w:cs="宋体"/>
                <w:color w:val="000000"/>
                <w:kern w:val="0"/>
                <w:sz w:val="18"/>
                <w:szCs w:val="18"/>
              </w:rPr>
              <w:t>□夏</w:t>
            </w:r>
            <w:r>
              <w:rPr>
                <w:rFonts w:ascii="宋体" w:hAnsi="宋体" w:cs="宋体"/>
                <w:color w:val="000000"/>
                <w:kern w:val="0"/>
                <w:sz w:val="18"/>
                <w:szCs w:val="18"/>
              </w:rPr>
              <w:t xml:space="preserve"> </w:t>
            </w:r>
            <w:r>
              <w:rPr>
                <w:rFonts w:hint="eastAsia" w:ascii="宋体" w:hAnsi="宋体" w:cs="宋体"/>
                <w:color w:val="000000"/>
                <w:kern w:val="0"/>
                <w:sz w:val="18"/>
                <w:szCs w:val="18"/>
              </w:rPr>
              <w:t>□秋</w:t>
            </w:r>
            <w:r>
              <w:rPr>
                <w:rFonts w:ascii="宋体" w:hAnsi="宋体" w:cs="宋体"/>
                <w:color w:val="000000"/>
                <w:kern w:val="0"/>
                <w:sz w:val="18"/>
                <w:szCs w:val="18"/>
              </w:rPr>
              <w:t xml:space="preserve"> </w:t>
            </w:r>
            <w:r>
              <w:rPr>
                <w:rFonts w:hint="eastAsia" w:ascii="宋体" w:hAnsi="宋体" w:cs="宋体"/>
                <w:color w:val="000000"/>
                <w:kern w:val="0"/>
                <w:sz w:val="18"/>
                <w:szCs w:val="18"/>
              </w:rPr>
              <w:t>□冬</w:t>
            </w:r>
          </w:p>
        </w:tc>
      </w:tr>
      <w:tr>
        <w:tblPrEx>
          <w:tblCellMar>
            <w:top w:w="0" w:type="dxa"/>
            <w:left w:w="108" w:type="dxa"/>
            <w:bottom w:w="0" w:type="dxa"/>
            <w:right w:w="108" w:type="dxa"/>
          </w:tblCellMar>
        </w:tblPrEx>
        <w:trPr>
          <w:trHeight w:val="270" w:hRule="atLeast"/>
        </w:trPr>
        <w:tc>
          <w:tcPr>
            <w:tcW w:w="5000" w:type="pct"/>
            <w:gridSpan w:val="3"/>
            <w:tcBorders>
              <w:top w:val="single" w:color="auto" w:sz="4" w:space="0"/>
              <w:left w:val="single" w:color="auto" w:sz="4" w:space="0"/>
              <w:bottom w:val="single" w:color="auto" w:sz="4" w:space="0"/>
              <w:right w:val="single" w:color="auto" w:sz="4" w:space="0"/>
            </w:tcBorders>
            <w:noWrap/>
            <w:vAlign w:val="bottom"/>
          </w:tcPr>
          <w:p>
            <w:pPr>
              <w:widowControl/>
              <w:jc w:val="left"/>
              <w:rPr>
                <w:rFonts w:ascii="宋体" w:hAnsi="宋体" w:cs="宋体"/>
                <w:color w:val="000000"/>
                <w:kern w:val="0"/>
                <w:sz w:val="18"/>
                <w:szCs w:val="18"/>
              </w:rPr>
            </w:pPr>
            <w:r>
              <w:rPr>
                <w:rFonts w:hint="eastAsia" w:ascii="宋体" w:hAnsi="宋体" w:cs="宋体"/>
                <w:color w:val="000000"/>
                <w:kern w:val="0"/>
                <w:sz w:val="18"/>
                <w:szCs w:val="18"/>
              </w:rPr>
              <w:t>调查人员：</w:t>
            </w:r>
          </w:p>
        </w:tc>
      </w:tr>
      <w:bookmarkEnd w:id="384"/>
      <w:bookmarkEnd w:id="385"/>
    </w:tbl>
    <w:p>
      <w:pPr>
        <w:pStyle w:val="32"/>
        <w:spacing w:before="156" w:after="156"/>
        <w:ind w:firstLine="0" w:firstLineChars="0"/>
        <w:jc w:val="center"/>
        <w:rPr>
          <w:rFonts w:ascii="黑体" w:hAnsi="黑体" w:eastAsia="黑体"/>
        </w:rPr>
      </w:pPr>
      <w:r>
        <w:rPr>
          <w:rFonts w:ascii="黑体" w:hAnsi="黑体" w:eastAsia="黑体"/>
        </w:rPr>
        <w:br w:type="page"/>
      </w:r>
    </w:p>
    <w:p>
      <w:pPr>
        <w:pStyle w:val="32"/>
        <w:spacing w:before="156" w:after="156"/>
        <w:ind w:firstLine="0" w:firstLineChars="0"/>
        <w:jc w:val="center"/>
        <w:rPr>
          <w:rFonts w:ascii="黑体" w:hAnsi="黑体" w:eastAsia="黑体"/>
        </w:rPr>
      </w:pPr>
      <w:r>
        <w:rPr>
          <w:rFonts w:hint="eastAsia" w:ascii="黑体" w:hAnsi="黑体" w:eastAsia="黑体"/>
        </w:rPr>
        <w:t xml:space="preserve">表9 </w:t>
      </w:r>
      <w:bookmarkStart w:id="386" w:name="OLE_LINK289"/>
      <w:bookmarkStart w:id="387" w:name="OLE_LINK290"/>
      <w:r>
        <w:rPr>
          <w:rFonts w:hint="eastAsia" w:ascii="黑体" w:hAnsi="黑体" w:eastAsia="黑体"/>
        </w:rPr>
        <w:t>农村小微水体污染现场调查记录表</w:t>
      </w:r>
      <w:bookmarkEnd w:id="386"/>
      <w:bookmarkEnd w:id="387"/>
    </w:p>
    <w:tbl>
      <w:tblPr>
        <w:tblStyle w:val="15"/>
        <w:tblW w:w="5144" w:type="pct"/>
        <w:tblInd w:w="0" w:type="dxa"/>
        <w:tblLayout w:type="autofit"/>
        <w:tblCellMar>
          <w:top w:w="0" w:type="dxa"/>
          <w:left w:w="0" w:type="dxa"/>
          <w:bottom w:w="0" w:type="dxa"/>
          <w:right w:w="0" w:type="dxa"/>
        </w:tblCellMar>
      </w:tblPr>
      <w:tblGrid>
        <w:gridCol w:w="4132"/>
        <w:gridCol w:w="4438"/>
      </w:tblGrid>
      <w:tr>
        <w:tblPrEx>
          <w:tblCellMar>
            <w:top w:w="0" w:type="dxa"/>
            <w:left w:w="0" w:type="dxa"/>
            <w:bottom w:w="0" w:type="dxa"/>
            <w:right w:w="0" w:type="dxa"/>
          </w:tblCellMar>
        </w:tblPrEx>
        <w:trPr>
          <w:trHeight w:val="313" w:hRule="atLeast"/>
        </w:trPr>
        <w:tc>
          <w:tcPr>
            <w:tcW w:w="2411"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adjustRightInd w:val="0"/>
              <w:spacing w:line="400" w:lineRule="exact"/>
              <w:rPr>
                <w:rFonts w:ascii="宋体" w:hAnsi="宋体" w:cs="宋体"/>
                <w:color w:val="000000"/>
                <w:sz w:val="18"/>
                <w:szCs w:val="18"/>
              </w:rPr>
            </w:pPr>
            <w:bookmarkStart w:id="388" w:name="OLE_LINK273"/>
            <w:r>
              <w:rPr>
                <w:rFonts w:hint="eastAsia" w:ascii="宋体" w:hAnsi="宋体"/>
                <w:color w:val="000000"/>
                <w:sz w:val="18"/>
                <w:szCs w:val="18"/>
              </w:rPr>
              <w:t>现场调查人员：</w:t>
            </w:r>
          </w:p>
        </w:tc>
        <w:tc>
          <w:tcPr>
            <w:tcW w:w="2589"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adjustRightInd w:val="0"/>
              <w:spacing w:line="400" w:lineRule="exact"/>
              <w:rPr>
                <w:rFonts w:ascii="宋体" w:hAnsi="宋体" w:cs="宋体"/>
                <w:color w:val="000000"/>
                <w:sz w:val="18"/>
                <w:szCs w:val="18"/>
              </w:rPr>
            </w:pPr>
            <w:r>
              <w:rPr>
                <w:rFonts w:hint="eastAsia" w:ascii="宋体" w:hAnsi="宋体"/>
                <w:color w:val="000000"/>
                <w:sz w:val="18"/>
                <w:szCs w:val="18"/>
              </w:rPr>
              <w:t>现场调查时间：</w:t>
            </w:r>
          </w:p>
        </w:tc>
      </w:tr>
      <w:tr>
        <w:tblPrEx>
          <w:tblCellMar>
            <w:top w:w="0" w:type="dxa"/>
            <w:left w:w="0" w:type="dxa"/>
            <w:bottom w:w="0" w:type="dxa"/>
            <w:right w:w="0" w:type="dxa"/>
          </w:tblCellMar>
        </w:tblPrEx>
        <w:trPr>
          <w:trHeight w:val="293" w:hRule="atLeast"/>
        </w:trPr>
        <w:tc>
          <w:tcPr>
            <w:tcW w:w="2411" w:type="pct"/>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adjustRightInd w:val="0"/>
              <w:spacing w:line="400" w:lineRule="exact"/>
              <w:rPr>
                <w:rFonts w:ascii="宋体" w:hAnsi="宋体" w:cs="宋体"/>
                <w:color w:val="000000"/>
                <w:sz w:val="18"/>
                <w:szCs w:val="18"/>
              </w:rPr>
            </w:pPr>
            <w:r>
              <w:rPr>
                <w:rFonts w:hint="eastAsia" w:ascii="宋体" w:hAnsi="宋体"/>
                <w:color w:val="000000"/>
                <w:sz w:val="18"/>
                <w:szCs w:val="18"/>
              </w:rPr>
              <w:t>农村小微水体编号：</w:t>
            </w:r>
          </w:p>
        </w:tc>
        <w:tc>
          <w:tcPr>
            <w:tcW w:w="2589" w:type="pct"/>
            <w:tcBorders>
              <w:top w:val="single" w:color="auto" w:sz="4" w:space="0"/>
              <w:left w:val="nil"/>
              <w:bottom w:val="single" w:color="auto" w:sz="4" w:space="0"/>
              <w:right w:val="single" w:color="auto" w:sz="4" w:space="0"/>
            </w:tcBorders>
            <w:noWrap/>
            <w:tcMar>
              <w:top w:w="15" w:type="dxa"/>
              <w:left w:w="15" w:type="dxa"/>
              <w:bottom w:w="0" w:type="dxa"/>
              <w:right w:w="15" w:type="dxa"/>
            </w:tcMar>
            <w:vAlign w:val="center"/>
          </w:tcPr>
          <w:p>
            <w:pPr>
              <w:adjustRightInd w:val="0"/>
              <w:spacing w:line="400" w:lineRule="exact"/>
              <w:rPr>
                <w:rFonts w:ascii="宋体" w:hAnsi="宋体" w:cs="宋体"/>
                <w:color w:val="000000"/>
                <w:sz w:val="18"/>
                <w:szCs w:val="18"/>
              </w:rPr>
            </w:pPr>
            <w:r>
              <w:rPr>
                <w:rFonts w:hint="eastAsia" w:ascii="宋体" w:hAnsi="宋体"/>
                <w:color w:val="000000"/>
                <w:sz w:val="18"/>
                <w:szCs w:val="18"/>
              </w:rPr>
              <w:t>农村小微水体位置：</w:t>
            </w:r>
          </w:p>
        </w:tc>
      </w:tr>
      <w:tr>
        <w:tblPrEx>
          <w:tblCellMar>
            <w:top w:w="0" w:type="dxa"/>
            <w:left w:w="0" w:type="dxa"/>
            <w:bottom w:w="0" w:type="dxa"/>
            <w:right w:w="0" w:type="dxa"/>
          </w:tblCellMar>
        </w:tblPrEx>
        <w:trPr>
          <w:trHeight w:val="260" w:hRule="atLeast"/>
        </w:trPr>
        <w:tc>
          <w:tcPr>
            <w:tcW w:w="5000" w:type="pct"/>
            <w:gridSpan w:val="2"/>
            <w:tcBorders>
              <w:top w:val="single" w:color="auto" w:sz="4" w:space="0"/>
              <w:left w:val="single" w:color="auto" w:sz="4" w:space="0"/>
              <w:bottom w:val="single" w:color="auto" w:sz="4" w:space="0"/>
              <w:right w:val="single" w:color="000000" w:sz="4" w:space="0"/>
            </w:tcBorders>
            <w:noWrap/>
            <w:tcMar>
              <w:top w:w="15" w:type="dxa"/>
              <w:left w:w="15" w:type="dxa"/>
              <w:bottom w:w="0" w:type="dxa"/>
              <w:right w:w="15" w:type="dxa"/>
            </w:tcMar>
            <w:vAlign w:val="center"/>
          </w:tcPr>
          <w:p>
            <w:pPr>
              <w:adjustRightInd w:val="0"/>
              <w:spacing w:line="400" w:lineRule="exact"/>
              <w:rPr>
                <w:rFonts w:ascii="宋体" w:hAnsi="宋体" w:cs="宋体"/>
                <w:color w:val="000000"/>
                <w:sz w:val="18"/>
                <w:szCs w:val="18"/>
              </w:rPr>
            </w:pPr>
            <w:r>
              <w:rPr>
                <w:rFonts w:hint="eastAsia" w:ascii="宋体" w:hAnsi="宋体"/>
                <w:color w:val="000000"/>
                <w:sz w:val="18"/>
                <w:szCs w:val="18"/>
              </w:rPr>
              <w:t>农村小微水体面积（m</w:t>
            </w:r>
            <w:r>
              <w:rPr>
                <w:rFonts w:hint="eastAsia" w:ascii="宋体" w:hAnsi="宋体"/>
                <w:color w:val="000000"/>
                <w:sz w:val="18"/>
                <w:szCs w:val="18"/>
                <w:vertAlign w:val="superscript"/>
              </w:rPr>
              <w:t>2</w:t>
            </w:r>
            <w:r>
              <w:rPr>
                <w:rFonts w:hint="eastAsia" w:ascii="宋体" w:hAnsi="宋体"/>
                <w:color w:val="000000"/>
                <w:sz w:val="18"/>
                <w:szCs w:val="18"/>
              </w:rPr>
              <w:t>）：</w:t>
            </w:r>
          </w:p>
        </w:tc>
      </w:tr>
      <w:tr>
        <w:tblPrEx>
          <w:tblCellMar>
            <w:top w:w="0" w:type="dxa"/>
            <w:left w:w="0" w:type="dxa"/>
            <w:bottom w:w="0" w:type="dxa"/>
            <w:right w:w="0" w:type="dxa"/>
          </w:tblCellMar>
        </w:tblPrEx>
        <w:trPr>
          <w:trHeight w:val="367" w:hRule="atLeast"/>
        </w:trPr>
        <w:tc>
          <w:tcPr>
            <w:tcW w:w="5000" w:type="pct"/>
            <w:gridSpan w:val="2"/>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adjustRightInd w:val="0"/>
              <w:spacing w:line="400" w:lineRule="exact"/>
              <w:rPr>
                <w:rFonts w:ascii="宋体" w:hAnsi="宋体"/>
                <w:color w:val="000000"/>
                <w:sz w:val="18"/>
                <w:szCs w:val="18"/>
              </w:rPr>
            </w:pPr>
            <w:r>
              <w:rPr>
                <w:rFonts w:hint="eastAsia" w:ascii="宋体" w:hAnsi="宋体"/>
                <w:color w:val="000000"/>
                <w:sz w:val="18"/>
                <w:szCs w:val="18"/>
              </w:rPr>
              <w:t>现场定位（度，小数点后保留5位）</w:t>
            </w:r>
            <w:r>
              <w:rPr>
                <w:rFonts w:ascii="宋体" w:hAnsi="宋体"/>
                <w:color w:val="000000"/>
                <w:sz w:val="18"/>
                <w:szCs w:val="18"/>
              </w:rPr>
              <w:t xml:space="preserve">   </w:t>
            </w:r>
            <w:r>
              <w:rPr>
                <w:rFonts w:hint="eastAsia" w:ascii="宋体" w:hAnsi="宋体"/>
                <w:color w:val="000000"/>
                <w:sz w:val="18"/>
                <w:szCs w:val="18"/>
              </w:rPr>
              <w:t>经度：</w:t>
            </w:r>
            <w:r>
              <w:rPr>
                <w:rFonts w:ascii="宋体" w:hAnsi="宋体"/>
                <w:color w:val="000000"/>
                <w:sz w:val="18"/>
                <w:szCs w:val="18"/>
              </w:rPr>
              <w:t xml:space="preserve">      </w:t>
            </w:r>
            <w:r>
              <w:rPr>
                <w:rFonts w:hint="eastAsia" w:ascii="宋体" w:hAnsi="宋体"/>
                <w:color w:val="000000"/>
                <w:sz w:val="18"/>
                <w:szCs w:val="18"/>
              </w:rPr>
              <w:t>纬度：</w:t>
            </w:r>
            <w:r>
              <w:rPr>
                <w:rFonts w:ascii="宋体" w:hAnsi="宋体"/>
                <w:color w:val="000000"/>
                <w:sz w:val="18"/>
                <w:szCs w:val="18"/>
              </w:rPr>
              <w:t xml:space="preserve">    </w:t>
            </w:r>
          </w:p>
        </w:tc>
      </w:tr>
      <w:tr>
        <w:tblPrEx>
          <w:tblCellMar>
            <w:top w:w="0" w:type="dxa"/>
            <w:left w:w="0" w:type="dxa"/>
            <w:bottom w:w="0" w:type="dxa"/>
            <w:right w:w="0" w:type="dxa"/>
          </w:tblCellMar>
        </w:tblPrEx>
        <w:trPr>
          <w:trHeight w:val="347" w:hRule="atLeast"/>
        </w:trPr>
        <w:tc>
          <w:tcPr>
            <w:tcW w:w="5000" w:type="pct"/>
            <w:gridSpan w:val="2"/>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adjustRightInd w:val="0"/>
              <w:spacing w:line="400" w:lineRule="exact"/>
              <w:rPr>
                <w:rFonts w:ascii="宋体" w:hAnsi="宋体" w:cs="宋体"/>
                <w:color w:val="000000"/>
                <w:sz w:val="18"/>
                <w:szCs w:val="18"/>
              </w:rPr>
            </w:pPr>
            <w:r>
              <w:rPr>
                <w:rFonts w:hint="eastAsia" w:ascii="宋体" w:hAnsi="宋体"/>
                <w:color w:val="000000"/>
                <w:sz w:val="18"/>
                <w:szCs w:val="18"/>
              </w:rPr>
              <w:t>农村小微水体类型：□河流</w:t>
            </w:r>
            <w:r>
              <w:rPr>
                <w:rFonts w:ascii="宋体" w:hAnsi="宋体"/>
                <w:color w:val="000000"/>
                <w:sz w:val="18"/>
                <w:szCs w:val="18"/>
              </w:rPr>
              <w:t></w:t>
            </w:r>
            <w:r>
              <w:rPr>
                <w:rFonts w:hint="eastAsia" w:ascii="宋体" w:hAnsi="宋体"/>
                <w:color w:val="000000"/>
                <w:sz w:val="18"/>
                <w:szCs w:val="18"/>
              </w:rPr>
              <w:t>□沟渠</w:t>
            </w:r>
            <w:r>
              <w:rPr>
                <w:rFonts w:ascii="宋体" w:hAnsi="宋体"/>
                <w:color w:val="000000"/>
                <w:sz w:val="18"/>
                <w:szCs w:val="18"/>
              </w:rPr>
              <w:t></w:t>
            </w:r>
            <w:r>
              <w:rPr>
                <w:rFonts w:hint="eastAsia" w:ascii="宋体" w:hAnsi="宋体"/>
                <w:color w:val="000000"/>
                <w:sz w:val="18"/>
                <w:szCs w:val="18"/>
              </w:rPr>
              <w:t>□坑塘    □其他</w:t>
            </w:r>
          </w:p>
        </w:tc>
      </w:tr>
      <w:tr>
        <w:tblPrEx>
          <w:tblCellMar>
            <w:top w:w="0" w:type="dxa"/>
            <w:left w:w="0" w:type="dxa"/>
            <w:bottom w:w="0" w:type="dxa"/>
            <w:right w:w="0" w:type="dxa"/>
          </w:tblCellMar>
        </w:tblPrEx>
        <w:trPr>
          <w:trHeight w:val="327" w:hRule="atLeast"/>
        </w:trPr>
        <w:tc>
          <w:tcPr>
            <w:tcW w:w="5000" w:type="pct"/>
            <w:gridSpan w:val="2"/>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adjustRightInd w:val="0"/>
              <w:spacing w:line="400" w:lineRule="exact"/>
              <w:rPr>
                <w:rFonts w:ascii="宋体" w:hAnsi="宋体" w:cs="宋体"/>
                <w:color w:val="000000"/>
                <w:sz w:val="18"/>
                <w:szCs w:val="18"/>
              </w:rPr>
            </w:pPr>
            <w:r>
              <w:rPr>
                <w:rFonts w:hint="eastAsia" w:ascii="宋体" w:hAnsi="宋体"/>
                <w:color w:val="000000"/>
                <w:sz w:val="18"/>
                <w:szCs w:val="18"/>
              </w:rPr>
              <w:t>农村小微水体颜色：□绿色</w:t>
            </w:r>
            <w:r>
              <w:rPr>
                <w:rFonts w:ascii="宋体" w:hAnsi="宋体"/>
                <w:color w:val="000000"/>
                <w:sz w:val="18"/>
                <w:szCs w:val="18"/>
              </w:rPr>
              <w:t xml:space="preserve">   </w:t>
            </w:r>
            <w:r>
              <w:rPr>
                <w:rFonts w:hint="eastAsia" w:ascii="宋体" w:hAnsi="宋体"/>
                <w:color w:val="000000"/>
                <w:sz w:val="18"/>
                <w:szCs w:val="18"/>
              </w:rPr>
              <w:t>□黑色</w:t>
            </w:r>
            <w:r>
              <w:rPr>
                <w:rFonts w:ascii="宋体" w:hAnsi="宋体"/>
                <w:color w:val="000000"/>
                <w:sz w:val="18"/>
                <w:szCs w:val="18"/>
              </w:rPr>
              <w:t xml:space="preserve">   </w:t>
            </w:r>
            <w:r>
              <w:rPr>
                <w:rFonts w:hint="eastAsia" w:ascii="宋体" w:hAnsi="宋体"/>
                <w:color w:val="000000"/>
                <w:sz w:val="18"/>
                <w:szCs w:val="18"/>
              </w:rPr>
              <w:t>□白色   □其他</w:t>
            </w:r>
          </w:p>
        </w:tc>
      </w:tr>
      <w:tr>
        <w:tblPrEx>
          <w:tblCellMar>
            <w:top w:w="0" w:type="dxa"/>
            <w:left w:w="0" w:type="dxa"/>
            <w:bottom w:w="0" w:type="dxa"/>
            <w:right w:w="0" w:type="dxa"/>
          </w:tblCellMar>
        </w:tblPrEx>
        <w:trPr>
          <w:trHeight w:val="293" w:hRule="atLeast"/>
        </w:trPr>
        <w:tc>
          <w:tcPr>
            <w:tcW w:w="5000" w:type="pct"/>
            <w:gridSpan w:val="2"/>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adjustRightInd w:val="0"/>
              <w:spacing w:line="400" w:lineRule="exact"/>
              <w:rPr>
                <w:rFonts w:ascii="宋体" w:hAnsi="宋体"/>
                <w:color w:val="000000"/>
                <w:sz w:val="18"/>
                <w:szCs w:val="18"/>
              </w:rPr>
            </w:pPr>
            <w:r>
              <w:rPr>
                <w:rFonts w:hint="eastAsia" w:ascii="宋体" w:hAnsi="宋体"/>
                <w:color w:val="000000"/>
                <w:sz w:val="18"/>
                <w:szCs w:val="18"/>
              </w:rPr>
              <w:t>农村小微水体污染存续状态：□反复出现</w:t>
            </w:r>
            <w:r>
              <w:rPr>
                <w:rFonts w:ascii="宋体" w:hAnsi="宋体"/>
                <w:color w:val="000000"/>
                <w:sz w:val="18"/>
                <w:szCs w:val="18"/>
              </w:rPr>
              <w:t xml:space="preserve">      </w:t>
            </w:r>
            <w:r>
              <w:rPr>
                <w:rFonts w:hint="eastAsia" w:ascii="宋体" w:hAnsi="宋体"/>
                <w:color w:val="000000"/>
                <w:sz w:val="18"/>
                <w:szCs w:val="18"/>
              </w:rPr>
              <w:t>□新增</w:t>
            </w:r>
            <w:r>
              <w:rPr>
                <w:rFonts w:ascii="宋体" w:hAnsi="宋体"/>
                <w:color w:val="000000"/>
                <w:sz w:val="18"/>
                <w:szCs w:val="18"/>
              </w:rPr>
              <w:t xml:space="preserve">      </w:t>
            </w:r>
            <w:r>
              <w:rPr>
                <w:rFonts w:hint="eastAsia" w:ascii="宋体" w:hAnsi="宋体"/>
                <w:color w:val="000000"/>
                <w:sz w:val="18"/>
                <w:szCs w:val="18"/>
              </w:rPr>
              <w:t>□季节性出现      □退出</w:t>
            </w:r>
          </w:p>
        </w:tc>
      </w:tr>
      <w:tr>
        <w:tblPrEx>
          <w:tblCellMar>
            <w:top w:w="0" w:type="dxa"/>
            <w:left w:w="0" w:type="dxa"/>
            <w:bottom w:w="0" w:type="dxa"/>
            <w:right w:w="0" w:type="dxa"/>
          </w:tblCellMar>
        </w:tblPrEx>
        <w:trPr>
          <w:trHeight w:val="415" w:hRule="atLeast"/>
        </w:trPr>
        <w:tc>
          <w:tcPr>
            <w:tcW w:w="2411" w:type="pct"/>
            <w:tcBorders>
              <w:top w:val="single" w:color="auto" w:sz="4" w:space="0"/>
              <w:left w:val="single" w:color="auto" w:sz="4" w:space="0"/>
              <w:bottom w:val="single" w:color="auto" w:sz="4" w:space="0"/>
              <w:right w:val="single" w:color="000000" w:sz="4" w:space="0"/>
            </w:tcBorders>
            <w:noWrap/>
            <w:tcMar>
              <w:top w:w="15" w:type="dxa"/>
              <w:left w:w="15" w:type="dxa"/>
              <w:bottom w:w="0" w:type="dxa"/>
              <w:right w:w="15" w:type="dxa"/>
            </w:tcMar>
            <w:vAlign w:val="center"/>
          </w:tcPr>
          <w:p>
            <w:pPr>
              <w:adjustRightInd w:val="0"/>
              <w:spacing w:line="400" w:lineRule="exact"/>
              <w:rPr>
                <w:rFonts w:ascii="宋体" w:hAnsi="宋体" w:cs="宋体"/>
                <w:color w:val="000000"/>
                <w:sz w:val="18"/>
                <w:szCs w:val="18"/>
              </w:rPr>
            </w:pPr>
            <w:r>
              <w:rPr>
                <w:rFonts w:hint="eastAsia" w:ascii="宋体" w:hAnsi="宋体"/>
                <w:color w:val="000000"/>
                <w:sz w:val="18"/>
                <w:szCs w:val="18"/>
              </w:rPr>
              <w:t>农村小微水体透明度（</w:t>
            </w:r>
            <w:r>
              <w:rPr>
                <w:rFonts w:ascii="宋体" w:hAnsi="宋体"/>
                <w:color w:val="000000"/>
                <w:sz w:val="18"/>
                <w:szCs w:val="18"/>
              </w:rPr>
              <w:t>cm)</w:t>
            </w:r>
            <w:r>
              <w:rPr>
                <w:rFonts w:hint="eastAsia" w:ascii="宋体" w:hAnsi="宋体"/>
                <w:color w:val="000000"/>
                <w:sz w:val="18"/>
                <w:szCs w:val="18"/>
              </w:rPr>
              <w:t>：</w:t>
            </w:r>
          </w:p>
        </w:tc>
        <w:tc>
          <w:tcPr>
            <w:tcW w:w="2589" w:type="pct"/>
            <w:tcBorders>
              <w:top w:val="single" w:color="auto" w:sz="4" w:space="0"/>
              <w:left w:val="nil"/>
              <w:bottom w:val="single" w:color="auto" w:sz="4" w:space="0"/>
              <w:right w:val="single" w:color="000000" w:sz="4" w:space="0"/>
            </w:tcBorders>
            <w:noWrap/>
            <w:tcMar>
              <w:top w:w="15" w:type="dxa"/>
              <w:left w:w="15" w:type="dxa"/>
              <w:bottom w:w="0" w:type="dxa"/>
              <w:right w:w="15" w:type="dxa"/>
            </w:tcMar>
            <w:vAlign w:val="center"/>
          </w:tcPr>
          <w:p>
            <w:pPr>
              <w:adjustRightInd w:val="0"/>
              <w:spacing w:line="400" w:lineRule="exact"/>
              <w:rPr>
                <w:rFonts w:ascii="宋体" w:hAnsi="宋体" w:cs="宋体"/>
                <w:color w:val="000000"/>
                <w:sz w:val="18"/>
                <w:szCs w:val="18"/>
              </w:rPr>
            </w:pPr>
            <w:r>
              <w:rPr>
                <w:rFonts w:hint="eastAsia" w:ascii="宋体" w:hAnsi="宋体"/>
                <w:color w:val="000000"/>
                <w:sz w:val="18"/>
                <w:szCs w:val="18"/>
              </w:rPr>
              <w:t>农村小微水体溶解氧</w:t>
            </w:r>
            <w:r>
              <w:rPr>
                <w:rFonts w:ascii="宋体" w:hAnsi="宋体"/>
                <w:color w:val="000000"/>
                <w:sz w:val="18"/>
                <w:szCs w:val="18"/>
              </w:rPr>
              <w:t>(mg/L)</w:t>
            </w:r>
            <w:r>
              <w:rPr>
                <w:rFonts w:hint="eastAsia" w:ascii="宋体" w:hAnsi="宋体"/>
                <w:color w:val="000000"/>
                <w:sz w:val="18"/>
                <w:szCs w:val="18"/>
              </w:rPr>
              <w:t>：</w:t>
            </w:r>
          </w:p>
        </w:tc>
      </w:tr>
      <w:tr>
        <w:tblPrEx>
          <w:tblCellMar>
            <w:top w:w="0" w:type="dxa"/>
            <w:left w:w="0" w:type="dxa"/>
            <w:bottom w:w="0" w:type="dxa"/>
            <w:right w:w="0" w:type="dxa"/>
          </w:tblCellMar>
        </w:tblPrEx>
        <w:trPr>
          <w:trHeight w:val="395" w:hRule="atLeast"/>
        </w:trPr>
        <w:tc>
          <w:tcPr>
            <w:tcW w:w="5000" w:type="pct"/>
            <w:gridSpan w:val="2"/>
            <w:tcBorders>
              <w:top w:val="single" w:color="auto" w:sz="4" w:space="0"/>
              <w:left w:val="single" w:color="auto" w:sz="4" w:space="0"/>
              <w:bottom w:val="single" w:color="auto" w:sz="4" w:space="0"/>
              <w:right w:val="single" w:color="000000" w:sz="4" w:space="0"/>
            </w:tcBorders>
            <w:noWrap/>
            <w:tcMar>
              <w:top w:w="15" w:type="dxa"/>
              <w:left w:w="15" w:type="dxa"/>
              <w:bottom w:w="0" w:type="dxa"/>
              <w:right w:w="15" w:type="dxa"/>
            </w:tcMar>
            <w:vAlign w:val="center"/>
          </w:tcPr>
          <w:p>
            <w:pPr>
              <w:adjustRightInd w:val="0"/>
              <w:spacing w:line="400" w:lineRule="exact"/>
              <w:rPr>
                <w:rFonts w:ascii="宋体" w:hAnsi="宋体" w:cs="宋体"/>
                <w:color w:val="000000"/>
                <w:sz w:val="18"/>
                <w:szCs w:val="18"/>
              </w:rPr>
            </w:pPr>
            <w:bookmarkStart w:id="389" w:name="OLE_LINK127"/>
            <w:r>
              <w:rPr>
                <w:rFonts w:hint="eastAsia" w:ascii="宋体" w:hAnsi="宋体"/>
                <w:color w:val="000000"/>
                <w:sz w:val="18"/>
                <w:szCs w:val="18"/>
              </w:rPr>
              <w:t>农村小微水体氨氮</w:t>
            </w:r>
            <w:r>
              <w:rPr>
                <w:rFonts w:ascii="宋体" w:hAnsi="宋体"/>
                <w:color w:val="000000"/>
                <w:sz w:val="18"/>
                <w:szCs w:val="18"/>
              </w:rPr>
              <w:t>(mg/L)</w:t>
            </w:r>
            <w:r>
              <w:rPr>
                <w:rFonts w:hint="eastAsia" w:ascii="宋体" w:hAnsi="宋体"/>
                <w:color w:val="000000"/>
                <w:sz w:val="18"/>
                <w:szCs w:val="18"/>
              </w:rPr>
              <w:t>：</w:t>
            </w:r>
            <w:bookmarkEnd w:id="389"/>
          </w:p>
        </w:tc>
      </w:tr>
      <w:tr>
        <w:tblPrEx>
          <w:tblCellMar>
            <w:top w:w="0" w:type="dxa"/>
            <w:left w:w="0" w:type="dxa"/>
            <w:bottom w:w="0" w:type="dxa"/>
            <w:right w:w="0" w:type="dxa"/>
          </w:tblCellMar>
        </w:tblPrEx>
        <w:trPr>
          <w:trHeight w:val="361" w:hRule="atLeast"/>
        </w:trPr>
        <w:tc>
          <w:tcPr>
            <w:tcW w:w="5000" w:type="pct"/>
            <w:gridSpan w:val="2"/>
            <w:tcBorders>
              <w:top w:val="single" w:color="auto" w:sz="4" w:space="0"/>
              <w:left w:val="single" w:color="auto" w:sz="4" w:space="0"/>
              <w:bottom w:val="single" w:color="auto" w:sz="4" w:space="0"/>
              <w:right w:val="single" w:color="000000" w:sz="4" w:space="0"/>
            </w:tcBorders>
            <w:noWrap/>
            <w:tcMar>
              <w:top w:w="15" w:type="dxa"/>
              <w:left w:w="15" w:type="dxa"/>
              <w:bottom w:w="0" w:type="dxa"/>
              <w:right w:w="15" w:type="dxa"/>
            </w:tcMar>
            <w:vAlign w:val="center"/>
          </w:tcPr>
          <w:p>
            <w:pPr>
              <w:adjustRightInd w:val="0"/>
              <w:spacing w:line="400" w:lineRule="exact"/>
              <w:rPr>
                <w:rFonts w:ascii="宋体" w:hAnsi="宋体" w:cs="宋体"/>
                <w:color w:val="000000"/>
                <w:sz w:val="18"/>
                <w:szCs w:val="18"/>
              </w:rPr>
            </w:pPr>
            <w:r>
              <w:rPr>
                <w:rFonts w:hint="eastAsia" w:ascii="宋体" w:hAnsi="宋体"/>
                <w:color w:val="000000"/>
                <w:sz w:val="18"/>
                <w:szCs w:val="18"/>
              </w:rPr>
              <w:t>农村小微水体气味：</w:t>
            </w:r>
          </w:p>
        </w:tc>
      </w:tr>
      <w:tr>
        <w:tblPrEx>
          <w:tblCellMar>
            <w:top w:w="0" w:type="dxa"/>
            <w:left w:w="0" w:type="dxa"/>
            <w:bottom w:w="0" w:type="dxa"/>
            <w:right w:w="0" w:type="dxa"/>
          </w:tblCellMar>
        </w:tblPrEx>
        <w:trPr>
          <w:trHeight w:val="445" w:hRule="atLeast"/>
        </w:trPr>
        <w:tc>
          <w:tcPr>
            <w:tcW w:w="5000" w:type="pct"/>
            <w:gridSpan w:val="2"/>
            <w:tcBorders>
              <w:top w:val="single" w:color="auto" w:sz="4" w:space="0"/>
              <w:left w:val="single" w:color="auto" w:sz="4" w:space="0"/>
              <w:bottom w:val="single" w:color="auto" w:sz="4" w:space="0"/>
              <w:right w:val="single" w:color="000000" w:sz="4" w:space="0"/>
            </w:tcBorders>
            <w:tcMar>
              <w:top w:w="15" w:type="dxa"/>
              <w:left w:w="15" w:type="dxa"/>
              <w:bottom w:w="0" w:type="dxa"/>
              <w:right w:w="15" w:type="dxa"/>
            </w:tcMar>
            <w:vAlign w:val="center"/>
          </w:tcPr>
          <w:p>
            <w:pPr>
              <w:adjustRightInd w:val="0"/>
              <w:spacing w:line="400" w:lineRule="exact"/>
              <w:rPr>
                <w:rFonts w:ascii="宋体" w:hAnsi="宋体" w:cs="宋体"/>
                <w:color w:val="000000"/>
                <w:sz w:val="18"/>
                <w:szCs w:val="18"/>
              </w:rPr>
            </w:pPr>
            <w:r>
              <w:rPr>
                <w:rFonts w:hint="eastAsia" w:ascii="宋体" w:hAnsi="宋体"/>
                <w:color w:val="000000"/>
                <w:sz w:val="18"/>
                <w:szCs w:val="18"/>
              </w:rPr>
              <w:t>农村小微水体污染源：□生活污水 □生活垃圾和生活废弃物 □畜禽养殖</w:t>
            </w:r>
            <w:r>
              <w:rPr>
                <w:rFonts w:ascii="宋体" w:hAnsi="宋体"/>
                <w:color w:val="000000"/>
                <w:sz w:val="18"/>
                <w:szCs w:val="18"/>
              </w:rPr>
              <w:t xml:space="preserve"> </w:t>
            </w:r>
            <w:r>
              <w:rPr>
                <w:rFonts w:hint="eastAsia" w:ascii="宋体" w:hAnsi="宋体"/>
                <w:color w:val="000000"/>
                <w:sz w:val="18"/>
                <w:szCs w:val="18"/>
              </w:rPr>
              <w:t>□水产养殖</w:t>
            </w:r>
            <w:r>
              <w:rPr>
                <w:rFonts w:ascii="宋体" w:hAnsi="宋体"/>
                <w:color w:val="000000"/>
                <w:sz w:val="18"/>
                <w:szCs w:val="18"/>
              </w:rPr>
              <w:t xml:space="preserve"> </w:t>
            </w:r>
            <w:r>
              <w:rPr>
                <w:rFonts w:hint="eastAsia" w:ascii="宋体" w:hAnsi="宋体"/>
                <w:color w:val="000000"/>
                <w:sz w:val="18"/>
                <w:szCs w:val="18"/>
              </w:rPr>
              <w:t>□企业排污</w:t>
            </w:r>
            <w:r>
              <w:rPr>
                <w:rFonts w:ascii="宋体" w:hAnsi="宋体"/>
                <w:color w:val="000000"/>
                <w:sz w:val="18"/>
                <w:szCs w:val="18"/>
              </w:rPr>
              <w:t xml:space="preserve"> </w:t>
            </w:r>
            <w:bookmarkStart w:id="390" w:name="OLE_LINK105"/>
            <w:r>
              <w:rPr>
                <w:rFonts w:hint="eastAsia" w:ascii="宋体" w:hAnsi="宋体"/>
                <w:color w:val="000000"/>
                <w:sz w:val="18"/>
                <w:szCs w:val="18"/>
              </w:rPr>
              <w:t>□种植业</w:t>
            </w:r>
            <w:bookmarkEnd w:id="390"/>
            <w:r>
              <w:rPr>
                <w:rFonts w:hint="eastAsia" w:ascii="宋体" w:hAnsi="宋体"/>
                <w:color w:val="000000"/>
                <w:sz w:val="18"/>
                <w:szCs w:val="18"/>
              </w:rPr>
              <w:t xml:space="preserve">  □底泥淤积 □粪污 □其他</w:t>
            </w:r>
          </w:p>
        </w:tc>
      </w:tr>
      <w:tr>
        <w:tblPrEx>
          <w:tblCellMar>
            <w:top w:w="0" w:type="dxa"/>
            <w:left w:w="0" w:type="dxa"/>
            <w:bottom w:w="0" w:type="dxa"/>
            <w:right w:w="0" w:type="dxa"/>
          </w:tblCellMar>
        </w:tblPrEx>
        <w:trPr>
          <w:trHeight w:val="253" w:hRule="atLeast"/>
        </w:trPr>
        <w:tc>
          <w:tcPr>
            <w:tcW w:w="5000" w:type="pct"/>
            <w:gridSpan w:val="2"/>
            <w:tcBorders>
              <w:top w:val="single" w:color="auto" w:sz="4" w:space="0"/>
              <w:left w:val="single" w:color="auto" w:sz="4" w:space="0"/>
              <w:bottom w:val="single" w:color="auto" w:sz="4" w:space="0"/>
              <w:right w:val="single" w:color="000000" w:sz="4" w:space="0"/>
            </w:tcBorders>
            <w:noWrap/>
            <w:tcMar>
              <w:top w:w="15" w:type="dxa"/>
              <w:left w:w="15" w:type="dxa"/>
              <w:bottom w:w="0" w:type="dxa"/>
              <w:right w:w="15" w:type="dxa"/>
            </w:tcMar>
            <w:vAlign w:val="center"/>
          </w:tcPr>
          <w:p>
            <w:pPr>
              <w:adjustRightInd w:val="0"/>
              <w:spacing w:line="400" w:lineRule="exact"/>
              <w:rPr>
                <w:rFonts w:ascii="宋体" w:hAnsi="宋体" w:cs="宋体"/>
                <w:color w:val="000000"/>
                <w:sz w:val="18"/>
                <w:szCs w:val="18"/>
              </w:rPr>
            </w:pPr>
            <w:r>
              <w:rPr>
                <w:rFonts w:hint="eastAsia" w:ascii="宋体" w:hAnsi="宋体"/>
                <w:color w:val="000000"/>
                <w:sz w:val="18"/>
                <w:szCs w:val="18"/>
              </w:rPr>
              <w:t>备注：</w:t>
            </w:r>
          </w:p>
        </w:tc>
      </w:tr>
      <w:tr>
        <w:tblPrEx>
          <w:tblCellMar>
            <w:top w:w="0" w:type="dxa"/>
            <w:left w:w="0" w:type="dxa"/>
            <w:bottom w:w="0" w:type="dxa"/>
            <w:right w:w="0" w:type="dxa"/>
          </w:tblCellMar>
        </w:tblPrEx>
        <w:trPr>
          <w:trHeight w:val="260" w:hRule="atLeast"/>
        </w:trPr>
        <w:tc>
          <w:tcPr>
            <w:tcW w:w="5000" w:type="pct"/>
            <w:gridSpan w:val="2"/>
            <w:tcBorders>
              <w:top w:val="single" w:color="auto" w:sz="4" w:space="0"/>
              <w:left w:val="single" w:color="auto" w:sz="4" w:space="0"/>
              <w:bottom w:val="single" w:color="auto" w:sz="4" w:space="0"/>
              <w:right w:val="single" w:color="auto" w:sz="4" w:space="0"/>
            </w:tcBorders>
            <w:noWrap/>
            <w:tcMar>
              <w:top w:w="15" w:type="dxa"/>
              <w:left w:w="15" w:type="dxa"/>
              <w:bottom w:w="0" w:type="dxa"/>
              <w:right w:w="15" w:type="dxa"/>
            </w:tcMar>
            <w:vAlign w:val="center"/>
          </w:tcPr>
          <w:p>
            <w:pPr>
              <w:adjustRightInd w:val="0"/>
              <w:spacing w:line="400" w:lineRule="exact"/>
              <w:rPr>
                <w:rFonts w:ascii="宋体" w:hAnsi="宋体" w:cs="宋体"/>
                <w:color w:val="000000"/>
                <w:sz w:val="18"/>
                <w:szCs w:val="18"/>
              </w:rPr>
            </w:pPr>
            <w:r>
              <w:rPr>
                <w:rFonts w:hint="eastAsia" w:ascii="宋体" w:hAnsi="宋体"/>
                <w:color w:val="000000"/>
                <w:sz w:val="18"/>
                <w:szCs w:val="18"/>
              </w:rPr>
              <w:t>现场调查结论：</w:t>
            </w:r>
          </w:p>
        </w:tc>
      </w:tr>
      <w:bookmarkEnd w:id="388"/>
    </w:tbl>
    <w:p>
      <w:pPr>
        <w:spacing w:line="360" w:lineRule="auto"/>
        <w:rPr>
          <w:b/>
          <w:bCs/>
          <w:sz w:val="24"/>
          <w:szCs w:val="21"/>
        </w:rPr>
      </w:pPr>
      <w:r>
        <w:rPr>
          <w:rFonts w:hint="eastAsia"/>
          <w:b/>
          <w:bCs/>
          <w:sz w:val="24"/>
          <w:szCs w:val="21"/>
        </w:rPr>
        <w:t>6.7.2 现场工作</w:t>
      </w:r>
    </w:p>
    <w:p>
      <w:pPr>
        <w:spacing w:line="360" w:lineRule="auto"/>
        <w:ind w:firstLine="480" w:firstLineChars="200"/>
        <w:rPr>
          <w:sz w:val="24"/>
        </w:rPr>
      </w:pPr>
      <w:r>
        <w:rPr>
          <w:rFonts w:hint="eastAsia"/>
          <w:sz w:val="24"/>
        </w:rPr>
        <w:t>现场调查人员应按照“望、闻、问、切”等方式依次开展现场调查，直到能够判定农村小微水体的性质。“望”和“闻”指现场查看，主要通过看小微水体的颜色及是否有排污口、闻小微水体的气味来判断小微水体是否污染；“问”指公众评议，参照表8，通过询问小微水体周边居民、商户等（有效份数不少于20份，该数据参考《农村黑臭水体治理工作指南》中的相关要求），判断小微水体是否污染；当“望、闻”和公众评议均无法判断小微水体的性质时，需开展最后一步现场调查工作，即“切”，对小微水体性质进行最终的判断，采用塞氏盘、水质多参数仪等便携式设备检测小微水体的理</w:t>
      </w:r>
      <w:bookmarkStart w:id="391" w:name="OLE_LINK151"/>
      <w:bookmarkStart w:id="392" w:name="OLE_LINK150"/>
      <w:r>
        <w:rPr>
          <w:rFonts w:hint="eastAsia"/>
          <w:sz w:val="24"/>
        </w:rPr>
        <w:t>化</w:t>
      </w:r>
      <w:bookmarkEnd w:id="391"/>
      <w:bookmarkEnd w:id="392"/>
      <w:r>
        <w:rPr>
          <w:rFonts w:hint="eastAsia"/>
          <w:sz w:val="24"/>
        </w:rPr>
        <w:t>指标，检测过程应按照HJ 91.2中的规定执行。现场调查过程中，应如实填写农村小微水体污染现场调查记录表（表9），根据标准中的要求，对调查对象做出综合判断，给出农村小微水体的现场调查结论。有条件的调查单位可以开展小微水体的水样采集和实验室分析工作，通过测定氨氮指标判断农村小微水体的性质。</w:t>
      </w:r>
    </w:p>
    <w:p>
      <w:pPr>
        <w:pStyle w:val="3"/>
        <w:numPr>
          <w:ilvl w:val="0"/>
          <w:numId w:val="0"/>
        </w:numPr>
        <w:spacing w:line="416" w:lineRule="auto"/>
        <w:rPr>
          <w:rFonts w:eastAsia="黑体"/>
          <w:b w:val="0"/>
          <w:kern w:val="0"/>
          <w:sz w:val="32"/>
        </w:rPr>
      </w:pPr>
      <w:bookmarkStart w:id="393" w:name="OLE_LINK49"/>
      <w:bookmarkStart w:id="394" w:name="OLE_LINK8"/>
      <w:bookmarkStart w:id="395" w:name="_Toc215478660"/>
      <w:bookmarkStart w:id="396" w:name="_Toc1426781866"/>
      <w:r>
        <w:rPr>
          <w:rFonts w:hint="eastAsia" w:eastAsia="黑体"/>
          <w:b w:val="0"/>
          <w:kern w:val="0"/>
          <w:sz w:val="32"/>
        </w:rPr>
        <w:t>6.</w:t>
      </w:r>
      <w:bookmarkEnd w:id="393"/>
      <w:bookmarkEnd w:id="394"/>
      <w:r>
        <w:rPr>
          <w:rFonts w:hint="eastAsia" w:eastAsia="黑体"/>
          <w:b w:val="0"/>
          <w:kern w:val="0"/>
          <w:sz w:val="32"/>
        </w:rPr>
        <w:t>8 精度评定</w:t>
      </w:r>
      <w:bookmarkEnd w:id="395"/>
      <w:bookmarkEnd w:id="396"/>
    </w:p>
    <w:p>
      <w:pPr>
        <w:spacing w:line="360" w:lineRule="auto"/>
        <w:ind w:firstLine="480" w:firstLineChars="200"/>
        <w:rPr>
          <w:sz w:val="24"/>
          <w:szCs w:val="21"/>
        </w:rPr>
      </w:pPr>
      <w:r>
        <w:rPr>
          <w:rFonts w:hint="eastAsia"/>
          <w:sz w:val="24"/>
          <w:szCs w:val="21"/>
        </w:rPr>
        <w:t>为保证农村小微水体污染遥感解译成果质量，遥感解译成果验收与质量评定应按GB/T 18316中过程检查、最终检查、验收、质量评价体系的规定执行。解译精度应不低于75%，未达到解译精度要求的须重新进行作业，直至满足精度要求。精度选择75%的原因是综合考虑了农村小微水体污染遥感解译的难度和管理部门的需求，该精度是在满足管理部门实际治理需求的前提下，遥感解译所能达到的精度水平。</w:t>
      </w:r>
    </w:p>
    <w:p>
      <w:pPr>
        <w:spacing w:line="360" w:lineRule="auto"/>
        <w:outlineLvl w:val="1"/>
        <w:rPr>
          <w:sz w:val="24"/>
          <w:szCs w:val="21"/>
        </w:rPr>
      </w:pPr>
      <w:bookmarkStart w:id="397" w:name="_Toc215478661"/>
      <w:bookmarkStart w:id="398" w:name="_Toc1886194042"/>
      <w:r>
        <w:rPr>
          <w:rFonts w:hint="eastAsia" w:eastAsia="黑体"/>
          <w:kern w:val="0"/>
          <w:sz w:val="32"/>
        </w:rPr>
        <w:t>6.9 报告编制</w:t>
      </w:r>
      <w:bookmarkEnd w:id="397"/>
      <w:bookmarkEnd w:id="398"/>
    </w:p>
    <w:p>
      <w:pPr>
        <w:spacing w:line="360" w:lineRule="auto"/>
        <w:ind w:firstLine="480" w:firstLineChars="200"/>
        <w:rPr>
          <w:sz w:val="24"/>
          <w:szCs w:val="21"/>
        </w:rPr>
      </w:pPr>
      <w:r>
        <w:rPr>
          <w:sz w:val="24"/>
          <w:szCs w:val="21"/>
        </w:rPr>
        <w:t>应对遥感监测结果及现场调查</w:t>
      </w:r>
      <w:bookmarkStart w:id="399" w:name="OLE_LINK308"/>
      <w:bookmarkStart w:id="400" w:name="OLE_LINK309"/>
      <w:r>
        <w:rPr>
          <w:sz w:val="24"/>
          <w:szCs w:val="21"/>
        </w:rPr>
        <w:t>信息</w:t>
      </w:r>
      <w:bookmarkEnd w:id="399"/>
      <w:bookmarkEnd w:id="400"/>
      <w:r>
        <w:rPr>
          <w:sz w:val="24"/>
          <w:szCs w:val="21"/>
        </w:rPr>
        <w:t>开展综合分析，便于掌握农村小微水体的总体情况，报告内容包括监测方法、遥感监测结果和结论。</w:t>
      </w:r>
    </w:p>
    <w:p>
      <w:pPr>
        <w:pStyle w:val="3"/>
        <w:numPr>
          <w:ilvl w:val="0"/>
          <w:numId w:val="0"/>
        </w:numPr>
        <w:spacing w:line="416" w:lineRule="auto"/>
        <w:rPr>
          <w:rFonts w:eastAsia="黑体"/>
          <w:b w:val="0"/>
          <w:kern w:val="0"/>
          <w:sz w:val="32"/>
          <w:highlight w:val="red"/>
        </w:rPr>
      </w:pPr>
      <w:bookmarkStart w:id="401" w:name="_Toc215478662"/>
      <w:bookmarkStart w:id="402" w:name="_Toc1911748975"/>
      <w:bookmarkStart w:id="403" w:name="OLE_LINK77"/>
      <w:bookmarkStart w:id="404" w:name="OLE_LINK78"/>
      <w:r>
        <w:rPr>
          <w:rFonts w:hint="eastAsia" w:eastAsia="黑体"/>
          <w:b w:val="0"/>
          <w:kern w:val="0"/>
          <w:sz w:val="32"/>
        </w:rPr>
        <w:t>6</w:t>
      </w:r>
      <w:r>
        <w:rPr>
          <w:rFonts w:eastAsia="黑体"/>
          <w:b w:val="0"/>
          <w:kern w:val="0"/>
          <w:sz w:val="32"/>
        </w:rPr>
        <w:t>.</w:t>
      </w:r>
      <w:r>
        <w:rPr>
          <w:rFonts w:hint="eastAsia" w:eastAsia="黑体"/>
          <w:b w:val="0"/>
          <w:kern w:val="0"/>
          <w:sz w:val="32"/>
        </w:rPr>
        <w:t xml:space="preserve">10 </w:t>
      </w:r>
      <w:r>
        <w:rPr>
          <w:rFonts w:eastAsia="黑体"/>
          <w:b w:val="0"/>
          <w:kern w:val="0"/>
          <w:sz w:val="32"/>
        </w:rPr>
        <w:t>成果管理</w:t>
      </w:r>
      <w:bookmarkEnd w:id="401"/>
      <w:bookmarkEnd w:id="402"/>
    </w:p>
    <w:bookmarkEnd w:id="403"/>
    <w:bookmarkEnd w:id="404"/>
    <w:p>
      <w:pPr>
        <w:spacing w:line="360" w:lineRule="auto"/>
        <w:ind w:firstLine="480" w:firstLineChars="200"/>
        <w:rPr>
          <w:sz w:val="24"/>
        </w:rPr>
      </w:pPr>
      <w:r>
        <w:rPr>
          <w:rFonts w:hint="eastAsia"/>
          <w:sz w:val="24"/>
        </w:rPr>
        <w:t>为便于后期受污染农村小微水体信息管理和综合利用，须对每期成果建立遥感监测台账，详细记录每个农村小微水体污染的基础信息资料、遥感影像、遥感监测矢量文件、现场调查记录电子文档、现场照片、现场调查报表（表9）、遥感监测专题图（图1）及报告（图2）等。为保证农村小微水体污染信息可追溯，需保证农村小微水体污染遥感监测台账保存期限≥5年，该时间跨度能够囊括农村小微水体完成从入账到治理完成并销账的全生命周期过程。</w:t>
      </w:r>
    </w:p>
    <w:p>
      <w:pPr>
        <w:spacing w:line="360" w:lineRule="auto"/>
        <w:jc w:val="center"/>
        <w:rPr>
          <w:sz w:val="24"/>
        </w:rPr>
      </w:pPr>
      <w:r>
        <w:rPr>
          <w:rFonts w:hint="eastAsia"/>
        </w:rPr>
        <w:drawing>
          <wp:inline distT="0" distB="0" distL="0" distR="0">
            <wp:extent cx="5270500" cy="3728085"/>
            <wp:effectExtent l="0" t="0" r="6350" b="5715"/>
            <wp:docPr id="26" name="图片 26" descr="农村疑似黑臭专题图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6" name="图片 26" descr="农村疑似黑臭专题图2"/>
                    <pic:cNvPicPr>
                      <a:picLocks noChangeAspect="true" noChangeArrowheads="true"/>
                    </pic:cNvPicPr>
                  </pic:nvPicPr>
                  <pic:blipFill>
                    <a:blip r:embed="rId21" cstate="print">
                      <a:extLst>
                        <a:ext uri="{28A0092B-C50C-407E-A947-70E740481C1C}">
                          <a14:useLocalDpi xmlns:a14="http://schemas.microsoft.com/office/drawing/2010/main" val="false"/>
                        </a:ext>
                      </a:extLst>
                    </a:blip>
                    <a:srcRect/>
                    <a:stretch>
                      <a:fillRect/>
                    </a:stretch>
                  </pic:blipFill>
                  <pic:spPr>
                    <a:xfrm>
                      <a:off x="0" y="0"/>
                      <a:ext cx="5270500" cy="3728616"/>
                    </a:xfrm>
                    <a:prstGeom prst="rect">
                      <a:avLst/>
                    </a:prstGeom>
                    <a:noFill/>
                    <a:ln>
                      <a:noFill/>
                    </a:ln>
                  </pic:spPr>
                </pic:pic>
              </a:graphicData>
            </a:graphic>
          </wp:inline>
        </w:drawing>
      </w:r>
    </w:p>
    <w:p>
      <w:pPr>
        <w:pStyle w:val="32"/>
        <w:spacing w:before="156" w:after="156"/>
        <w:ind w:firstLine="0" w:firstLineChars="0"/>
        <w:jc w:val="center"/>
        <w:rPr>
          <w:rFonts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图1 农村小微水体污染遥感监测专题图</w:t>
      </w:r>
    </w:p>
    <w:p>
      <w:pPr>
        <w:pStyle w:val="32"/>
        <w:spacing w:before="156" w:after="156"/>
        <w:ind w:firstLine="0" w:firstLineChars="0"/>
        <w:jc w:val="center"/>
        <w:rPr>
          <w:rFonts w:ascii="黑体" w:hAnsi="黑体" w:eastAsia="黑体"/>
          <w:color w:val="000000" w:themeColor="text1"/>
          <w14:textFill>
            <w14:solidFill>
              <w14:schemeClr w14:val="tx1"/>
            </w14:solidFill>
          </w14:textFill>
        </w:rPr>
      </w:pPr>
      <w:r>
        <w:drawing>
          <wp:inline distT="0" distB="0" distL="0" distR="0">
            <wp:extent cx="5270500" cy="2418715"/>
            <wp:effectExtent l="0" t="0" r="6350" b="635"/>
            <wp:docPr id="1" name="图片 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true"/>
                    </pic:cNvPicPr>
                  </pic:nvPicPr>
                  <pic:blipFill>
                    <a:blip r:embed="rId22"/>
                    <a:stretch>
                      <a:fillRect/>
                    </a:stretch>
                  </pic:blipFill>
                  <pic:spPr>
                    <a:xfrm>
                      <a:off x="0" y="0"/>
                      <a:ext cx="5270500" cy="2419306"/>
                    </a:xfrm>
                    <a:prstGeom prst="rect">
                      <a:avLst/>
                    </a:prstGeom>
                  </pic:spPr>
                </pic:pic>
              </a:graphicData>
            </a:graphic>
          </wp:inline>
        </w:drawing>
      </w:r>
    </w:p>
    <w:p>
      <w:pPr>
        <w:jc w:val="center"/>
        <w:rPr>
          <w:rFonts w:ascii="黑体" w:hAnsi="黑体" w:eastAsia="黑体"/>
          <w:color w:val="000000" w:themeColor="text1"/>
          <w:kern w:val="0"/>
          <w:szCs w:val="20"/>
          <w14:textFill>
            <w14:solidFill>
              <w14:schemeClr w14:val="tx1"/>
            </w14:solidFill>
          </w14:textFill>
        </w:rPr>
      </w:pPr>
      <w:r>
        <w:rPr>
          <w:rFonts w:hint="eastAsia" w:ascii="黑体" w:hAnsi="黑体" w:eastAsia="黑体"/>
          <w:color w:val="000000" w:themeColor="text1"/>
          <w:kern w:val="0"/>
          <w:szCs w:val="20"/>
          <w14:textFill>
            <w14:solidFill>
              <w14:schemeClr w14:val="tx1"/>
            </w14:solidFill>
          </w14:textFill>
        </w:rPr>
        <w:t>图2 农村小微水体污染遥感监测报告模板</w:t>
      </w:r>
    </w:p>
    <w:p>
      <w:pPr>
        <w:pStyle w:val="32"/>
        <w:spacing w:before="156" w:after="156"/>
        <w:ind w:firstLine="0" w:firstLineChars="0"/>
        <w:jc w:val="center"/>
        <w:rPr>
          <w:rFonts w:ascii="黑体" w:hAnsi="黑体" w:eastAsia="黑体"/>
          <w:color w:val="000000" w:themeColor="text1"/>
          <w14:textFill>
            <w14:solidFill>
              <w14:schemeClr w14:val="tx1"/>
            </w14:solidFill>
          </w14:textFill>
        </w:rPr>
      </w:pPr>
      <w:r>
        <w:rPr>
          <w:rFonts w:ascii="黑体" w:hAnsi="黑体" w:eastAsia="黑体"/>
          <w:color w:val="000000" w:themeColor="text1"/>
          <w14:textFill>
            <w14:solidFill>
              <w14:schemeClr w14:val="tx1"/>
            </w14:solidFill>
          </w14:textFill>
        </w:rPr>
        <w:br w:type="page"/>
      </w:r>
    </w:p>
    <w:p>
      <w:pPr>
        <w:pStyle w:val="32"/>
        <w:spacing w:before="156" w:after="156"/>
        <w:ind w:firstLine="0" w:firstLineChars="0"/>
        <w:jc w:val="center"/>
        <w:rPr>
          <w:rFonts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表10</w:t>
      </w:r>
      <w:r>
        <w:rPr>
          <w:rFonts w:ascii="黑体" w:hAnsi="黑体" w:eastAsia="黑体"/>
          <w:color w:val="000000" w:themeColor="text1"/>
          <w14:textFill>
            <w14:solidFill>
              <w14:schemeClr w14:val="tx1"/>
            </w14:solidFill>
          </w14:textFill>
        </w:rPr>
        <w:t xml:space="preserve"> </w:t>
      </w:r>
      <w:r>
        <w:rPr>
          <w:rFonts w:hint="eastAsia" w:ascii="黑体" w:hAnsi="黑体" w:eastAsia="黑体"/>
          <w:color w:val="000000" w:themeColor="text1"/>
          <w14:textFill>
            <w14:solidFill>
              <w14:schemeClr w14:val="tx1"/>
            </w14:solidFill>
          </w14:textFill>
        </w:rPr>
        <w:t>农村小微水体污染现场调查报表</w:t>
      </w:r>
    </w:p>
    <w:tbl>
      <w:tblPr>
        <w:tblStyle w:val="1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54"/>
        <w:gridCol w:w="2952"/>
        <w:gridCol w:w="43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6" w:type="pct"/>
            <w:vAlign w:val="center"/>
          </w:tcPr>
          <w:p>
            <w:pPr>
              <w:adjustRightInd w:val="0"/>
              <w:snapToGrid w:val="0"/>
              <w:spacing w:line="360" w:lineRule="auto"/>
              <w:jc w:val="center"/>
              <w:rPr>
                <w:rFonts w:ascii="宋体" w:hAnsi="宋体"/>
                <w:b/>
                <w:color w:val="000000"/>
                <w:sz w:val="18"/>
                <w:szCs w:val="18"/>
              </w:rPr>
            </w:pPr>
            <w:r>
              <w:rPr>
                <w:rFonts w:hint="eastAsia" w:ascii="宋体" w:hAnsi="宋体"/>
                <w:b/>
                <w:color w:val="000000"/>
                <w:sz w:val="18"/>
                <w:szCs w:val="18"/>
              </w:rPr>
              <w:t>基本情况</w:t>
            </w:r>
          </w:p>
        </w:tc>
        <w:tc>
          <w:tcPr>
            <w:tcW w:w="4264" w:type="pct"/>
            <w:gridSpan w:val="2"/>
          </w:tcPr>
          <w:p>
            <w:pPr>
              <w:adjustRightInd w:val="0"/>
              <w:snapToGrid w:val="0"/>
              <w:ind w:firstLine="360" w:firstLineChars="200"/>
              <w:rPr>
                <w:rFonts w:ascii="宋体" w:hAnsi="宋体"/>
                <w:color w:val="000000"/>
                <w:sz w:val="18"/>
                <w:szCs w:val="18"/>
              </w:rPr>
            </w:pPr>
            <w:r>
              <w:rPr>
                <w:rFonts w:hint="eastAsia" w:ascii="宋体" w:hAnsi="宋体"/>
                <w:color w:val="000000"/>
                <w:sz w:val="18"/>
                <w:szCs w:val="18"/>
              </w:rPr>
              <w:t>该水体位于××区××乡/镇××村××方位（经度：××，纬度：××），水体编号××，颜色××，面积约为××，实地周边为××，污染源为××，居民反映××。经判断，该水体××农村小微水体污染。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9" w:type="pct"/>
            <w:gridSpan w:val="2"/>
          </w:tcPr>
          <w:p>
            <w:pPr>
              <w:adjustRightInd w:val="0"/>
              <w:snapToGrid w:val="0"/>
              <w:jc w:val="center"/>
              <w:rPr>
                <w:rFonts w:ascii="宋体" w:hAnsi="宋体"/>
                <w:color w:val="000000"/>
                <w:sz w:val="18"/>
                <w:szCs w:val="18"/>
              </w:rPr>
            </w:pPr>
            <w:r>
              <w:rPr>
                <w:rFonts w:hint="eastAsia" w:ascii="宋体" w:hAnsi="宋体"/>
                <w:color w:val="000000"/>
                <w:sz w:val="18"/>
                <w:szCs w:val="18"/>
              </w:rPr>
              <w:t>遥感影像</w:t>
            </w:r>
          </w:p>
        </w:tc>
        <w:tc>
          <w:tcPr>
            <w:tcW w:w="2531" w:type="pct"/>
          </w:tcPr>
          <w:p>
            <w:pPr>
              <w:adjustRightInd w:val="0"/>
              <w:snapToGrid w:val="0"/>
              <w:jc w:val="center"/>
              <w:rPr>
                <w:rFonts w:ascii="宋体" w:hAnsi="宋体"/>
                <w:color w:val="000000"/>
                <w:sz w:val="18"/>
                <w:szCs w:val="18"/>
              </w:rPr>
            </w:pPr>
            <w:r>
              <w:rPr>
                <w:rFonts w:hint="eastAsia" w:ascii="宋体" w:hAnsi="宋体"/>
                <w:color w:val="000000"/>
                <w:sz w:val="18"/>
                <w:szCs w:val="18"/>
              </w:rPr>
              <w:t>远景照片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3" w:hRule="atLeast"/>
          <w:jc w:val="center"/>
        </w:trPr>
        <w:tc>
          <w:tcPr>
            <w:tcW w:w="2469" w:type="pct"/>
            <w:gridSpan w:val="2"/>
          </w:tcPr>
          <w:p>
            <w:pPr>
              <w:jc w:val="center"/>
              <w:rPr>
                <w:rFonts w:ascii="宋体" w:hAnsi="宋体"/>
                <w:color w:val="000000"/>
                <w:sz w:val="18"/>
                <w:szCs w:val="18"/>
              </w:rPr>
            </w:pPr>
            <w:r>
              <w:rPr>
                <w:rFonts w:ascii="宋体" w:hAnsi="宋体"/>
                <w:color w:val="000000"/>
                <w:sz w:val="18"/>
                <w:szCs w:val="18"/>
              </w:rPr>
              <w:drawing>
                <wp:inline distT="0" distB="0" distL="0" distR="0">
                  <wp:extent cx="2512695" cy="2512695"/>
                  <wp:effectExtent l="0" t="0" r="1905" b="1905"/>
                  <wp:docPr id="25" name="图片 25" descr="1101121050000028_A"/>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5" name="图片 25" descr="1101121050000028_A"/>
                          <pic:cNvPicPr>
                            <a:picLocks noChangeAspect="true" noChangeArrowheads="true"/>
                          </pic:cNvPicPr>
                        </pic:nvPicPr>
                        <pic:blipFill>
                          <a:blip r:embed="rId23">
                            <a:extLst>
                              <a:ext uri="{28A0092B-C50C-407E-A947-70E740481C1C}">
                                <a14:useLocalDpi xmlns:a14="http://schemas.microsoft.com/office/drawing/2010/main" val="false"/>
                              </a:ext>
                            </a:extLst>
                          </a:blip>
                          <a:srcRect/>
                          <a:stretch>
                            <a:fillRect/>
                          </a:stretch>
                        </pic:blipFill>
                        <pic:spPr>
                          <a:xfrm>
                            <a:off x="0" y="0"/>
                            <a:ext cx="2512695" cy="2512695"/>
                          </a:xfrm>
                          <a:prstGeom prst="rect">
                            <a:avLst/>
                          </a:prstGeom>
                          <a:noFill/>
                          <a:ln>
                            <a:noFill/>
                          </a:ln>
                        </pic:spPr>
                      </pic:pic>
                    </a:graphicData>
                  </a:graphic>
                </wp:inline>
              </w:drawing>
            </w:r>
          </w:p>
        </w:tc>
        <w:tc>
          <w:tcPr>
            <w:tcW w:w="2531" w:type="pct"/>
          </w:tcPr>
          <w:p>
            <w:pPr>
              <w:jc w:val="center"/>
              <w:rPr>
                <w:rFonts w:ascii="宋体" w:hAnsi="宋体"/>
                <w:color w:val="000000"/>
                <w:sz w:val="18"/>
                <w:szCs w:val="18"/>
              </w:rPr>
            </w:pPr>
            <w:r>
              <w:rPr>
                <w:rFonts w:ascii="宋体" w:hAnsi="宋体"/>
                <w:color w:val="000000"/>
                <w:sz w:val="18"/>
                <w:szCs w:val="18"/>
              </w:rPr>
              <w:drawing>
                <wp:inline distT="0" distB="0" distL="0" distR="0">
                  <wp:extent cx="2528570" cy="2528570"/>
                  <wp:effectExtent l="0" t="0" r="5080" b="5080"/>
                  <wp:docPr id="24" name="图片 24" descr="20241127-1101121050000028-1"/>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24" name="图片 24" descr="20241127-1101121050000028-1"/>
                          <pic:cNvPicPr>
                            <a:picLocks noChangeAspect="true" noChangeArrowheads="true"/>
                          </pic:cNvPicPr>
                        </pic:nvPicPr>
                        <pic:blipFill>
                          <a:blip r:embed="rId24">
                            <a:extLst>
                              <a:ext uri="{28A0092B-C50C-407E-A947-70E740481C1C}">
                                <a14:useLocalDpi xmlns:a14="http://schemas.microsoft.com/office/drawing/2010/main" val="false"/>
                              </a:ext>
                            </a:extLst>
                          </a:blip>
                          <a:srcRect/>
                          <a:stretch>
                            <a:fillRect/>
                          </a:stretch>
                        </pic:blipFill>
                        <pic:spPr>
                          <a:xfrm>
                            <a:off x="0" y="0"/>
                            <a:ext cx="2528570" cy="252857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469" w:type="pct"/>
            <w:gridSpan w:val="2"/>
          </w:tcPr>
          <w:p>
            <w:pPr>
              <w:adjustRightInd w:val="0"/>
              <w:snapToGrid w:val="0"/>
              <w:jc w:val="center"/>
              <w:rPr>
                <w:rFonts w:ascii="宋体" w:hAnsi="宋体"/>
                <w:color w:val="000000"/>
                <w:sz w:val="18"/>
                <w:szCs w:val="18"/>
                <w:lang w:val="zh-CN"/>
              </w:rPr>
            </w:pPr>
            <w:r>
              <w:rPr>
                <w:rFonts w:hint="eastAsia" w:ascii="宋体" w:hAnsi="宋体"/>
                <w:color w:val="000000"/>
                <w:sz w:val="18"/>
                <w:szCs w:val="18"/>
              </w:rPr>
              <w:t>近景照片</w:t>
            </w:r>
          </w:p>
        </w:tc>
        <w:tc>
          <w:tcPr>
            <w:tcW w:w="2531" w:type="pct"/>
          </w:tcPr>
          <w:p>
            <w:pPr>
              <w:adjustRightInd w:val="0"/>
              <w:snapToGrid w:val="0"/>
              <w:jc w:val="center"/>
              <w:rPr>
                <w:rFonts w:ascii="宋体" w:hAnsi="宋体"/>
                <w:color w:val="000000"/>
                <w:sz w:val="18"/>
                <w:szCs w:val="18"/>
              </w:rPr>
            </w:pPr>
            <w:r>
              <w:rPr>
                <w:rFonts w:hint="eastAsia" w:ascii="宋体" w:hAnsi="宋体"/>
                <w:color w:val="000000"/>
                <w:sz w:val="18"/>
                <w:szCs w:val="18"/>
              </w:rPr>
              <w:t>特写照片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84" w:hRule="atLeast"/>
          <w:jc w:val="center"/>
        </w:trPr>
        <w:tc>
          <w:tcPr>
            <w:tcW w:w="2469" w:type="pct"/>
            <w:gridSpan w:val="2"/>
          </w:tcPr>
          <w:p>
            <w:pPr>
              <w:jc w:val="center"/>
              <w:rPr>
                <w:rFonts w:ascii="宋体" w:hAnsi="宋体"/>
                <w:color w:val="000000"/>
                <w:kern w:val="0"/>
                <w:sz w:val="18"/>
                <w:szCs w:val="18"/>
                <w:lang w:val="zh-CN"/>
              </w:rPr>
            </w:pPr>
            <w:r>
              <w:rPr>
                <w:rFonts w:ascii="宋体" w:hAnsi="宋体"/>
                <w:color w:val="000000"/>
                <w:kern w:val="0"/>
                <w:sz w:val="18"/>
                <w:szCs w:val="18"/>
              </w:rPr>
              <w:drawing>
                <wp:inline distT="0" distB="0" distL="0" distR="0">
                  <wp:extent cx="2528570" cy="2528570"/>
                  <wp:effectExtent l="0" t="0" r="5080" b="5080"/>
                  <wp:docPr id="19" name="图片 19" descr="20241127-1101121050000028-3"/>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9" name="图片 19" descr="20241127-1101121050000028-3"/>
                          <pic:cNvPicPr>
                            <a:picLocks noChangeAspect="true" noChangeArrowheads="true"/>
                          </pic:cNvPicPr>
                        </pic:nvPicPr>
                        <pic:blipFill>
                          <a:blip r:embed="rId25">
                            <a:extLst>
                              <a:ext uri="{28A0092B-C50C-407E-A947-70E740481C1C}">
                                <a14:useLocalDpi xmlns:a14="http://schemas.microsoft.com/office/drawing/2010/main" val="false"/>
                              </a:ext>
                            </a:extLst>
                          </a:blip>
                          <a:srcRect/>
                          <a:stretch>
                            <a:fillRect/>
                          </a:stretch>
                        </pic:blipFill>
                        <pic:spPr>
                          <a:xfrm>
                            <a:off x="0" y="0"/>
                            <a:ext cx="2528570" cy="2528570"/>
                          </a:xfrm>
                          <a:prstGeom prst="rect">
                            <a:avLst/>
                          </a:prstGeom>
                          <a:noFill/>
                          <a:ln>
                            <a:noFill/>
                          </a:ln>
                        </pic:spPr>
                      </pic:pic>
                    </a:graphicData>
                  </a:graphic>
                </wp:inline>
              </w:drawing>
            </w:r>
          </w:p>
        </w:tc>
        <w:tc>
          <w:tcPr>
            <w:tcW w:w="2531" w:type="pct"/>
          </w:tcPr>
          <w:p>
            <w:pPr>
              <w:jc w:val="center"/>
              <w:rPr>
                <w:rFonts w:ascii="宋体" w:hAnsi="宋体"/>
                <w:color w:val="000000"/>
                <w:sz w:val="18"/>
                <w:szCs w:val="18"/>
              </w:rPr>
            </w:pPr>
            <w:r>
              <w:rPr>
                <w:rFonts w:ascii="宋体" w:hAnsi="宋体"/>
                <w:color w:val="000000"/>
                <w:sz w:val="18"/>
                <w:szCs w:val="18"/>
              </w:rPr>
              <w:drawing>
                <wp:inline distT="0" distB="0" distL="0" distR="0">
                  <wp:extent cx="2528570" cy="2528570"/>
                  <wp:effectExtent l="0" t="0" r="5080" b="5080"/>
                  <wp:docPr id="18" name="图片 18" descr="20241127-1101121050000028-2"/>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18" name="图片 18" descr="20241127-1101121050000028-2"/>
                          <pic:cNvPicPr>
                            <a:picLocks noChangeAspect="true" noChangeArrowheads="true"/>
                          </pic:cNvPicPr>
                        </pic:nvPicPr>
                        <pic:blipFill>
                          <a:blip r:embed="rId26">
                            <a:extLst>
                              <a:ext uri="{28A0092B-C50C-407E-A947-70E740481C1C}">
                                <a14:useLocalDpi xmlns:a14="http://schemas.microsoft.com/office/drawing/2010/main" val="false"/>
                              </a:ext>
                            </a:extLst>
                          </a:blip>
                          <a:srcRect/>
                          <a:stretch>
                            <a:fillRect/>
                          </a:stretch>
                        </pic:blipFill>
                        <pic:spPr>
                          <a:xfrm>
                            <a:off x="0" y="0"/>
                            <a:ext cx="2528570" cy="2528570"/>
                          </a:xfrm>
                          <a:prstGeom prst="rect">
                            <a:avLst/>
                          </a:prstGeom>
                          <a:noFill/>
                          <a:ln>
                            <a:noFill/>
                          </a:ln>
                        </pic:spPr>
                      </pic:pic>
                    </a:graphicData>
                  </a:graphic>
                </wp:inline>
              </w:drawing>
            </w:r>
          </w:p>
        </w:tc>
      </w:tr>
    </w:tbl>
    <w:p>
      <w:pPr>
        <w:pStyle w:val="2"/>
      </w:pPr>
      <w:bookmarkStart w:id="405" w:name="_Toc215478663"/>
      <w:bookmarkStart w:id="406" w:name="_Toc283319313"/>
      <w:r>
        <w:rPr>
          <w:rFonts w:hint="eastAsia"/>
        </w:rPr>
        <w:t>7</w:t>
      </w:r>
      <w:r>
        <w:t xml:space="preserve"> </w:t>
      </w:r>
      <w:r>
        <w:rPr>
          <w:rFonts w:hint="eastAsia"/>
        </w:rPr>
        <w:t>公平竞争审查情况</w:t>
      </w:r>
      <w:bookmarkEnd w:id="405"/>
      <w:bookmarkEnd w:id="406"/>
    </w:p>
    <w:p>
      <w:pPr>
        <w:spacing w:line="360" w:lineRule="auto"/>
        <w:ind w:firstLine="480" w:firstLineChars="200"/>
        <w:rPr>
          <w:sz w:val="24"/>
        </w:rPr>
      </w:pPr>
      <w:r>
        <w:rPr>
          <w:rFonts w:hint="eastAsia"/>
          <w:sz w:val="24"/>
        </w:rPr>
        <w:t>本标准不涉及经营者经济活动情况。</w:t>
      </w:r>
      <w:bookmarkStart w:id="407" w:name="_Toc32072"/>
    </w:p>
    <w:bookmarkEnd w:id="407"/>
    <w:p>
      <w:pPr>
        <w:pStyle w:val="2"/>
      </w:pPr>
      <w:bookmarkStart w:id="408" w:name="_Toc215478664"/>
      <w:bookmarkStart w:id="409" w:name="_Toc1674491963"/>
      <w:r>
        <w:rPr>
          <w:rFonts w:hint="eastAsia"/>
        </w:rPr>
        <w:t xml:space="preserve">8 </w:t>
      </w:r>
      <w:r>
        <w:t>与国内外同类标准的对比情况</w:t>
      </w:r>
      <w:bookmarkEnd w:id="408"/>
      <w:bookmarkEnd w:id="409"/>
    </w:p>
    <w:p>
      <w:pPr>
        <w:pStyle w:val="3"/>
        <w:numPr>
          <w:ilvl w:val="0"/>
          <w:numId w:val="0"/>
        </w:numPr>
        <w:spacing w:line="416" w:lineRule="auto"/>
        <w:rPr>
          <w:rFonts w:eastAsia="黑体"/>
          <w:kern w:val="0"/>
          <w:sz w:val="32"/>
        </w:rPr>
      </w:pPr>
      <w:bookmarkStart w:id="410" w:name="_Toc215478665"/>
      <w:bookmarkStart w:id="411" w:name="_Toc119617014"/>
      <w:r>
        <w:rPr>
          <w:rFonts w:hint="eastAsia" w:eastAsia="黑体"/>
          <w:b w:val="0"/>
          <w:kern w:val="0"/>
          <w:sz w:val="32"/>
        </w:rPr>
        <w:t>8</w:t>
      </w:r>
      <w:r>
        <w:rPr>
          <w:rFonts w:eastAsia="黑体"/>
          <w:b w:val="0"/>
          <w:kern w:val="0"/>
          <w:sz w:val="32"/>
        </w:rPr>
        <w:t>.1 国内同类标准</w:t>
      </w:r>
      <w:bookmarkEnd w:id="410"/>
      <w:bookmarkEnd w:id="411"/>
    </w:p>
    <w:p>
      <w:pPr>
        <w:spacing w:line="360" w:lineRule="auto"/>
        <w:ind w:firstLine="480" w:firstLineChars="200"/>
        <w:rPr>
          <w:sz w:val="24"/>
        </w:rPr>
      </w:pPr>
      <w:r>
        <w:rPr>
          <w:sz w:val="24"/>
        </w:rPr>
        <w:t>近年来，为</w:t>
      </w:r>
      <w:r>
        <w:rPr>
          <w:rFonts w:hint="eastAsia"/>
          <w:sz w:val="24"/>
        </w:rPr>
        <w:t>加强</w:t>
      </w:r>
      <w:r>
        <w:rPr>
          <w:sz w:val="24"/>
        </w:rPr>
        <w:t>水污染治理，改善水生态环境，提升城乡人居环境质量，相关省市开展了黑臭水体监测活动。生态环境部于</w:t>
      </w:r>
      <w:r>
        <w:rPr>
          <w:rFonts w:hint="eastAsia"/>
          <w:sz w:val="24"/>
        </w:rPr>
        <w:t>2024年发布了</w:t>
      </w:r>
      <w:bookmarkStart w:id="412" w:name="OLE_LINK98"/>
      <w:bookmarkStart w:id="413" w:name="OLE_LINK99"/>
      <w:r>
        <w:rPr>
          <w:rFonts w:hint="eastAsia"/>
          <w:sz w:val="24"/>
        </w:rPr>
        <w:t>《饮用水水源地生态环境保护执法监管遥感调查技术规范》</w:t>
      </w:r>
      <w:bookmarkEnd w:id="412"/>
      <w:bookmarkEnd w:id="413"/>
      <w:r>
        <w:rPr>
          <w:rFonts w:hint="eastAsia"/>
          <w:sz w:val="24"/>
        </w:rPr>
        <w:t>，规定了利用卫星、无人机等遥感技术对饮用水水源地生态环境保护执法监管遥感调查的工作流程、数据准备、遥感解译、线索筛查、线索生成、成果归档等相关要求。河南省市场监督管理局于2023年发布了</w:t>
      </w:r>
      <w:bookmarkStart w:id="414" w:name="OLE_LINK101"/>
      <w:bookmarkStart w:id="415" w:name="OLE_LINK100"/>
      <w:r>
        <w:rPr>
          <w:rFonts w:hint="eastAsia"/>
          <w:sz w:val="24"/>
        </w:rPr>
        <w:t>《农村黑臭水体治理技术规范》</w:t>
      </w:r>
      <w:bookmarkEnd w:id="414"/>
      <w:bookmarkEnd w:id="415"/>
      <w:r>
        <w:rPr>
          <w:rFonts w:hint="eastAsia"/>
          <w:sz w:val="24"/>
        </w:rPr>
        <w:t>，规定了农村黑臭水体治理的总体要求、现状调查、污染治理、生态修复、管理维护及效果评估。佳木斯市市场监督管理局于2022年发布了</w:t>
      </w:r>
      <w:bookmarkStart w:id="416" w:name="OLE_LINK104"/>
      <w:r>
        <w:rPr>
          <w:rFonts w:hint="eastAsia"/>
          <w:sz w:val="24"/>
        </w:rPr>
        <w:t>《黑臭水体监测技术规范》</w:t>
      </w:r>
      <w:bookmarkEnd w:id="416"/>
      <w:r>
        <w:rPr>
          <w:rFonts w:hint="eastAsia"/>
          <w:sz w:val="24"/>
        </w:rPr>
        <w:t>，规定了黑臭水体监测点位布设，样品采集，样品保存、运输和流转，监测项目与分析方法，监测数据处理，质量保证与质量控制等技术要求。中国环境科学学会于2020年发布了《城市黑臭水体遥感监管技术规范》（</w:t>
      </w:r>
      <w:r>
        <w:rPr>
          <w:sz w:val="24"/>
        </w:rPr>
        <w:t>T/CSES 15</w:t>
      </w:r>
      <w:r>
        <w:rPr>
          <w:rFonts w:hint="eastAsia"/>
          <w:sz w:val="24"/>
        </w:rPr>
        <w:t>—</w:t>
      </w:r>
      <w:r>
        <w:rPr>
          <w:sz w:val="24"/>
        </w:rPr>
        <w:t>2020</w:t>
      </w:r>
      <w:r>
        <w:rPr>
          <w:rFonts w:hint="eastAsia"/>
          <w:sz w:val="24"/>
        </w:rPr>
        <w:t>），规定了城市黑臭水体遥感监管和质量控制要求。</w:t>
      </w:r>
    </w:p>
    <w:p>
      <w:pPr>
        <w:pStyle w:val="3"/>
        <w:numPr>
          <w:ilvl w:val="0"/>
          <w:numId w:val="0"/>
        </w:numPr>
        <w:spacing w:line="416" w:lineRule="auto"/>
        <w:rPr>
          <w:rFonts w:eastAsia="黑体"/>
          <w:kern w:val="0"/>
          <w:sz w:val="32"/>
        </w:rPr>
      </w:pPr>
      <w:bookmarkStart w:id="417" w:name="_Toc215478666"/>
      <w:bookmarkStart w:id="418" w:name="_Toc1939767354"/>
      <w:r>
        <w:rPr>
          <w:rFonts w:hint="eastAsia" w:eastAsia="黑体"/>
          <w:b w:val="0"/>
          <w:kern w:val="0"/>
          <w:sz w:val="32"/>
        </w:rPr>
        <w:t>8</w:t>
      </w:r>
      <w:r>
        <w:rPr>
          <w:rFonts w:eastAsia="黑体"/>
          <w:b w:val="0"/>
          <w:kern w:val="0"/>
          <w:sz w:val="32"/>
        </w:rPr>
        <w:t>.2 国外同类标准</w:t>
      </w:r>
      <w:bookmarkEnd w:id="417"/>
      <w:bookmarkEnd w:id="418"/>
    </w:p>
    <w:p>
      <w:pPr>
        <w:spacing w:line="360" w:lineRule="auto"/>
        <w:ind w:firstLine="480" w:firstLineChars="200"/>
        <w:rPr>
          <w:sz w:val="24"/>
          <w:szCs w:val="21"/>
        </w:rPr>
      </w:pPr>
      <w:r>
        <w:rPr>
          <w:sz w:val="24"/>
          <w:szCs w:val="21"/>
        </w:rPr>
        <w:t>目前，国外现行关于水体水质监测的标准主要有</w:t>
      </w:r>
      <w:r>
        <w:rPr>
          <w:rFonts w:hint="eastAsia"/>
          <w:sz w:val="24"/>
          <w:szCs w:val="21"/>
        </w:rPr>
        <w:t>3</w:t>
      </w:r>
      <w:r>
        <w:rPr>
          <w:sz w:val="24"/>
          <w:szCs w:val="21"/>
        </w:rPr>
        <w:t>个。英国于</w:t>
      </w:r>
      <w:r>
        <w:rPr>
          <w:rFonts w:hint="eastAsia"/>
          <w:sz w:val="24"/>
          <w:szCs w:val="21"/>
        </w:rPr>
        <w:t>2008年发布《</w:t>
      </w:r>
      <w:r>
        <w:rPr>
          <w:sz w:val="24"/>
          <w:szCs w:val="21"/>
        </w:rPr>
        <w:t>Water quality. Glossary. Additional terms relating to types of water, and treatment and storage of water and waste water, and terms used in sampling and analysis of water</w:t>
      </w:r>
      <w:r>
        <w:rPr>
          <w:rFonts w:hint="eastAsia"/>
          <w:sz w:val="24"/>
          <w:szCs w:val="21"/>
        </w:rPr>
        <w:t>》，规定了水质监测的相关术语</w:t>
      </w:r>
      <w:bookmarkStart w:id="419" w:name="OLE_LINK175"/>
      <w:bookmarkStart w:id="420" w:name="OLE_LINK174"/>
      <w:r>
        <w:rPr>
          <w:rFonts w:hint="eastAsia"/>
          <w:sz w:val="24"/>
          <w:szCs w:val="21"/>
        </w:rPr>
        <w:t>。德国于2008年发布《</w:t>
      </w:r>
      <w:r>
        <w:rPr>
          <w:sz w:val="24"/>
          <w:szCs w:val="21"/>
        </w:rPr>
        <w:t>German standard methods for the examination of water, waste water and sludge; general measures of eff</w:t>
      </w:r>
      <w:bookmarkStart w:id="421" w:name="OLE_LINK107"/>
      <w:bookmarkStart w:id="422" w:name="OLE_LINK108"/>
      <w:r>
        <w:rPr>
          <w:sz w:val="24"/>
          <w:szCs w:val="21"/>
        </w:rPr>
        <w:t>ects and substances (group H), determination of the settleable matter by mass concentration in water and waste water (H10)</w:t>
      </w:r>
      <w:bookmarkEnd w:id="421"/>
      <w:bookmarkEnd w:id="422"/>
      <w:r>
        <w:rPr>
          <w:rFonts w:hint="eastAsia"/>
          <w:sz w:val="24"/>
          <w:szCs w:val="21"/>
        </w:rPr>
        <w:t>》</w:t>
      </w:r>
      <w:bookmarkEnd w:id="419"/>
      <w:bookmarkEnd w:id="420"/>
      <w:r>
        <w:rPr>
          <w:rFonts w:hint="eastAsia"/>
          <w:sz w:val="24"/>
          <w:szCs w:val="21"/>
        </w:rPr>
        <w:t>和</w:t>
      </w:r>
      <w:bookmarkStart w:id="423" w:name="OLE_LINK109"/>
      <w:bookmarkStart w:id="424" w:name="OLE_LINK110"/>
      <w:r>
        <w:rPr>
          <w:rFonts w:hint="eastAsia"/>
          <w:sz w:val="24"/>
          <w:szCs w:val="21"/>
        </w:rPr>
        <w:t>《</w:t>
      </w:r>
      <w:r>
        <w:rPr>
          <w:sz w:val="24"/>
          <w:szCs w:val="21"/>
        </w:rPr>
        <w:t xml:space="preserve">German standard methods for the examination of water, waste water and sludge; physical-chemical parameters (group </w:t>
      </w:r>
      <w:bookmarkEnd w:id="423"/>
      <w:bookmarkEnd w:id="424"/>
      <w:r>
        <w:rPr>
          <w:sz w:val="24"/>
          <w:szCs w:val="21"/>
        </w:rPr>
        <w:t>C); determination of total alpha activity concentration in potable water, ground water and surface water (C 14)</w:t>
      </w:r>
      <w:r>
        <w:rPr>
          <w:rFonts w:hint="eastAsia"/>
          <w:sz w:val="24"/>
          <w:szCs w:val="21"/>
        </w:rPr>
        <w:t>》，规定了污水中物质的测定方法及理化参数参考值。以上标准适用于水质检测相关领域。</w:t>
      </w:r>
    </w:p>
    <w:p>
      <w:pPr>
        <w:spacing w:line="360" w:lineRule="auto"/>
        <w:ind w:firstLine="480" w:firstLineChars="200"/>
        <w:rPr>
          <w:sz w:val="24"/>
          <w:szCs w:val="21"/>
        </w:rPr>
      </w:pPr>
      <w:r>
        <w:rPr>
          <w:rFonts w:hint="eastAsia"/>
          <w:sz w:val="24"/>
          <w:szCs w:val="21"/>
        </w:rPr>
        <w:t>未查到遥感技术应用于农村小微水体污染监测的相关标准。</w:t>
      </w:r>
    </w:p>
    <w:p>
      <w:pPr>
        <w:pStyle w:val="3"/>
        <w:numPr>
          <w:ilvl w:val="0"/>
          <w:numId w:val="0"/>
        </w:numPr>
        <w:spacing w:line="416" w:lineRule="auto"/>
        <w:rPr>
          <w:rFonts w:eastAsia="黑体"/>
          <w:kern w:val="0"/>
          <w:sz w:val="32"/>
        </w:rPr>
      </w:pPr>
      <w:bookmarkStart w:id="425" w:name="_Toc215478667"/>
      <w:bookmarkStart w:id="426" w:name="_Toc804268351"/>
      <w:r>
        <w:rPr>
          <w:rFonts w:hint="eastAsia" w:eastAsia="黑体"/>
          <w:b w:val="0"/>
          <w:kern w:val="0"/>
          <w:sz w:val="32"/>
        </w:rPr>
        <w:t>8</w:t>
      </w:r>
      <w:r>
        <w:rPr>
          <w:rFonts w:eastAsia="黑体"/>
          <w:b w:val="0"/>
          <w:kern w:val="0"/>
          <w:sz w:val="32"/>
        </w:rPr>
        <w:t>.3 本标准与国内外同类标准的对比</w:t>
      </w:r>
      <w:bookmarkEnd w:id="425"/>
      <w:bookmarkEnd w:id="426"/>
    </w:p>
    <w:p>
      <w:pPr>
        <w:spacing w:line="360" w:lineRule="auto"/>
        <w:ind w:firstLine="480" w:firstLineChars="200"/>
        <w:rPr>
          <w:sz w:val="24"/>
          <w:szCs w:val="21"/>
        </w:rPr>
      </w:pPr>
      <w:r>
        <w:rPr>
          <w:sz w:val="24"/>
          <w:szCs w:val="21"/>
        </w:rPr>
        <w:t>本标准与上述标准的比较见表</w:t>
      </w:r>
      <w:r>
        <w:rPr>
          <w:rFonts w:hint="eastAsia"/>
          <w:sz w:val="24"/>
          <w:szCs w:val="21"/>
        </w:rPr>
        <w:t>11。本标准在适用范围、目的任务、遥感影像、监测/调查对象、监测/调查手段、监测/调查指标、成果应用等方面与已有标准存在较明显的差异。</w:t>
      </w:r>
    </w:p>
    <w:p>
      <w:pPr>
        <w:spacing w:line="360" w:lineRule="auto"/>
        <w:ind w:firstLine="480" w:firstLineChars="200"/>
        <w:rPr>
          <w:sz w:val="24"/>
          <w:szCs w:val="21"/>
        </w:rPr>
      </w:pPr>
      <w:r>
        <w:rPr>
          <w:rFonts w:hint="eastAsia"/>
          <w:b/>
          <w:sz w:val="24"/>
          <w:szCs w:val="21"/>
        </w:rPr>
        <w:t>适用范围：</w:t>
      </w:r>
      <w:r>
        <w:rPr>
          <w:rFonts w:hint="eastAsia"/>
          <w:sz w:val="24"/>
          <w:szCs w:val="21"/>
        </w:rPr>
        <w:t>本文件适用于农村的河流、沟渠、坑塘等线状或面状小微水体污染的监管</w:t>
      </w:r>
      <w:bookmarkStart w:id="427" w:name="OLE_LINK191"/>
      <w:r>
        <w:rPr>
          <w:rFonts w:hint="eastAsia"/>
          <w:sz w:val="24"/>
          <w:szCs w:val="21"/>
        </w:rPr>
        <w:t>，其他类型水体可参</w:t>
      </w:r>
      <w:bookmarkEnd w:id="427"/>
      <w:r>
        <w:rPr>
          <w:rFonts w:hint="eastAsia"/>
          <w:sz w:val="24"/>
          <w:szCs w:val="21"/>
        </w:rPr>
        <w:t>考执行。</w:t>
      </w:r>
      <w:r>
        <w:rPr>
          <w:rFonts w:hint="eastAsia"/>
          <w:b/>
          <w:sz w:val="24"/>
          <w:szCs w:val="21"/>
        </w:rPr>
        <w:t>目的任务：</w:t>
      </w:r>
      <w:r>
        <w:rPr>
          <w:rFonts w:hint="eastAsia"/>
          <w:sz w:val="24"/>
          <w:szCs w:val="21"/>
        </w:rPr>
        <w:t>本文件的制定是为了监测农村小微水体污染的变化情况，为管理部门开展农村小微水体污染治理提供清单线索，助力北京市实现农村小微水体污染动态清零。其他标准在监测范围、判别方式、监测指标等方面与本文件不同。</w:t>
      </w:r>
      <w:r>
        <w:rPr>
          <w:rFonts w:hint="eastAsia"/>
          <w:b/>
          <w:sz w:val="24"/>
          <w:szCs w:val="21"/>
        </w:rPr>
        <w:t>遥感影像：</w:t>
      </w:r>
      <w:r>
        <w:rPr>
          <w:rFonts w:hint="eastAsia"/>
          <w:sz w:val="24"/>
          <w:szCs w:val="21"/>
        </w:rPr>
        <w:t>本文件结合农村小微水体污染水域面积小、位置隐蔽等特征，宜选用亚米级遥感影像开展遥感解译工作，在提高解译精度方面表现更佳。</w:t>
      </w:r>
      <w:r>
        <w:rPr>
          <w:rFonts w:hint="eastAsia"/>
          <w:b/>
          <w:sz w:val="24"/>
          <w:szCs w:val="21"/>
        </w:rPr>
        <w:t>监测/调查对象：</w:t>
      </w:r>
      <w:r>
        <w:rPr>
          <w:rFonts w:hint="eastAsia"/>
          <w:sz w:val="24"/>
          <w:szCs w:val="21"/>
        </w:rPr>
        <w:t>本文件的监测对象是受污染的农村小微水体，相比国内外已有标准，本文件的监测对象覆盖类型更全面，具备更强的推广性与适用性。</w:t>
      </w:r>
      <w:r>
        <w:rPr>
          <w:rFonts w:hint="eastAsia"/>
          <w:b/>
          <w:sz w:val="24"/>
          <w:szCs w:val="21"/>
        </w:rPr>
        <w:t>监测/调查手段：</w:t>
      </w:r>
      <w:r>
        <w:rPr>
          <w:rFonts w:hint="eastAsia"/>
          <w:sz w:val="24"/>
          <w:szCs w:val="21"/>
        </w:rPr>
        <w:t>本文件规定采用</w:t>
      </w:r>
      <w:bookmarkStart w:id="428" w:name="OLE_LINK122"/>
      <w:r>
        <w:rPr>
          <w:rFonts w:hint="eastAsia"/>
          <w:sz w:val="24"/>
          <w:szCs w:val="21"/>
        </w:rPr>
        <w:t>遥</w:t>
      </w:r>
      <w:bookmarkEnd w:id="428"/>
      <w:r>
        <w:rPr>
          <w:rFonts w:hint="eastAsia"/>
          <w:sz w:val="24"/>
          <w:szCs w:val="21"/>
        </w:rPr>
        <w:t>感解译和现场调查相结合的方式开展农村小微水体污染遥感监测，能够为农村小微水体污染治理提供更为准确的线索。</w:t>
      </w:r>
      <w:r>
        <w:rPr>
          <w:rFonts w:hint="eastAsia"/>
          <w:b/>
          <w:sz w:val="24"/>
          <w:szCs w:val="21"/>
        </w:rPr>
        <w:t>监测/调查指标：</w:t>
      </w:r>
      <w:r>
        <w:rPr>
          <w:rFonts w:hint="eastAsia"/>
          <w:sz w:val="24"/>
          <w:szCs w:val="21"/>
        </w:rPr>
        <w:t>本文件中的监测指标囊括了农村小微水体的类型、颜色、面积，结合遥感影像上农村小微水体的周边情况判断疑似污染源，并结合现场调查确定具体信息，监测调查指标更为具体，可操作性更强。</w:t>
      </w:r>
      <w:r>
        <w:rPr>
          <w:rFonts w:hint="eastAsia"/>
          <w:b/>
          <w:sz w:val="24"/>
          <w:szCs w:val="21"/>
        </w:rPr>
        <w:t>成果应用：</w:t>
      </w:r>
      <w:r>
        <w:rPr>
          <w:rFonts w:hint="eastAsia"/>
          <w:sz w:val="24"/>
          <w:szCs w:val="21"/>
        </w:rPr>
        <w:t>本文件参考《农村黑臭水体治理工作指南》，编制相关报告，衔接管理政策和治理行动。</w:t>
      </w:r>
    </w:p>
    <w:p>
      <w:pPr>
        <w:spacing w:line="360" w:lineRule="auto"/>
        <w:ind w:firstLine="480" w:firstLineChars="200"/>
        <w:rPr>
          <w:sz w:val="24"/>
          <w:szCs w:val="21"/>
        </w:rPr>
        <w:sectPr>
          <w:footerReference r:id="rId7" w:type="default"/>
          <w:pgSz w:w="11906" w:h="16838"/>
          <w:pgMar w:top="1440" w:right="1803" w:bottom="1440" w:left="1803" w:header="851" w:footer="992" w:gutter="0"/>
          <w:pgNumType w:start="1"/>
          <w:cols w:space="0" w:num="1"/>
          <w:docGrid w:type="linesAndChars" w:linePitch="319" w:charSpace="0"/>
        </w:sectPr>
      </w:pPr>
    </w:p>
    <w:p>
      <w:pPr>
        <w:pStyle w:val="32"/>
        <w:spacing w:before="156" w:after="156"/>
        <w:ind w:firstLine="0" w:firstLineChars="0"/>
        <w:jc w:val="center"/>
        <w:rPr>
          <w:rFonts w:ascii="黑体" w:hAnsi="黑体" w:eastAsia="黑体"/>
          <w:color w:val="000000" w:themeColor="text1"/>
          <w14:textFill>
            <w14:solidFill>
              <w14:schemeClr w14:val="tx1"/>
            </w14:solidFill>
          </w14:textFill>
        </w:rPr>
      </w:pPr>
      <w:r>
        <w:rPr>
          <w:rFonts w:hint="eastAsia" w:ascii="黑体" w:hAnsi="黑体" w:eastAsia="黑体"/>
          <w:color w:val="000000" w:themeColor="text1"/>
          <w14:textFill>
            <w14:solidFill>
              <w14:schemeClr w14:val="tx1"/>
            </w14:solidFill>
          </w14:textFill>
        </w:rPr>
        <w:t>表11 本标准与国内外相关标准的对比</w:t>
      </w:r>
    </w:p>
    <w:tbl>
      <w:tblPr>
        <w:tblStyle w:val="1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660"/>
        <w:gridCol w:w="1276"/>
        <w:gridCol w:w="1378"/>
        <w:gridCol w:w="1772"/>
        <w:gridCol w:w="1772"/>
        <w:gridCol w:w="1772"/>
        <w:gridCol w:w="1772"/>
        <w:gridCol w:w="17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660" w:type="dxa"/>
          </w:tcPr>
          <w:p>
            <w:pPr>
              <w:spacing w:line="360" w:lineRule="auto"/>
              <w:jc w:val="center"/>
              <w:rPr>
                <w:b/>
                <w:szCs w:val="21"/>
              </w:rPr>
            </w:pPr>
            <w:bookmarkStart w:id="429" w:name="OLE_LINK1"/>
            <w:r>
              <w:rPr>
                <w:b/>
                <w:szCs w:val="21"/>
              </w:rPr>
              <w:t>对比指标</w:t>
            </w:r>
          </w:p>
        </w:tc>
        <w:tc>
          <w:tcPr>
            <w:tcW w:w="1276" w:type="dxa"/>
          </w:tcPr>
          <w:p>
            <w:pPr>
              <w:spacing w:line="360" w:lineRule="auto"/>
              <w:jc w:val="center"/>
              <w:rPr>
                <w:b/>
                <w:szCs w:val="21"/>
              </w:rPr>
            </w:pPr>
            <w:r>
              <w:rPr>
                <w:b/>
                <w:szCs w:val="21"/>
              </w:rPr>
              <w:t>适用范围</w:t>
            </w:r>
          </w:p>
        </w:tc>
        <w:tc>
          <w:tcPr>
            <w:tcW w:w="1378" w:type="dxa"/>
          </w:tcPr>
          <w:p>
            <w:pPr>
              <w:spacing w:line="360" w:lineRule="auto"/>
              <w:jc w:val="center"/>
              <w:rPr>
                <w:b/>
                <w:szCs w:val="21"/>
              </w:rPr>
            </w:pPr>
            <w:r>
              <w:rPr>
                <w:b/>
                <w:szCs w:val="21"/>
              </w:rPr>
              <w:t>目的任务</w:t>
            </w:r>
          </w:p>
        </w:tc>
        <w:tc>
          <w:tcPr>
            <w:tcW w:w="1772" w:type="dxa"/>
          </w:tcPr>
          <w:p>
            <w:pPr>
              <w:spacing w:line="360" w:lineRule="auto"/>
              <w:jc w:val="center"/>
              <w:rPr>
                <w:b/>
                <w:szCs w:val="21"/>
              </w:rPr>
            </w:pPr>
            <w:r>
              <w:rPr>
                <w:rFonts w:hint="eastAsia"/>
                <w:b/>
                <w:szCs w:val="21"/>
              </w:rPr>
              <w:t>遥感</w:t>
            </w:r>
            <w:r>
              <w:rPr>
                <w:b/>
                <w:szCs w:val="21"/>
              </w:rPr>
              <w:t>影像</w:t>
            </w:r>
          </w:p>
        </w:tc>
        <w:tc>
          <w:tcPr>
            <w:tcW w:w="1772" w:type="dxa"/>
          </w:tcPr>
          <w:p>
            <w:pPr>
              <w:spacing w:line="360" w:lineRule="auto"/>
              <w:jc w:val="center"/>
              <w:rPr>
                <w:b/>
                <w:szCs w:val="21"/>
              </w:rPr>
            </w:pPr>
            <w:r>
              <w:rPr>
                <w:b/>
                <w:szCs w:val="21"/>
              </w:rPr>
              <w:t>监测</w:t>
            </w:r>
            <w:r>
              <w:rPr>
                <w:rFonts w:hint="eastAsia"/>
                <w:b/>
                <w:szCs w:val="21"/>
              </w:rPr>
              <w:t>/调查对象</w:t>
            </w:r>
          </w:p>
        </w:tc>
        <w:tc>
          <w:tcPr>
            <w:tcW w:w="1772" w:type="dxa"/>
          </w:tcPr>
          <w:p>
            <w:pPr>
              <w:spacing w:line="360" w:lineRule="auto"/>
              <w:jc w:val="center"/>
              <w:rPr>
                <w:b/>
                <w:szCs w:val="21"/>
              </w:rPr>
            </w:pPr>
            <w:r>
              <w:rPr>
                <w:b/>
                <w:szCs w:val="21"/>
              </w:rPr>
              <w:t>监测</w:t>
            </w:r>
            <w:r>
              <w:rPr>
                <w:rFonts w:hint="eastAsia"/>
                <w:b/>
                <w:szCs w:val="21"/>
              </w:rPr>
              <w:t>/调查手段</w:t>
            </w:r>
          </w:p>
        </w:tc>
        <w:tc>
          <w:tcPr>
            <w:tcW w:w="1772" w:type="dxa"/>
          </w:tcPr>
          <w:p>
            <w:pPr>
              <w:spacing w:line="360" w:lineRule="auto"/>
              <w:jc w:val="center"/>
              <w:rPr>
                <w:b/>
                <w:szCs w:val="21"/>
              </w:rPr>
            </w:pPr>
            <w:r>
              <w:rPr>
                <w:b/>
                <w:szCs w:val="21"/>
              </w:rPr>
              <w:t>监测</w:t>
            </w:r>
            <w:r>
              <w:rPr>
                <w:rFonts w:hint="eastAsia"/>
                <w:b/>
                <w:szCs w:val="21"/>
              </w:rPr>
              <w:t>/调查指标</w:t>
            </w:r>
          </w:p>
        </w:tc>
        <w:tc>
          <w:tcPr>
            <w:tcW w:w="1772" w:type="dxa"/>
          </w:tcPr>
          <w:p>
            <w:pPr>
              <w:spacing w:line="360" w:lineRule="auto"/>
              <w:jc w:val="center"/>
              <w:rPr>
                <w:b/>
                <w:szCs w:val="21"/>
              </w:rPr>
            </w:pPr>
            <w:r>
              <w:rPr>
                <w:b/>
                <w:szCs w:val="21"/>
              </w:rPr>
              <w:t>成果应用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660" w:type="dxa"/>
            <w:vAlign w:val="center"/>
          </w:tcPr>
          <w:p>
            <w:pPr>
              <w:spacing w:line="360" w:lineRule="auto"/>
              <w:jc w:val="center"/>
              <w:rPr>
                <w:szCs w:val="21"/>
              </w:rPr>
            </w:pPr>
            <w:r>
              <w:rPr>
                <w:szCs w:val="21"/>
              </w:rPr>
              <w:t>本标准</w:t>
            </w:r>
          </w:p>
        </w:tc>
        <w:tc>
          <w:tcPr>
            <w:tcW w:w="1276" w:type="dxa"/>
            <w:vAlign w:val="center"/>
          </w:tcPr>
          <w:p>
            <w:pPr>
              <w:spacing w:line="360" w:lineRule="auto"/>
              <w:jc w:val="center"/>
              <w:rPr>
                <w:szCs w:val="21"/>
              </w:rPr>
            </w:pPr>
            <w:r>
              <w:rPr>
                <w:rFonts w:hint="eastAsia"/>
                <w:szCs w:val="21"/>
              </w:rPr>
              <w:t>农村受污染的小微水体</w:t>
            </w:r>
          </w:p>
        </w:tc>
        <w:tc>
          <w:tcPr>
            <w:tcW w:w="1378" w:type="dxa"/>
            <w:vAlign w:val="center"/>
          </w:tcPr>
          <w:p>
            <w:pPr>
              <w:spacing w:line="360" w:lineRule="auto"/>
              <w:jc w:val="center"/>
              <w:rPr>
                <w:szCs w:val="21"/>
              </w:rPr>
            </w:pPr>
            <w:r>
              <w:rPr>
                <w:szCs w:val="21"/>
              </w:rPr>
              <w:t>为农村小微水体污染治理提供清单线索</w:t>
            </w:r>
          </w:p>
        </w:tc>
        <w:tc>
          <w:tcPr>
            <w:tcW w:w="1772" w:type="dxa"/>
            <w:vAlign w:val="center"/>
          </w:tcPr>
          <w:p>
            <w:pPr>
              <w:spacing w:line="360" w:lineRule="auto"/>
              <w:jc w:val="center"/>
              <w:rPr>
                <w:szCs w:val="21"/>
              </w:rPr>
            </w:pPr>
            <w:r>
              <w:rPr>
                <w:szCs w:val="21"/>
              </w:rPr>
              <w:t>亚米级正射遥感影像</w:t>
            </w:r>
          </w:p>
        </w:tc>
        <w:tc>
          <w:tcPr>
            <w:tcW w:w="1772" w:type="dxa"/>
            <w:vAlign w:val="center"/>
          </w:tcPr>
          <w:p>
            <w:pPr>
              <w:spacing w:line="360" w:lineRule="auto"/>
              <w:jc w:val="center"/>
              <w:rPr>
                <w:szCs w:val="21"/>
              </w:rPr>
            </w:pPr>
            <w:r>
              <w:rPr>
                <w:rFonts w:hint="eastAsia"/>
                <w:szCs w:val="21"/>
              </w:rPr>
              <w:t>农村的河流、坑塘、沟渠等线状或面状小微水体污染</w:t>
            </w:r>
          </w:p>
        </w:tc>
        <w:tc>
          <w:tcPr>
            <w:tcW w:w="1772" w:type="dxa"/>
            <w:vAlign w:val="center"/>
          </w:tcPr>
          <w:p>
            <w:pPr>
              <w:spacing w:line="360" w:lineRule="auto"/>
              <w:jc w:val="center"/>
              <w:rPr>
                <w:szCs w:val="21"/>
              </w:rPr>
            </w:pPr>
            <w:r>
              <w:rPr>
                <w:szCs w:val="21"/>
              </w:rPr>
              <w:t>遥感解译结合现场调查</w:t>
            </w:r>
          </w:p>
        </w:tc>
        <w:tc>
          <w:tcPr>
            <w:tcW w:w="1772" w:type="dxa"/>
            <w:vAlign w:val="center"/>
          </w:tcPr>
          <w:p>
            <w:pPr>
              <w:spacing w:line="360" w:lineRule="auto"/>
              <w:jc w:val="center"/>
              <w:rPr>
                <w:szCs w:val="21"/>
              </w:rPr>
            </w:pPr>
            <w:r>
              <w:rPr>
                <w:szCs w:val="21"/>
              </w:rPr>
              <w:t>水体</w:t>
            </w:r>
            <w:r>
              <w:rPr>
                <w:rFonts w:hint="eastAsia"/>
                <w:szCs w:val="21"/>
              </w:rPr>
              <w:t>分类</w:t>
            </w:r>
            <w:r>
              <w:rPr>
                <w:szCs w:val="21"/>
              </w:rPr>
              <w:t>、颜色、面积、疑似污染源、透明度、溶解氧、氨氮</w:t>
            </w:r>
          </w:p>
        </w:tc>
        <w:tc>
          <w:tcPr>
            <w:tcW w:w="1772" w:type="dxa"/>
            <w:vAlign w:val="center"/>
          </w:tcPr>
          <w:p>
            <w:pPr>
              <w:spacing w:line="360" w:lineRule="auto"/>
              <w:jc w:val="center"/>
              <w:rPr>
                <w:szCs w:val="21"/>
              </w:rPr>
            </w:pPr>
            <w:r>
              <w:rPr>
                <w:szCs w:val="21"/>
              </w:rPr>
              <w:t>农村小微水体污染治理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660" w:type="dxa"/>
            <w:vAlign w:val="center"/>
          </w:tcPr>
          <w:p>
            <w:pPr>
              <w:spacing w:line="360" w:lineRule="auto"/>
              <w:jc w:val="center"/>
              <w:rPr>
                <w:szCs w:val="21"/>
              </w:rPr>
            </w:pPr>
            <w:r>
              <w:rPr>
                <w:szCs w:val="21"/>
              </w:rPr>
              <w:t>HJ</w:t>
            </w:r>
            <w:r>
              <w:rPr>
                <w:rFonts w:hint="eastAsia"/>
                <w:szCs w:val="21"/>
              </w:rPr>
              <w:t xml:space="preserve"> 1356—2024 《饮用水水源地生态环境保护执法监管遥感调查技术规范》</w:t>
            </w:r>
          </w:p>
        </w:tc>
        <w:tc>
          <w:tcPr>
            <w:tcW w:w="1276" w:type="dxa"/>
            <w:vAlign w:val="center"/>
          </w:tcPr>
          <w:p>
            <w:pPr>
              <w:spacing w:line="360" w:lineRule="auto"/>
              <w:jc w:val="center"/>
              <w:rPr>
                <w:szCs w:val="21"/>
              </w:rPr>
            </w:pPr>
            <w:r>
              <w:rPr>
                <w:rFonts w:hint="eastAsia"/>
                <w:szCs w:val="21"/>
              </w:rPr>
              <w:t>饮用水水源地生态环境保护遥感调查</w:t>
            </w:r>
          </w:p>
        </w:tc>
        <w:tc>
          <w:tcPr>
            <w:tcW w:w="1378" w:type="dxa"/>
            <w:vAlign w:val="center"/>
          </w:tcPr>
          <w:p>
            <w:pPr>
              <w:spacing w:line="360" w:lineRule="auto"/>
              <w:jc w:val="center"/>
              <w:rPr>
                <w:szCs w:val="21"/>
              </w:rPr>
            </w:pPr>
            <w:r>
              <w:rPr>
                <w:szCs w:val="21"/>
              </w:rPr>
              <w:t>生态环境保护执法监管</w:t>
            </w:r>
          </w:p>
        </w:tc>
        <w:tc>
          <w:tcPr>
            <w:tcW w:w="1772" w:type="dxa"/>
            <w:vAlign w:val="center"/>
          </w:tcPr>
          <w:p>
            <w:pPr>
              <w:spacing w:line="360" w:lineRule="auto"/>
              <w:jc w:val="center"/>
              <w:rPr>
                <w:szCs w:val="21"/>
              </w:rPr>
            </w:pPr>
            <w:r>
              <w:rPr>
                <w:szCs w:val="21"/>
              </w:rPr>
              <w:t>米级遥感影像</w:t>
            </w:r>
          </w:p>
        </w:tc>
        <w:tc>
          <w:tcPr>
            <w:tcW w:w="1772" w:type="dxa"/>
            <w:vAlign w:val="center"/>
          </w:tcPr>
          <w:p>
            <w:pPr>
              <w:spacing w:line="360" w:lineRule="auto"/>
              <w:jc w:val="center"/>
              <w:rPr>
                <w:szCs w:val="21"/>
              </w:rPr>
            </w:pPr>
            <w:r>
              <w:rPr>
                <w:szCs w:val="21"/>
              </w:rPr>
              <w:t>饮用水水源保护区</w:t>
            </w:r>
          </w:p>
        </w:tc>
        <w:tc>
          <w:tcPr>
            <w:tcW w:w="1772" w:type="dxa"/>
            <w:vAlign w:val="center"/>
          </w:tcPr>
          <w:p>
            <w:pPr>
              <w:spacing w:line="360" w:lineRule="auto"/>
              <w:jc w:val="center"/>
              <w:rPr>
                <w:szCs w:val="21"/>
              </w:rPr>
            </w:pPr>
            <w:r>
              <w:rPr>
                <w:szCs w:val="21"/>
              </w:rPr>
              <w:t>遥感目视解译、自动识别</w:t>
            </w:r>
          </w:p>
        </w:tc>
        <w:tc>
          <w:tcPr>
            <w:tcW w:w="1772" w:type="dxa"/>
            <w:vAlign w:val="center"/>
          </w:tcPr>
          <w:p>
            <w:pPr>
              <w:spacing w:line="360" w:lineRule="auto"/>
              <w:jc w:val="center"/>
              <w:rPr>
                <w:szCs w:val="21"/>
              </w:rPr>
            </w:pPr>
            <w:r>
              <w:rPr>
                <w:szCs w:val="21"/>
              </w:rPr>
              <w:t>颜色、色调、纹理、形状、大小、阴影、图案、位置、布局</w:t>
            </w:r>
          </w:p>
        </w:tc>
        <w:tc>
          <w:tcPr>
            <w:tcW w:w="1772" w:type="dxa"/>
            <w:vAlign w:val="center"/>
          </w:tcPr>
          <w:p>
            <w:pPr>
              <w:spacing w:line="360" w:lineRule="auto"/>
              <w:jc w:val="center"/>
              <w:rPr>
                <w:szCs w:val="21"/>
              </w:rPr>
            </w:pPr>
            <w:r>
              <w:rPr>
                <w:szCs w:val="21"/>
              </w:rPr>
              <w:t>执法监管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2660" w:type="dxa"/>
            <w:vAlign w:val="center"/>
          </w:tcPr>
          <w:p>
            <w:pPr>
              <w:spacing w:line="360" w:lineRule="auto"/>
              <w:jc w:val="center"/>
              <w:rPr>
                <w:szCs w:val="21"/>
              </w:rPr>
            </w:pPr>
            <w:bookmarkStart w:id="430" w:name="OLE_LINK42"/>
            <w:r>
              <w:rPr>
                <w:szCs w:val="21"/>
              </w:rPr>
              <w:t>DB</w:t>
            </w:r>
            <w:r>
              <w:rPr>
                <w:rFonts w:hint="eastAsia"/>
                <w:szCs w:val="21"/>
              </w:rPr>
              <w:t>41/T 60002—2023</w:t>
            </w:r>
            <w:bookmarkEnd w:id="430"/>
            <w:r>
              <w:rPr>
                <w:rFonts w:hint="eastAsia"/>
                <w:szCs w:val="21"/>
              </w:rPr>
              <w:t xml:space="preserve"> 《农村黑臭水体治理技术规范》</w:t>
            </w:r>
          </w:p>
        </w:tc>
        <w:tc>
          <w:tcPr>
            <w:tcW w:w="1276" w:type="dxa"/>
            <w:vAlign w:val="center"/>
          </w:tcPr>
          <w:p>
            <w:pPr>
              <w:spacing w:line="360" w:lineRule="auto"/>
              <w:jc w:val="center"/>
              <w:rPr>
                <w:szCs w:val="21"/>
              </w:rPr>
            </w:pPr>
            <w:r>
              <w:rPr>
                <w:szCs w:val="21"/>
              </w:rPr>
              <w:t>中部六省农村黑臭水体治理工作</w:t>
            </w:r>
          </w:p>
        </w:tc>
        <w:tc>
          <w:tcPr>
            <w:tcW w:w="1378" w:type="dxa"/>
            <w:vAlign w:val="center"/>
          </w:tcPr>
          <w:p>
            <w:pPr>
              <w:spacing w:line="360" w:lineRule="auto"/>
              <w:jc w:val="center"/>
              <w:rPr>
                <w:szCs w:val="21"/>
              </w:rPr>
            </w:pPr>
            <w:bookmarkStart w:id="431" w:name="OLE_LINK102"/>
            <w:bookmarkStart w:id="432" w:name="OLE_LINK103"/>
            <w:r>
              <w:rPr>
                <w:szCs w:val="21"/>
              </w:rPr>
              <w:t>黑臭水体治理</w:t>
            </w:r>
            <w:bookmarkEnd w:id="431"/>
            <w:bookmarkEnd w:id="432"/>
          </w:p>
        </w:tc>
        <w:tc>
          <w:tcPr>
            <w:tcW w:w="1772" w:type="dxa"/>
            <w:vAlign w:val="center"/>
          </w:tcPr>
          <w:p>
            <w:pPr>
              <w:spacing w:line="360" w:lineRule="auto"/>
              <w:jc w:val="center"/>
              <w:rPr>
                <w:szCs w:val="21"/>
              </w:rPr>
            </w:pPr>
            <w:r>
              <w:rPr>
                <w:szCs w:val="21"/>
              </w:rPr>
              <w:t>——</w:t>
            </w:r>
          </w:p>
        </w:tc>
        <w:tc>
          <w:tcPr>
            <w:tcW w:w="1772" w:type="dxa"/>
            <w:vAlign w:val="center"/>
          </w:tcPr>
          <w:p>
            <w:pPr>
              <w:spacing w:line="360" w:lineRule="auto"/>
              <w:jc w:val="center"/>
              <w:rPr>
                <w:szCs w:val="21"/>
              </w:rPr>
            </w:pPr>
            <w:r>
              <w:rPr>
                <w:szCs w:val="21"/>
              </w:rPr>
              <w:t>——</w:t>
            </w:r>
          </w:p>
        </w:tc>
        <w:tc>
          <w:tcPr>
            <w:tcW w:w="1772" w:type="dxa"/>
            <w:vAlign w:val="center"/>
          </w:tcPr>
          <w:p>
            <w:pPr>
              <w:spacing w:line="360" w:lineRule="auto"/>
              <w:jc w:val="center"/>
              <w:rPr>
                <w:szCs w:val="21"/>
              </w:rPr>
            </w:pPr>
            <w:r>
              <w:rPr>
                <w:szCs w:val="21"/>
              </w:rPr>
              <w:t>——</w:t>
            </w:r>
          </w:p>
        </w:tc>
        <w:tc>
          <w:tcPr>
            <w:tcW w:w="1772" w:type="dxa"/>
            <w:vAlign w:val="center"/>
          </w:tcPr>
          <w:p>
            <w:pPr>
              <w:spacing w:line="360" w:lineRule="auto"/>
              <w:jc w:val="center"/>
              <w:rPr>
                <w:szCs w:val="21"/>
              </w:rPr>
            </w:pPr>
            <w:r>
              <w:rPr>
                <w:szCs w:val="21"/>
              </w:rPr>
              <w:t>透明度、溶解氧、氨氮</w:t>
            </w:r>
          </w:p>
        </w:tc>
        <w:tc>
          <w:tcPr>
            <w:tcW w:w="1772" w:type="dxa"/>
            <w:vAlign w:val="center"/>
          </w:tcPr>
          <w:p>
            <w:pPr>
              <w:spacing w:line="360" w:lineRule="auto"/>
              <w:jc w:val="center"/>
              <w:rPr>
                <w:szCs w:val="21"/>
              </w:rPr>
            </w:pPr>
            <w:r>
              <w:rPr>
                <w:szCs w:val="21"/>
              </w:rPr>
              <w:t>黑臭水体治理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660" w:type="dxa"/>
            <w:vAlign w:val="center"/>
          </w:tcPr>
          <w:p>
            <w:pPr>
              <w:spacing w:line="360" w:lineRule="auto"/>
              <w:jc w:val="center"/>
              <w:rPr>
                <w:szCs w:val="21"/>
              </w:rPr>
            </w:pPr>
            <w:bookmarkStart w:id="433" w:name="OLE_LINK43"/>
            <w:r>
              <w:rPr>
                <w:szCs w:val="21"/>
              </w:rPr>
              <w:t>DB</w:t>
            </w:r>
            <w:r>
              <w:rPr>
                <w:rFonts w:hint="eastAsia"/>
                <w:szCs w:val="21"/>
              </w:rPr>
              <w:t>2308/T 110—2022</w:t>
            </w:r>
            <w:bookmarkEnd w:id="433"/>
            <w:r>
              <w:rPr>
                <w:rFonts w:hint="eastAsia"/>
                <w:szCs w:val="21"/>
              </w:rPr>
              <w:t xml:space="preserve"> 《黑臭水体监测技术规范》</w:t>
            </w:r>
          </w:p>
        </w:tc>
        <w:tc>
          <w:tcPr>
            <w:tcW w:w="1276" w:type="dxa"/>
            <w:vAlign w:val="center"/>
          </w:tcPr>
          <w:p>
            <w:pPr>
              <w:spacing w:line="360" w:lineRule="auto"/>
              <w:jc w:val="center"/>
              <w:rPr>
                <w:szCs w:val="21"/>
              </w:rPr>
            </w:pPr>
            <w:r>
              <w:rPr>
                <w:szCs w:val="21"/>
              </w:rPr>
              <w:t>黑臭水体监测</w:t>
            </w:r>
          </w:p>
        </w:tc>
        <w:tc>
          <w:tcPr>
            <w:tcW w:w="1378" w:type="dxa"/>
            <w:vAlign w:val="center"/>
          </w:tcPr>
          <w:p>
            <w:pPr>
              <w:spacing w:line="360" w:lineRule="auto"/>
              <w:jc w:val="center"/>
              <w:rPr>
                <w:szCs w:val="21"/>
              </w:rPr>
            </w:pPr>
            <w:r>
              <w:rPr>
                <w:szCs w:val="21"/>
              </w:rPr>
              <w:t>黑臭水体监测</w:t>
            </w:r>
          </w:p>
        </w:tc>
        <w:tc>
          <w:tcPr>
            <w:tcW w:w="1772" w:type="dxa"/>
            <w:vAlign w:val="center"/>
          </w:tcPr>
          <w:p>
            <w:pPr>
              <w:spacing w:line="360" w:lineRule="auto"/>
              <w:jc w:val="center"/>
              <w:rPr>
                <w:szCs w:val="21"/>
              </w:rPr>
            </w:pPr>
            <w:r>
              <w:rPr>
                <w:szCs w:val="21"/>
              </w:rPr>
              <w:t>——</w:t>
            </w:r>
          </w:p>
        </w:tc>
        <w:tc>
          <w:tcPr>
            <w:tcW w:w="1772" w:type="dxa"/>
            <w:vAlign w:val="center"/>
          </w:tcPr>
          <w:p>
            <w:pPr>
              <w:spacing w:line="360" w:lineRule="auto"/>
              <w:jc w:val="center"/>
              <w:rPr>
                <w:szCs w:val="21"/>
              </w:rPr>
            </w:pPr>
            <w:r>
              <w:rPr>
                <w:szCs w:val="21"/>
              </w:rPr>
              <w:t>黑臭水体</w:t>
            </w:r>
          </w:p>
        </w:tc>
        <w:tc>
          <w:tcPr>
            <w:tcW w:w="1772" w:type="dxa"/>
            <w:vAlign w:val="center"/>
          </w:tcPr>
          <w:p>
            <w:pPr>
              <w:spacing w:line="360" w:lineRule="auto"/>
              <w:jc w:val="center"/>
              <w:rPr>
                <w:szCs w:val="21"/>
              </w:rPr>
            </w:pPr>
            <w:r>
              <w:rPr>
                <w:szCs w:val="21"/>
              </w:rPr>
              <w:t>采样、分析</w:t>
            </w:r>
          </w:p>
        </w:tc>
        <w:tc>
          <w:tcPr>
            <w:tcW w:w="1772" w:type="dxa"/>
            <w:vAlign w:val="center"/>
          </w:tcPr>
          <w:p>
            <w:pPr>
              <w:spacing w:line="360" w:lineRule="auto"/>
              <w:jc w:val="center"/>
              <w:rPr>
                <w:szCs w:val="21"/>
              </w:rPr>
            </w:pPr>
            <w:r>
              <w:rPr>
                <w:szCs w:val="21"/>
              </w:rPr>
              <w:t>氧化还原电位、溶解氧、透明度、氨氮</w:t>
            </w:r>
          </w:p>
        </w:tc>
        <w:tc>
          <w:tcPr>
            <w:tcW w:w="1772" w:type="dxa"/>
            <w:vAlign w:val="center"/>
          </w:tcPr>
          <w:p>
            <w:pPr>
              <w:spacing w:line="360" w:lineRule="auto"/>
              <w:jc w:val="center"/>
              <w:rPr>
                <w:szCs w:val="21"/>
              </w:rPr>
            </w:pPr>
            <w:r>
              <w:rPr>
                <w:szCs w:val="21"/>
              </w:rPr>
              <w:t>水质监测</w:t>
            </w:r>
          </w:p>
          <w:p>
            <w:pPr>
              <w:spacing w:line="360" w:lineRule="auto"/>
              <w:jc w:val="center"/>
              <w:rPr>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660" w:type="dxa"/>
            <w:vAlign w:val="center"/>
          </w:tcPr>
          <w:p>
            <w:pPr>
              <w:spacing w:line="360" w:lineRule="auto"/>
              <w:jc w:val="center"/>
              <w:rPr>
                <w:szCs w:val="21"/>
              </w:rPr>
            </w:pPr>
            <w:r>
              <w:rPr>
                <w:szCs w:val="21"/>
              </w:rPr>
              <w:t>T/CSES</w:t>
            </w:r>
            <w:r>
              <w:rPr>
                <w:rFonts w:hint="eastAsia"/>
                <w:szCs w:val="21"/>
              </w:rPr>
              <w:t xml:space="preserve"> 15—2020 《城市黑臭水体遥感监测技术规范》</w:t>
            </w:r>
          </w:p>
        </w:tc>
        <w:tc>
          <w:tcPr>
            <w:tcW w:w="1276" w:type="dxa"/>
            <w:vAlign w:val="center"/>
          </w:tcPr>
          <w:p>
            <w:pPr>
              <w:spacing w:line="360" w:lineRule="auto"/>
              <w:jc w:val="center"/>
              <w:rPr>
                <w:szCs w:val="21"/>
              </w:rPr>
            </w:pPr>
            <w:r>
              <w:rPr>
                <w:rFonts w:hint="eastAsia"/>
                <w:szCs w:val="21"/>
              </w:rPr>
              <w:t>基于遥感影像可提取的城市黑臭水体的监测、识别与管理</w:t>
            </w:r>
          </w:p>
        </w:tc>
        <w:tc>
          <w:tcPr>
            <w:tcW w:w="1378" w:type="dxa"/>
            <w:vAlign w:val="center"/>
          </w:tcPr>
          <w:p>
            <w:pPr>
              <w:spacing w:line="360" w:lineRule="auto"/>
              <w:jc w:val="center"/>
              <w:rPr>
                <w:szCs w:val="21"/>
              </w:rPr>
            </w:pPr>
            <w:r>
              <w:rPr>
                <w:szCs w:val="21"/>
              </w:rPr>
              <w:t>城市黑臭水体监管</w:t>
            </w:r>
          </w:p>
        </w:tc>
        <w:tc>
          <w:tcPr>
            <w:tcW w:w="1772" w:type="dxa"/>
            <w:vAlign w:val="center"/>
          </w:tcPr>
          <w:p>
            <w:pPr>
              <w:spacing w:line="360" w:lineRule="auto"/>
              <w:jc w:val="center"/>
              <w:rPr>
                <w:szCs w:val="21"/>
              </w:rPr>
            </w:pPr>
            <w:r>
              <w:rPr>
                <w:szCs w:val="21"/>
              </w:rPr>
              <w:t>高分辨率</w:t>
            </w:r>
            <w:r>
              <w:rPr>
                <w:rFonts w:hint="eastAsia"/>
                <w:szCs w:val="21"/>
              </w:rPr>
              <w:t>遥感影像</w:t>
            </w:r>
          </w:p>
        </w:tc>
        <w:tc>
          <w:tcPr>
            <w:tcW w:w="1772" w:type="dxa"/>
            <w:vAlign w:val="center"/>
          </w:tcPr>
          <w:p>
            <w:pPr>
              <w:spacing w:line="360" w:lineRule="auto"/>
              <w:jc w:val="center"/>
              <w:rPr>
                <w:szCs w:val="21"/>
              </w:rPr>
            </w:pPr>
            <w:r>
              <w:rPr>
                <w:szCs w:val="21"/>
              </w:rPr>
              <w:t>城市黑臭水体</w:t>
            </w:r>
          </w:p>
        </w:tc>
        <w:tc>
          <w:tcPr>
            <w:tcW w:w="1772" w:type="dxa"/>
            <w:vAlign w:val="center"/>
          </w:tcPr>
          <w:p>
            <w:pPr>
              <w:spacing w:line="360" w:lineRule="auto"/>
              <w:jc w:val="center"/>
              <w:rPr>
                <w:szCs w:val="21"/>
              </w:rPr>
            </w:pPr>
            <w:r>
              <w:rPr>
                <w:szCs w:val="21"/>
              </w:rPr>
              <w:t>遥感目视解译、自动识别结合野外验证</w:t>
            </w:r>
          </w:p>
        </w:tc>
        <w:tc>
          <w:tcPr>
            <w:tcW w:w="1772" w:type="dxa"/>
            <w:vAlign w:val="center"/>
          </w:tcPr>
          <w:p>
            <w:pPr>
              <w:spacing w:line="360" w:lineRule="auto"/>
              <w:jc w:val="center"/>
              <w:rPr>
                <w:szCs w:val="21"/>
              </w:rPr>
            </w:pPr>
            <w:r>
              <w:rPr>
                <w:rFonts w:hint="eastAsia"/>
                <w:szCs w:val="21"/>
              </w:rPr>
              <w:t>波段反射率组合指数、经纬度、河宽、水深、水温</w:t>
            </w:r>
          </w:p>
        </w:tc>
        <w:tc>
          <w:tcPr>
            <w:tcW w:w="1772" w:type="dxa"/>
            <w:vAlign w:val="center"/>
          </w:tcPr>
          <w:p>
            <w:pPr>
              <w:spacing w:line="360" w:lineRule="auto"/>
              <w:jc w:val="center"/>
              <w:rPr>
                <w:szCs w:val="21"/>
              </w:rPr>
            </w:pPr>
            <w:r>
              <w:rPr>
                <w:szCs w:val="21"/>
              </w:rPr>
              <w:t>城市黑臭水体监管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jc w:val="center"/>
        </w:trPr>
        <w:tc>
          <w:tcPr>
            <w:tcW w:w="2660" w:type="dxa"/>
            <w:vAlign w:val="center"/>
          </w:tcPr>
          <w:p>
            <w:pPr>
              <w:spacing w:line="360" w:lineRule="auto"/>
              <w:jc w:val="center"/>
              <w:rPr>
                <w:szCs w:val="21"/>
              </w:rPr>
            </w:pPr>
            <w:bookmarkStart w:id="434" w:name="OLE_LINK45"/>
            <w:bookmarkStart w:id="435" w:name="OLE_LINK44"/>
            <w:r>
              <w:rPr>
                <w:szCs w:val="21"/>
              </w:rPr>
              <w:t xml:space="preserve">BS 6068 </w:t>
            </w:r>
            <w:bookmarkEnd w:id="434"/>
            <w:bookmarkEnd w:id="435"/>
            <w:r>
              <w:rPr>
                <w:rFonts w:hint="eastAsia"/>
                <w:szCs w:val="21"/>
              </w:rPr>
              <w:t>1.2 《Water Quality Part1: Hlossary Section 1.2: Additional Terms Relating to Types of Water, and Treatment and Storage of Water and Waste Water, and Terms Used in Sampling and Analysis of Watter》</w:t>
            </w:r>
          </w:p>
        </w:tc>
        <w:tc>
          <w:tcPr>
            <w:tcW w:w="1276" w:type="dxa"/>
            <w:vAlign w:val="center"/>
          </w:tcPr>
          <w:p>
            <w:pPr>
              <w:spacing w:line="360" w:lineRule="auto"/>
              <w:jc w:val="center"/>
              <w:rPr>
                <w:szCs w:val="21"/>
              </w:rPr>
            </w:pPr>
            <w:r>
              <w:rPr>
                <w:rFonts w:hint="eastAsia"/>
                <w:szCs w:val="21"/>
              </w:rPr>
              <w:t>水的种类区分</w:t>
            </w:r>
          </w:p>
        </w:tc>
        <w:tc>
          <w:tcPr>
            <w:tcW w:w="1378" w:type="dxa"/>
            <w:vAlign w:val="center"/>
          </w:tcPr>
          <w:p>
            <w:pPr>
              <w:spacing w:line="360" w:lineRule="auto"/>
              <w:jc w:val="center"/>
              <w:rPr>
                <w:szCs w:val="21"/>
              </w:rPr>
            </w:pPr>
            <w:r>
              <w:rPr>
                <w:szCs w:val="21"/>
              </w:rPr>
              <w:t>区分水的种类</w:t>
            </w:r>
          </w:p>
        </w:tc>
        <w:tc>
          <w:tcPr>
            <w:tcW w:w="1772" w:type="dxa"/>
            <w:vAlign w:val="center"/>
          </w:tcPr>
          <w:p>
            <w:pPr>
              <w:spacing w:line="360" w:lineRule="auto"/>
              <w:jc w:val="center"/>
              <w:rPr>
                <w:szCs w:val="21"/>
              </w:rPr>
            </w:pPr>
            <w:r>
              <w:rPr>
                <w:szCs w:val="21"/>
              </w:rPr>
              <w:t>——</w:t>
            </w:r>
          </w:p>
        </w:tc>
        <w:tc>
          <w:tcPr>
            <w:tcW w:w="1772" w:type="dxa"/>
            <w:vAlign w:val="center"/>
          </w:tcPr>
          <w:p>
            <w:pPr>
              <w:spacing w:line="360" w:lineRule="auto"/>
              <w:jc w:val="center"/>
              <w:rPr>
                <w:szCs w:val="21"/>
              </w:rPr>
            </w:pPr>
            <w:r>
              <w:rPr>
                <w:szCs w:val="21"/>
              </w:rPr>
              <w:t>——</w:t>
            </w:r>
          </w:p>
        </w:tc>
        <w:tc>
          <w:tcPr>
            <w:tcW w:w="1772" w:type="dxa"/>
            <w:vAlign w:val="center"/>
          </w:tcPr>
          <w:p>
            <w:pPr>
              <w:spacing w:line="360" w:lineRule="auto"/>
              <w:jc w:val="center"/>
              <w:rPr>
                <w:szCs w:val="21"/>
              </w:rPr>
            </w:pPr>
            <w:r>
              <w:rPr>
                <w:szCs w:val="21"/>
              </w:rPr>
              <w:t>——</w:t>
            </w:r>
          </w:p>
        </w:tc>
        <w:tc>
          <w:tcPr>
            <w:tcW w:w="1772" w:type="dxa"/>
            <w:vAlign w:val="center"/>
          </w:tcPr>
          <w:p>
            <w:pPr>
              <w:spacing w:line="360" w:lineRule="auto"/>
              <w:jc w:val="center"/>
              <w:rPr>
                <w:szCs w:val="21"/>
              </w:rPr>
            </w:pPr>
            <w:r>
              <w:rPr>
                <w:rFonts w:hint="eastAsia"/>
                <w:szCs w:val="21"/>
              </w:rPr>
              <w:t>——</w:t>
            </w:r>
          </w:p>
        </w:tc>
        <w:tc>
          <w:tcPr>
            <w:tcW w:w="1772" w:type="dxa"/>
            <w:vAlign w:val="center"/>
          </w:tcPr>
          <w:p>
            <w:pPr>
              <w:spacing w:line="360" w:lineRule="auto"/>
              <w:jc w:val="center"/>
              <w:rPr>
                <w:szCs w:val="21"/>
              </w:rPr>
            </w:pPr>
            <w:r>
              <w:rPr>
                <w:szCs w:val="21"/>
              </w:rPr>
              <w:t>为水的种类区分提供参考标准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blHeader/>
          <w:jc w:val="center"/>
        </w:trPr>
        <w:tc>
          <w:tcPr>
            <w:tcW w:w="2660" w:type="dxa"/>
            <w:vAlign w:val="center"/>
          </w:tcPr>
          <w:p>
            <w:pPr>
              <w:spacing w:line="360" w:lineRule="auto"/>
              <w:jc w:val="center"/>
              <w:rPr>
                <w:szCs w:val="21"/>
              </w:rPr>
            </w:pPr>
            <w:r>
              <w:rPr>
                <w:szCs w:val="21"/>
              </w:rPr>
              <w:t>DIN 38409-10-1980</w:t>
            </w:r>
            <w:r>
              <w:rPr>
                <w:rFonts w:hint="eastAsia"/>
                <w:szCs w:val="21"/>
              </w:rPr>
              <w:t xml:space="preserve"> 《</w:t>
            </w:r>
            <w:r>
              <w:rPr>
                <w:szCs w:val="21"/>
              </w:rPr>
              <w:t>German standard methods for the examination of water, waste water and sludge; general measures of effects and substances (group H), determination of the settleable matter by mass concentration in water and waste water (H10)</w:t>
            </w:r>
            <w:r>
              <w:rPr>
                <w:rFonts w:hint="eastAsia"/>
                <w:szCs w:val="21"/>
              </w:rPr>
              <w:t>》</w:t>
            </w:r>
          </w:p>
        </w:tc>
        <w:tc>
          <w:tcPr>
            <w:tcW w:w="1276" w:type="dxa"/>
            <w:vAlign w:val="center"/>
          </w:tcPr>
          <w:p>
            <w:pPr>
              <w:spacing w:line="360" w:lineRule="auto"/>
              <w:jc w:val="center"/>
              <w:rPr>
                <w:szCs w:val="21"/>
              </w:rPr>
            </w:pPr>
            <w:r>
              <w:rPr>
                <w:rFonts w:hint="eastAsia"/>
                <w:szCs w:val="21"/>
              </w:rPr>
              <w:t>水质检验</w:t>
            </w:r>
          </w:p>
        </w:tc>
        <w:tc>
          <w:tcPr>
            <w:tcW w:w="1378" w:type="dxa"/>
            <w:vAlign w:val="center"/>
          </w:tcPr>
          <w:p>
            <w:pPr>
              <w:spacing w:line="360" w:lineRule="auto"/>
              <w:jc w:val="center"/>
              <w:rPr>
                <w:szCs w:val="21"/>
              </w:rPr>
            </w:pPr>
            <w:r>
              <w:rPr>
                <w:szCs w:val="21"/>
              </w:rPr>
              <w:t>监测水质变化</w:t>
            </w:r>
          </w:p>
        </w:tc>
        <w:tc>
          <w:tcPr>
            <w:tcW w:w="1772" w:type="dxa"/>
            <w:vAlign w:val="center"/>
          </w:tcPr>
          <w:p>
            <w:pPr>
              <w:spacing w:line="360" w:lineRule="auto"/>
              <w:jc w:val="center"/>
              <w:rPr>
                <w:szCs w:val="21"/>
              </w:rPr>
            </w:pPr>
            <w:r>
              <w:rPr>
                <w:szCs w:val="21"/>
              </w:rPr>
              <w:t>——</w:t>
            </w:r>
          </w:p>
        </w:tc>
        <w:tc>
          <w:tcPr>
            <w:tcW w:w="1772" w:type="dxa"/>
            <w:vAlign w:val="center"/>
          </w:tcPr>
          <w:p>
            <w:pPr>
              <w:spacing w:line="360" w:lineRule="auto"/>
              <w:jc w:val="center"/>
              <w:rPr>
                <w:szCs w:val="21"/>
              </w:rPr>
            </w:pPr>
            <w:r>
              <w:rPr>
                <w:szCs w:val="21"/>
              </w:rPr>
              <w:t>——</w:t>
            </w:r>
          </w:p>
        </w:tc>
        <w:tc>
          <w:tcPr>
            <w:tcW w:w="1772" w:type="dxa"/>
            <w:vAlign w:val="center"/>
          </w:tcPr>
          <w:p>
            <w:pPr>
              <w:spacing w:line="360" w:lineRule="auto"/>
              <w:jc w:val="center"/>
              <w:rPr>
                <w:szCs w:val="21"/>
              </w:rPr>
            </w:pPr>
            <w:r>
              <w:rPr>
                <w:szCs w:val="21"/>
              </w:rPr>
              <w:t>——</w:t>
            </w:r>
          </w:p>
        </w:tc>
        <w:tc>
          <w:tcPr>
            <w:tcW w:w="1772" w:type="dxa"/>
            <w:vAlign w:val="center"/>
          </w:tcPr>
          <w:p>
            <w:pPr>
              <w:spacing w:line="360" w:lineRule="auto"/>
              <w:jc w:val="center"/>
              <w:rPr>
                <w:szCs w:val="21"/>
              </w:rPr>
            </w:pPr>
            <w:r>
              <w:rPr>
                <w:rFonts w:hint="eastAsia"/>
                <w:szCs w:val="21"/>
              </w:rPr>
              <w:t>水质理化指标</w:t>
            </w:r>
          </w:p>
        </w:tc>
        <w:tc>
          <w:tcPr>
            <w:tcW w:w="1772" w:type="dxa"/>
            <w:vAlign w:val="center"/>
          </w:tcPr>
          <w:p>
            <w:pPr>
              <w:spacing w:line="360" w:lineRule="auto"/>
              <w:jc w:val="center"/>
              <w:rPr>
                <w:szCs w:val="21"/>
              </w:rPr>
            </w:pPr>
            <w:r>
              <w:rPr>
                <w:szCs w:val="21"/>
              </w:rPr>
              <w:t>水环境保护</w:t>
            </w:r>
          </w:p>
        </w:tc>
      </w:tr>
      <w:bookmarkEnd w:id="429"/>
    </w:tbl>
    <w:p>
      <w:pPr>
        <w:spacing w:line="360" w:lineRule="auto"/>
        <w:ind w:firstLine="480" w:firstLineChars="200"/>
        <w:rPr>
          <w:sz w:val="24"/>
          <w:szCs w:val="21"/>
        </w:rPr>
        <w:sectPr>
          <w:pgSz w:w="16838" w:h="11906" w:orient="landscape"/>
          <w:pgMar w:top="1803" w:right="1440" w:bottom="1803" w:left="1440" w:header="851" w:footer="992" w:gutter="0"/>
          <w:cols w:space="0" w:num="1"/>
          <w:docGrid w:type="linesAndChars" w:linePitch="319" w:charSpace="0"/>
        </w:sectPr>
      </w:pPr>
    </w:p>
    <w:p>
      <w:pPr>
        <w:pStyle w:val="2"/>
      </w:pPr>
      <w:bookmarkStart w:id="436" w:name="_Toc215478668"/>
      <w:bookmarkStart w:id="437" w:name="_Toc1250448220"/>
      <w:r>
        <w:rPr>
          <w:rFonts w:hint="eastAsia"/>
        </w:rPr>
        <w:t xml:space="preserve">9 </w:t>
      </w:r>
      <w:r>
        <w:t>作为推荐性标准的建议及其理由</w:t>
      </w:r>
      <w:bookmarkEnd w:id="436"/>
      <w:bookmarkEnd w:id="437"/>
    </w:p>
    <w:p>
      <w:pPr>
        <w:spacing w:line="360" w:lineRule="auto"/>
        <w:ind w:firstLine="480" w:firstLineChars="200"/>
        <w:rPr>
          <w:sz w:val="24"/>
        </w:rPr>
      </w:pPr>
      <w:r>
        <w:rPr>
          <w:sz w:val="24"/>
        </w:rPr>
        <w:t>国际上</w:t>
      </w:r>
      <w:r>
        <w:rPr>
          <w:rFonts w:hint="eastAsia"/>
          <w:sz w:val="24"/>
        </w:rPr>
        <w:t>暂无同类标准可借鉴。</w:t>
      </w:r>
      <w:r>
        <w:rPr>
          <w:sz w:val="24"/>
        </w:rPr>
        <w:t>国内农村小微水体污染</w:t>
      </w:r>
      <w:r>
        <w:rPr>
          <w:rFonts w:hint="eastAsia"/>
          <w:sz w:val="24"/>
        </w:rPr>
        <w:t>遥感监测处于起步阶段</w:t>
      </w:r>
      <w:r>
        <w:rPr>
          <w:sz w:val="24"/>
        </w:rPr>
        <w:t>，</w:t>
      </w:r>
      <w:r>
        <w:rPr>
          <w:rFonts w:hint="eastAsia"/>
          <w:sz w:val="24"/>
        </w:rPr>
        <w:t>相关技术发展迅速，业务应用体系正在逐渐完善，但是管理工作亟需技术标准支撑</w:t>
      </w:r>
      <w:r>
        <w:rPr>
          <w:sz w:val="24"/>
        </w:rPr>
        <w:t>，因此，</w:t>
      </w:r>
      <w:r>
        <w:rPr>
          <w:rFonts w:hint="eastAsia"/>
          <w:sz w:val="24"/>
        </w:rPr>
        <w:t>本标准为推荐性标准</w:t>
      </w:r>
      <w:r>
        <w:rPr>
          <w:sz w:val="24"/>
        </w:rPr>
        <w:t>。</w:t>
      </w:r>
    </w:p>
    <w:p>
      <w:pPr>
        <w:pStyle w:val="2"/>
      </w:pPr>
      <w:bookmarkStart w:id="438" w:name="_Toc215478669"/>
      <w:bookmarkStart w:id="439" w:name="_Toc125381773"/>
      <w:r>
        <w:rPr>
          <w:rFonts w:hint="eastAsia"/>
        </w:rPr>
        <w:t xml:space="preserve">10 </w:t>
      </w:r>
      <w:r>
        <w:t>实施标准的措施</w:t>
      </w:r>
      <w:bookmarkEnd w:id="438"/>
      <w:bookmarkEnd w:id="439"/>
    </w:p>
    <w:p>
      <w:pPr>
        <w:spacing w:line="360" w:lineRule="auto"/>
        <w:ind w:firstLine="480" w:firstLineChars="200"/>
        <w:rPr>
          <w:sz w:val="24"/>
          <w:szCs w:val="21"/>
        </w:rPr>
      </w:pPr>
      <w:r>
        <w:rPr>
          <w:sz w:val="24"/>
          <w:szCs w:val="21"/>
        </w:rPr>
        <w:t>为确保本标准的顺利实施，实现农村</w:t>
      </w:r>
      <w:r>
        <w:rPr>
          <w:rFonts w:hint="eastAsia"/>
          <w:sz w:val="24"/>
          <w:szCs w:val="21"/>
        </w:rPr>
        <w:t>小微</w:t>
      </w:r>
      <w:r>
        <w:rPr>
          <w:sz w:val="24"/>
          <w:szCs w:val="21"/>
        </w:rPr>
        <w:t>水体污染动态清零，改善水环境，保护生态环境，保障人体健康，</w:t>
      </w:r>
      <w:r>
        <w:rPr>
          <w:rFonts w:hint="eastAsia"/>
          <w:sz w:val="24"/>
          <w:szCs w:val="21"/>
          <w:lang w:eastAsia="zh-CN"/>
        </w:rPr>
        <w:t>将开展以下工作</w:t>
      </w:r>
      <w:r>
        <w:rPr>
          <w:sz w:val="24"/>
          <w:szCs w:val="21"/>
        </w:rPr>
        <w:t>：</w:t>
      </w:r>
    </w:p>
    <w:p>
      <w:pPr>
        <w:spacing w:line="360" w:lineRule="auto"/>
        <w:ind w:firstLine="481" w:firstLineChars="200"/>
        <w:rPr>
          <w:sz w:val="24"/>
          <w:szCs w:val="21"/>
        </w:rPr>
      </w:pPr>
      <w:r>
        <w:rPr>
          <w:b/>
          <w:bCs/>
          <w:sz w:val="24"/>
          <w:szCs w:val="21"/>
        </w:rPr>
        <w:t>加强对相关方的培训</w:t>
      </w:r>
      <w:r>
        <w:rPr>
          <w:rFonts w:hint="eastAsia"/>
          <w:b/>
          <w:bCs/>
          <w:sz w:val="24"/>
          <w:szCs w:val="21"/>
          <w:lang w:eastAsia="zh-CN"/>
        </w:rPr>
        <w:t>。</w:t>
      </w:r>
      <w:r>
        <w:rPr>
          <w:rFonts w:hint="eastAsia"/>
          <w:sz w:val="24"/>
          <w:szCs w:val="21"/>
        </w:rPr>
        <w:t>加大本标准的推广力度</w:t>
      </w:r>
      <w:r>
        <w:rPr>
          <w:sz w:val="24"/>
          <w:szCs w:val="21"/>
        </w:rPr>
        <w:t>，加深监管人员对农村小微水体污染</w:t>
      </w:r>
      <w:r>
        <w:rPr>
          <w:rFonts w:hint="eastAsia"/>
          <w:sz w:val="24"/>
          <w:szCs w:val="21"/>
        </w:rPr>
        <w:t>遥感监测技术手段</w:t>
      </w:r>
      <w:r>
        <w:rPr>
          <w:sz w:val="24"/>
          <w:szCs w:val="21"/>
        </w:rPr>
        <w:t>的</w:t>
      </w:r>
      <w:r>
        <w:rPr>
          <w:rFonts w:hint="eastAsia"/>
          <w:sz w:val="24"/>
          <w:szCs w:val="21"/>
        </w:rPr>
        <w:t>了解</w:t>
      </w:r>
      <w:r>
        <w:rPr>
          <w:sz w:val="24"/>
          <w:szCs w:val="21"/>
        </w:rPr>
        <w:t>，充分发挥标准在应用实施过程中的效能，</w:t>
      </w:r>
      <w:r>
        <w:rPr>
          <w:rFonts w:hint="eastAsia"/>
          <w:sz w:val="24"/>
          <w:szCs w:val="21"/>
        </w:rPr>
        <w:t>推动</w:t>
      </w:r>
      <w:r>
        <w:rPr>
          <w:sz w:val="24"/>
          <w:szCs w:val="21"/>
        </w:rPr>
        <w:t>农村</w:t>
      </w:r>
      <w:r>
        <w:rPr>
          <w:rFonts w:hint="eastAsia"/>
          <w:sz w:val="24"/>
          <w:szCs w:val="21"/>
        </w:rPr>
        <w:t>小微</w:t>
      </w:r>
      <w:r>
        <w:rPr>
          <w:sz w:val="24"/>
          <w:szCs w:val="21"/>
        </w:rPr>
        <w:t>水体污染动态清零，提升农村人居环境质量。</w:t>
      </w:r>
    </w:p>
    <w:p>
      <w:pPr>
        <w:spacing w:line="360" w:lineRule="auto"/>
        <w:ind w:firstLine="481" w:firstLineChars="200"/>
        <w:rPr>
          <w:sz w:val="24"/>
          <w:szCs w:val="21"/>
        </w:rPr>
      </w:pPr>
      <w:r>
        <w:rPr>
          <w:b/>
          <w:bCs/>
          <w:sz w:val="24"/>
          <w:szCs w:val="21"/>
        </w:rPr>
        <w:t>强化责任意识，发挥</w:t>
      </w:r>
      <w:r>
        <w:rPr>
          <w:rFonts w:hint="eastAsia"/>
          <w:b/>
          <w:bCs/>
          <w:sz w:val="24"/>
          <w:szCs w:val="21"/>
        </w:rPr>
        <w:t>责任主体的</w:t>
      </w:r>
      <w:r>
        <w:rPr>
          <w:b/>
          <w:bCs/>
          <w:sz w:val="24"/>
          <w:szCs w:val="21"/>
        </w:rPr>
        <w:t>能动性</w:t>
      </w:r>
      <w:r>
        <w:rPr>
          <w:rFonts w:hint="eastAsia"/>
          <w:b/>
          <w:bCs/>
          <w:sz w:val="24"/>
          <w:szCs w:val="21"/>
          <w:lang w:eastAsia="zh-CN"/>
        </w:rPr>
        <w:t>。</w:t>
      </w:r>
      <w:r>
        <w:rPr>
          <w:sz w:val="24"/>
          <w:szCs w:val="21"/>
        </w:rPr>
        <w:t>对农村小微水体污染权属</w:t>
      </w:r>
      <w:r>
        <w:rPr>
          <w:rFonts w:hint="eastAsia"/>
          <w:sz w:val="24"/>
          <w:szCs w:val="21"/>
        </w:rPr>
        <w:t>主体</w:t>
      </w:r>
      <w:r>
        <w:rPr>
          <w:sz w:val="24"/>
          <w:szCs w:val="21"/>
        </w:rPr>
        <w:t>进行标准宣贯，增强权属人对农村小微水体污染</w:t>
      </w:r>
      <w:r>
        <w:rPr>
          <w:rFonts w:hint="eastAsia"/>
          <w:sz w:val="24"/>
          <w:szCs w:val="21"/>
        </w:rPr>
        <w:t>及</w:t>
      </w:r>
      <w:r>
        <w:rPr>
          <w:sz w:val="24"/>
          <w:szCs w:val="21"/>
        </w:rPr>
        <w:t>变化情</w:t>
      </w:r>
      <w:bookmarkStart w:id="440" w:name="OLE_LINK193"/>
      <w:bookmarkStart w:id="441" w:name="OLE_LINK192"/>
      <w:r>
        <w:rPr>
          <w:sz w:val="24"/>
          <w:szCs w:val="21"/>
        </w:rPr>
        <w:t>况</w:t>
      </w:r>
      <w:bookmarkEnd w:id="440"/>
      <w:bookmarkEnd w:id="441"/>
      <w:r>
        <w:rPr>
          <w:sz w:val="24"/>
          <w:szCs w:val="21"/>
        </w:rPr>
        <w:t>的理解，</w:t>
      </w:r>
      <w:r>
        <w:rPr>
          <w:rFonts w:hint="eastAsia"/>
          <w:sz w:val="24"/>
          <w:szCs w:val="21"/>
        </w:rPr>
        <w:t>激发</w:t>
      </w:r>
      <w:r>
        <w:rPr>
          <w:sz w:val="24"/>
          <w:szCs w:val="21"/>
        </w:rPr>
        <w:t>权属</w:t>
      </w:r>
      <w:r>
        <w:rPr>
          <w:rFonts w:hint="eastAsia"/>
          <w:sz w:val="24"/>
          <w:szCs w:val="21"/>
        </w:rPr>
        <w:t>主体治理</w:t>
      </w:r>
      <w:r>
        <w:rPr>
          <w:sz w:val="24"/>
          <w:szCs w:val="21"/>
        </w:rPr>
        <w:t>主动性</w:t>
      </w:r>
      <w:r>
        <w:rPr>
          <w:rFonts w:hint="eastAsia"/>
          <w:sz w:val="24"/>
          <w:szCs w:val="21"/>
        </w:rPr>
        <w:t>，</w:t>
      </w:r>
      <w:r>
        <w:rPr>
          <w:sz w:val="24"/>
          <w:szCs w:val="21"/>
        </w:rPr>
        <w:t>发挥标准的社会效益。</w:t>
      </w:r>
    </w:p>
    <w:p>
      <w:pPr>
        <w:spacing w:line="360" w:lineRule="auto"/>
        <w:ind w:firstLine="481" w:firstLineChars="200"/>
        <w:rPr>
          <w:sz w:val="24"/>
          <w:szCs w:val="21"/>
        </w:rPr>
      </w:pPr>
      <w:r>
        <w:rPr>
          <w:rFonts w:hint="eastAsia"/>
          <w:b/>
          <w:bCs/>
          <w:sz w:val="24"/>
          <w:szCs w:val="21"/>
        </w:rPr>
        <w:t>构建协同治理机制</w:t>
      </w:r>
      <w:r>
        <w:rPr>
          <w:rFonts w:hint="eastAsia"/>
          <w:b/>
          <w:bCs/>
          <w:sz w:val="24"/>
          <w:szCs w:val="21"/>
          <w:lang w:eastAsia="zh-CN"/>
        </w:rPr>
        <w:t>。</w:t>
      </w:r>
      <w:bookmarkStart w:id="442" w:name="_Toc103617153"/>
      <w:r>
        <w:rPr>
          <w:rFonts w:hint="eastAsia"/>
          <w:sz w:val="24"/>
          <w:szCs w:val="21"/>
        </w:rPr>
        <w:t>构建属地负责、权责对等、多元共治的长效协同治理机制，提升农村小微水体的生态功能。</w:t>
      </w:r>
    </w:p>
    <w:p>
      <w:pPr>
        <w:pStyle w:val="2"/>
      </w:pPr>
      <w:bookmarkStart w:id="443" w:name="_Toc215478670"/>
      <w:bookmarkStart w:id="444" w:name="_Toc532863864"/>
      <w:r>
        <w:t>1</w:t>
      </w:r>
      <w:r>
        <w:rPr>
          <w:rFonts w:hint="eastAsia"/>
        </w:rPr>
        <w:t>1</w:t>
      </w:r>
      <w:r>
        <w:t xml:space="preserve"> 其它应说明的事项</w:t>
      </w:r>
      <w:bookmarkEnd w:id="442"/>
      <w:bookmarkEnd w:id="443"/>
      <w:bookmarkEnd w:id="444"/>
    </w:p>
    <w:p>
      <w:pPr>
        <w:ind w:firstLine="480" w:firstLineChars="200"/>
        <w:rPr>
          <w:sz w:val="24"/>
        </w:rPr>
      </w:pPr>
      <w:r>
        <w:rPr>
          <w:sz w:val="24"/>
        </w:rPr>
        <w:t>本标准不涉及专利。</w:t>
      </w:r>
    </w:p>
    <w:p>
      <w:pPr>
        <w:widowControl/>
        <w:jc w:val="left"/>
        <w:rPr>
          <w:sz w:val="24"/>
        </w:rPr>
      </w:pPr>
      <w:r>
        <w:rPr>
          <w:sz w:val="24"/>
        </w:rPr>
        <w:br w:type="page"/>
      </w:r>
    </w:p>
    <w:p>
      <w:pPr>
        <w:pStyle w:val="2"/>
        <w:jc w:val="center"/>
      </w:pPr>
      <w:bookmarkStart w:id="445" w:name="_Toc215478671"/>
      <w:bookmarkStart w:id="446" w:name="_Toc103617154"/>
      <w:bookmarkStart w:id="447" w:name="_Toc1957872088"/>
      <w:r>
        <w:t>参考文献</w:t>
      </w:r>
      <w:bookmarkEnd w:id="445"/>
      <w:bookmarkEnd w:id="446"/>
      <w:bookmarkEnd w:id="447"/>
    </w:p>
    <w:p>
      <w:pPr>
        <w:pStyle w:val="32"/>
        <w:spacing w:before="156" w:after="156"/>
        <w:ind w:firstLine="0" w:firstLineChars="0"/>
        <w:jc w:val="left"/>
      </w:pPr>
      <w:bookmarkStart w:id="448" w:name="OLE_LINK196"/>
      <w:bookmarkStart w:id="449" w:name="OLE_LINK194"/>
      <w:bookmarkStart w:id="450" w:name="OLE_LINK133"/>
      <w:bookmarkStart w:id="451" w:name="OLE_LINK132"/>
      <w:r>
        <w:rPr>
          <w:rFonts w:hint="eastAsia"/>
        </w:rPr>
        <w:t>[1] GB/T 14950 摄影测量与遥感术语</w:t>
      </w:r>
    </w:p>
    <w:p>
      <w:pPr>
        <w:pStyle w:val="32"/>
        <w:spacing w:before="156" w:after="156"/>
        <w:ind w:firstLine="0" w:firstLineChars="0"/>
        <w:jc w:val="left"/>
        <w:rPr>
          <w:szCs w:val="21"/>
        </w:rPr>
      </w:pPr>
      <w:r>
        <w:rPr>
          <w:rFonts w:hint="eastAsia"/>
        </w:rPr>
        <w:t xml:space="preserve">[2] </w:t>
      </w:r>
      <w:r>
        <w:rPr>
          <w:rFonts w:hint="eastAsia"/>
          <w:szCs w:val="21"/>
        </w:rPr>
        <w:t>GB/T 15968 遥感影像平面图制作规范</w:t>
      </w:r>
    </w:p>
    <w:p>
      <w:pPr>
        <w:pStyle w:val="32"/>
        <w:spacing w:before="156" w:after="156"/>
        <w:ind w:firstLine="0" w:firstLineChars="0"/>
        <w:jc w:val="left"/>
      </w:pPr>
      <w:r>
        <w:rPr>
          <w:rFonts w:hint="eastAsia"/>
          <w:szCs w:val="21"/>
        </w:rPr>
        <w:t>[3] HJ 1236 集</w:t>
      </w:r>
      <w:bookmarkStart w:id="452" w:name="OLE_LINK223"/>
      <w:bookmarkStart w:id="453" w:name="OLE_LINK222"/>
      <w:r>
        <w:rPr>
          <w:rFonts w:hint="eastAsia"/>
          <w:szCs w:val="21"/>
        </w:rPr>
        <w:t>中式地表水饮用水水源地风险源遥感调查技术规范</w:t>
      </w:r>
      <w:bookmarkEnd w:id="452"/>
      <w:bookmarkEnd w:id="453"/>
    </w:p>
    <w:p>
      <w:pPr>
        <w:pStyle w:val="32"/>
        <w:spacing w:before="156" w:after="156"/>
        <w:ind w:firstLine="0" w:firstLineChars="0"/>
        <w:jc w:val="left"/>
      </w:pPr>
      <w:r>
        <w:rPr>
          <w:rFonts w:hint="eastAsia"/>
        </w:rPr>
        <w:t>[4] HJ 1356 饮用水水源地生态环境保护执法监管遥感调查技术规范</w:t>
      </w:r>
    </w:p>
    <w:p>
      <w:pPr>
        <w:pStyle w:val="32"/>
        <w:spacing w:before="156" w:after="156"/>
        <w:ind w:firstLine="0" w:firstLineChars="0"/>
        <w:jc w:val="left"/>
        <w:rPr>
          <w:rFonts w:hAnsi="宋体" w:cs="宋体"/>
          <w:szCs w:val="21"/>
        </w:rPr>
      </w:pPr>
      <w:r>
        <w:rPr>
          <w:rFonts w:hint="eastAsia"/>
        </w:rPr>
        <w:t xml:space="preserve">[5] </w:t>
      </w:r>
      <w:r>
        <w:rPr>
          <w:rFonts w:hint="eastAsia" w:hAnsi="宋体" w:cs="宋体"/>
          <w:szCs w:val="21"/>
        </w:rPr>
        <w:t>DB11/T 2217 重点建设用地土壤污染遥感监测技术规范</w:t>
      </w:r>
    </w:p>
    <w:p>
      <w:pPr>
        <w:pStyle w:val="32"/>
        <w:spacing w:before="156" w:after="156"/>
        <w:ind w:firstLine="0" w:firstLineChars="0"/>
        <w:jc w:val="left"/>
      </w:pPr>
      <w:r>
        <w:rPr>
          <w:rFonts w:hint="eastAsia"/>
        </w:rPr>
        <w:t>[6] 农村黑臭水体治理工作指南（环办土壤〔2023〕23号）</w:t>
      </w:r>
    </w:p>
    <w:bookmarkEnd w:id="448"/>
    <w:bookmarkEnd w:id="449"/>
    <w:bookmarkEnd w:id="450"/>
    <w:bookmarkEnd w:id="451"/>
    <w:p>
      <w:pPr>
        <w:pStyle w:val="32"/>
        <w:spacing w:before="156" w:after="156"/>
        <w:ind w:firstLine="0" w:firstLineChars="0"/>
        <w:jc w:val="left"/>
        <w:rPr>
          <w:rFonts w:ascii="Times New Roman"/>
        </w:rPr>
      </w:pPr>
    </w:p>
    <w:sectPr>
      <w:pgSz w:w="11906" w:h="16838"/>
      <w:pgMar w:top="1440" w:right="1803" w:bottom="1440" w:left="1803" w:header="851" w:footer="992" w:gutter="0"/>
      <w:cols w:space="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Consolas">
    <w:altName w:val="Noto Sans Mono"/>
    <w:panose1 w:val="020B0609020204030204"/>
    <w:charset w:val="00"/>
    <w:family w:val="modern"/>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2000000" w:usb3="00000000" w:csb0="0000019F" w:csb1="00000000"/>
  </w:font>
  <w:font w:name="华文中宋">
    <w:altName w:val="汉仪中宋简"/>
    <w:panose1 w:val="02010600040101010101"/>
    <w:charset w:val="86"/>
    <w:family w:val="auto"/>
    <w:pitch w:val="default"/>
    <w:sig w:usb0="00000000" w:usb1="00000000" w:usb2="00000010" w:usb3="00000000" w:csb0="0004009F" w:csb1="00000000"/>
  </w:font>
  <w:font w:name="方正小标宋简体">
    <w:panose1 w:val="02000000000000000000"/>
    <w:charset w:val="86"/>
    <w:family w:val="script"/>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 w:name="汉仪中宋简">
    <w:panose1 w:val="02010600000101010101"/>
    <w:charset w:val="86"/>
    <w:family w:val="auto"/>
    <w:pitch w:val="default"/>
    <w:sig w:usb0="00000001" w:usb1="080E0800" w:usb2="00000002" w:usb3="00000000" w:csb0="00040000" w:csb1="00000000"/>
  </w:font>
  <w:font w:name="Noto Sans Mono">
    <w:panose1 w:val="020B0509040504020204"/>
    <w:charset w:val="00"/>
    <w:family w:val="auto"/>
    <w:pitch w:val="default"/>
    <w:sig w:usb0="E00002FF" w:usb1="4200FCFF" w:usb2="08000039" w:usb3="00100000" w:csb0="0000019F" w:csb1="DFD70000"/>
  </w:font>
  <w:font w:name="Noto Sans Syriac Eastern">
    <w:panose1 w:val="02040503050306020203"/>
    <w:charset w:val="86"/>
    <w:family w:val="auto"/>
    <w:pitch w:val="default"/>
    <w:sig w:usb0="00000000" w:usb1="00000000" w:usb2="00000080" w:usb3="00000000" w:csb0="203E0161" w:csb1="D7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p>
  <w:p>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61093018"/>
    </w:sdtPr>
    <w:sdtContent>
      <w:p>
        <w:pPr>
          <w:pStyle w:val="8"/>
          <w:jc w:val="center"/>
        </w:pPr>
        <w:r>
          <w:fldChar w:fldCharType="begin"/>
        </w:r>
        <w:r>
          <w:instrText xml:space="preserve">PAGE   \* MERGEFORMAT</w:instrText>
        </w:r>
        <w:r>
          <w:fldChar w:fldCharType="separate"/>
        </w:r>
        <w:r>
          <w:rPr>
            <w:lang w:val="zh-CN"/>
          </w:rPr>
          <w:t>16</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C5917C3"/>
    <w:multiLevelType w:val="multilevel"/>
    <w:tmpl w:val="2C5917C3"/>
    <w:lvl w:ilvl="0" w:tentative="0">
      <w:start w:val="1"/>
      <w:numFmt w:val="none"/>
      <w:pStyle w:val="67"/>
      <w:suff w:val="nothing"/>
      <w:lvlText w:val="%1——"/>
      <w:lvlJc w:val="left"/>
      <w:pPr>
        <w:ind w:left="833" w:hanging="408"/>
      </w:pPr>
      <w:rPr>
        <w:rFonts w:hint="eastAsia"/>
      </w:rPr>
    </w:lvl>
    <w:lvl w:ilvl="1" w:tentative="0">
      <w:start w:val="1"/>
      <w:numFmt w:val="bullet"/>
      <w:pStyle w:val="68"/>
      <w:lvlText w:val=""/>
      <w:lvlJc w:val="left"/>
      <w:pPr>
        <w:tabs>
          <w:tab w:val="left" w:pos="760"/>
        </w:tabs>
        <w:ind w:left="1264" w:hanging="413"/>
      </w:pPr>
      <w:rPr>
        <w:rFonts w:hint="default" w:ascii="Symbol" w:hAnsi="Symbol"/>
        <w:color w:val="auto"/>
      </w:rPr>
    </w:lvl>
    <w:lvl w:ilvl="2" w:tentative="0">
      <w:start w:val="1"/>
      <w:numFmt w:val="bullet"/>
      <w:pStyle w:val="69"/>
      <w:lvlText w:val=""/>
      <w:lvlJc w:val="left"/>
      <w:pPr>
        <w:tabs>
          <w:tab w:val="left" w:pos="1678"/>
        </w:tabs>
        <w:ind w:left="1678" w:hanging="414"/>
      </w:pPr>
      <w:rPr>
        <w:rFonts w:hint="default" w:ascii="Symbol" w:hAnsi="Symbol"/>
        <w:color w:val="auto"/>
      </w:rPr>
    </w:lvl>
    <w:lvl w:ilvl="3" w:tentative="0">
      <w:start w:val="1"/>
      <w:numFmt w:val="decimal"/>
      <w:lvlText w:val="%4."/>
      <w:lvlJc w:val="left"/>
      <w:pPr>
        <w:tabs>
          <w:tab w:val="left" w:pos="2071"/>
        </w:tabs>
        <w:ind w:left="1884" w:hanging="528"/>
      </w:pPr>
      <w:rPr>
        <w:rFonts w:hint="eastAsia"/>
      </w:rPr>
    </w:lvl>
    <w:lvl w:ilvl="4" w:tentative="0">
      <w:start w:val="1"/>
      <w:numFmt w:val="lowerLetter"/>
      <w:lvlText w:val="%5)"/>
      <w:lvlJc w:val="left"/>
      <w:pPr>
        <w:tabs>
          <w:tab w:val="left" w:pos="2383"/>
        </w:tabs>
        <w:ind w:left="2196" w:hanging="528"/>
      </w:pPr>
      <w:rPr>
        <w:rFonts w:hint="eastAsia"/>
      </w:rPr>
    </w:lvl>
    <w:lvl w:ilvl="5" w:tentative="0">
      <w:start w:val="1"/>
      <w:numFmt w:val="lowerRoman"/>
      <w:lvlText w:val="%6."/>
      <w:lvlJc w:val="right"/>
      <w:pPr>
        <w:tabs>
          <w:tab w:val="left" w:pos="2695"/>
        </w:tabs>
        <w:ind w:left="2508" w:hanging="528"/>
      </w:pPr>
      <w:rPr>
        <w:rFonts w:hint="eastAsia"/>
      </w:rPr>
    </w:lvl>
    <w:lvl w:ilvl="6" w:tentative="0">
      <w:start w:val="1"/>
      <w:numFmt w:val="decimal"/>
      <w:lvlText w:val="%7."/>
      <w:lvlJc w:val="left"/>
      <w:pPr>
        <w:tabs>
          <w:tab w:val="left" w:pos="3007"/>
        </w:tabs>
        <w:ind w:left="2820" w:hanging="528"/>
      </w:pPr>
      <w:rPr>
        <w:rFonts w:hint="eastAsia"/>
      </w:rPr>
    </w:lvl>
    <w:lvl w:ilvl="7" w:tentative="0">
      <w:start w:val="1"/>
      <w:numFmt w:val="lowerLetter"/>
      <w:lvlText w:val="%8)"/>
      <w:lvlJc w:val="left"/>
      <w:pPr>
        <w:tabs>
          <w:tab w:val="left" w:pos="3319"/>
        </w:tabs>
        <w:ind w:left="3132" w:hanging="528"/>
      </w:pPr>
      <w:rPr>
        <w:rFonts w:hint="eastAsia"/>
      </w:rPr>
    </w:lvl>
    <w:lvl w:ilvl="8" w:tentative="0">
      <w:start w:val="1"/>
      <w:numFmt w:val="lowerRoman"/>
      <w:lvlText w:val="%9."/>
      <w:lvlJc w:val="right"/>
      <w:pPr>
        <w:tabs>
          <w:tab w:val="left" w:pos="3631"/>
        </w:tabs>
        <w:ind w:left="3444" w:hanging="528"/>
      </w:pPr>
      <w:rPr>
        <w:rFonts w:hint="eastAsia"/>
      </w:rPr>
    </w:lvl>
  </w:abstractNum>
  <w:abstractNum w:abstractNumId="1">
    <w:nsid w:val="44C50F90"/>
    <w:multiLevelType w:val="multilevel"/>
    <w:tmpl w:val="44C50F90"/>
    <w:lvl w:ilvl="0" w:tentative="0">
      <w:start w:val="1"/>
      <w:numFmt w:val="lowerLetter"/>
      <w:lvlText w:val="%1)"/>
      <w:lvlJc w:val="left"/>
      <w:pPr>
        <w:tabs>
          <w:tab w:val="left" w:pos="851"/>
        </w:tabs>
        <w:ind w:left="851" w:hanging="426"/>
      </w:pPr>
      <w:rPr>
        <w:rFonts w:hint="eastAsia" w:ascii="宋体" w:hAnsi="Times New Roman" w:eastAsia="宋体"/>
        <w:sz w:val="21"/>
      </w:rPr>
    </w:lvl>
    <w:lvl w:ilvl="1" w:tentative="0">
      <w:start w:val="1"/>
      <w:numFmt w:val="decimal"/>
      <w:pStyle w:val="63"/>
      <w:lvlText w:val="%2)"/>
      <w:lvlJc w:val="left"/>
      <w:pPr>
        <w:tabs>
          <w:tab w:val="left" w:pos="1276"/>
        </w:tabs>
        <w:ind w:left="1276" w:hanging="425"/>
      </w:pPr>
      <w:rPr>
        <w:rFonts w:hint="eastAsia" w:ascii="宋体" w:hAnsi="Times New Roman" w:eastAsia="宋体"/>
        <w:sz w:val="21"/>
      </w:rPr>
    </w:lvl>
    <w:lvl w:ilvl="2" w:tentative="0">
      <w:start w:val="1"/>
      <w:numFmt w:val="decimal"/>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2">
    <w:nsid w:val="5603797C"/>
    <w:multiLevelType w:val="multilevel"/>
    <w:tmpl w:val="5603797C"/>
    <w:lvl w:ilvl="0" w:tentative="0">
      <w:start w:val="1"/>
      <w:numFmt w:val="upperLetter"/>
      <w:suff w:val="space"/>
      <w:lvlText w:val="%1"/>
      <w:lvlJc w:val="left"/>
      <w:pPr>
        <w:ind w:left="425" w:hanging="425"/>
      </w:pPr>
      <w:rPr>
        <w:rFonts w:hint="eastAsia"/>
      </w:rPr>
    </w:lvl>
    <w:lvl w:ilvl="1" w:tentative="0">
      <w:start w:val="1"/>
      <w:numFmt w:val="decimal"/>
      <w:pStyle w:val="64"/>
      <w:suff w:val="space"/>
      <w:lvlText w:val="表%1.%2"/>
      <w:lvlJc w:val="center"/>
      <w:pPr>
        <w:ind w:left="0" w:firstLine="0"/>
      </w:pPr>
      <w:rPr>
        <w:rFonts w:hint="eastAsia" w:ascii="黑体" w:eastAsia="黑体"/>
        <w:sz w:val="21"/>
        <w:lang w:val="en-US"/>
      </w:rPr>
    </w:lvl>
    <w:lvl w:ilvl="2" w:tentative="0">
      <w:start w:val="1"/>
      <w:numFmt w:val="decimal"/>
      <w:lvlText w:val="%1.%2.%3"/>
      <w:lvlJc w:val="left"/>
      <w:pPr>
        <w:ind w:left="1418" w:hanging="567"/>
      </w:pPr>
      <w:rPr>
        <w:rFonts w:hint="eastAsia"/>
      </w:rPr>
    </w:lvl>
    <w:lvl w:ilvl="3" w:tentative="0">
      <w:start w:val="1"/>
      <w:numFmt w:val="decimal"/>
      <w:lvlText w:val="%1.%2.%3.%4"/>
      <w:lvlJc w:val="left"/>
      <w:pPr>
        <w:ind w:left="1984" w:hanging="708"/>
      </w:pPr>
      <w:rPr>
        <w:rFonts w:hint="eastAsia"/>
      </w:rPr>
    </w:lvl>
    <w:lvl w:ilvl="4" w:tentative="0">
      <w:start w:val="1"/>
      <w:numFmt w:val="decimal"/>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3">
    <w:nsid w:val="5F4642C5"/>
    <w:multiLevelType w:val="singleLevel"/>
    <w:tmpl w:val="5F4642C5"/>
    <w:lvl w:ilvl="0" w:tentative="0">
      <w:start w:val="2"/>
      <w:numFmt w:val="decimal"/>
      <w:pStyle w:val="3"/>
      <w:suff w:val="nothing"/>
      <w:lvlText w:val="%1、"/>
      <w:lvlJc w:val="left"/>
    </w:lvl>
  </w:abstractNum>
  <w:abstractNum w:abstractNumId="4">
    <w:nsid w:val="646260FA"/>
    <w:multiLevelType w:val="multilevel"/>
    <w:tmpl w:val="646260FA"/>
    <w:lvl w:ilvl="0" w:tentative="0">
      <w:start w:val="1"/>
      <w:numFmt w:val="decimal"/>
      <w:pStyle w:val="31"/>
      <w:suff w:val="nothing"/>
      <w:lvlText w:val="表%1　"/>
      <w:lvlJc w:val="left"/>
      <w:pPr>
        <w:ind w:left="3545" w:firstLine="0"/>
      </w:pPr>
    </w:lvl>
    <w:lvl w:ilvl="1" w:tentative="0">
      <w:start w:val="1"/>
      <w:numFmt w:val="decimal"/>
      <w:lvlText w:val="%1.%2"/>
      <w:lvlJc w:val="left"/>
      <w:pPr>
        <w:tabs>
          <w:tab w:val="left" w:pos="992"/>
        </w:tabs>
        <w:ind w:left="992" w:hanging="567"/>
      </w:pPr>
    </w:lvl>
    <w:lvl w:ilvl="2" w:tentative="0">
      <w:start w:val="1"/>
      <w:numFmt w:val="decimal"/>
      <w:lvlText w:val="%1.%2.%3"/>
      <w:lvlJc w:val="left"/>
      <w:pPr>
        <w:tabs>
          <w:tab w:val="left" w:pos="1417"/>
        </w:tabs>
        <w:ind w:left="1417" w:hanging="567"/>
      </w:pPr>
    </w:lvl>
    <w:lvl w:ilvl="3" w:tentative="0">
      <w:start w:val="1"/>
      <w:numFmt w:val="decimal"/>
      <w:lvlText w:val="%1.%2.%3.%4"/>
      <w:lvlJc w:val="left"/>
      <w:pPr>
        <w:tabs>
          <w:tab w:val="left" w:pos="1984"/>
        </w:tabs>
        <w:ind w:left="1984" w:hanging="708"/>
      </w:pPr>
    </w:lvl>
    <w:lvl w:ilvl="4" w:tentative="0">
      <w:start w:val="1"/>
      <w:numFmt w:val="decimal"/>
      <w:lvlText w:val="%1.%2.%3.%4.%5"/>
      <w:lvlJc w:val="left"/>
      <w:pPr>
        <w:tabs>
          <w:tab w:val="left" w:pos="2551"/>
        </w:tabs>
        <w:ind w:left="2551" w:hanging="850"/>
      </w:pPr>
    </w:lvl>
    <w:lvl w:ilvl="5" w:tentative="0">
      <w:start w:val="1"/>
      <w:numFmt w:val="decimal"/>
      <w:lvlText w:val="%1.%2.%3.%4.%5.%6"/>
      <w:lvlJc w:val="left"/>
      <w:pPr>
        <w:tabs>
          <w:tab w:val="left" w:pos="3260"/>
        </w:tabs>
        <w:ind w:left="3260" w:hanging="1134"/>
      </w:pPr>
    </w:lvl>
    <w:lvl w:ilvl="6" w:tentative="0">
      <w:start w:val="1"/>
      <w:numFmt w:val="decimal"/>
      <w:lvlText w:val="%1.%2.%3.%4.%5.%6.%7"/>
      <w:lvlJc w:val="left"/>
      <w:pPr>
        <w:tabs>
          <w:tab w:val="left" w:pos="3827"/>
        </w:tabs>
        <w:ind w:left="3827" w:hanging="1276"/>
      </w:pPr>
    </w:lvl>
    <w:lvl w:ilvl="7" w:tentative="0">
      <w:start w:val="1"/>
      <w:numFmt w:val="decimal"/>
      <w:lvlText w:val="%1.%2.%3.%4.%5.%6.%7.%8"/>
      <w:lvlJc w:val="left"/>
      <w:pPr>
        <w:tabs>
          <w:tab w:val="left" w:pos="4394"/>
        </w:tabs>
        <w:ind w:left="4394" w:hanging="1418"/>
      </w:pPr>
    </w:lvl>
    <w:lvl w:ilvl="8" w:tentative="0">
      <w:start w:val="1"/>
      <w:numFmt w:val="decimal"/>
      <w:lvlText w:val="%1.%2.%3.%4.%5.%6.%7.%8.%9"/>
      <w:lvlJc w:val="left"/>
      <w:pPr>
        <w:tabs>
          <w:tab w:val="left" w:pos="5102"/>
        </w:tabs>
        <w:ind w:left="5102" w:hanging="1700"/>
      </w:pPr>
    </w:lvl>
  </w:abstractNum>
  <w:abstractNum w:abstractNumId="5">
    <w:nsid w:val="657D3FBC"/>
    <w:multiLevelType w:val="multilevel"/>
    <w:tmpl w:val="657D3FBC"/>
    <w:lvl w:ilvl="0" w:tentative="0">
      <w:start w:val="1"/>
      <w:numFmt w:val="upperLetter"/>
      <w:pStyle w:val="43"/>
      <w:suff w:val="nothing"/>
      <w:lvlText w:val="附录%1"/>
      <w:lvlJc w:val="left"/>
      <w:pPr>
        <w:ind w:left="0" w:firstLine="0"/>
      </w:pPr>
      <w:rPr>
        <w:rFonts w:hint="eastAsia"/>
        <w:spacing w:val="100"/>
      </w:rPr>
    </w:lvl>
    <w:lvl w:ilvl="1" w:tentative="0">
      <w:start w:val="1"/>
      <w:numFmt w:val="decimal"/>
      <w:pStyle w:val="44"/>
      <w:suff w:val="nothing"/>
      <w:lvlText w:val="%1.%2　"/>
      <w:lvlJc w:val="left"/>
      <w:pPr>
        <w:ind w:left="0" w:firstLine="0"/>
      </w:pPr>
      <w:rPr>
        <w:rFonts w:hint="eastAsia" w:ascii="黑体" w:eastAsia="黑体"/>
        <w:b w:val="0"/>
        <w:i w:val="0"/>
        <w:strike w:val="0"/>
        <w:sz w:val="21"/>
      </w:rPr>
    </w:lvl>
    <w:lvl w:ilvl="2" w:tentative="0">
      <w:start w:val="1"/>
      <w:numFmt w:val="decimal"/>
      <w:suff w:val="nothing"/>
      <w:lvlText w:val="%1.%2.%3　"/>
      <w:lvlJc w:val="left"/>
      <w:pPr>
        <w:ind w:left="284"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6">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pStyle w:val="40"/>
      <w:suff w:val="nothing"/>
      <w:lvlText w:val="%1%2　"/>
      <w:lvlJc w:val="left"/>
      <w:pPr>
        <w:ind w:left="0" w:firstLine="0"/>
      </w:pPr>
      <w:rPr>
        <w:rFonts w:hint="eastAsia" w:ascii="黑体" w:eastAsia="黑体"/>
        <w:b w:val="0"/>
        <w:i w:val="0"/>
        <w:sz w:val="21"/>
      </w:rPr>
    </w:lvl>
    <w:lvl w:ilvl="2" w:tentative="0">
      <w:start w:val="1"/>
      <w:numFmt w:val="decimal"/>
      <w:pStyle w:val="39"/>
      <w:suff w:val="nothing"/>
      <w:lvlText w:val="%1%2.%3　"/>
      <w:lvlJc w:val="left"/>
      <w:pPr>
        <w:ind w:left="2411"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props3d w14:extrusionH="0" w14:contourW="0" w14:prstMaterial="none"/>
        <w14:scene3d w14:prst="orthographicFront">
          <w14:lightRig w14:rig="threePt" w14:dir="t">
            <w14:rot w14:lat="0" w14:lon="0" w14:rev="0"/>
          </w14:lightRig>
        </w14:scene3d>
        <w14:ligatures w14:val="none"/>
        <w14:numForm w14:val="default"/>
        <w14:numSpacing w14:val="default"/>
      </w:rPr>
    </w:lvl>
    <w:lvl w:ilvl="3" w:tentative="0">
      <w:start w:val="1"/>
      <w:numFmt w:val="decimal"/>
      <w:pStyle w:val="42"/>
      <w:suff w:val="nothing"/>
      <w:lvlText w:val="%1%2.%3.%4　"/>
      <w:lvlJc w:val="left"/>
      <w:pPr>
        <w:ind w:left="568" w:firstLine="0"/>
      </w:pPr>
      <w:rPr>
        <w:rFonts w:hint="eastAsia" w:ascii="黑体" w:eastAsia="黑体"/>
        <w:b w:val="0"/>
        <w:i w:val="0"/>
        <w:sz w:val="21"/>
      </w:rPr>
    </w:lvl>
    <w:lvl w:ilvl="4" w:tentative="0">
      <w:start w:val="1"/>
      <w:numFmt w:val="decimal"/>
      <w:pStyle w:val="46"/>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num w:numId="1">
    <w:abstractNumId w:val="3"/>
  </w:num>
  <w:num w:numId="2">
    <w:abstractNumId w:val="4"/>
  </w:num>
  <w:num w:numId="3">
    <w:abstractNumId w:val="6"/>
  </w:num>
  <w:num w:numId="4">
    <w:abstractNumId w:val="5"/>
  </w:num>
  <w:num w:numId="5">
    <w:abstractNumId w:val="1"/>
  </w:num>
  <w:num w:numId="6">
    <w:abstractNumId w:val="2"/>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true"/>
  <w:bordersDoNotSurroundFooter w:val="true"/>
  <w:hideSpellingErrors/>
  <w:hideGrammaticalErrors/>
  <w:documentProtection w:enforcement="0"/>
  <w:defaultTabStop w:val="420"/>
  <w:drawingGridHorizontalSpacing w:val="105"/>
  <w:drawingGridVerticalSpacing w:val="319"/>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U3OGI5YmYyMmQ5NGQ5MjhkNTg4YjBkOTM1OTQ5ODYifQ=="/>
  </w:docVars>
  <w:rsids>
    <w:rsidRoot w:val="707E5C20"/>
    <w:rsid w:val="00001E1E"/>
    <w:rsid w:val="0000279B"/>
    <w:rsid w:val="000102C8"/>
    <w:rsid w:val="0001716B"/>
    <w:rsid w:val="000243A9"/>
    <w:rsid w:val="000247A0"/>
    <w:rsid w:val="0002724F"/>
    <w:rsid w:val="000272F1"/>
    <w:rsid w:val="000313D9"/>
    <w:rsid w:val="000313FF"/>
    <w:rsid w:val="00033B1D"/>
    <w:rsid w:val="00036D4D"/>
    <w:rsid w:val="0004054D"/>
    <w:rsid w:val="0004106E"/>
    <w:rsid w:val="00044F1F"/>
    <w:rsid w:val="00045BEC"/>
    <w:rsid w:val="00047793"/>
    <w:rsid w:val="00051B03"/>
    <w:rsid w:val="00064A96"/>
    <w:rsid w:val="000731B1"/>
    <w:rsid w:val="00084DE8"/>
    <w:rsid w:val="00086007"/>
    <w:rsid w:val="00091946"/>
    <w:rsid w:val="0009518F"/>
    <w:rsid w:val="00095FFB"/>
    <w:rsid w:val="0009601D"/>
    <w:rsid w:val="000A0ABD"/>
    <w:rsid w:val="000A16B7"/>
    <w:rsid w:val="000A4692"/>
    <w:rsid w:val="000A7472"/>
    <w:rsid w:val="000B2E28"/>
    <w:rsid w:val="000B49D7"/>
    <w:rsid w:val="000B5A6C"/>
    <w:rsid w:val="000B77B9"/>
    <w:rsid w:val="000C04B6"/>
    <w:rsid w:val="000C1A1C"/>
    <w:rsid w:val="000C42AF"/>
    <w:rsid w:val="000C713D"/>
    <w:rsid w:val="000D57B4"/>
    <w:rsid w:val="000D76C9"/>
    <w:rsid w:val="000D7B57"/>
    <w:rsid w:val="000E0AD5"/>
    <w:rsid w:val="000E0E84"/>
    <w:rsid w:val="000E1291"/>
    <w:rsid w:val="000E3E11"/>
    <w:rsid w:val="000E4378"/>
    <w:rsid w:val="000F5213"/>
    <w:rsid w:val="000F73BC"/>
    <w:rsid w:val="000F7B42"/>
    <w:rsid w:val="0010042F"/>
    <w:rsid w:val="0010367B"/>
    <w:rsid w:val="001037A0"/>
    <w:rsid w:val="001102BB"/>
    <w:rsid w:val="001129FB"/>
    <w:rsid w:val="00113347"/>
    <w:rsid w:val="00113AB2"/>
    <w:rsid w:val="001168A4"/>
    <w:rsid w:val="00121C34"/>
    <w:rsid w:val="001253DD"/>
    <w:rsid w:val="001337CB"/>
    <w:rsid w:val="001338C7"/>
    <w:rsid w:val="00141266"/>
    <w:rsid w:val="00142B9C"/>
    <w:rsid w:val="00145392"/>
    <w:rsid w:val="001458C0"/>
    <w:rsid w:val="00145940"/>
    <w:rsid w:val="00150702"/>
    <w:rsid w:val="00151A43"/>
    <w:rsid w:val="001533EA"/>
    <w:rsid w:val="001541FC"/>
    <w:rsid w:val="00163410"/>
    <w:rsid w:val="00163DAD"/>
    <w:rsid w:val="00166279"/>
    <w:rsid w:val="0016787D"/>
    <w:rsid w:val="00167A42"/>
    <w:rsid w:val="00167D48"/>
    <w:rsid w:val="00173D44"/>
    <w:rsid w:val="0017601A"/>
    <w:rsid w:val="00181264"/>
    <w:rsid w:val="00187471"/>
    <w:rsid w:val="00190874"/>
    <w:rsid w:val="00195398"/>
    <w:rsid w:val="001960AD"/>
    <w:rsid w:val="001970D9"/>
    <w:rsid w:val="001A2EEA"/>
    <w:rsid w:val="001A562E"/>
    <w:rsid w:val="001A58DC"/>
    <w:rsid w:val="001B05B7"/>
    <w:rsid w:val="001B22B3"/>
    <w:rsid w:val="001B488A"/>
    <w:rsid w:val="001B491F"/>
    <w:rsid w:val="001B55E6"/>
    <w:rsid w:val="001B6585"/>
    <w:rsid w:val="001C106E"/>
    <w:rsid w:val="001C2BB4"/>
    <w:rsid w:val="001C35D8"/>
    <w:rsid w:val="001C3601"/>
    <w:rsid w:val="001C3E41"/>
    <w:rsid w:val="001C4C99"/>
    <w:rsid w:val="001D097D"/>
    <w:rsid w:val="001D1B31"/>
    <w:rsid w:val="001D2539"/>
    <w:rsid w:val="001E1336"/>
    <w:rsid w:val="001F1453"/>
    <w:rsid w:val="001F23C0"/>
    <w:rsid w:val="001F612E"/>
    <w:rsid w:val="00203C3A"/>
    <w:rsid w:val="00204082"/>
    <w:rsid w:val="0020504A"/>
    <w:rsid w:val="00206B29"/>
    <w:rsid w:val="0021036F"/>
    <w:rsid w:val="00211D64"/>
    <w:rsid w:val="00216C13"/>
    <w:rsid w:val="00224256"/>
    <w:rsid w:val="00230975"/>
    <w:rsid w:val="00235550"/>
    <w:rsid w:val="00242C33"/>
    <w:rsid w:val="00244D53"/>
    <w:rsid w:val="00245986"/>
    <w:rsid w:val="002504F2"/>
    <w:rsid w:val="00250602"/>
    <w:rsid w:val="00251BD9"/>
    <w:rsid w:val="00251F7F"/>
    <w:rsid w:val="00257F00"/>
    <w:rsid w:val="00262DC0"/>
    <w:rsid w:val="00264B9D"/>
    <w:rsid w:val="00273C98"/>
    <w:rsid w:val="002802B1"/>
    <w:rsid w:val="00284AFB"/>
    <w:rsid w:val="002A385A"/>
    <w:rsid w:val="002A772A"/>
    <w:rsid w:val="002B19C0"/>
    <w:rsid w:val="002B4D8D"/>
    <w:rsid w:val="002C1FEE"/>
    <w:rsid w:val="002C38A3"/>
    <w:rsid w:val="002C3FCA"/>
    <w:rsid w:val="002D0A69"/>
    <w:rsid w:val="002D2558"/>
    <w:rsid w:val="002D2929"/>
    <w:rsid w:val="002E16A4"/>
    <w:rsid w:val="002F11E9"/>
    <w:rsid w:val="002F19A5"/>
    <w:rsid w:val="0030077F"/>
    <w:rsid w:val="003010DA"/>
    <w:rsid w:val="003056DC"/>
    <w:rsid w:val="0030665F"/>
    <w:rsid w:val="003229EC"/>
    <w:rsid w:val="003235F1"/>
    <w:rsid w:val="00323CF0"/>
    <w:rsid w:val="00333F6E"/>
    <w:rsid w:val="00336129"/>
    <w:rsid w:val="003428DE"/>
    <w:rsid w:val="003458B5"/>
    <w:rsid w:val="00350CCA"/>
    <w:rsid w:val="00353550"/>
    <w:rsid w:val="003539ED"/>
    <w:rsid w:val="00355EBB"/>
    <w:rsid w:val="00357013"/>
    <w:rsid w:val="003572ED"/>
    <w:rsid w:val="00360DC7"/>
    <w:rsid w:val="00361A86"/>
    <w:rsid w:val="00364A58"/>
    <w:rsid w:val="0036549B"/>
    <w:rsid w:val="003664B0"/>
    <w:rsid w:val="00375D01"/>
    <w:rsid w:val="003767DA"/>
    <w:rsid w:val="00376F0B"/>
    <w:rsid w:val="00394808"/>
    <w:rsid w:val="00394AA1"/>
    <w:rsid w:val="003956B7"/>
    <w:rsid w:val="003970F3"/>
    <w:rsid w:val="003A14E7"/>
    <w:rsid w:val="003A5B2B"/>
    <w:rsid w:val="003A6B37"/>
    <w:rsid w:val="003A7237"/>
    <w:rsid w:val="003B02DB"/>
    <w:rsid w:val="003B1D3C"/>
    <w:rsid w:val="003B274C"/>
    <w:rsid w:val="003B583E"/>
    <w:rsid w:val="003C0092"/>
    <w:rsid w:val="003C3E13"/>
    <w:rsid w:val="003C4F54"/>
    <w:rsid w:val="003D3A21"/>
    <w:rsid w:val="003D3BFA"/>
    <w:rsid w:val="003D530F"/>
    <w:rsid w:val="003F1055"/>
    <w:rsid w:val="003F129C"/>
    <w:rsid w:val="003F23BD"/>
    <w:rsid w:val="003F6FFB"/>
    <w:rsid w:val="003F7247"/>
    <w:rsid w:val="00400A08"/>
    <w:rsid w:val="004120C5"/>
    <w:rsid w:val="00414E03"/>
    <w:rsid w:val="00415A71"/>
    <w:rsid w:val="004176FE"/>
    <w:rsid w:val="0042247A"/>
    <w:rsid w:val="004309A4"/>
    <w:rsid w:val="00430DF1"/>
    <w:rsid w:val="004312D4"/>
    <w:rsid w:val="004326B3"/>
    <w:rsid w:val="0043353A"/>
    <w:rsid w:val="0044009A"/>
    <w:rsid w:val="0044293F"/>
    <w:rsid w:val="00443883"/>
    <w:rsid w:val="00445D2A"/>
    <w:rsid w:val="00447925"/>
    <w:rsid w:val="004546D4"/>
    <w:rsid w:val="004608EA"/>
    <w:rsid w:val="00461698"/>
    <w:rsid w:val="004716F8"/>
    <w:rsid w:val="00472EBE"/>
    <w:rsid w:val="00474DE0"/>
    <w:rsid w:val="004759CC"/>
    <w:rsid w:val="004841B5"/>
    <w:rsid w:val="00485661"/>
    <w:rsid w:val="00494DDF"/>
    <w:rsid w:val="00496DD0"/>
    <w:rsid w:val="004A0BDE"/>
    <w:rsid w:val="004A2B71"/>
    <w:rsid w:val="004C52FF"/>
    <w:rsid w:val="004D4465"/>
    <w:rsid w:val="004D73A4"/>
    <w:rsid w:val="004E0E03"/>
    <w:rsid w:val="004E4349"/>
    <w:rsid w:val="004E4CA7"/>
    <w:rsid w:val="004F256D"/>
    <w:rsid w:val="004F41FB"/>
    <w:rsid w:val="004F47A9"/>
    <w:rsid w:val="004F4829"/>
    <w:rsid w:val="004F5C17"/>
    <w:rsid w:val="004F6491"/>
    <w:rsid w:val="004F665C"/>
    <w:rsid w:val="004F66BE"/>
    <w:rsid w:val="00501963"/>
    <w:rsid w:val="00504577"/>
    <w:rsid w:val="00506F76"/>
    <w:rsid w:val="00515F93"/>
    <w:rsid w:val="00516165"/>
    <w:rsid w:val="0051785C"/>
    <w:rsid w:val="00525868"/>
    <w:rsid w:val="00525AAB"/>
    <w:rsid w:val="0052621D"/>
    <w:rsid w:val="005340CE"/>
    <w:rsid w:val="005457F1"/>
    <w:rsid w:val="00547069"/>
    <w:rsid w:val="0055163A"/>
    <w:rsid w:val="00553296"/>
    <w:rsid w:val="005559E4"/>
    <w:rsid w:val="00556EF1"/>
    <w:rsid w:val="00557AB5"/>
    <w:rsid w:val="00560BF4"/>
    <w:rsid w:val="005634FC"/>
    <w:rsid w:val="00564D9D"/>
    <w:rsid w:val="00565B7E"/>
    <w:rsid w:val="00566184"/>
    <w:rsid w:val="00567E5E"/>
    <w:rsid w:val="00567F3F"/>
    <w:rsid w:val="0057397B"/>
    <w:rsid w:val="00577D69"/>
    <w:rsid w:val="00581124"/>
    <w:rsid w:val="00581767"/>
    <w:rsid w:val="0058255B"/>
    <w:rsid w:val="005836F7"/>
    <w:rsid w:val="005868EF"/>
    <w:rsid w:val="00590049"/>
    <w:rsid w:val="005912D0"/>
    <w:rsid w:val="005939F6"/>
    <w:rsid w:val="00597A87"/>
    <w:rsid w:val="005A11F2"/>
    <w:rsid w:val="005A200D"/>
    <w:rsid w:val="005A241E"/>
    <w:rsid w:val="005A60B8"/>
    <w:rsid w:val="005B2CFB"/>
    <w:rsid w:val="005B5AEE"/>
    <w:rsid w:val="005B5B73"/>
    <w:rsid w:val="005B5E71"/>
    <w:rsid w:val="005B61B0"/>
    <w:rsid w:val="005C08E6"/>
    <w:rsid w:val="005C506C"/>
    <w:rsid w:val="005D2309"/>
    <w:rsid w:val="005D65D6"/>
    <w:rsid w:val="005E23FD"/>
    <w:rsid w:val="005E2758"/>
    <w:rsid w:val="005E2E56"/>
    <w:rsid w:val="005E4EEB"/>
    <w:rsid w:val="005E583C"/>
    <w:rsid w:val="005E5AD1"/>
    <w:rsid w:val="005E5EA2"/>
    <w:rsid w:val="005E62B7"/>
    <w:rsid w:val="005F1EE1"/>
    <w:rsid w:val="005F3A75"/>
    <w:rsid w:val="005F76E4"/>
    <w:rsid w:val="005F7BC5"/>
    <w:rsid w:val="00602017"/>
    <w:rsid w:val="00602362"/>
    <w:rsid w:val="006134B1"/>
    <w:rsid w:val="00614477"/>
    <w:rsid w:val="0062042C"/>
    <w:rsid w:val="00623B83"/>
    <w:rsid w:val="00626ECD"/>
    <w:rsid w:val="006278A3"/>
    <w:rsid w:val="00631872"/>
    <w:rsid w:val="00633734"/>
    <w:rsid w:val="00633A72"/>
    <w:rsid w:val="006373AC"/>
    <w:rsid w:val="00640553"/>
    <w:rsid w:val="00646F25"/>
    <w:rsid w:val="00647FD9"/>
    <w:rsid w:val="0065251D"/>
    <w:rsid w:val="00660BAA"/>
    <w:rsid w:val="00664D03"/>
    <w:rsid w:val="00665289"/>
    <w:rsid w:val="00670384"/>
    <w:rsid w:val="0067290A"/>
    <w:rsid w:val="00672E6B"/>
    <w:rsid w:val="00673416"/>
    <w:rsid w:val="00681D02"/>
    <w:rsid w:val="00682682"/>
    <w:rsid w:val="006851F7"/>
    <w:rsid w:val="00693910"/>
    <w:rsid w:val="00693C1A"/>
    <w:rsid w:val="00694D9B"/>
    <w:rsid w:val="00695FBA"/>
    <w:rsid w:val="006A5F9D"/>
    <w:rsid w:val="006A7A5D"/>
    <w:rsid w:val="006B11EF"/>
    <w:rsid w:val="006B137C"/>
    <w:rsid w:val="006B30E6"/>
    <w:rsid w:val="006C4457"/>
    <w:rsid w:val="006C58C2"/>
    <w:rsid w:val="006D0565"/>
    <w:rsid w:val="006D41BB"/>
    <w:rsid w:val="006E01AC"/>
    <w:rsid w:val="006E16ED"/>
    <w:rsid w:val="006E1E3D"/>
    <w:rsid w:val="006E4011"/>
    <w:rsid w:val="006E64B1"/>
    <w:rsid w:val="006F2169"/>
    <w:rsid w:val="006F36A3"/>
    <w:rsid w:val="006F3F34"/>
    <w:rsid w:val="006F43B6"/>
    <w:rsid w:val="006F6D20"/>
    <w:rsid w:val="00701022"/>
    <w:rsid w:val="007123E6"/>
    <w:rsid w:val="00715C7D"/>
    <w:rsid w:val="0071669F"/>
    <w:rsid w:val="007179DF"/>
    <w:rsid w:val="00720E4B"/>
    <w:rsid w:val="00721660"/>
    <w:rsid w:val="0072708A"/>
    <w:rsid w:val="00727318"/>
    <w:rsid w:val="00731713"/>
    <w:rsid w:val="00734498"/>
    <w:rsid w:val="00734CD2"/>
    <w:rsid w:val="00736BAD"/>
    <w:rsid w:val="007405BB"/>
    <w:rsid w:val="007450FB"/>
    <w:rsid w:val="0074719A"/>
    <w:rsid w:val="007531C5"/>
    <w:rsid w:val="0075442A"/>
    <w:rsid w:val="007600B4"/>
    <w:rsid w:val="0076114F"/>
    <w:rsid w:val="00763F2A"/>
    <w:rsid w:val="00764435"/>
    <w:rsid w:val="00767A8C"/>
    <w:rsid w:val="00770A8A"/>
    <w:rsid w:val="00773B1E"/>
    <w:rsid w:val="0077465C"/>
    <w:rsid w:val="0078351C"/>
    <w:rsid w:val="007852FE"/>
    <w:rsid w:val="007865F6"/>
    <w:rsid w:val="00786D11"/>
    <w:rsid w:val="007925DC"/>
    <w:rsid w:val="00793CDA"/>
    <w:rsid w:val="007A1646"/>
    <w:rsid w:val="007A430E"/>
    <w:rsid w:val="007B2E80"/>
    <w:rsid w:val="007C1125"/>
    <w:rsid w:val="007C2741"/>
    <w:rsid w:val="007C3190"/>
    <w:rsid w:val="007C3435"/>
    <w:rsid w:val="007C784F"/>
    <w:rsid w:val="007D0E54"/>
    <w:rsid w:val="007D20E7"/>
    <w:rsid w:val="007D620D"/>
    <w:rsid w:val="007F0A47"/>
    <w:rsid w:val="007F1788"/>
    <w:rsid w:val="007F1E2E"/>
    <w:rsid w:val="007F4345"/>
    <w:rsid w:val="007F742D"/>
    <w:rsid w:val="00801566"/>
    <w:rsid w:val="008029BD"/>
    <w:rsid w:val="00802D32"/>
    <w:rsid w:val="00805953"/>
    <w:rsid w:val="008169C7"/>
    <w:rsid w:val="00817F0A"/>
    <w:rsid w:val="0082714D"/>
    <w:rsid w:val="00830407"/>
    <w:rsid w:val="00832A2D"/>
    <w:rsid w:val="008343F9"/>
    <w:rsid w:val="00835B09"/>
    <w:rsid w:val="00836A70"/>
    <w:rsid w:val="00837C7D"/>
    <w:rsid w:val="00841648"/>
    <w:rsid w:val="0084531A"/>
    <w:rsid w:val="00845B52"/>
    <w:rsid w:val="00851883"/>
    <w:rsid w:val="00853DE3"/>
    <w:rsid w:val="00854AD1"/>
    <w:rsid w:val="008605F5"/>
    <w:rsid w:val="00862193"/>
    <w:rsid w:val="0086246B"/>
    <w:rsid w:val="00863C08"/>
    <w:rsid w:val="00864ADD"/>
    <w:rsid w:val="0086636D"/>
    <w:rsid w:val="00867E8F"/>
    <w:rsid w:val="00870078"/>
    <w:rsid w:val="00870ABA"/>
    <w:rsid w:val="0087231F"/>
    <w:rsid w:val="008760F8"/>
    <w:rsid w:val="00880B4A"/>
    <w:rsid w:val="00880D86"/>
    <w:rsid w:val="00885B36"/>
    <w:rsid w:val="00886202"/>
    <w:rsid w:val="00897677"/>
    <w:rsid w:val="008A37D8"/>
    <w:rsid w:val="008A5CF4"/>
    <w:rsid w:val="008A61C2"/>
    <w:rsid w:val="008B0856"/>
    <w:rsid w:val="008B2C65"/>
    <w:rsid w:val="008B30DB"/>
    <w:rsid w:val="008B50AC"/>
    <w:rsid w:val="008B7321"/>
    <w:rsid w:val="008C242A"/>
    <w:rsid w:val="008C288F"/>
    <w:rsid w:val="008C3B69"/>
    <w:rsid w:val="008C416B"/>
    <w:rsid w:val="008D1132"/>
    <w:rsid w:val="008D2739"/>
    <w:rsid w:val="008E2C4E"/>
    <w:rsid w:val="008E4A3C"/>
    <w:rsid w:val="008E4B6A"/>
    <w:rsid w:val="008F3B8E"/>
    <w:rsid w:val="008F4E98"/>
    <w:rsid w:val="00901CB0"/>
    <w:rsid w:val="00903112"/>
    <w:rsid w:val="00904BC9"/>
    <w:rsid w:val="00906B2E"/>
    <w:rsid w:val="00915DF8"/>
    <w:rsid w:val="00924CE0"/>
    <w:rsid w:val="00927F2C"/>
    <w:rsid w:val="009322C8"/>
    <w:rsid w:val="00935888"/>
    <w:rsid w:val="00936260"/>
    <w:rsid w:val="00937D2A"/>
    <w:rsid w:val="00941697"/>
    <w:rsid w:val="00946DD4"/>
    <w:rsid w:val="009473B9"/>
    <w:rsid w:val="00947738"/>
    <w:rsid w:val="0095031E"/>
    <w:rsid w:val="00957E40"/>
    <w:rsid w:val="00960040"/>
    <w:rsid w:val="0096005F"/>
    <w:rsid w:val="00960F8F"/>
    <w:rsid w:val="00962E96"/>
    <w:rsid w:val="009640B5"/>
    <w:rsid w:val="0096603B"/>
    <w:rsid w:val="0097519E"/>
    <w:rsid w:val="00977379"/>
    <w:rsid w:val="00977CB0"/>
    <w:rsid w:val="009850E0"/>
    <w:rsid w:val="00987FA0"/>
    <w:rsid w:val="00990F82"/>
    <w:rsid w:val="00994C44"/>
    <w:rsid w:val="00995B6D"/>
    <w:rsid w:val="009A5179"/>
    <w:rsid w:val="009B5757"/>
    <w:rsid w:val="009B72F9"/>
    <w:rsid w:val="009D1E36"/>
    <w:rsid w:val="009D2414"/>
    <w:rsid w:val="009D333C"/>
    <w:rsid w:val="009D45B0"/>
    <w:rsid w:val="009D6EB4"/>
    <w:rsid w:val="009D75E0"/>
    <w:rsid w:val="009E2C03"/>
    <w:rsid w:val="009E4F3D"/>
    <w:rsid w:val="009E6788"/>
    <w:rsid w:val="009E6AC9"/>
    <w:rsid w:val="009E6BC0"/>
    <w:rsid w:val="009F1C74"/>
    <w:rsid w:val="009F5A02"/>
    <w:rsid w:val="00A036BC"/>
    <w:rsid w:val="00A10E95"/>
    <w:rsid w:val="00A154CB"/>
    <w:rsid w:val="00A17EFE"/>
    <w:rsid w:val="00A22756"/>
    <w:rsid w:val="00A23D92"/>
    <w:rsid w:val="00A30100"/>
    <w:rsid w:val="00A33D02"/>
    <w:rsid w:val="00A364BC"/>
    <w:rsid w:val="00A37D9B"/>
    <w:rsid w:val="00A40F8C"/>
    <w:rsid w:val="00A4319C"/>
    <w:rsid w:val="00A453F3"/>
    <w:rsid w:val="00A50786"/>
    <w:rsid w:val="00A542B4"/>
    <w:rsid w:val="00A5743E"/>
    <w:rsid w:val="00A6112C"/>
    <w:rsid w:val="00A6115B"/>
    <w:rsid w:val="00A66CFF"/>
    <w:rsid w:val="00A700A8"/>
    <w:rsid w:val="00A71546"/>
    <w:rsid w:val="00A73099"/>
    <w:rsid w:val="00A75341"/>
    <w:rsid w:val="00A80F90"/>
    <w:rsid w:val="00A81D87"/>
    <w:rsid w:val="00A827E4"/>
    <w:rsid w:val="00A85B0E"/>
    <w:rsid w:val="00A860DB"/>
    <w:rsid w:val="00A90B9C"/>
    <w:rsid w:val="00A9297B"/>
    <w:rsid w:val="00A949BA"/>
    <w:rsid w:val="00AA3391"/>
    <w:rsid w:val="00AA3806"/>
    <w:rsid w:val="00AA3A0A"/>
    <w:rsid w:val="00AA404A"/>
    <w:rsid w:val="00AB5172"/>
    <w:rsid w:val="00AB67F2"/>
    <w:rsid w:val="00AC1BBE"/>
    <w:rsid w:val="00AC41DA"/>
    <w:rsid w:val="00AC6544"/>
    <w:rsid w:val="00AC7DB2"/>
    <w:rsid w:val="00AD1149"/>
    <w:rsid w:val="00AD663B"/>
    <w:rsid w:val="00AE32A8"/>
    <w:rsid w:val="00AE75C3"/>
    <w:rsid w:val="00AF2ACD"/>
    <w:rsid w:val="00AF34CB"/>
    <w:rsid w:val="00AF6A13"/>
    <w:rsid w:val="00AF6E32"/>
    <w:rsid w:val="00B001EC"/>
    <w:rsid w:val="00B03166"/>
    <w:rsid w:val="00B134AC"/>
    <w:rsid w:val="00B226BC"/>
    <w:rsid w:val="00B22CF8"/>
    <w:rsid w:val="00B32AC6"/>
    <w:rsid w:val="00B36111"/>
    <w:rsid w:val="00B37355"/>
    <w:rsid w:val="00B4448E"/>
    <w:rsid w:val="00B4647F"/>
    <w:rsid w:val="00B55FE7"/>
    <w:rsid w:val="00B6116B"/>
    <w:rsid w:val="00B622BD"/>
    <w:rsid w:val="00B630D5"/>
    <w:rsid w:val="00B8339B"/>
    <w:rsid w:val="00B84A30"/>
    <w:rsid w:val="00B86209"/>
    <w:rsid w:val="00B8659C"/>
    <w:rsid w:val="00B90663"/>
    <w:rsid w:val="00B90F76"/>
    <w:rsid w:val="00B93AEE"/>
    <w:rsid w:val="00B968ED"/>
    <w:rsid w:val="00BA64DE"/>
    <w:rsid w:val="00BA7CA1"/>
    <w:rsid w:val="00BB5243"/>
    <w:rsid w:val="00BB62BA"/>
    <w:rsid w:val="00BC1E28"/>
    <w:rsid w:val="00BC23F5"/>
    <w:rsid w:val="00BC2C79"/>
    <w:rsid w:val="00BC2F74"/>
    <w:rsid w:val="00BC5AE3"/>
    <w:rsid w:val="00BD01A4"/>
    <w:rsid w:val="00BD463A"/>
    <w:rsid w:val="00BD786F"/>
    <w:rsid w:val="00BD7F0F"/>
    <w:rsid w:val="00BE2E22"/>
    <w:rsid w:val="00BE3893"/>
    <w:rsid w:val="00BE479D"/>
    <w:rsid w:val="00BE4CAE"/>
    <w:rsid w:val="00BE6885"/>
    <w:rsid w:val="00BE70A0"/>
    <w:rsid w:val="00BE750D"/>
    <w:rsid w:val="00BF4DDF"/>
    <w:rsid w:val="00C07A3A"/>
    <w:rsid w:val="00C07C63"/>
    <w:rsid w:val="00C17C5F"/>
    <w:rsid w:val="00C20A62"/>
    <w:rsid w:val="00C21845"/>
    <w:rsid w:val="00C221EE"/>
    <w:rsid w:val="00C27B16"/>
    <w:rsid w:val="00C31264"/>
    <w:rsid w:val="00C3426E"/>
    <w:rsid w:val="00C36854"/>
    <w:rsid w:val="00C42D4F"/>
    <w:rsid w:val="00C4352A"/>
    <w:rsid w:val="00C43EC6"/>
    <w:rsid w:val="00C46939"/>
    <w:rsid w:val="00C5445A"/>
    <w:rsid w:val="00C55FA4"/>
    <w:rsid w:val="00C57D7A"/>
    <w:rsid w:val="00C64887"/>
    <w:rsid w:val="00C648B9"/>
    <w:rsid w:val="00C64A42"/>
    <w:rsid w:val="00C6638C"/>
    <w:rsid w:val="00C66778"/>
    <w:rsid w:val="00C72B88"/>
    <w:rsid w:val="00C72FD0"/>
    <w:rsid w:val="00C776F4"/>
    <w:rsid w:val="00C828C7"/>
    <w:rsid w:val="00C83C0F"/>
    <w:rsid w:val="00C84509"/>
    <w:rsid w:val="00C85167"/>
    <w:rsid w:val="00C94325"/>
    <w:rsid w:val="00CA1C74"/>
    <w:rsid w:val="00CA2BCC"/>
    <w:rsid w:val="00CA53A4"/>
    <w:rsid w:val="00CA596E"/>
    <w:rsid w:val="00CA6F08"/>
    <w:rsid w:val="00CB1955"/>
    <w:rsid w:val="00CB505A"/>
    <w:rsid w:val="00CB63EA"/>
    <w:rsid w:val="00CC2D49"/>
    <w:rsid w:val="00CC443C"/>
    <w:rsid w:val="00CC4BA9"/>
    <w:rsid w:val="00CC5461"/>
    <w:rsid w:val="00CC6495"/>
    <w:rsid w:val="00CC6798"/>
    <w:rsid w:val="00CD35C4"/>
    <w:rsid w:val="00CD5560"/>
    <w:rsid w:val="00CD7891"/>
    <w:rsid w:val="00CE00C5"/>
    <w:rsid w:val="00CE0FBB"/>
    <w:rsid w:val="00CE124D"/>
    <w:rsid w:val="00CE14EF"/>
    <w:rsid w:val="00CE1BC3"/>
    <w:rsid w:val="00CE5564"/>
    <w:rsid w:val="00CE7A19"/>
    <w:rsid w:val="00CF35FF"/>
    <w:rsid w:val="00CF3932"/>
    <w:rsid w:val="00CF4FBA"/>
    <w:rsid w:val="00D003D2"/>
    <w:rsid w:val="00D00A95"/>
    <w:rsid w:val="00D03D31"/>
    <w:rsid w:val="00D11435"/>
    <w:rsid w:val="00D11E98"/>
    <w:rsid w:val="00D13037"/>
    <w:rsid w:val="00D14661"/>
    <w:rsid w:val="00D149A3"/>
    <w:rsid w:val="00D16FF2"/>
    <w:rsid w:val="00D1720F"/>
    <w:rsid w:val="00D210A4"/>
    <w:rsid w:val="00D22B52"/>
    <w:rsid w:val="00D24517"/>
    <w:rsid w:val="00D24E98"/>
    <w:rsid w:val="00D27F9D"/>
    <w:rsid w:val="00D40318"/>
    <w:rsid w:val="00D52BDF"/>
    <w:rsid w:val="00D548DF"/>
    <w:rsid w:val="00D675F3"/>
    <w:rsid w:val="00D70363"/>
    <w:rsid w:val="00D718EF"/>
    <w:rsid w:val="00D763D1"/>
    <w:rsid w:val="00D821CB"/>
    <w:rsid w:val="00D846C5"/>
    <w:rsid w:val="00D90DA7"/>
    <w:rsid w:val="00D90EA0"/>
    <w:rsid w:val="00D9126B"/>
    <w:rsid w:val="00D91604"/>
    <w:rsid w:val="00D92CCC"/>
    <w:rsid w:val="00D9621B"/>
    <w:rsid w:val="00D97893"/>
    <w:rsid w:val="00DA0189"/>
    <w:rsid w:val="00DA26EC"/>
    <w:rsid w:val="00DA6501"/>
    <w:rsid w:val="00DB0DCE"/>
    <w:rsid w:val="00DB0F08"/>
    <w:rsid w:val="00DB4E4A"/>
    <w:rsid w:val="00DB62EC"/>
    <w:rsid w:val="00DB7B47"/>
    <w:rsid w:val="00DC0F76"/>
    <w:rsid w:val="00DC1FBE"/>
    <w:rsid w:val="00DC33CF"/>
    <w:rsid w:val="00DC3D7D"/>
    <w:rsid w:val="00DD65DB"/>
    <w:rsid w:val="00DD65F4"/>
    <w:rsid w:val="00DD7EC4"/>
    <w:rsid w:val="00DE05B7"/>
    <w:rsid w:val="00DE0718"/>
    <w:rsid w:val="00DE0BF5"/>
    <w:rsid w:val="00DF2FAF"/>
    <w:rsid w:val="00DF5344"/>
    <w:rsid w:val="00E006B0"/>
    <w:rsid w:val="00E018B7"/>
    <w:rsid w:val="00E05E22"/>
    <w:rsid w:val="00E109E0"/>
    <w:rsid w:val="00E12A56"/>
    <w:rsid w:val="00E14654"/>
    <w:rsid w:val="00E1576D"/>
    <w:rsid w:val="00E246AD"/>
    <w:rsid w:val="00E2728C"/>
    <w:rsid w:val="00E35CE5"/>
    <w:rsid w:val="00E36146"/>
    <w:rsid w:val="00E40AA6"/>
    <w:rsid w:val="00E42F3B"/>
    <w:rsid w:val="00E443FC"/>
    <w:rsid w:val="00E45C37"/>
    <w:rsid w:val="00E47340"/>
    <w:rsid w:val="00E504E8"/>
    <w:rsid w:val="00E50BC7"/>
    <w:rsid w:val="00E528A6"/>
    <w:rsid w:val="00E52FB4"/>
    <w:rsid w:val="00E61C86"/>
    <w:rsid w:val="00E62D6F"/>
    <w:rsid w:val="00E62FF8"/>
    <w:rsid w:val="00E7107A"/>
    <w:rsid w:val="00E73933"/>
    <w:rsid w:val="00E75D97"/>
    <w:rsid w:val="00E77024"/>
    <w:rsid w:val="00E818E6"/>
    <w:rsid w:val="00E81A45"/>
    <w:rsid w:val="00E835D9"/>
    <w:rsid w:val="00E83965"/>
    <w:rsid w:val="00E84344"/>
    <w:rsid w:val="00E919E3"/>
    <w:rsid w:val="00E9449C"/>
    <w:rsid w:val="00EA2500"/>
    <w:rsid w:val="00EA59CF"/>
    <w:rsid w:val="00EA61B6"/>
    <w:rsid w:val="00EB350F"/>
    <w:rsid w:val="00EB352F"/>
    <w:rsid w:val="00EB4855"/>
    <w:rsid w:val="00EB4EFA"/>
    <w:rsid w:val="00EC21B5"/>
    <w:rsid w:val="00EC2DED"/>
    <w:rsid w:val="00EC46B7"/>
    <w:rsid w:val="00EC5C31"/>
    <w:rsid w:val="00EC5FDE"/>
    <w:rsid w:val="00ED138C"/>
    <w:rsid w:val="00ED58C9"/>
    <w:rsid w:val="00ED5E87"/>
    <w:rsid w:val="00ED6EC5"/>
    <w:rsid w:val="00EE0515"/>
    <w:rsid w:val="00EE1349"/>
    <w:rsid w:val="00EE37BD"/>
    <w:rsid w:val="00EE4725"/>
    <w:rsid w:val="00EF74D9"/>
    <w:rsid w:val="00F00CFD"/>
    <w:rsid w:val="00F11712"/>
    <w:rsid w:val="00F12BBF"/>
    <w:rsid w:val="00F1446B"/>
    <w:rsid w:val="00F20FB6"/>
    <w:rsid w:val="00F24658"/>
    <w:rsid w:val="00F26D4B"/>
    <w:rsid w:val="00F26E51"/>
    <w:rsid w:val="00F31053"/>
    <w:rsid w:val="00F3184B"/>
    <w:rsid w:val="00F32795"/>
    <w:rsid w:val="00F337D5"/>
    <w:rsid w:val="00F35AAB"/>
    <w:rsid w:val="00F41ED0"/>
    <w:rsid w:val="00F515EF"/>
    <w:rsid w:val="00F52115"/>
    <w:rsid w:val="00F569C9"/>
    <w:rsid w:val="00F56E1C"/>
    <w:rsid w:val="00F601AC"/>
    <w:rsid w:val="00F74217"/>
    <w:rsid w:val="00F80FAD"/>
    <w:rsid w:val="00F82578"/>
    <w:rsid w:val="00F8367D"/>
    <w:rsid w:val="00F854D0"/>
    <w:rsid w:val="00F85F51"/>
    <w:rsid w:val="00F876CC"/>
    <w:rsid w:val="00F8778E"/>
    <w:rsid w:val="00F96370"/>
    <w:rsid w:val="00FA0AAC"/>
    <w:rsid w:val="00FA531A"/>
    <w:rsid w:val="00FA67A8"/>
    <w:rsid w:val="00FB1EA0"/>
    <w:rsid w:val="00FB2483"/>
    <w:rsid w:val="00FB5CCB"/>
    <w:rsid w:val="00FB7D3F"/>
    <w:rsid w:val="00FD52D3"/>
    <w:rsid w:val="00FD62C5"/>
    <w:rsid w:val="00FD7A95"/>
    <w:rsid w:val="00FE4679"/>
    <w:rsid w:val="00FE53F4"/>
    <w:rsid w:val="00FE751F"/>
    <w:rsid w:val="00FE77D5"/>
    <w:rsid w:val="00FE7CD4"/>
    <w:rsid w:val="00FF68DD"/>
    <w:rsid w:val="00FF7200"/>
    <w:rsid w:val="01D73C13"/>
    <w:rsid w:val="0224362A"/>
    <w:rsid w:val="02F65C98"/>
    <w:rsid w:val="0324111A"/>
    <w:rsid w:val="035023A5"/>
    <w:rsid w:val="038B4DFE"/>
    <w:rsid w:val="056F0BD5"/>
    <w:rsid w:val="05BB24F7"/>
    <w:rsid w:val="05C70E9C"/>
    <w:rsid w:val="06B21F8D"/>
    <w:rsid w:val="07ED0468"/>
    <w:rsid w:val="08BB60F5"/>
    <w:rsid w:val="08E9737B"/>
    <w:rsid w:val="08EC0C19"/>
    <w:rsid w:val="09121A3F"/>
    <w:rsid w:val="091B685C"/>
    <w:rsid w:val="09B554AF"/>
    <w:rsid w:val="0A090F66"/>
    <w:rsid w:val="0A7A58AC"/>
    <w:rsid w:val="0AE630B3"/>
    <w:rsid w:val="0AED5443"/>
    <w:rsid w:val="0BDE2A9B"/>
    <w:rsid w:val="0CDC438C"/>
    <w:rsid w:val="0DAFF582"/>
    <w:rsid w:val="0E9C23E6"/>
    <w:rsid w:val="0F7A0D2D"/>
    <w:rsid w:val="10465E59"/>
    <w:rsid w:val="1080152E"/>
    <w:rsid w:val="116E7634"/>
    <w:rsid w:val="11BE542C"/>
    <w:rsid w:val="11D1474A"/>
    <w:rsid w:val="128D2510"/>
    <w:rsid w:val="1366238E"/>
    <w:rsid w:val="13875E01"/>
    <w:rsid w:val="13BE2810"/>
    <w:rsid w:val="14542FD4"/>
    <w:rsid w:val="14BA3EDC"/>
    <w:rsid w:val="14C52C70"/>
    <w:rsid w:val="152F6116"/>
    <w:rsid w:val="16B74615"/>
    <w:rsid w:val="16DC13D6"/>
    <w:rsid w:val="17125320"/>
    <w:rsid w:val="173724CA"/>
    <w:rsid w:val="177E6D59"/>
    <w:rsid w:val="17884203"/>
    <w:rsid w:val="182932F0"/>
    <w:rsid w:val="19BE4E0B"/>
    <w:rsid w:val="19EC507C"/>
    <w:rsid w:val="1A4F0431"/>
    <w:rsid w:val="1AA17AB6"/>
    <w:rsid w:val="1B4519E2"/>
    <w:rsid w:val="1BC021BE"/>
    <w:rsid w:val="1C093B64"/>
    <w:rsid w:val="1C2C33AF"/>
    <w:rsid w:val="1C8431EB"/>
    <w:rsid w:val="1D1D2C1B"/>
    <w:rsid w:val="1D6B1D16"/>
    <w:rsid w:val="1EBEE509"/>
    <w:rsid w:val="1F0F05A4"/>
    <w:rsid w:val="205804E3"/>
    <w:rsid w:val="20A84EC3"/>
    <w:rsid w:val="20BE2F28"/>
    <w:rsid w:val="21481A1D"/>
    <w:rsid w:val="21A95DE0"/>
    <w:rsid w:val="21AA47BF"/>
    <w:rsid w:val="21BA76AF"/>
    <w:rsid w:val="21DD6EFA"/>
    <w:rsid w:val="224C47AB"/>
    <w:rsid w:val="22CC6F93"/>
    <w:rsid w:val="22F307E5"/>
    <w:rsid w:val="242769B6"/>
    <w:rsid w:val="244871F4"/>
    <w:rsid w:val="24D60068"/>
    <w:rsid w:val="24F86524"/>
    <w:rsid w:val="252E7233"/>
    <w:rsid w:val="25CB52A5"/>
    <w:rsid w:val="25EA28BE"/>
    <w:rsid w:val="260B648D"/>
    <w:rsid w:val="264F4879"/>
    <w:rsid w:val="26EF3BC9"/>
    <w:rsid w:val="273E5511"/>
    <w:rsid w:val="2765562F"/>
    <w:rsid w:val="277B168E"/>
    <w:rsid w:val="278E3170"/>
    <w:rsid w:val="299E123B"/>
    <w:rsid w:val="299F19D2"/>
    <w:rsid w:val="2A796256"/>
    <w:rsid w:val="2AB021AF"/>
    <w:rsid w:val="2B8A1EA0"/>
    <w:rsid w:val="2BF914DF"/>
    <w:rsid w:val="2C0077CE"/>
    <w:rsid w:val="2D332404"/>
    <w:rsid w:val="2D353A23"/>
    <w:rsid w:val="2F923482"/>
    <w:rsid w:val="31623FD5"/>
    <w:rsid w:val="31717269"/>
    <w:rsid w:val="31F727B0"/>
    <w:rsid w:val="32621481"/>
    <w:rsid w:val="328B35DE"/>
    <w:rsid w:val="338D521C"/>
    <w:rsid w:val="33D642E8"/>
    <w:rsid w:val="34A75871"/>
    <w:rsid w:val="351F3E0C"/>
    <w:rsid w:val="35276684"/>
    <w:rsid w:val="353439DD"/>
    <w:rsid w:val="35CA376C"/>
    <w:rsid w:val="36D47ECA"/>
    <w:rsid w:val="36F25484"/>
    <w:rsid w:val="381C47C8"/>
    <w:rsid w:val="38435CD6"/>
    <w:rsid w:val="3851222B"/>
    <w:rsid w:val="3945157C"/>
    <w:rsid w:val="39A14F85"/>
    <w:rsid w:val="3B4636AA"/>
    <w:rsid w:val="3BC2699C"/>
    <w:rsid w:val="3BD05468"/>
    <w:rsid w:val="3BF92FCE"/>
    <w:rsid w:val="3CBA0719"/>
    <w:rsid w:val="3DAAD4F8"/>
    <w:rsid w:val="3E696E6B"/>
    <w:rsid w:val="3EF45B57"/>
    <w:rsid w:val="3F9E6094"/>
    <w:rsid w:val="3FD37551"/>
    <w:rsid w:val="40210BCD"/>
    <w:rsid w:val="404372F4"/>
    <w:rsid w:val="407C221B"/>
    <w:rsid w:val="41C704BB"/>
    <w:rsid w:val="42487ADC"/>
    <w:rsid w:val="4270093A"/>
    <w:rsid w:val="42F71AD2"/>
    <w:rsid w:val="4365162B"/>
    <w:rsid w:val="442962A2"/>
    <w:rsid w:val="4508235C"/>
    <w:rsid w:val="458E360A"/>
    <w:rsid w:val="47326B82"/>
    <w:rsid w:val="4794629C"/>
    <w:rsid w:val="48952158"/>
    <w:rsid w:val="48DE0BF4"/>
    <w:rsid w:val="493354CD"/>
    <w:rsid w:val="49703073"/>
    <w:rsid w:val="498E2D13"/>
    <w:rsid w:val="49C37F7C"/>
    <w:rsid w:val="4A37705E"/>
    <w:rsid w:val="4A6560CF"/>
    <w:rsid w:val="4A716BD1"/>
    <w:rsid w:val="4A773FB8"/>
    <w:rsid w:val="4A9C5796"/>
    <w:rsid w:val="4C004DC5"/>
    <w:rsid w:val="4D371A30"/>
    <w:rsid w:val="4DB93571"/>
    <w:rsid w:val="4E22182F"/>
    <w:rsid w:val="4E684D20"/>
    <w:rsid w:val="4EFF657E"/>
    <w:rsid w:val="50245B70"/>
    <w:rsid w:val="50FA56C3"/>
    <w:rsid w:val="51271DBC"/>
    <w:rsid w:val="514F3E5B"/>
    <w:rsid w:val="51CA7897"/>
    <w:rsid w:val="52A35472"/>
    <w:rsid w:val="53342081"/>
    <w:rsid w:val="53A172F0"/>
    <w:rsid w:val="5411465D"/>
    <w:rsid w:val="546215A5"/>
    <w:rsid w:val="552347CA"/>
    <w:rsid w:val="5551205F"/>
    <w:rsid w:val="557B22E9"/>
    <w:rsid w:val="55C25DDC"/>
    <w:rsid w:val="56007DEB"/>
    <w:rsid w:val="56342DCE"/>
    <w:rsid w:val="57554DCE"/>
    <w:rsid w:val="575B659C"/>
    <w:rsid w:val="57DF33DB"/>
    <w:rsid w:val="57FB12D2"/>
    <w:rsid w:val="588161B4"/>
    <w:rsid w:val="59230B8D"/>
    <w:rsid w:val="593B28A8"/>
    <w:rsid w:val="594828CF"/>
    <w:rsid w:val="5A3C15A0"/>
    <w:rsid w:val="5A9B6046"/>
    <w:rsid w:val="5ACF1E2B"/>
    <w:rsid w:val="5BBF152C"/>
    <w:rsid w:val="5BF213B3"/>
    <w:rsid w:val="5BFD50A5"/>
    <w:rsid w:val="5C481799"/>
    <w:rsid w:val="5C86208C"/>
    <w:rsid w:val="5CD1704D"/>
    <w:rsid w:val="5CED4F6D"/>
    <w:rsid w:val="5DA5036A"/>
    <w:rsid w:val="5DAD5125"/>
    <w:rsid w:val="5DFD950F"/>
    <w:rsid w:val="5E393C76"/>
    <w:rsid w:val="5E596C5B"/>
    <w:rsid w:val="5E983083"/>
    <w:rsid w:val="5ED7628F"/>
    <w:rsid w:val="5FFA2968"/>
    <w:rsid w:val="5FFFDCB0"/>
    <w:rsid w:val="600B172D"/>
    <w:rsid w:val="60797A83"/>
    <w:rsid w:val="61BC3E5A"/>
    <w:rsid w:val="620F1E56"/>
    <w:rsid w:val="62775775"/>
    <w:rsid w:val="638A7F8E"/>
    <w:rsid w:val="63F83144"/>
    <w:rsid w:val="653E33B4"/>
    <w:rsid w:val="65B76366"/>
    <w:rsid w:val="65BE4EF4"/>
    <w:rsid w:val="65C66A8B"/>
    <w:rsid w:val="65E90ACB"/>
    <w:rsid w:val="660B1854"/>
    <w:rsid w:val="66FB238F"/>
    <w:rsid w:val="673E5D7E"/>
    <w:rsid w:val="678106E7"/>
    <w:rsid w:val="67FFAA95"/>
    <w:rsid w:val="68FE3AB4"/>
    <w:rsid w:val="69937B96"/>
    <w:rsid w:val="6A3B2C5D"/>
    <w:rsid w:val="6AC71795"/>
    <w:rsid w:val="6B342DB6"/>
    <w:rsid w:val="6B6E7887"/>
    <w:rsid w:val="6BB1180E"/>
    <w:rsid w:val="6C6C35A4"/>
    <w:rsid w:val="6CA4030D"/>
    <w:rsid w:val="6D341690"/>
    <w:rsid w:val="6DB7443C"/>
    <w:rsid w:val="6DE918C1"/>
    <w:rsid w:val="6E838706"/>
    <w:rsid w:val="6EA2087C"/>
    <w:rsid w:val="6EEF526B"/>
    <w:rsid w:val="6F046726"/>
    <w:rsid w:val="6F0474C4"/>
    <w:rsid w:val="6F77ADC7"/>
    <w:rsid w:val="6FF9FA1F"/>
    <w:rsid w:val="707E5C20"/>
    <w:rsid w:val="70D54D05"/>
    <w:rsid w:val="710400D5"/>
    <w:rsid w:val="714F50CC"/>
    <w:rsid w:val="71654A6F"/>
    <w:rsid w:val="7239457E"/>
    <w:rsid w:val="72764315"/>
    <w:rsid w:val="729F452A"/>
    <w:rsid w:val="73B54135"/>
    <w:rsid w:val="748C6A5A"/>
    <w:rsid w:val="74DB2652"/>
    <w:rsid w:val="750C3D6D"/>
    <w:rsid w:val="76D724C3"/>
    <w:rsid w:val="76FF8821"/>
    <w:rsid w:val="795409C4"/>
    <w:rsid w:val="796B6F1B"/>
    <w:rsid w:val="7A604E5D"/>
    <w:rsid w:val="7AD14F03"/>
    <w:rsid w:val="7B05466C"/>
    <w:rsid w:val="7B444279"/>
    <w:rsid w:val="7B565E0B"/>
    <w:rsid w:val="7B821819"/>
    <w:rsid w:val="7BB57E40"/>
    <w:rsid w:val="7C8415C1"/>
    <w:rsid w:val="7CDA3399"/>
    <w:rsid w:val="7D3B6786"/>
    <w:rsid w:val="7DBA9190"/>
    <w:rsid w:val="7E413C0D"/>
    <w:rsid w:val="7EAF0B77"/>
    <w:rsid w:val="7EF94B5F"/>
    <w:rsid w:val="7EFFED0B"/>
    <w:rsid w:val="7F361317"/>
    <w:rsid w:val="9ABAF0A1"/>
    <w:rsid w:val="A7CF50F6"/>
    <w:rsid w:val="ADFF4584"/>
    <w:rsid w:val="AFF51E2A"/>
    <w:rsid w:val="B0FFBAA9"/>
    <w:rsid w:val="B6FBC43C"/>
    <w:rsid w:val="BF7F71A4"/>
    <w:rsid w:val="BFB307E4"/>
    <w:rsid w:val="C7FF6C36"/>
    <w:rsid w:val="CBBE77BF"/>
    <w:rsid w:val="D1CEFE19"/>
    <w:rsid w:val="D8FEA4F1"/>
    <w:rsid w:val="DFE91443"/>
    <w:rsid w:val="E67B0CA2"/>
    <w:rsid w:val="F5B7AECA"/>
    <w:rsid w:val="F76FD41F"/>
    <w:rsid w:val="F9B557F1"/>
    <w:rsid w:val="FAF93850"/>
    <w:rsid w:val="FBF7F97D"/>
    <w:rsid w:val="FBFE978F"/>
    <w:rsid w:val="FEFA070D"/>
    <w:rsid w:val="FEFEC325"/>
    <w:rsid w:val="FFA5AEBF"/>
    <w:rsid w:val="FFDD0DCB"/>
    <w:rsid w:val="FFFD15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iPriority="99" w:semiHidden="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qFormat="1" w:unhideWhenUsed="0" w:uiPriority="0" w:semiHidden="0" w:name="Normal (Web)"/>
    <w:lsdException w:uiPriority="0" w:name="HTML Acronym"/>
    <w:lsdException w:uiPriority="0" w:name="HTML Address"/>
    <w:lsdException w:uiPriority="0" w:name="HTML Cite"/>
    <w:lsdException w:qFormat="1" w:unhideWhenUsed="0" w:uiPriority="0" w:semiHidden="0" w:name="HTML Code"/>
    <w:lsdException w:qFormat="1" w:unhideWhenUsed="0" w:uiPriority="0" w:semiHidden="0" w:name="HTML Definition"/>
    <w:lsdException w:qFormat="1" w:uiPriority="0" w:name="HTML Keyboard"/>
    <w:lsdException w:uiPriority="0" w:name="HTML Preformatted"/>
    <w:lsdException w:qFormat="1" w:unhideWhenUsed="0" w:uiPriority="0" w:semiHidden="0" w:name="HTML Sample"/>
    <w:lsdException w:uiPriority="0" w:name="HTML Typewriter"/>
    <w:lsdException w:uiPriority="0" w:name="HTML Variable"/>
    <w:lsdException w:qFormat="1" w:uiPriority="99" w:name="Normal Table"/>
    <w:lsdException w:qFormat="1"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iPriority="0" w:name="Balloon Text"/>
    <w:lsdException w:qFormat="1" w:unhideWhenUsed="0" w:uiPriority="3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after="330" w:line="578" w:lineRule="auto"/>
      <w:outlineLvl w:val="0"/>
    </w:pPr>
    <w:rPr>
      <w:rFonts w:eastAsia="黑体"/>
      <w:bCs/>
      <w:kern w:val="44"/>
      <w:sz w:val="36"/>
      <w:szCs w:val="44"/>
    </w:rPr>
  </w:style>
  <w:style w:type="paragraph" w:styleId="3">
    <w:name w:val="heading 2"/>
    <w:basedOn w:val="1"/>
    <w:next w:val="1"/>
    <w:link w:val="28"/>
    <w:qFormat/>
    <w:uiPriority w:val="0"/>
    <w:pPr>
      <w:keepNext/>
      <w:keepLines/>
      <w:numPr>
        <w:ilvl w:val="0"/>
        <w:numId w:val="1"/>
      </w:numPr>
      <w:spacing w:before="260" w:after="260" w:line="415" w:lineRule="auto"/>
      <w:outlineLvl w:val="1"/>
    </w:pPr>
    <w:rPr>
      <w:rFonts w:eastAsia="仿宋_GB2312"/>
      <w:b/>
      <w:bCs/>
      <w:sz w:val="28"/>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4">
    <w:name w:val="annotation text"/>
    <w:basedOn w:val="1"/>
    <w:link w:val="51"/>
    <w:qFormat/>
    <w:uiPriority w:val="0"/>
    <w:pPr>
      <w:jc w:val="left"/>
    </w:pPr>
  </w:style>
  <w:style w:type="paragraph" w:styleId="5">
    <w:name w:val="toc 3"/>
    <w:basedOn w:val="1"/>
    <w:next w:val="1"/>
    <w:qFormat/>
    <w:uiPriority w:val="39"/>
    <w:pPr>
      <w:ind w:left="840" w:leftChars="400"/>
    </w:pPr>
  </w:style>
  <w:style w:type="paragraph" w:styleId="6">
    <w:name w:val="Date"/>
    <w:basedOn w:val="1"/>
    <w:next w:val="1"/>
    <w:link w:val="78"/>
    <w:semiHidden/>
    <w:unhideWhenUsed/>
    <w:qFormat/>
    <w:uiPriority w:val="0"/>
    <w:pPr>
      <w:ind w:left="100" w:leftChars="2500"/>
    </w:pPr>
  </w:style>
  <w:style w:type="paragraph" w:styleId="7">
    <w:name w:val="Balloon Text"/>
    <w:basedOn w:val="1"/>
    <w:link w:val="61"/>
    <w:semiHidden/>
    <w:unhideWhenUsed/>
    <w:qFormat/>
    <w:uiPriority w:val="0"/>
    <w:rPr>
      <w:sz w:val="18"/>
      <w:szCs w:val="18"/>
    </w:rPr>
  </w:style>
  <w:style w:type="paragraph" w:styleId="8">
    <w:name w:val="footer"/>
    <w:basedOn w:val="1"/>
    <w:link w:val="30"/>
    <w:qFormat/>
    <w:uiPriority w:val="99"/>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10">
    <w:name w:val="toc 1"/>
    <w:basedOn w:val="1"/>
    <w:next w:val="1"/>
    <w:qFormat/>
    <w:uiPriority w:val="39"/>
  </w:style>
  <w:style w:type="paragraph" w:styleId="11">
    <w:name w:val="footnote text"/>
    <w:basedOn w:val="1"/>
    <w:link w:val="77"/>
    <w:qFormat/>
    <w:uiPriority w:val="0"/>
    <w:pPr>
      <w:tabs>
        <w:tab w:val="left" w:pos="0"/>
      </w:tabs>
      <w:snapToGrid w:val="0"/>
      <w:jc w:val="left"/>
    </w:pPr>
    <w:rPr>
      <w:rFonts w:ascii="宋体"/>
      <w:sz w:val="18"/>
      <w:szCs w:val="18"/>
    </w:rPr>
  </w:style>
  <w:style w:type="paragraph" w:styleId="12">
    <w:name w:val="toc 2"/>
    <w:basedOn w:val="1"/>
    <w:next w:val="1"/>
    <w:qFormat/>
    <w:uiPriority w:val="39"/>
    <w:pPr>
      <w:ind w:left="420" w:leftChars="200"/>
    </w:pPr>
  </w:style>
  <w:style w:type="paragraph" w:styleId="13">
    <w:name w:val="Normal (Web)"/>
    <w:basedOn w:val="1"/>
    <w:qFormat/>
    <w:uiPriority w:val="0"/>
    <w:pPr>
      <w:spacing w:beforeAutospacing="1" w:afterAutospacing="1"/>
      <w:jc w:val="left"/>
    </w:pPr>
    <w:rPr>
      <w:kern w:val="0"/>
      <w:sz w:val="24"/>
    </w:rPr>
  </w:style>
  <w:style w:type="paragraph" w:styleId="14">
    <w:name w:val="annotation subject"/>
    <w:basedOn w:val="4"/>
    <w:next w:val="4"/>
    <w:link w:val="60"/>
    <w:semiHidden/>
    <w:unhideWhenUsed/>
    <w:qFormat/>
    <w:uiPriority w:val="0"/>
    <w:rPr>
      <w:b/>
      <w:bCs/>
    </w:rPr>
  </w:style>
  <w:style w:type="table" w:styleId="16">
    <w:name w:val="Table Grid"/>
    <w:basedOn w:val="15"/>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qFormat/>
    <w:uiPriority w:val="0"/>
    <w:rPr>
      <w:b/>
      <w:bCs/>
    </w:rPr>
  </w:style>
  <w:style w:type="character" w:styleId="19">
    <w:name w:val="FollowedHyperlink"/>
    <w:basedOn w:val="17"/>
    <w:qFormat/>
    <w:uiPriority w:val="0"/>
    <w:rPr>
      <w:color w:val="800080"/>
      <w:u w:val="none"/>
    </w:rPr>
  </w:style>
  <w:style w:type="character" w:styleId="20">
    <w:name w:val="HTML Definition"/>
    <w:basedOn w:val="17"/>
    <w:qFormat/>
    <w:uiPriority w:val="0"/>
    <w:rPr>
      <w:i/>
      <w:iCs/>
    </w:rPr>
  </w:style>
  <w:style w:type="character" w:styleId="21">
    <w:name w:val="Hyperlink"/>
    <w:basedOn w:val="17"/>
    <w:unhideWhenUsed/>
    <w:qFormat/>
    <w:uiPriority w:val="99"/>
    <w:rPr>
      <w:color w:val="0000FF" w:themeColor="hyperlink"/>
      <w:u w:val="single"/>
      <w14:textFill>
        <w14:solidFill>
          <w14:schemeClr w14:val="hlink"/>
        </w14:solidFill>
      </w14:textFill>
    </w:rPr>
  </w:style>
  <w:style w:type="character" w:styleId="22">
    <w:name w:val="HTML Code"/>
    <w:basedOn w:val="17"/>
    <w:qFormat/>
    <w:uiPriority w:val="0"/>
    <w:rPr>
      <w:rFonts w:ascii="Consolas" w:hAnsi="Consolas" w:eastAsia="Consolas" w:cs="Consolas"/>
      <w:color w:val="C7254E"/>
      <w:sz w:val="21"/>
      <w:szCs w:val="21"/>
      <w:shd w:val="clear" w:color="auto" w:fill="F9F2F4"/>
    </w:rPr>
  </w:style>
  <w:style w:type="character" w:styleId="23">
    <w:name w:val="annotation reference"/>
    <w:basedOn w:val="17"/>
    <w:unhideWhenUsed/>
    <w:qFormat/>
    <w:uiPriority w:val="99"/>
    <w:rPr>
      <w:sz w:val="21"/>
      <w:szCs w:val="21"/>
    </w:rPr>
  </w:style>
  <w:style w:type="character" w:styleId="24">
    <w:name w:val="HTML Keyboard"/>
    <w:basedOn w:val="17"/>
    <w:semiHidden/>
    <w:unhideWhenUsed/>
    <w:qFormat/>
    <w:uiPriority w:val="0"/>
    <w:rPr>
      <w:rFonts w:hint="default" w:ascii="Consolas" w:hAnsi="Consolas" w:eastAsia="Consolas" w:cs="Consolas"/>
      <w:color w:val="FFFFFF"/>
      <w:sz w:val="21"/>
      <w:szCs w:val="21"/>
      <w:shd w:val="clear" w:color="auto" w:fill="333333"/>
    </w:rPr>
  </w:style>
  <w:style w:type="character" w:styleId="25">
    <w:name w:val="HTML Sample"/>
    <w:basedOn w:val="17"/>
    <w:qFormat/>
    <w:uiPriority w:val="0"/>
    <w:rPr>
      <w:rFonts w:hint="default" w:ascii="Consolas" w:hAnsi="Consolas" w:eastAsia="Consolas" w:cs="Consolas"/>
      <w:sz w:val="21"/>
      <w:szCs w:val="21"/>
    </w:rPr>
  </w:style>
  <w:style w:type="paragraph" w:styleId="26">
    <w:name w:val="List Paragraph"/>
    <w:basedOn w:val="1"/>
    <w:qFormat/>
    <w:uiPriority w:val="99"/>
    <w:pPr>
      <w:ind w:firstLine="420" w:firstLineChars="200"/>
    </w:pPr>
  </w:style>
  <w:style w:type="paragraph" w:customStyle="1" w:styleId="27">
    <w:name w:val="表格文字"/>
    <w:basedOn w:val="1"/>
    <w:qFormat/>
    <w:uiPriority w:val="0"/>
    <w:pPr>
      <w:spacing w:before="100" w:beforeAutospacing="1" w:after="100" w:afterAutospacing="1" w:line="360" w:lineRule="auto"/>
      <w:jc w:val="center"/>
    </w:pPr>
    <w:rPr>
      <w:rFonts w:eastAsia="仿宋_GB2312"/>
      <w:sz w:val="32"/>
      <w:szCs w:val="20"/>
    </w:rPr>
  </w:style>
  <w:style w:type="character" w:customStyle="1" w:styleId="28">
    <w:name w:val="标题 2 Char"/>
    <w:basedOn w:val="17"/>
    <w:link w:val="3"/>
    <w:qFormat/>
    <w:uiPriority w:val="0"/>
    <w:rPr>
      <w:rFonts w:eastAsia="仿宋_GB2312"/>
      <w:b/>
      <w:bCs/>
      <w:kern w:val="2"/>
      <w:sz w:val="28"/>
      <w:szCs w:val="32"/>
    </w:rPr>
  </w:style>
  <w:style w:type="paragraph" w:customStyle="1" w:styleId="29">
    <w:name w:val="修订1"/>
    <w:hidden/>
    <w:semiHidden/>
    <w:qFormat/>
    <w:uiPriority w:val="99"/>
    <w:rPr>
      <w:rFonts w:ascii="Times New Roman" w:hAnsi="Times New Roman" w:eastAsia="宋体" w:cs="Times New Roman"/>
      <w:kern w:val="2"/>
      <w:sz w:val="21"/>
      <w:szCs w:val="24"/>
      <w:lang w:val="en-US" w:eastAsia="zh-CN" w:bidi="ar-SA"/>
    </w:rPr>
  </w:style>
  <w:style w:type="character" w:customStyle="1" w:styleId="30">
    <w:name w:val="页脚 Char"/>
    <w:basedOn w:val="17"/>
    <w:link w:val="8"/>
    <w:qFormat/>
    <w:uiPriority w:val="99"/>
    <w:rPr>
      <w:kern w:val="2"/>
      <w:sz w:val="18"/>
      <w:szCs w:val="24"/>
    </w:rPr>
  </w:style>
  <w:style w:type="paragraph" w:customStyle="1" w:styleId="31">
    <w:name w:val="标准文件_正文表标题"/>
    <w:next w:val="32"/>
    <w:qFormat/>
    <w:uiPriority w:val="0"/>
    <w:pPr>
      <w:numPr>
        <w:ilvl w:val="0"/>
        <w:numId w:val="2"/>
      </w:numPr>
      <w:tabs>
        <w:tab w:val="left" w:pos="0"/>
      </w:tabs>
      <w:spacing w:before="50" w:beforeLines="50" w:after="50" w:afterLines="50"/>
      <w:jc w:val="center"/>
    </w:pPr>
    <w:rPr>
      <w:rFonts w:ascii="黑体" w:hAnsi="Times New Roman" w:eastAsia="黑体" w:cs="Times New Roman"/>
      <w:sz w:val="21"/>
      <w:lang w:val="en-US" w:eastAsia="zh-CN" w:bidi="ar-SA"/>
    </w:rPr>
  </w:style>
  <w:style w:type="paragraph" w:customStyle="1" w:styleId="32">
    <w:name w:val="标准文件_段"/>
    <w:link w:val="50"/>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3">
    <w:name w:val="标准文件_表格"/>
    <w:basedOn w:val="32"/>
    <w:qFormat/>
    <w:uiPriority w:val="0"/>
    <w:pPr>
      <w:ind w:firstLine="0" w:firstLineChars="0"/>
      <w:jc w:val="center"/>
    </w:pPr>
    <w:rPr>
      <w:sz w:val="18"/>
    </w:rPr>
  </w:style>
  <w:style w:type="paragraph" w:customStyle="1" w:styleId="34">
    <w:name w:val="WPSOffice手动目录 1"/>
    <w:qFormat/>
    <w:uiPriority w:val="0"/>
    <w:rPr>
      <w:rFonts w:ascii="Times New Roman" w:hAnsi="Times New Roman" w:eastAsia="宋体" w:cs="Times New Roman"/>
      <w:lang w:val="en-US" w:eastAsia="zh-CN" w:bidi="ar-SA"/>
    </w:rPr>
  </w:style>
  <w:style w:type="paragraph" w:customStyle="1" w:styleId="35">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36">
    <w:name w:val="WPSOffice手动目录 3"/>
    <w:qFormat/>
    <w:uiPriority w:val="0"/>
    <w:pPr>
      <w:ind w:left="400" w:leftChars="400"/>
    </w:pPr>
    <w:rPr>
      <w:rFonts w:ascii="Times New Roman" w:hAnsi="Times New Roman" w:eastAsia="宋体" w:cs="Times New Roman"/>
      <w:lang w:val="en-US" w:eastAsia="zh-CN" w:bidi="ar-SA"/>
    </w:rPr>
  </w:style>
  <w:style w:type="paragraph" w:customStyle="1" w:styleId="37">
    <w:name w:val="标准文件_术语条一"/>
    <w:basedOn w:val="38"/>
    <w:next w:val="32"/>
    <w:qFormat/>
    <w:uiPriority w:val="0"/>
  </w:style>
  <w:style w:type="paragraph" w:customStyle="1" w:styleId="38">
    <w:name w:val="标准文件_一级无标题"/>
    <w:basedOn w:val="39"/>
    <w:qFormat/>
    <w:uiPriority w:val="0"/>
    <w:pPr>
      <w:spacing w:before="0" w:beforeLines="0" w:after="0" w:afterLines="0"/>
      <w:outlineLvl w:val="9"/>
    </w:pPr>
    <w:rPr>
      <w:rFonts w:ascii="宋体" w:eastAsia="宋体"/>
    </w:rPr>
  </w:style>
  <w:style w:type="paragraph" w:customStyle="1" w:styleId="39">
    <w:name w:val="标准文件_一级条标题"/>
    <w:basedOn w:val="40"/>
    <w:next w:val="32"/>
    <w:qFormat/>
    <w:uiPriority w:val="0"/>
    <w:pPr>
      <w:numPr>
        <w:ilvl w:val="2"/>
      </w:numPr>
      <w:spacing w:before="50" w:beforeLines="50" w:after="50" w:afterLines="50"/>
      <w:outlineLvl w:val="1"/>
    </w:pPr>
  </w:style>
  <w:style w:type="paragraph" w:customStyle="1" w:styleId="40">
    <w:name w:val="标准文件_章标题"/>
    <w:next w:val="32"/>
    <w:qFormat/>
    <w:uiPriority w:val="0"/>
    <w:pPr>
      <w:numPr>
        <w:ilvl w:val="1"/>
        <w:numId w:val="3"/>
      </w:numPr>
      <w:spacing w:before="100" w:beforeLines="100" w:after="100" w:afterLines="100"/>
      <w:jc w:val="both"/>
      <w:outlineLvl w:val="0"/>
    </w:pPr>
    <w:rPr>
      <w:rFonts w:ascii="黑体" w:hAnsi="Times New Roman" w:eastAsia="黑体" w:cs="Times New Roman"/>
      <w:sz w:val="21"/>
      <w:lang w:val="en-US" w:eastAsia="zh-CN" w:bidi="ar-SA"/>
    </w:rPr>
  </w:style>
  <w:style w:type="paragraph" w:customStyle="1" w:styleId="41">
    <w:name w:val="标准文件_二级无标题"/>
    <w:basedOn w:val="42"/>
    <w:qFormat/>
    <w:uiPriority w:val="0"/>
    <w:pPr>
      <w:spacing w:before="0" w:beforeLines="0" w:after="0" w:afterLines="0"/>
      <w:outlineLvl w:val="9"/>
    </w:pPr>
    <w:rPr>
      <w:rFonts w:ascii="宋体" w:eastAsia="宋体"/>
    </w:rPr>
  </w:style>
  <w:style w:type="paragraph" w:customStyle="1" w:styleId="42">
    <w:name w:val="标准文件_二级条标题"/>
    <w:next w:val="32"/>
    <w:qFormat/>
    <w:uiPriority w:val="0"/>
    <w:pPr>
      <w:widowControl w:val="0"/>
      <w:numPr>
        <w:ilvl w:val="3"/>
        <w:numId w:val="3"/>
      </w:numPr>
      <w:spacing w:before="50" w:beforeLines="50" w:after="50" w:afterLines="50"/>
      <w:jc w:val="both"/>
      <w:outlineLvl w:val="2"/>
    </w:pPr>
    <w:rPr>
      <w:rFonts w:ascii="黑体" w:hAnsi="Times New Roman" w:eastAsia="黑体" w:cs="Times New Roman"/>
      <w:sz w:val="21"/>
      <w:lang w:val="en-US" w:eastAsia="zh-CN" w:bidi="ar-SA"/>
    </w:rPr>
  </w:style>
  <w:style w:type="paragraph" w:customStyle="1" w:styleId="43">
    <w:name w:val="标准文件_附录标识"/>
    <w:next w:val="32"/>
    <w:qFormat/>
    <w:uiPriority w:val="0"/>
    <w:pPr>
      <w:numPr>
        <w:ilvl w:val="0"/>
        <w:numId w:val="4"/>
      </w:numPr>
      <w:shd w:val="clear" w:color="FFFFFF" w:fill="FFFFFF"/>
      <w:tabs>
        <w:tab w:val="left" w:pos="6406"/>
      </w:tabs>
      <w:spacing w:before="560" w:after="50" w:afterLines="50"/>
      <w:jc w:val="center"/>
      <w:outlineLvl w:val="0"/>
    </w:pPr>
    <w:rPr>
      <w:rFonts w:ascii="黑体" w:hAnsi="Times New Roman" w:eastAsia="黑体" w:cs="Times New Roman"/>
      <w:sz w:val="21"/>
      <w:lang w:val="en-US" w:eastAsia="zh-CN" w:bidi="ar-SA"/>
    </w:rPr>
  </w:style>
  <w:style w:type="paragraph" w:customStyle="1" w:styleId="44">
    <w:name w:val="标准文件_附录一级条标题"/>
    <w:next w:val="32"/>
    <w:qFormat/>
    <w:uiPriority w:val="0"/>
    <w:pPr>
      <w:widowControl w:val="0"/>
      <w:numPr>
        <w:ilvl w:val="1"/>
        <w:numId w:val="4"/>
      </w:numPr>
      <w:spacing w:before="50" w:beforeLines="50" w:after="50" w:afterLines="50"/>
      <w:jc w:val="both"/>
      <w:outlineLvl w:val="2"/>
    </w:pPr>
    <w:rPr>
      <w:rFonts w:ascii="黑体" w:hAnsi="Times New Roman" w:eastAsia="黑体" w:cs="Times New Roman"/>
      <w:kern w:val="21"/>
      <w:sz w:val="21"/>
      <w:lang w:val="en-US" w:eastAsia="zh-CN" w:bidi="ar-SA"/>
    </w:rPr>
  </w:style>
  <w:style w:type="paragraph" w:customStyle="1" w:styleId="45">
    <w:name w:val="标准文件_三级无标题"/>
    <w:basedOn w:val="46"/>
    <w:qFormat/>
    <w:uiPriority w:val="0"/>
    <w:pPr>
      <w:spacing w:before="0" w:beforeLines="0" w:after="0" w:afterLines="0"/>
      <w:outlineLvl w:val="9"/>
    </w:pPr>
    <w:rPr>
      <w:rFonts w:ascii="宋体" w:eastAsia="宋体"/>
    </w:rPr>
  </w:style>
  <w:style w:type="paragraph" w:customStyle="1" w:styleId="46">
    <w:name w:val="标准文件_三级条标题"/>
    <w:basedOn w:val="42"/>
    <w:next w:val="32"/>
    <w:qFormat/>
    <w:uiPriority w:val="0"/>
    <w:pPr>
      <w:widowControl/>
      <w:numPr>
        <w:ilvl w:val="4"/>
      </w:numPr>
      <w:outlineLvl w:val="3"/>
    </w:pPr>
  </w:style>
  <w:style w:type="table" w:customStyle="1" w:styleId="47">
    <w:name w:val="网格型1"/>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customStyle="1" w:styleId="48">
    <w:name w:val="网格型3"/>
    <w:basedOn w:val="15"/>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49">
    <w:name w:val="TOC 标题1"/>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Cs w:val="0"/>
      <w:color w:val="376092" w:themeColor="accent1" w:themeShade="BF"/>
      <w:kern w:val="0"/>
      <w:sz w:val="32"/>
      <w:szCs w:val="32"/>
    </w:rPr>
  </w:style>
  <w:style w:type="character" w:customStyle="1" w:styleId="50">
    <w:name w:val="标准文件_段 Char"/>
    <w:link w:val="32"/>
    <w:qFormat/>
    <w:uiPriority w:val="0"/>
    <w:rPr>
      <w:rFonts w:ascii="宋体"/>
      <w:sz w:val="21"/>
    </w:rPr>
  </w:style>
  <w:style w:type="character" w:customStyle="1" w:styleId="51">
    <w:name w:val="批注文字 Char"/>
    <w:basedOn w:val="17"/>
    <w:link w:val="4"/>
    <w:qFormat/>
    <w:uiPriority w:val="99"/>
    <w:rPr>
      <w:kern w:val="2"/>
      <w:sz w:val="21"/>
      <w:szCs w:val="24"/>
    </w:rPr>
  </w:style>
  <w:style w:type="character" w:customStyle="1" w:styleId="52">
    <w:name w:val="nth-child(3)"/>
    <w:basedOn w:val="17"/>
    <w:qFormat/>
    <w:uiPriority w:val="0"/>
    <w:rPr>
      <w:color w:val="666666"/>
      <w:sz w:val="21"/>
      <w:szCs w:val="21"/>
    </w:rPr>
  </w:style>
  <w:style w:type="character" w:customStyle="1" w:styleId="53">
    <w:name w:val="nth-child(3)1"/>
    <w:basedOn w:val="17"/>
    <w:qFormat/>
    <w:uiPriority w:val="0"/>
    <w:rPr>
      <w:color w:val="666666"/>
      <w:sz w:val="21"/>
      <w:szCs w:val="21"/>
    </w:rPr>
  </w:style>
  <w:style w:type="character" w:customStyle="1" w:styleId="54">
    <w:name w:val="number"/>
    <w:basedOn w:val="17"/>
    <w:qFormat/>
    <w:uiPriority w:val="0"/>
    <w:rPr>
      <w:color w:val="FFFFFF"/>
      <w:sz w:val="15"/>
      <w:szCs w:val="15"/>
      <w:bdr w:val="single" w:color="EC6941" w:sz="6" w:space="0"/>
      <w:shd w:val="clear" w:color="auto" w:fill="EC6941"/>
    </w:rPr>
  </w:style>
  <w:style w:type="character" w:customStyle="1" w:styleId="55">
    <w:name w:val="cur11"/>
    <w:basedOn w:val="17"/>
    <w:qFormat/>
    <w:uiPriority w:val="0"/>
    <w:rPr>
      <w:color w:val="FFFFFF"/>
      <w:shd w:val="clear" w:color="auto" w:fill="2B7FCE"/>
    </w:rPr>
  </w:style>
  <w:style w:type="character" w:customStyle="1" w:styleId="56">
    <w:name w:val="index2"/>
    <w:basedOn w:val="17"/>
    <w:qFormat/>
    <w:uiPriority w:val="0"/>
  </w:style>
  <w:style w:type="character" w:customStyle="1" w:styleId="57">
    <w:name w:val="index3"/>
    <w:basedOn w:val="17"/>
    <w:qFormat/>
    <w:uiPriority w:val="0"/>
    <w:rPr>
      <w:color w:val="FFFFFF"/>
    </w:rPr>
  </w:style>
  <w:style w:type="character" w:customStyle="1" w:styleId="58">
    <w:name w:val="index4"/>
    <w:basedOn w:val="17"/>
    <w:qFormat/>
    <w:uiPriority w:val="0"/>
  </w:style>
  <w:style w:type="paragraph" w:customStyle="1" w:styleId="59">
    <w:name w:val="修订2"/>
    <w:hidden/>
    <w:semiHidden/>
    <w:qFormat/>
    <w:uiPriority w:val="99"/>
    <w:rPr>
      <w:rFonts w:ascii="Times New Roman" w:hAnsi="Times New Roman" w:eastAsia="宋体" w:cs="Times New Roman"/>
      <w:kern w:val="2"/>
      <w:sz w:val="21"/>
      <w:szCs w:val="24"/>
      <w:lang w:val="en-US" w:eastAsia="zh-CN" w:bidi="ar-SA"/>
    </w:rPr>
  </w:style>
  <w:style w:type="character" w:customStyle="1" w:styleId="60">
    <w:name w:val="批注主题 Char"/>
    <w:basedOn w:val="51"/>
    <w:link w:val="14"/>
    <w:semiHidden/>
    <w:qFormat/>
    <w:uiPriority w:val="0"/>
    <w:rPr>
      <w:b/>
      <w:bCs/>
      <w:kern w:val="2"/>
      <w:sz w:val="21"/>
      <w:szCs w:val="24"/>
    </w:rPr>
  </w:style>
  <w:style w:type="character" w:customStyle="1" w:styleId="61">
    <w:name w:val="批注框文本 Char"/>
    <w:basedOn w:val="17"/>
    <w:link w:val="7"/>
    <w:semiHidden/>
    <w:qFormat/>
    <w:uiPriority w:val="0"/>
    <w:rPr>
      <w:kern w:val="2"/>
      <w:sz w:val="18"/>
      <w:szCs w:val="18"/>
    </w:rPr>
  </w:style>
  <w:style w:type="paragraph" w:customStyle="1" w:styleId="62">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63">
    <w:name w:val="标准文件_数字编号列项（二级）"/>
    <w:qFormat/>
    <w:uiPriority w:val="0"/>
    <w:pPr>
      <w:numPr>
        <w:ilvl w:val="1"/>
        <w:numId w:val="5"/>
      </w:numPr>
      <w:tabs>
        <w:tab w:val="left" w:pos="851"/>
      </w:tabs>
      <w:jc w:val="both"/>
    </w:pPr>
    <w:rPr>
      <w:rFonts w:ascii="宋体" w:hAnsi="Times New Roman" w:eastAsia="宋体" w:cs="Times New Roman"/>
      <w:sz w:val="21"/>
      <w:lang w:val="en-US" w:eastAsia="zh-CN" w:bidi="ar-SA"/>
    </w:rPr>
  </w:style>
  <w:style w:type="paragraph" w:customStyle="1" w:styleId="64">
    <w:name w:val="标准文件_附录表标题"/>
    <w:next w:val="32"/>
    <w:qFormat/>
    <w:uiPriority w:val="0"/>
    <w:pPr>
      <w:numPr>
        <w:ilvl w:val="1"/>
        <w:numId w:val="6"/>
      </w:numPr>
      <w:adjustRightInd w:val="0"/>
      <w:snapToGrid w:val="0"/>
      <w:spacing w:before="50" w:beforeLines="50" w:after="50" w:afterLines="50"/>
      <w:jc w:val="center"/>
      <w:textAlignment w:val="baseline"/>
    </w:pPr>
    <w:rPr>
      <w:rFonts w:ascii="黑体" w:hAnsi="Times New Roman" w:eastAsia="黑体" w:cs="Times New Roman"/>
      <w:kern w:val="21"/>
      <w:sz w:val="21"/>
      <w:lang w:val="en-US" w:eastAsia="zh-CN" w:bidi="ar-SA"/>
    </w:rPr>
  </w:style>
  <w:style w:type="paragraph" w:customStyle="1" w:styleId="65">
    <w:name w:val="修订4"/>
    <w:hidden/>
    <w:semiHidden/>
    <w:qFormat/>
    <w:uiPriority w:val="99"/>
    <w:rPr>
      <w:rFonts w:ascii="Times New Roman" w:hAnsi="Times New Roman" w:eastAsia="宋体" w:cs="Times New Roman"/>
      <w:kern w:val="2"/>
      <w:sz w:val="21"/>
      <w:szCs w:val="24"/>
      <w:lang w:val="en-US" w:eastAsia="zh-CN" w:bidi="ar-SA"/>
    </w:rPr>
  </w:style>
  <w:style w:type="table" w:customStyle="1" w:styleId="66">
    <w:name w:val="网格型2"/>
    <w:basedOn w:val="15"/>
    <w:qFormat/>
    <w:uiPriority w:val="3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67">
    <w:name w:val="列项——（一级）"/>
    <w:qFormat/>
    <w:uiPriority w:val="0"/>
    <w:pPr>
      <w:widowControl w:val="0"/>
      <w:numPr>
        <w:ilvl w:val="0"/>
        <w:numId w:val="7"/>
      </w:numPr>
      <w:spacing w:after="160" w:line="278" w:lineRule="auto"/>
      <w:jc w:val="both"/>
    </w:pPr>
    <w:rPr>
      <w:rFonts w:ascii="宋体" w:hAnsi="Times New Roman" w:eastAsia="宋体" w:cs="Times New Roman"/>
      <w:sz w:val="21"/>
      <w:lang w:val="en-US" w:eastAsia="zh-CN" w:bidi="ar-SA"/>
    </w:rPr>
  </w:style>
  <w:style w:type="paragraph" w:customStyle="1" w:styleId="68">
    <w:name w:val="列项●（二级）"/>
    <w:qFormat/>
    <w:uiPriority w:val="0"/>
    <w:pPr>
      <w:numPr>
        <w:ilvl w:val="1"/>
        <w:numId w:val="7"/>
      </w:numPr>
      <w:tabs>
        <w:tab w:val="left" w:pos="840"/>
      </w:tabs>
      <w:spacing w:after="160" w:line="278" w:lineRule="auto"/>
      <w:jc w:val="both"/>
    </w:pPr>
    <w:rPr>
      <w:rFonts w:ascii="宋体" w:hAnsi="Times New Roman" w:eastAsia="宋体" w:cs="Times New Roman"/>
      <w:sz w:val="21"/>
      <w:lang w:val="en-US" w:eastAsia="zh-CN" w:bidi="ar-SA"/>
    </w:rPr>
  </w:style>
  <w:style w:type="paragraph" w:customStyle="1" w:styleId="69">
    <w:name w:val="列项◆（三级）"/>
    <w:basedOn w:val="1"/>
    <w:qFormat/>
    <w:uiPriority w:val="0"/>
    <w:pPr>
      <w:numPr>
        <w:ilvl w:val="2"/>
        <w:numId w:val="7"/>
      </w:numPr>
      <w:spacing w:after="160" w:line="278" w:lineRule="auto"/>
    </w:pPr>
    <w:rPr>
      <w:rFonts w:ascii="宋体"/>
      <w:szCs w:val="21"/>
    </w:rPr>
  </w:style>
  <w:style w:type="paragraph" w:customStyle="1" w:styleId="70">
    <w:name w:val="修订5"/>
    <w:hidden/>
    <w:unhideWhenUsed/>
    <w:qFormat/>
    <w:uiPriority w:val="99"/>
    <w:rPr>
      <w:rFonts w:ascii="Times New Roman" w:hAnsi="Times New Roman" w:eastAsia="宋体" w:cs="Times New Roman"/>
      <w:kern w:val="2"/>
      <w:sz w:val="21"/>
      <w:szCs w:val="24"/>
      <w:lang w:val="en-US" w:eastAsia="zh-CN" w:bidi="ar-SA"/>
    </w:rPr>
  </w:style>
  <w:style w:type="paragraph" w:customStyle="1" w:styleId="71">
    <w:name w:val="修订6"/>
    <w:hidden/>
    <w:unhideWhenUsed/>
    <w:qFormat/>
    <w:uiPriority w:val="99"/>
    <w:rPr>
      <w:rFonts w:ascii="Times New Roman" w:hAnsi="Times New Roman" w:eastAsia="宋体" w:cs="Times New Roman"/>
      <w:kern w:val="2"/>
      <w:sz w:val="21"/>
      <w:szCs w:val="24"/>
      <w:lang w:val="en-US" w:eastAsia="zh-CN" w:bidi="ar-SA"/>
    </w:rPr>
  </w:style>
  <w:style w:type="paragraph" w:customStyle="1" w:styleId="72">
    <w:name w:val="段"/>
    <w:link w:val="73"/>
    <w:qFormat/>
    <w:uiPriority w:val="0"/>
    <w:pPr>
      <w:tabs>
        <w:tab w:val="center" w:pos="4201"/>
        <w:tab w:val="right" w:leader="dot" w:pos="9298"/>
      </w:tabs>
      <w:autoSpaceDE w:val="0"/>
      <w:autoSpaceDN w:val="0"/>
      <w:ind w:firstLine="420" w:firstLineChars="200"/>
      <w:jc w:val="both"/>
    </w:pPr>
    <w:rPr>
      <w:rFonts w:ascii="宋体" w:hAnsi="Times New Roman" w:eastAsia="宋体" w:cs="Times New Roman"/>
      <w:sz w:val="21"/>
      <w:lang w:val="en-US" w:eastAsia="zh-CN" w:bidi="ar-SA"/>
    </w:rPr>
  </w:style>
  <w:style w:type="character" w:customStyle="1" w:styleId="73">
    <w:name w:val="段 Char"/>
    <w:link w:val="72"/>
    <w:qFormat/>
    <w:uiPriority w:val="0"/>
    <w:rPr>
      <w:rFonts w:ascii="宋体"/>
      <w:sz w:val="21"/>
    </w:rPr>
  </w:style>
  <w:style w:type="paragraph" w:customStyle="1" w:styleId="74">
    <w:name w:val="标准书眉_奇数页"/>
    <w:next w:val="1"/>
    <w:qFormat/>
    <w:uiPriority w:val="0"/>
    <w:pPr>
      <w:tabs>
        <w:tab w:val="center" w:pos="4154"/>
        <w:tab w:val="right" w:pos="8306"/>
      </w:tabs>
      <w:spacing w:after="220"/>
      <w:jc w:val="right"/>
    </w:pPr>
    <w:rPr>
      <w:rFonts w:ascii="黑体" w:hAnsi="Times New Roman" w:eastAsia="黑体" w:cs="Times New Roman"/>
      <w:sz w:val="21"/>
      <w:szCs w:val="21"/>
      <w:lang w:val="en-US" w:eastAsia="zh-CN" w:bidi="ar-SA"/>
    </w:rPr>
  </w:style>
  <w:style w:type="paragraph" w:customStyle="1" w:styleId="75">
    <w:name w:val="标准书脚_奇数页"/>
    <w:qFormat/>
    <w:uiPriority w:val="0"/>
    <w:pPr>
      <w:spacing w:before="120"/>
      <w:ind w:right="198"/>
      <w:jc w:val="right"/>
    </w:pPr>
    <w:rPr>
      <w:rFonts w:ascii="宋体" w:hAnsi="Times New Roman" w:eastAsia="宋体" w:cs="Times New Roman"/>
      <w:sz w:val="18"/>
      <w:szCs w:val="18"/>
      <w:lang w:val="en-US" w:eastAsia="zh-CN" w:bidi="ar-SA"/>
    </w:rPr>
  </w:style>
  <w:style w:type="character" w:customStyle="1" w:styleId="76">
    <w:name w:val="批注文字 字符"/>
    <w:qFormat/>
    <w:uiPriority w:val="0"/>
    <w:rPr>
      <w:kern w:val="2"/>
      <w:sz w:val="21"/>
      <w:szCs w:val="24"/>
    </w:rPr>
  </w:style>
  <w:style w:type="character" w:customStyle="1" w:styleId="77">
    <w:name w:val="脚注文本 Char"/>
    <w:basedOn w:val="17"/>
    <w:link w:val="11"/>
    <w:qFormat/>
    <w:uiPriority w:val="0"/>
    <w:rPr>
      <w:rFonts w:ascii="宋体"/>
      <w:kern w:val="2"/>
      <w:sz w:val="18"/>
      <w:szCs w:val="18"/>
    </w:rPr>
  </w:style>
  <w:style w:type="character" w:customStyle="1" w:styleId="78">
    <w:name w:val="日期 Char"/>
    <w:basedOn w:val="17"/>
    <w:link w:val="6"/>
    <w:semiHidden/>
    <w:qFormat/>
    <w:uiPriority w:val="0"/>
    <w:rPr>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1.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9" Type="http://schemas.openxmlformats.org/officeDocument/2006/relationships/fontTable" Target="fontTable.xml"/><Relationship Id="rId28" Type="http://schemas.openxmlformats.org/officeDocument/2006/relationships/numbering" Target="numbering.xml"/><Relationship Id="rId27" Type="http://schemas.openxmlformats.org/officeDocument/2006/relationships/customXml" Target="../customXml/item1.xml"/><Relationship Id="rId26" Type="http://schemas.openxmlformats.org/officeDocument/2006/relationships/image" Target="media/image18.jpeg"/><Relationship Id="rId25" Type="http://schemas.openxmlformats.org/officeDocument/2006/relationships/image" Target="media/image17.jpeg"/><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jpeg"/><Relationship Id="rId18" Type="http://schemas.openxmlformats.org/officeDocument/2006/relationships/image" Target="media/image10.jpeg"/><Relationship Id="rId17" Type="http://schemas.openxmlformats.org/officeDocument/2006/relationships/image" Target="media/image9.jpeg"/><Relationship Id="rId16" Type="http://schemas.openxmlformats.org/officeDocument/2006/relationships/image" Target="media/image8.jpeg"/><Relationship Id="rId15" Type="http://schemas.openxmlformats.org/officeDocument/2006/relationships/image" Target="media/image7.jpeg"/><Relationship Id="rId14" Type="http://schemas.openxmlformats.org/officeDocument/2006/relationships/image" Target="media/image6.png"/><Relationship Id="rId13" Type="http://schemas.openxmlformats.org/officeDocument/2006/relationships/image" Target="media/image5.jpeg"/><Relationship Id="rId12" Type="http://schemas.openxmlformats.org/officeDocument/2006/relationships/image" Target="media/image4.jpeg"/><Relationship Id="rId11" Type="http://schemas.openxmlformats.org/officeDocument/2006/relationships/image" Target="media/image3.png"/><Relationship Id="rId10" Type="http://schemas.openxmlformats.org/officeDocument/2006/relationships/image" Target="media/image2.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3654</Words>
  <Characters>20828</Characters>
  <Lines>173</Lines>
  <Paragraphs>48</Paragraphs>
  <TotalTime>1</TotalTime>
  <ScaleCrop>false</ScaleCrop>
  <LinksUpToDate>false</LinksUpToDate>
  <CharactersWithSpaces>24434</CharactersWithSpaces>
  <Application>WPS Office_11.8.2.9831_F1E327BC-269C-435d-A152-05C5408002CA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2025-12-02T16:41:00Z</dcterms:created>
  <dc:creator>遥感室</dc:creator>
  <cp:lastModifiedBy>何婷婷</cp:lastModifiedBy>
  <dcterms:modified xsi:type="dcterms:W3CDTF">2026-02-02T16:18:06Z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2052-11.8.2.9831</vt:lpwstr>
  </property>
  <property fmtid="{D5CDD505-2E9C-101B-9397-08002B2CF9AE}" pid="3" name="ICV">
    <vt:lpwstr>F85E1E0568054EF99EDB0179F0D592F2_13</vt:lpwstr>
  </property>
  <property fmtid="{D5CDD505-2E9C-101B-9397-08002B2CF9AE}" pid="4" name="KSOTemplateDocerSaveRecord">
    <vt:lpwstr>eyJoZGlkIjoiNzBhM2MxM2RjM2FlMTg2ZjcwMzc4MWQ5MzJiNDAwYWUiLCJ1c2VySWQiOiI0NDU1NzI4MzcifQ==</vt:lpwstr>
  </property>
</Properties>
</file>