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_GB2312" w:eastAsia="仿宋_GB2312"/>
          <w:sz w:val="32"/>
          <w:szCs w:val="32"/>
        </w:rPr>
      </w:pPr>
      <w:r>
        <w:rPr>
          <w:rFonts w:hint="eastAsia" w:ascii="黑体" w:eastAsia="黑体"/>
          <w:sz w:val="32"/>
          <w:szCs w:val="32"/>
        </w:rPr>
        <w:t>附件1</w:t>
      </w:r>
    </w:p>
    <w:p>
      <w:pPr>
        <w:spacing w:before="312" w:beforeLines="100"/>
        <w:jc w:val="center"/>
        <w:rPr>
          <w:rFonts w:ascii="方正小标宋简体" w:hAnsi="仿宋_GB2312" w:eastAsia="方正小标宋简体" w:cs="Tahoma"/>
          <w:bCs/>
          <w:spacing w:val="-6"/>
          <w:kern w:val="0"/>
          <w:sz w:val="44"/>
          <w:szCs w:val="44"/>
        </w:rPr>
      </w:pPr>
      <w:r>
        <w:rPr>
          <w:rFonts w:hint="eastAsia" w:ascii="方正小标宋简体" w:hAnsi="仿宋_GB2312" w:eastAsia="方正小标宋简体" w:cs="Tahoma"/>
          <w:bCs/>
          <w:spacing w:val="-6"/>
          <w:kern w:val="0"/>
          <w:sz w:val="44"/>
          <w:szCs w:val="44"/>
        </w:rPr>
        <w:t>《建设项目环境影响评价分类管理名录》北京市实施细化规定（2019年本）</w:t>
      </w:r>
    </w:p>
    <w:tbl>
      <w:tblPr>
        <w:tblStyle w:val="5"/>
        <w:tblW w:w="14721" w:type="dxa"/>
        <w:jc w:val="center"/>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174"/>
        <w:gridCol w:w="2373"/>
        <w:gridCol w:w="2276"/>
        <w:gridCol w:w="2264"/>
        <w:gridCol w:w="2043"/>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blHeader/>
          <w:jc w:val="center"/>
        </w:trPr>
        <w:tc>
          <w:tcPr>
            <w:tcW w:w="3925" w:type="dxa"/>
            <w:gridSpan w:val="2"/>
            <w:tcBorders>
              <w:tl2br w:val="single" w:color="auto" w:sz="4" w:space="0"/>
            </w:tcBorders>
            <w:vAlign w:val="center"/>
          </w:tcPr>
          <w:p>
            <w:pPr>
              <w:widowControl/>
              <w:ind w:firstLine="1325" w:firstLineChars="550"/>
              <w:rPr>
                <w:rFonts w:ascii="黑体" w:hAnsi="黑体" w:eastAsia="黑体" w:cs="宋体"/>
                <w:b/>
                <w:bCs/>
                <w:kern w:val="0"/>
                <w:sz w:val="24"/>
                <w:szCs w:val="20"/>
              </w:rPr>
            </w:pPr>
            <w:r>
              <w:rPr>
                <w:rFonts w:hint="eastAsia" w:ascii="黑体" w:hAnsi="黑体" w:eastAsia="黑体" w:cs="宋体"/>
                <w:b/>
                <w:bCs/>
                <w:kern w:val="0"/>
                <w:sz w:val="24"/>
                <w:szCs w:val="20"/>
              </w:rPr>
              <w:t>环评类别</w:t>
            </w:r>
          </w:p>
          <w:p>
            <w:pPr>
              <w:widowControl/>
              <w:ind w:firstLine="120" w:firstLineChars="50"/>
              <w:rPr>
                <w:rFonts w:ascii="黑体" w:hAnsi="黑体" w:eastAsia="黑体" w:cs="宋体"/>
                <w:b/>
                <w:bCs/>
                <w:kern w:val="0"/>
                <w:sz w:val="24"/>
                <w:szCs w:val="20"/>
              </w:rPr>
            </w:pPr>
            <w:r>
              <w:rPr>
                <w:rFonts w:hint="eastAsia" w:ascii="黑体" w:hAnsi="黑体" w:eastAsia="黑体" w:cs="宋体"/>
                <w:b/>
                <w:bCs/>
                <w:kern w:val="0"/>
                <w:sz w:val="24"/>
                <w:szCs w:val="20"/>
              </w:rPr>
              <w:t>项目类别</w:t>
            </w:r>
          </w:p>
        </w:tc>
        <w:tc>
          <w:tcPr>
            <w:tcW w:w="2373" w:type="dxa"/>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报告书</w:t>
            </w:r>
          </w:p>
        </w:tc>
        <w:tc>
          <w:tcPr>
            <w:tcW w:w="2276" w:type="dxa"/>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报告表</w:t>
            </w:r>
          </w:p>
        </w:tc>
        <w:tc>
          <w:tcPr>
            <w:tcW w:w="2264" w:type="dxa"/>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登记表</w:t>
            </w:r>
          </w:p>
        </w:tc>
        <w:tc>
          <w:tcPr>
            <w:tcW w:w="2043" w:type="dxa"/>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本栏目环境敏感区含义</w:t>
            </w:r>
          </w:p>
        </w:tc>
        <w:tc>
          <w:tcPr>
            <w:tcW w:w="1840" w:type="dxa"/>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报告表专项评价要求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szCs w:val="21"/>
              </w:rPr>
            </w:pPr>
            <w:r>
              <w:rPr>
                <w:rFonts w:hint="eastAsia" w:ascii="仿宋_GB2312" w:hAnsi="宋体" w:eastAsia="仿宋_GB2312" w:cs="宋体"/>
                <w:b/>
                <w:bCs/>
                <w:kern w:val="0"/>
                <w:sz w:val="24"/>
                <w:szCs w:val="21"/>
              </w:rPr>
              <w:t>十三、文教、工美、体育和娱乐用品制造业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31</w:t>
            </w:r>
          </w:p>
        </w:tc>
        <w:tc>
          <w:tcPr>
            <w:tcW w:w="317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文教、体育和娱乐用品制造</w:t>
            </w:r>
          </w:p>
        </w:tc>
        <w:tc>
          <w:tcPr>
            <w:tcW w:w="2373"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276"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全部（包括含喷绘的广告制作项目）</w:t>
            </w:r>
          </w:p>
        </w:tc>
        <w:tc>
          <w:tcPr>
            <w:tcW w:w="226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szCs w:val="21"/>
              </w:rPr>
            </w:pPr>
            <w:r>
              <w:rPr>
                <w:rFonts w:hint="eastAsia" w:ascii="仿宋_GB2312" w:hAnsi="宋体" w:eastAsia="仿宋_GB2312" w:cs="宋体"/>
                <w:b/>
                <w:bCs/>
                <w:kern w:val="0"/>
                <w:sz w:val="24"/>
                <w:szCs w:val="21"/>
              </w:rPr>
              <w:t>十五、 化学原料和化学制品制造业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9"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36</w:t>
            </w:r>
          </w:p>
        </w:tc>
        <w:tc>
          <w:tcPr>
            <w:tcW w:w="317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基本化学原料制造;农药制造;涂料、染料、颜料、油墨及其类似产品制造；合成材料制造；专用化学品制造；炸药、火工、及焰火产品制造；水处理剂等制造</w:t>
            </w:r>
          </w:p>
        </w:tc>
        <w:tc>
          <w:tcPr>
            <w:tcW w:w="2373"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新建、扩建、主体装置技改（除单纯混合和分装外的）</w:t>
            </w:r>
          </w:p>
        </w:tc>
        <w:tc>
          <w:tcPr>
            <w:tcW w:w="2276"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其他</w:t>
            </w:r>
          </w:p>
        </w:tc>
        <w:tc>
          <w:tcPr>
            <w:tcW w:w="226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风险评价（油性涂料、油性染料、油性颜料、油性油墨及其类似产品制造）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39</w:t>
            </w:r>
          </w:p>
        </w:tc>
        <w:tc>
          <w:tcPr>
            <w:tcW w:w="317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日用化学品制造</w:t>
            </w:r>
          </w:p>
        </w:tc>
        <w:tc>
          <w:tcPr>
            <w:tcW w:w="2373"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新建、扩建、主体装置技改（除单纯混合和分装外的）</w:t>
            </w:r>
          </w:p>
        </w:tc>
        <w:tc>
          <w:tcPr>
            <w:tcW w:w="2276"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其他</w:t>
            </w:r>
          </w:p>
        </w:tc>
        <w:tc>
          <w:tcPr>
            <w:tcW w:w="226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szCs w:val="21"/>
              </w:rPr>
            </w:pPr>
            <w:r>
              <w:rPr>
                <w:rFonts w:hint="eastAsia" w:ascii="仿宋_GB2312" w:hAnsi="宋体" w:eastAsia="仿宋_GB2312" w:cs="宋体"/>
                <w:b/>
                <w:bCs/>
                <w:kern w:val="0"/>
                <w:sz w:val="24"/>
                <w:szCs w:val="21"/>
              </w:rPr>
              <w:t>十六、医药制造业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40</w:t>
            </w:r>
          </w:p>
        </w:tc>
        <w:tc>
          <w:tcPr>
            <w:tcW w:w="317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化学药品制造；生物、生化制品制造</w:t>
            </w:r>
          </w:p>
        </w:tc>
        <w:tc>
          <w:tcPr>
            <w:tcW w:w="2373" w:type="dxa"/>
            <w:vAlign w:val="center"/>
          </w:tcPr>
          <w:p>
            <w:pPr>
              <w:widowControl/>
              <w:snapToGrid w:val="0"/>
              <w:spacing w:line="38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新建、扩建、主体装置技改</w:t>
            </w:r>
          </w:p>
        </w:tc>
        <w:tc>
          <w:tcPr>
            <w:tcW w:w="2276"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其他</w:t>
            </w:r>
          </w:p>
        </w:tc>
        <w:tc>
          <w:tcPr>
            <w:tcW w:w="226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380" w:lineRule="exact"/>
              <w:jc w:val="left"/>
              <w:rPr>
                <w:rFonts w:ascii="仿宋_GB2312" w:hAnsi="宋体" w:eastAsia="仿宋_GB2312" w:cs="宋体"/>
                <w:b/>
                <w:bCs/>
                <w:kern w:val="0"/>
                <w:sz w:val="24"/>
                <w:szCs w:val="21"/>
              </w:rPr>
            </w:pPr>
            <w:r>
              <w:rPr>
                <w:rFonts w:hint="eastAsia" w:ascii="仿宋_GB2312" w:hAnsi="宋体" w:eastAsia="仿宋_GB2312" w:cs="宋体"/>
                <w:b/>
                <w:bCs/>
                <w:kern w:val="0"/>
                <w:sz w:val="24"/>
                <w:szCs w:val="21"/>
              </w:rPr>
              <w:t>十七、化学纤维制造业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44</w:t>
            </w:r>
          </w:p>
        </w:tc>
        <w:tc>
          <w:tcPr>
            <w:tcW w:w="317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化学纤维制造</w:t>
            </w:r>
          </w:p>
        </w:tc>
        <w:tc>
          <w:tcPr>
            <w:tcW w:w="2373" w:type="dxa"/>
            <w:vAlign w:val="center"/>
          </w:tcPr>
          <w:p>
            <w:pPr>
              <w:widowControl/>
              <w:snapToGrid w:val="0"/>
              <w:spacing w:line="38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新建、扩建、主体装置技改(除单纯纺丝外的）</w:t>
            </w:r>
          </w:p>
        </w:tc>
        <w:tc>
          <w:tcPr>
            <w:tcW w:w="2276"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其他</w:t>
            </w:r>
          </w:p>
        </w:tc>
        <w:tc>
          <w:tcPr>
            <w:tcW w:w="2264"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二十五、汽车制造业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jc w:val="center"/>
        </w:trPr>
        <w:tc>
          <w:tcPr>
            <w:tcW w:w="751" w:type="dxa"/>
            <w:vAlign w:val="center"/>
          </w:tcPr>
          <w:p>
            <w:pPr>
              <w:widowControl/>
              <w:snapToGrid w:val="0"/>
              <w:spacing w:line="400" w:lineRule="exact"/>
              <w:jc w:val="left"/>
              <w:rPr>
                <w:rFonts w:ascii="仿宋_GB2312" w:hAnsi="宋体" w:eastAsia="仿宋_GB2312" w:cs="宋体"/>
                <w:kern w:val="0"/>
                <w:szCs w:val="21"/>
              </w:rPr>
            </w:pPr>
            <w:r>
              <w:rPr>
                <w:rFonts w:hint="eastAsia" w:ascii="仿宋_GB2312" w:hAnsi="宋体" w:eastAsia="仿宋_GB2312" w:cs="宋体"/>
                <w:kern w:val="0"/>
                <w:szCs w:val="21"/>
              </w:rPr>
              <w:t>71</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汽车制造</w:t>
            </w:r>
          </w:p>
        </w:tc>
        <w:tc>
          <w:tcPr>
            <w:tcW w:w="2373"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整车制造（仅组装的除外）；发动机生产；有电镀或喷漆工艺且年用油性漆量（含稀释剂）10吨及以上的零部件生产</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工程分析评价（涉及有机涂层（不含喷粉、喷塑））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二十六、铁路、船舶、航空航天和其他运输设备制造业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72</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铁路运输设备制造及修理</w:t>
            </w:r>
          </w:p>
        </w:tc>
        <w:tc>
          <w:tcPr>
            <w:tcW w:w="2373" w:type="dxa"/>
            <w:vAlign w:val="center"/>
          </w:tcPr>
          <w:p>
            <w:pPr>
              <w:widowControl/>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机车、车辆、动车组制造、发动机生产、有电镀或喷漆工艺且年用油性漆量（含稀释剂）10吨及以上的零部件生产</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工程分析评价（涉及有机涂层（不含喷粉、喷塑））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0"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74</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航空航天器制造</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有电镀或喷漆工艺且年用油性漆量（含稀释剂）10吨及以上的</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其他（仅组装和测试（不涉及土建，污水排入市政管网，且不涉及钻孔、切割、折弯、使用焊料的焊接、胶合/粘结、药剂（溶剂）清洗、产生废气或废水的测试等内容）除外）</w:t>
            </w:r>
          </w:p>
        </w:tc>
        <w:tc>
          <w:tcPr>
            <w:tcW w:w="2264" w:type="dxa"/>
            <w:vAlign w:val="center"/>
          </w:tcPr>
          <w:p>
            <w:pPr>
              <w:widowControl/>
              <w:snapToGrid w:val="0"/>
              <w:spacing w:line="400" w:lineRule="exact"/>
              <w:jc w:val="left"/>
              <w:rPr>
                <w:rFonts w:ascii="仿宋_GB2312" w:hAnsi="宋体" w:eastAsia="仿宋_GB2312" w:cs="宋体"/>
                <w:b/>
                <w:kern w:val="0"/>
                <w:sz w:val="24"/>
              </w:rPr>
            </w:pPr>
            <w:r>
              <w:rPr>
                <w:rFonts w:hint="eastAsia" w:ascii="仿宋_GB2312" w:hAnsi="宋体" w:eastAsia="仿宋_GB2312" w:cs="宋体"/>
                <w:b/>
                <w:kern w:val="0"/>
                <w:sz w:val="24"/>
              </w:rPr>
              <w:t>仅组装和测试（不涉及土建，污水排入市政管网且不涉及钻孔、切割、折弯、使用焊料的焊接、胶合/粘结、药剂（溶剂）清洗、产生废气或废水的测试等内容）</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工程分析评价（涉及有机涂层（不含喷粉、喷塑）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77</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交通器材及其他交通运输设备制造</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有电镀或喷漆工艺且年用油性漆量（含稀释剂）10吨及以上的</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其他（仅组装的除外）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仅组装的</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工程分析评价（涉及有机涂层（不含喷粉、喷塑）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二十七、电气机械和器材制造业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79</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太阳能电池片</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太阳能电池片生产的新建、扩建；主体装置技改且导致规模增加30%及以上的</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三十、废弃资源综合利用业务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86</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废旧资源（含生物质）加工、再生利用</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废电子电器产品、废电池、废汽车、废电机、废五金、废塑料（除分拣清洗工艺的）、废油、废轮胎等加工、再生利用的新建、扩建、主体装置技改</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三十一、电力、热力生产和供应业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90</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生物质发电</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生活垃圾、污泥焚烧发电的新建、扩建、主体装置技改</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利用农林生物质、沼气发电、垃圾填埋气发电；其他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51"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92</w:t>
            </w:r>
          </w:p>
        </w:tc>
        <w:tc>
          <w:tcPr>
            <w:tcW w:w="3174"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热力生产和供应工程（电热锅炉，</w:t>
            </w:r>
            <w:r>
              <w:rPr>
                <w:rFonts w:hint="eastAsia" w:ascii="仿宋_GB2312" w:hAnsi="宋体" w:eastAsia="仿宋_GB2312" w:cs="宋体"/>
                <w:b/>
                <w:kern w:val="0"/>
                <w:sz w:val="24"/>
              </w:rPr>
              <w:t>现有非清洁能源锅炉升级改造为同等及以下规模的清洁能源锅炉，不涉及容量增加的现有清洁能源锅炉低氮改造除外）</w:t>
            </w:r>
          </w:p>
        </w:tc>
        <w:tc>
          <w:tcPr>
            <w:tcW w:w="2373"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燃煤、燃油锅炉总容量65吨/小时（不含）以上；分布式供能项目折算总容量相当于锅炉容量65吨/小时（不含）以上</w:t>
            </w:r>
          </w:p>
        </w:tc>
        <w:tc>
          <w:tcPr>
            <w:tcW w:w="2276"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其他(电热锅炉及总容量1吨/小时燃气锅炉及以下除外)</w:t>
            </w:r>
          </w:p>
        </w:tc>
        <w:tc>
          <w:tcPr>
            <w:tcW w:w="2264"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总容量1吨/小时燃气锅炉及以下</w:t>
            </w:r>
          </w:p>
        </w:tc>
        <w:tc>
          <w:tcPr>
            <w:tcW w:w="2043"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51" w:type="dxa"/>
            <w:vMerge w:val="continue"/>
            <w:vAlign w:val="center"/>
          </w:tcPr>
          <w:p>
            <w:pPr>
              <w:widowControl/>
              <w:jc w:val="left"/>
              <w:rPr>
                <w:rFonts w:ascii="仿宋_GB2312" w:hAnsi="宋体" w:eastAsia="仿宋_GB2312" w:cs="宋体"/>
                <w:kern w:val="0"/>
                <w:sz w:val="24"/>
              </w:rPr>
            </w:pPr>
          </w:p>
        </w:tc>
        <w:tc>
          <w:tcPr>
            <w:tcW w:w="3174" w:type="dxa"/>
            <w:vMerge w:val="continue"/>
            <w:vAlign w:val="center"/>
          </w:tcPr>
          <w:p>
            <w:pPr>
              <w:widowControl/>
              <w:jc w:val="left"/>
              <w:rPr>
                <w:rFonts w:ascii="仿宋_GB2312" w:hAnsi="宋体" w:eastAsia="仿宋_GB2312" w:cs="宋体"/>
                <w:kern w:val="0"/>
                <w:sz w:val="24"/>
              </w:rPr>
            </w:pPr>
          </w:p>
        </w:tc>
        <w:tc>
          <w:tcPr>
            <w:tcW w:w="2373" w:type="dxa"/>
            <w:vMerge w:val="continue"/>
            <w:vAlign w:val="center"/>
          </w:tcPr>
          <w:p>
            <w:pPr>
              <w:widowControl/>
              <w:jc w:val="left"/>
              <w:rPr>
                <w:rFonts w:ascii="仿宋_GB2312" w:hAnsi="宋体" w:eastAsia="仿宋_GB2312" w:cs="宋体"/>
                <w:kern w:val="0"/>
                <w:sz w:val="24"/>
              </w:rPr>
            </w:pPr>
          </w:p>
        </w:tc>
        <w:tc>
          <w:tcPr>
            <w:tcW w:w="2276" w:type="dxa"/>
            <w:vMerge w:val="continue"/>
            <w:vAlign w:val="center"/>
          </w:tcPr>
          <w:p>
            <w:pPr>
              <w:widowControl/>
              <w:jc w:val="left"/>
              <w:rPr>
                <w:rFonts w:ascii="仿宋_GB2312" w:hAnsi="宋体" w:eastAsia="仿宋_GB2312" w:cs="宋体"/>
                <w:kern w:val="0"/>
                <w:sz w:val="24"/>
              </w:rPr>
            </w:pPr>
          </w:p>
        </w:tc>
        <w:tc>
          <w:tcPr>
            <w:tcW w:w="2264" w:type="dxa"/>
            <w:vMerge w:val="continue"/>
            <w:vAlign w:val="center"/>
          </w:tcPr>
          <w:p>
            <w:pPr>
              <w:widowControl/>
              <w:jc w:val="left"/>
              <w:rPr>
                <w:rFonts w:ascii="仿宋_GB2312" w:hAnsi="宋体" w:eastAsia="仿宋_GB2312" w:cs="宋体"/>
                <w:kern w:val="0"/>
                <w:sz w:val="24"/>
              </w:rPr>
            </w:pPr>
          </w:p>
        </w:tc>
        <w:tc>
          <w:tcPr>
            <w:tcW w:w="2043" w:type="dxa"/>
            <w:vMerge w:val="continue"/>
            <w:vAlign w:val="center"/>
          </w:tcPr>
          <w:p>
            <w:pPr>
              <w:widowControl/>
              <w:jc w:val="left"/>
              <w:rPr>
                <w:rFonts w:ascii="仿宋_GB2312" w:hAnsi="宋体" w:eastAsia="仿宋_GB2312" w:cs="宋体"/>
                <w:kern w:val="0"/>
                <w:sz w:val="24"/>
              </w:rPr>
            </w:pPr>
          </w:p>
        </w:tc>
        <w:tc>
          <w:tcPr>
            <w:tcW w:w="1840" w:type="dxa"/>
            <w:vMerge w:val="continue"/>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51" w:type="dxa"/>
            <w:vMerge w:val="continue"/>
            <w:vAlign w:val="center"/>
          </w:tcPr>
          <w:p>
            <w:pPr>
              <w:widowControl/>
              <w:jc w:val="left"/>
              <w:rPr>
                <w:rFonts w:ascii="仿宋_GB2312" w:hAnsi="宋体" w:eastAsia="仿宋_GB2312" w:cs="宋体"/>
                <w:kern w:val="0"/>
                <w:sz w:val="24"/>
              </w:rPr>
            </w:pPr>
          </w:p>
        </w:tc>
        <w:tc>
          <w:tcPr>
            <w:tcW w:w="3174" w:type="dxa"/>
            <w:vMerge w:val="continue"/>
            <w:vAlign w:val="center"/>
          </w:tcPr>
          <w:p>
            <w:pPr>
              <w:widowControl/>
              <w:jc w:val="left"/>
              <w:rPr>
                <w:rFonts w:ascii="仿宋_GB2312" w:hAnsi="宋体" w:eastAsia="仿宋_GB2312" w:cs="宋体"/>
                <w:kern w:val="0"/>
                <w:sz w:val="24"/>
              </w:rPr>
            </w:pPr>
          </w:p>
        </w:tc>
        <w:tc>
          <w:tcPr>
            <w:tcW w:w="2373" w:type="dxa"/>
            <w:vMerge w:val="continue"/>
            <w:vAlign w:val="center"/>
          </w:tcPr>
          <w:p>
            <w:pPr>
              <w:widowControl/>
              <w:jc w:val="left"/>
              <w:rPr>
                <w:rFonts w:ascii="仿宋_GB2312" w:hAnsi="宋体" w:eastAsia="仿宋_GB2312" w:cs="宋体"/>
                <w:kern w:val="0"/>
                <w:sz w:val="24"/>
              </w:rPr>
            </w:pPr>
          </w:p>
        </w:tc>
        <w:tc>
          <w:tcPr>
            <w:tcW w:w="2276" w:type="dxa"/>
            <w:vMerge w:val="continue"/>
            <w:vAlign w:val="center"/>
          </w:tcPr>
          <w:p>
            <w:pPr>
              <w:widowControl/>
              <w:jc w:val="left"/>
              <w:rPr>
                <w:rFonts w:ascii="仿宋_GB2312" w:hAnsi="宋体" w:eastAsia="仿宋_GB2312" w:cs="宋体"/>
                <w:kern w:val="0"/>
                <w:sz w:val="24"/>
              </w:rPr>
            </w:pPr>
          </w:p>
        </w:tc>
        <w:tc>
          <w:tcPr>
            <w:tcW w:w="2264" w:type="dxa"/>
            <w:vMerge w:val="continue"/>
            <w:vAlign w:val="center"/>
          </w:tcPr>
          <w:p>
            <w:pPr>
              <w:widowControl/>
              <w:jc w:val="left"/>
              <w:rPr>
                <w:rFonts w:ascii="仿宋_GB2312" w:hAnsi="宋体" w:eastAsia="仿宋_GB2312" w:cs="宋体"/>
                <w:kern w:val="0"/>
                <w:sz w:val="24"/>
              </w:rPr>
            </w:pPr>
          </w:p>
        </w:tc>
        <w:tc>
          <w:tcPr>
            <w:tcW w:w="2043" w:type="dxa"/>
            <w:vMerge w:val="continue"/>
            <w:vAlign w:val="center"/>
          </w:tcPr>
          <w:p>
            <w:pPr>
              <w:widowControl/>
              <w:jc w:val="left"/>
              <w:rPr>
                <w:rFonts w:ascii="仿宋_GB2312" w:hAnsi="宋体" w:eastAsia="仿宋_GB2312" w:cs="宋体"/>
                <w:kern w:val="0"/>
                <w:sz w:val="24"/>
              </w:rPr>
            </w:pPr>
          </w:p>
        </w:tc>
        <w:tc>
          <w:tcPr>
            <w:tcW w:w="1840" w:type="dxa"/>
            <w:vMerge w:val="continue"/>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三十三、水的生产和供应业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97</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工业废水处理</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新建、扩建集中处理的</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ind w:left="-105" w:leftChars="-50" w:right="-105" w:rightChars="-50"/>
              <w:jc w:val="left"/>
              <w:rPr>
                <w:rFonts w:ascii="仿宋_GB2312" w:hAnsi="宋体" w:eastAsia="仿宋_GB2312" w:cs="宋体"/>
                <w:kern w:val="0"/>
                <w:sz w:val="24"/>
              </w:rPr>
            </w:pPr>
            <w:r>
              <w:rPr>
                <w:rFonts w:hint="eastAsia" w:ascii="仿宋_GB2312" w:hAnsi="宋体" w:eastAsia="仿宋_GB2312" w:cs="宋体"/>
                <w:kern w:val="0"/>
                <w:sz w:val="24"/>
              </w:rPr>
              <w:t>水评价（涉及排放一类污染物的）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三十四、环境治理业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99</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脱硫、脱硝、除尘、VOCs治理等工程</w:t>
            </w:r>
            <w:r>
              <w:rPr>
                <w:rFonts w:hint="eastAsia" w:ascii="仿宋_GB2312" w:hAnsi="宋体" w:eastAsia="仿宋_GB2312" w:cs="宋体"/>
                <w:b/>
                <w:kern w:val="0"/>
                <w:sz w:val="24"/>
              </w:rPr>
              <w:t>（工业企业现有环境治理设施维修维护</w:t>
            </w:r>
            <w:r>
              <w:rPr>
                <w:rFonts w:hint="eastAsia" w:ascii="仿宋_GB2312" w:hAnsi="宋体" w:eastAsia="仿宋_GB2312" w:cs="宋体"/>
                <w:kern w:val="0"/>
                <w:sz w:val="36"/>
                <w:vertAlign w:val="superscript"/>
              </w:rPr>
              <w:t>①</w:t>
            </w:r>
            <w:r>
              <w:rPr>
                <w:rFonts w:hint="eastAsia" w:ascii="仿宋_GB2312" w:hAnsi="宋体" w:eastAsia="仿宋_GB2312" w:cs="宋体"/>
                <w:b/>
                <w:kern w:val="0"/>
                <w:sz w:val="24"/>
              </w:rPr>
              <w:t>除外）</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新建脱硫、脱硝、除尘</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1840" w:type="dxa"/>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100</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危险废物（含医疗废物）利用及处置</w:t>
            </w:r>
            <w:r>
              <w:rPr>
                <w:rFonts w:hint="eastAsia" w:ascii="仿宋_GB2312" w:hAnsi="宋体" w:eastAsia="仿宋_GB2312" w:cs="宋体"/>
                <w:b/>
                <w:kern w:val="0"/>
                <w:sz w:val="24"/>
              </w:rPr>
              <w:t>（包括危险废物贮存转运设施）</w:t>
            </w:r>
          </w:p>
        </w:tc>
        <w:tc>
          <w:tcPr>
            <w:tcW w:w="2373" w:type="dxa"/>
            <w:vAlign w:val="center"/>
          </w:tcPr>
          <w:p>
            <w:pPr>
              <w:widowControl/>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利用及处置的（单独收集、病死动物化尸窖（井）除外；纯物理处置且不含污水处理工程的除外）新建、扩建、主体装置技改</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101</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一般工业固体废物（含污泥）处置及综合利用</w:t>
            </w:r>
          </w:p>
        </w:tc>
        <w:tc>
          <w:tcPr>
            <w:tcW w:w="2373" w:type="dxa"/>
            <w:vAlign w:val="center"/>
          </w:tcPr>
          <w:p>
            <w:pPr>
              <w:widowControl/>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采取填埋和焚烧方式的新建、扩建、主体装置技改项目</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建筑垃圾集中处置；其他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三十五、公共设施管理业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104</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城镇生活垃圾（含餐厨废弃物）集中处置</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新建、扩建、改建主体装置</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三十六、房地产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3"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106</w:t>
            </w:r>
          </w:p>
        </w:tc>
        <w:tc>
          <w:tcPr>
            <w:tcW w:w="3174" w:type="dxa"/>
            <w:vAlign w:val="center"/>
          </w:tcPr>
          <w:p>
            <w:pPr>
              <w:snapToGrid w:val="0"/>
              <w:spacing w:line="400" w:lineRule="exact"/>
              <w:rPr>
                <w:rFonts w:ascii="仿宋_GB2312" w:hAnsi="宋体" w:eastAsia="仿宋_GB2312" w:cs="宋体"/>
                <w:b/>
                <w:kern w:val="0"/>
                <w:sz w:val="24"/>
              </w:rPr>
            </w:pPr>
            <w:r>
              <w:rPr>
                <w:rFonts w:hint="eastAsia" w:ascii="仿宋_GB2312" w:hAnsi="宋体" w:eastAsia="仿宋_GB2312" w:cs="宋体"/>
                <w:kern w:val="0"/>
                <w:sz w:val="24"/>
              </w:rPr>
              <w:t>房地产开发、宾馆、酒店、办公用房、标准厂房等（</w:t>
            </w:r>
            <w:r>
              <w:rPr>
                <w:rFonts w:hint="eastAsia" w:ascii="仿宋_GB2312" w:hAnsi="宋体" w:eastAsia="仿宋_GB2312" w:cs="宋体"/>
                <w:b/>
                <w:kern w:val="0"/>
                <w:sz w:val="24"/>
              </w:rPr>
              <w:t>建筑物拆除、装修、维修、加固、修缮，简易低风险工程</w:t>
            </w:r>
            <w:r>
              <w:rPr>
                <w:rFonts w:hint="eastAsia" w:ascii="仿宋_GB2312" w:hAnsi="宋体" w:eastAsia="仿宋_GB2312" w:cs="宋体"/>
                <w:kern w:val="0"/>
                <w:sz w:val="36"/>
                <w:vertAlign w:val="superscript"/>
              </w:rPr>
              <w:t>②</w:t>
            </w:r>
            <w:r>
              <w:rPr>
                <w:rFonts w:hint="eastAsia" w:ascii="仿宋_GB2312" w:hAnsi="宋体" w:eastAsia="仿宋_GB2312" w:cs="宋体"/>
                <w:b/>
                <w:kern w:val="0"/>
                <w:sz w:val="24"/>
              </w:rPr>
              <w:t>，个人自建自住的非出售、非经营性质的自有别墅，土地一级开发除外）</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涉及环境敏感区的；需自建配套污水处理设施的</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第三条（三）中的文物保护单位，针对标准厂房增加第三条（三）中的以居住、医疗卫生、文化教育、科研、行政办公等为主要功能的区域</w:t>
            </w:r>
          </w:p>
        </w:tc>
        <w:tc>
          <w:tcPr>
            <w:tcW w:w="1840" w:type="dxa"/>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rPr>
                <w:rFonts w:ascii="仿宋_GB2312" w:hAnsi="宋体" w:eastAsia="仿宋_GB2312" w:cs="宋体"/>
                <w:b/>
                <w:bCs/>
                <w:kern w:val="0"/>
                <w:sz w:val="24"/>
              </w:rPr>
            </w:pPr>
            <w:r>
              <w:rPr>
                <w:rFonts w:hint="eastAsia" w:ascii="仿宋_GB2312" w:hAnsi="宋体" w:eastAsia="仿宋_GB2312" w:cs="宋体"/>
                <w:b/>
                <w:bCs/>
                <w:kern w:val="0"/>
                <w:sz w:val="24"/>
              </w:rPr>
              <w:t>三十七、研究和试验发展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107</w:t>
            </w:r>
          </w:p>
        </w:tc>
        <w:tc>
          <w:tcPr>
            <w:tcW w:w="3174"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专业实验室</w:t>
            </w:r>
            <w:r>
              <w:rPr>
                <w:rFonts w:hint="eastAsia" w:ascii="仿宋_GB2312" w:hAnsi="宋体" w:eastAsia="仿宋_GB2312" w:cs="宋体"/>
                <w:b/>
                <w:kern w:val="0"/>
                <w:sz w:val="24"/>
              </w:rPr>
              <w:t>（不涉及土建且不排放污染物的科研设计、试验、测试除外）</w:t>
            </w:r>
          </w:p>
        </w:tc>
        <w:tc>
          <w:tcPr>
            <w:tcW w:w="2373"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P3、P4生物安全实验室；转基因实验室</w:t>
            </w:r>
          </w:p>
        </w:tc>
        <w:tc>
          <w:tcPr>
            <w:tcW w:w="2276"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涉及生物、化学反应；涉及环境敏感区的</w:t>
            </w:r>
          </w:p>
        </w:tc>
        <w:tc>
          <w:tcPr>
            <w:tcW w:w="2264"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第三条（一）中的全部区域；第三条（二）中的基本农田保护区；第三条（三）中的全部</w:t>
            </w:r>
          </w:p>
        </w:tc>
        <w:tc>
          <w:tcPr>
            <w:tcW w:w="1840"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108</w:t>
            </w:r>
          </w:p>
        </w:tc>
        <w:tc>
          <w:tcPr>
            <w:tcW w:w="3174"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研发基地</w:t>
            </w:r>
          </w:p>
        </w:tc>
        <w:tc>
          <w:tcPr>
            <w:tcW w:w="2373"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含医药、化工类等专业中试内容的新建、扩建、主体装置技改</w:t>
            </w:r>
          </w:p>
        </w:tc>
        <w:tc>
          <w:tcPr>
            <w:tcW w:w="2276"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研发过程产生废水、废气、固体废物（研发人员生活污水、生活垃圾等除外）</w:t>
            </w:r>
          </w:p>
        </w:tc>
        <w:tc>
          <w:tcPr>
            <w:tcW w:w="2264"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4721" w:type="dxa"/>
            <w:gridSpan w:val="7"/>
            <w:vAlign w:val="center"/>
          </w:tcPr>
          <w:p>
            <w:pPr>
              <w:widowControl/>
              <w:snapToGrid w:val="0"/>
              <w:spacing w:line="380" w:lineRule="exact"/>
              <w:rPr>
                <w:rFonts w:ascii="仿宋_GB2312" w:hAnsi="宋体" w:eastAsia="仿宋_GB2312" w:cs="宋体"/>
                <w:b/>
                <w:bCs/>
                <w:kern w:val="0"/>
                <w:sz w:val="24"/>
              </w:rPr>
            </w:pPr>
            <w:r>
              <w:rPr>
                <w:rFonts w:hint="eastAsia" w:ascii="仿宋_GB2312" w:hAnsi="宋体" w:eastAsia="仿宋_GB2312" w:cs="宋体"/>
                <w:b/>
                <w:bCs/>
                <w:kern w:val="0"/>
                <w:sz w:val="24"/>
              </w:rPr>
              <w:t>三十八、专业技术服务业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110</w:t>
            </w:r>
          </w:p>
        </w:tc>
        <w:tc>
          <w:tcPr>
            <w:tcW w:w="3174"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动物医院</w:t>
            </w:r>
            <w:r>
              <w:rPr>
                <w:rFonts w:hint="eastAsia" w:ascii="仿宋_GB2312" w:hAnsi="宋体" w:eastAsia="仿宋_GB2312" w:cs="宋体"/>
                <w:b/>
                <w:kern w:val="0"/>
                <w:sz w:val="24"/>
              </w:rPr>
              <w:t>（不具备从事动物颅腔、胸腔和腹腔手术能力的动物诊疗机构除外）</w:t>
            </w:r>
          </w:p>
        </w:tc>
        <w:tc>
          <w:tcPr>
            <w:tcW w:w="2373"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全部</w:t>
            </w:r>
          </w:p>
        </w:tc>
        <w:tc>
          <w:tcPr>
            <w:tcW w:w="2264" w:type="dxa"/>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4721" w:type="dxa"/>
            <w:gridSpan w:val="7"/>
            <w:vAlign w:val="center"/>
          </w:tcPr>
          <w:p>
            <w:pPr>
              <w:widowControl/>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三十九、卫生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1"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111</w:t>
            </w:r>
          </w:p>
        </w:tc>
        <w:tc>
          <w:tcPr>
            <w:tcW w:w="3174" w:type="dxa"/>
            <w:vMerge w:val="restart"/>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医院、专科防治院（所、站）、社区医疗、卫生院（所、站）、血站、急救中心、妇幼保健院、疗养院等其他卫生机构</w:t>
            </w:r>
            <w:r>
              <w:rPr>
                <w:rFonts w:hint="eastAsia" w:ascii="仿宋_GB2312" w:hAnsi="宋体" w:eastAsia="仿宋_GB2312" w:cs="宋体"/>
                <w:b/>
                <w:kern w:val="0"/>
                <w:sz w:val="24"/>
              </w:rPr>
              <w:t>（简易低风险工程</w:t>
            </w:r>
            <w:r>
              <w:rPr>
                <w:rFonts w:hint="eastAsia" w:ascii="仿宋_GB2312" w:hAnsi="宋体" w:eastAsia="仿宋_GB2312" w:cs="宋体"/>
                <w:kern w:val="0"/>
                <w:sz w:val="36"/>
                <w:vertAlign w:val="superscript"/>
              </w:rPr>
              <w:t>③</w:t>
            </w:r>
            <w:r>
              <w:rPr>
                <w:rFonts w:hint="eastAsia" w:ascii="仿宋_GB2312" w:hAnsi="宋体" w:eastAsia="仿宋_GB2312" w:cs="宋体"/>
                <w:b/>
                <w:kern w:val="0"/>
                <w:sz w:val="24"/>
              </w:rPr>
              <w:t>除外）</w:t>
            </w:r>
          </w:p>
        </w:tc>
        <w:tc>
          <w:tcPr>
            <w:tcW w:w="2373" w:type="dxa"/>
            <w:vMerge w:val="restart"/>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新建、扩建床位500张及以上的</w:t>
            </w:r>
          </w:p>
        </w:tc>
        <w:tc>
          <w:tcPr>
            <w:tcW w:w="2276" w:type="dxa"/>
            <w:vMerge w:val="restart"/>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其他（20张床位以下的除外）</w:t>
            </w:r>
          </w:p>
        </w:tc>
        <w:tc>
          <w:tcPr>
            <w:tcW w:w="2264" w:type="dxa"/>
            <w:vMerge w:val="restart"/>
            <w:vAlign w:val="center"/>
          </w:tcPr>
          <w:p>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20张床位以下的</w:t>
            </w:r>
          </w:p>
        </w:tc>
        <w:tc>
          <w:tcPr>
            <w:tcW w:w="2043" w:type="dxa"/>
            <w:vMerge w:val="restart"/>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1840" w:type="dxa"/>
            <w:vMerge w:val="restart"/>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751" w:type="dxa"/>
            <w:vMerge w:val="continue"/>
            <w:vAlign w:val="center"/>
          </w:tcPr>
          <w:p>
            <w:pPr>
              <w:widowControl/>
              <w:jc w:val="left"/>
              <w:rPr>
                <w:rFonts w:ascii="仿宋_GB2312" w:hAnsi="宋体" w:eastAsia="仿宋_GB2312" w:cs="宋体"/>
                <w:kern w:val="0"/>
                <w:sz w:val="24"/>
              </w:rPr>
            </w:pPr>
          </w:p>
        </w:tc>
        <w:tc>
          <w:tcPr>
            <w:tcW w:w="3174" w:type="dxa"/>
            <w:vMerge w:val="continue"/>
            <w:vAlign w:val="center"/>
          </w:tcPr>
          <w:p>
            <w:pPr>
              <w:widowControl/>
              <w:jc w:val="left"/>
              <w:rPr>
                <w:rFonts w:ascii="仿宋_GB2312" w:hAnsi="宋体" w:eastAsia="仿宋_GB2312" w:cs="宋体"/>
                <w:kern w:val="0"/>
                <w:sz w:val="24"/>
              </w:rPr>
            </w:pPr>
          </w:p>
        </w:tc>
        <w:tc>
          <w:tcPr>
            <w:tcW w:w="2373" w:type="dxa"/>
            <w:vMerge w:val="continue"/>
            <w:vAlign w:val="center"/>
          </w:tcPr>
          <w:p>
            <w:pPr>
              <w:widowControl/>
              <w:jc w:val="left"/>
              <w:rPr>
                <w:rFonts w:ascii="仿宋_GB2312" w:hAnsi="宋体" w:eastAsia="仿宋_GB2312" w:cs="宋体"/>
                <w:kern w:val="0"/>
                <w:sz w:val="24"/>
              </w:rPr>
            </w:pPr>
          </w:p>
        </w:tc>
        <w:tc>
          <w:tcPr>
            <w:tcW w:w="2276" w:type="dxa"/>
            <w:vMerge w:val="continue"/>
            <w:vAlign w:val="center"/>
          </w:tcPr>
          <w:p>
            <w:pPr>
              <w:widowControl/>
              <w:jc w:val="left"/>
              <w:rPr>
                <w:rFonts w:ascii="仿宋_GB2312" w:hAnsi="宋体" w:eastAsia="仿宋_GB2312" w:cs="宋体"/>
                <w:kern w:val="0"/>
                <w:sz w:val="24"/>
              </w:rPr>
            </w:pPr>
          </w:p>
        </w:tc>
        <w:tc>
          <w:tcPr>
            <w:tcW w:w="2264" w:type="dxa"/>
            <w:vMerge w:val="continue"/>
            <w:vAlign w:val="center"/>
          </w:tcPr>
          <w:p>
            <w:pPr>
              <w:widowControl/>
              <w:jc w:val="left"/>
              <w:rPr>
                <w:rFonts w:ascii="仿宋_GB2312" w:hAnsi="宋体" w:eastAsia="仿宋_GB2312" w:cs="宋体"/>
                <w:kern w:val="0"/>
                <w:sz w:val="24"/>
              </w:rPr>
            </w:pPr>
          </w:p>
        </w:tc>
        <w:tc>
          <w:tcPr>
            <w:tcW w:w="2043" w:type="dxa"/>
            <w:vMerge w:val="continue"/>
            <w:vAlign w:val="center"/>
          </w:tcPr>
          <w:p>
            <w:pPr>
              <w:widowControl/>
              <w:jc w:val="left"/>
              <w:rPr>
                <w:rFonts w:ascii="仿宋_GB2312" w:hAnsi="宋体" w:eastAsia="仿宋_GB2312" w:cs="宋体"/>
                <w:b/>
                <w:bCs/>
                <w:kern w:val="0"/>
                <w:sz w:val="24"/>
              </w:rPr>
            </w:pPr>
          </w:p>
        </w:tc>
        <w:tc>
          <w:tcPr>
            <w:tcW w:w="1840" w:type="dxa"/>
            <w:vMerge w:val="continue"/>
            <w:vAlign w:val="center"/>
          </w:tcPr>
          <w:p>
            <w:pPr>
              <w:widowControl/>
              <w:jc w:val="lef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rPr>
                <w:rFonts w:ascii="仿宋_GB2312" w:hAnsi="宋体" w:eastAsia="仿宋_GB2312" w:cs="宋体"/>
                <w:b/>
                <w:bCs/>
                <w:kern w:val="0"/>
                <w:sz w:val="24"/>
              </w:rPr>
            </w:pPr>
            <w:r>
              <w:rPr>
                <w:rFonts w:hint="eastAsia" w:ascii="仿宋_GB2312" w:hAnsi="宋体" w:eastAsia="仿宋_GB2312" w:cs="宋体"/>
                <w:b/>
                <w:bCs/>
                <w:kern w:val="0"/>
                <w:sz w:val="24"/>
              </w:rPr>
              <w:t>四十、社会事业与服务业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114</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批发、零售市场</w:t>
            </w:r>
            <w:r>
              <w:rPr>
                <w:rFonts w:hint="eastAsia" w:ascii="仿宋_GB2312" w:hAnsi="宋体" w:eastAsia="仿宋_GB2312" w:cs="宋体"/>
                <w:b/>
                <w:kern w:val="0"/>
                <w:sz w:val="24"/>
              </w:rPr>
              <w:t>（商店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，超市</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，药店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，书店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，花店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，服装店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，音像店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，不产生废气的手工艺品制作店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除外）</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涉及环境敏感区的</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第三条（一）中的全部区域；第三条（二）中的基本农田保护区、基本草原、森林公园、地质公园、重要湿地、天然林、野生动物重要栖息地、重点保护野生植物生长繁殖地；第三条（三）中的文物保护单位</w:t>
            </w:r>
          </w:p>
        </w:tc>
        <w:tc>
          <w:tcPr>
            <w:tcW w:w="1840" w:type="dxa"/>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115</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餐饮、娱乐、洗浴场所（</w:t>
            </w:r>
            <w:r>
              <w:rPr>
                <w:rFonts w:hint="eastAsia" w:ascii="仿宋_GB2312" w:hAnsi="宋体" w:eastAsia="仿宋_GB2312" w:cs="宋体"/>
                <w:b/>
                <w:kern w:val="0"/>
                <w:sz w:val="24"/>
              </w:rPr>
              <w:t>简易低风险工程</w:t>
            </w:r>
            <w:r>
              <w:rPr>
                <w:rFonts w:hint="eastAsia" w:ascii="仿宋_GB2312" w:hAnsi="宋体" w:eastAsia="仿宋_GB2312" w:cs="宋体"/>
                <w:kern w:val="0"/>
                <w:sz w:val="36"/>
                <w:vertAlign w:val="superscript"/>
              </w:rPr>
              <w:t>⑤</w:t>
            </w:r>
            <w:r>
              <w:rPr>
                <w:rFonts w:hint="eastAsia" w:ascii="仿宋_GB2312" w:hAnsi="宋体" w:eastAsia="仿宋_GB2312" w:cs="宋体"/>
                <w:b/>
                <w:kern w:val="0"/>
                <w:sz w:val="24"/>
              </w:rPr>
              <w:t>除外</w:t>
            </w:r>
            <w:r>
              <w:rPr>
                <w:rFonts w:hint="eastAsia" w:ascii="仿宋_GB2312" w:hAnsi="宋体" w:eastAsia="仿宋_GB2312" w:cs="宋体"/>
                <w:kern w:val="0"/>
                <w:sz w:val="24"/>
              </w:rPr>
              <w:t>）</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全部</w:t>
            </w:r>
          </w:p>
        </w:tc>
        <w:tc>
          <w:tcPr>
            <w:tcW w:w="2043" w:type="dxa"/>
            <w:vAlign w:val="center"/>
          </w:tcPr>
          <w:p>
            <w:pPr>
              <w:widowControl/>
              <w:snapToGrid w:val="0"/>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w:t>
            </w:r>
          </w:p>
        </w:tc>
        <w:tc>
          <w:tcPr>
            <w:tcW w:w="1840" w:type="dxa"/>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116</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宾馆饭店及医疗机构衣物集中洗涤、餐具集中清洗消毒</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jc w:val="left"/>
              <w:rPr>
                <w:rFonts w:ascii="仿宋_GB2312" w:hAnsi="宋体" w:eastAsia="仿宋_GB2312" w:cs="宋体"/>
                <w:b/>
                <w:kern w:val="0"/>
                <w:sz w:val="24"/>
              </w:rPr>
            </w:pPr>
            <w:r>
              <w:rPr>
                <w:rFonts w:hint="eastAsia" w:ascii="仿宋_GB2312" w:hAnsi="宋体" w:eastAsia="仿宋_GB2312" w:cs="宋体"/>
                <w:b/>
                <w:kern w:val="0"/>
                <w:sz w:val="24"/>
              </w:rPr>
              <w:t>需自建配套污水处理设施的</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751"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118</w:t>
            </w:r>
          </w:p>
        </w:tc>
        <w:tc>
          <w:tcPr>
            <w:tcW w:w="3174"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展览馆、博物馆、美术馆、影剧院、音乐厅、文化馆、图书馆、档案馆、纪念馆、体育场、体育馆等</w:t>
            </w:r>
            <w:r>
              <w:rPr>
                <w:rFonts w:hint="eastAsia" w:ascii="仿宋_GB2312" w:hAnsi="宋体" w:eastAsia="仿宋_GB2312" w:cs="宋体"/>
                <w:b/>
                <w:kern w:val="0"/>
                <w:sz w:val="24"/>
              </w:rPr>
              <w:t>（简易低风险工程</w:t>
            </w:r>
            <w:r>
              <w:rPr>
                <w:rFonts w:hint="eastAsia" w:ascii="仿宋_GB2312" w:hAnsi="宋体" w:eastAsia="仿宋_GB2312" w:cs="宋体"/>
                <w:kern w:val="0"/>
                <w:sz w:val="36"/>
                <w:vertAlign w:val="superscript"/>
              </w:rPr>
              <w:t>⑥</w:t>
            </w:r>
            <w:r>
              <w:rPr>
                <w:rFonts w:hint="eastAsia" w:ascii="仿宋_GB2312" w:hAnsi="宋体" w:eastAsia="仿宋_GB2312" w:cs="宋体"/>
                <w:b/>
                <w:kern w:val="0"/>
                <w:sz w:val="24"/>
              </w:rPr>
              <w:t>，运动场地、场馆维修，露天公共健身设施建设除外）</w:t>
            </w:r>
          </w:p>
        </w:tc>
        <w:tc>
          <w:tcPr>
            <w:tcW w:w="2373"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涉及环境敏感区的</w:t>
            </w:r>
          </w:p>
        </w:tc>
        <w:tc>
          <w:tcPr>
            <w:tcW w:w="2264"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第三条（一）中的全部区域；第三条（二）中的基本农田保护区、基本草原、森林公园、地质公园、重要湿地、天然林、野生动物重要栖息地、重点保护野生植物生长繁殖地；第三条（三）中的文物保护单位</w:t>
            </w:r>
          </w:p>
        </w:tc>
        <w:tc>
          <w:tcPr>
            <w:tcW w:w="1840"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4" w:hRule="atLeast"/>
          <w:jc w:val="center"/>
        </w:trPr>
        <w:tc>
          <w:tcPr>
            <w:tcW w:w="751" w:type="dxa"/>
            <w:vMerge w:val="continue"/>
            <w:vAlign w:val="center"/>
          </w:tcPr>
          <w:p>
            <w:pPr>
              <w:widowControl/>
              <w:jc w:val="left"/>
              <w:rPr>
                <w:rFonts w:ascii="仿宋_GB2312" w:hAnsi="宋体" w:eastAsia="仿宋_GB2312" w:cs="宋体"/>
                <w:kern w:val="0"/>
                <w:sz w:val="24"/>
              </w:rPr>
            </w:pPr>
          </w:p>
        </w:tc>
        <w:tc>
          <w:tcPr>
            <w:tcW w:w="3174" w:type="dxa"/>
            <w:vMerge w:val="continue"/>
            <w:vAlign w:val="center"/>
          </w:tcPr>
          <w:p>
            <w:pPr>
              <w:widowControl/>
              <w:jc w:val="left"/>
              <w:rPr>
                <w:rFonts w:ascii="仿宋_GB2312" w:hAnsi="宋体" w:eastAsia="仿宋_GB2312" w:cs="宋体"/>
                <w:kern w:val="0"/>
                <w:sz w:val="24"/>
              </w:rPr>
            </w:pPr>
          </w:p>
        </w:tc>
        <w:tc>
          <w:tcPr>
            <w:tcW w:w="2373" w:type="dxa"/>
            <w:vMerge w:val="continue"/>
            <w:vAlign w:val="center"/>
          </w:tcPr>
          <w:p>
            <w:pPr>
              <w:widowControl/>
              <w:jc w:val="left"/>
              <w:rPr>
                <w:rFonts w:ascii="仿宋_GB2312" w:hAnsi="宋体" w:eastAsia="仿宋_GB2312" w:cs="宋体"/>
                <w:kern w:val="0"/>
                <w:sz w:val="24"/>
              </w:rPr>
            </w:pPr>
          </w:p>
        </w:tc>
        <w:tc>
          <w:tcPr>
            <w:tcW w:w="2276" w:type="dxa"/>
            <w:vMerge w:val="continue"/>
            <w:vAlign w:val="center"/>
          </w:tcPr>
          <w:p>
            <w:pPr>
              <w:widowControl/>
              <w:jc w:val="left"/>
              <w:rPr>
                <w:rFonts w:ascii="仿宋_GB2312" w:hAnsi="宋体" w:eastAsia="仿宋_GB2312" w:cs="宋体"/>
                <w:kern w:val="0"/>
                <w:sz w:val="24"/>
              </w:rPr>
            </w:pPr>
          </w:p>
        </w:tc>
        <w:tc>
          <w:tcPr>
            <w:tcW w:w="2264" w:type="dxa"/>
            <w:vMerge w:val="continue"/>
            <w:vAlign w:val="center"/>
          </w:tcPr>
          <w:p>
            <w:pPr>
              <w:widowControl/>
              <w:jc w:val="left"/>
              <w:rPr>
                <w:rFonts w:ascii="仿宋_GB2312" w:hAnsi="宋体" w:eastAsia="仿宋_GB2312" w:cs="宋体"/>
                <w:kern w:val="0"/>
                <w:sz w:val="24"/>
              </w:rPr>
            </w:pPr>
          </w:p>
        </w:tc>
        <w:tc>
          <w:tcPr>
            <w:tcW w:w="2043" w:type="dxa"/>
            <w:vMerge w:val="continue"/>
            <w:vAlign w:val="center"/>
          </w:tcPr>
          <w:p>
            <w:pPr>
              <w:widowControl/>
              <w:jc w:val="left"/>
              <w:rPr>
                <w:rFonts w:ascii="仿宋_GB2312" w:hAnsi="宋体" w:eastAsia="仿宋_GB2312" w:cs="宋体"/>
                <w:kern w:val="0"/>
                <w:sz w:val="24"/>
              </w:rPr>
            </w:pPr>
          </w:p>
        </w:tc>
        <w:tc>
          <w:tcPr>
            <w:tcW w:w="1840" w:type="dxa"/>
            <w:vMerge w:val="continue"/>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8" w:hRule="atLeast"/>
          <w:jc w:val="center"/>
        </w:trPr>
        <w:tc>
          <w:tcPr>
            <w:tcW w:w="751"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123</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驾驶员训练基地、公交枢纽、大型停车场、机动车检测场</w:t>
            </w:r>
            <w:r>
              <w:rPr>
                <w:rFonts w:hint="eastAsia" w:ascii="仿宋_GB2312" w:hAnsi="宋体" w:eastAsia="仿宋_GB2312" w:cs="宋体"/>
                <w:b/>
                <w:kern w:val="0"/>
                <w:sz w:val="24"/>
              </w:rPr>
              <w:t>（利用居住区和单位自有用地设置机械式和简易自走式立体停车设备除外）</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涉及环境敏感区的</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第三条（一）中的全部区域；第三条（二）中的基本农田保护区、基本草原、森林公园、地质公园、重要湿地、天然林、野生动物重要栖息地、重点保护野生植物生长繁殖地；第三条（三）中的文物保护单位</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124</w:t>
            </w:r>
          </w:p>
        </w:tc>
        <w:tc>
          <w:tcPr>
            <w:tcW w:w="317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加油、加气站</w:t>
            </w:r>
            <w:r>
              <w:rPr>
                <w:rFonts w:hint="eastAsia" w:ascii="仿宋_GB2312" w:hAnsi="宋体" w:eastAsia="仿宋_GB2312" w:cs="宋体"/>
                <w:b/>
                <w:kern w:val="0"/>
                <w:sz w:val="24"/>
              </w:rPr>
              <w:t>（加油站、加气站油气回收装置安装，加油站地下油罐防渗改造工程除外）</w:t>
            </w:r>
          </w:p>
        </w:tc>
        <w:tc>
          <w:tcPr>
            <w:tcW w:w="237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新建、扩建</w:t>
            </w:r>
          </w:p>
        </w:tc>
        <w:tc>
          <w:tcPr>
            <w:tcW w:w="226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四十六、水利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144</w:t>
            </w:r>
          </w:p>
        </w:tc>
        <w:tc>
          <w:tcPr>
            <w:tcW w:w="317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防洪治涝工程</w:t>
            </w:r>
          </w:p>
        </w:tc>
        <w:tc>
          <w:tcPr>
            <w:tcW w:w="237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新建大中型</w:t>
            </w:r>
          </w:p>
        </w:tc>
        <w:tc>
          <w:tcPr>
            <w:tcW w:w="2276"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其他（小型沟渠的护坡，现有堤防、泵闸等防洪治涝设施维修工程除外）</w:t>
            </w:r>
          </w:p>
        </w:tc>
        <w:tc>
          <w:tcPr>
            <w:tcW w:w="2264" w:type="dxa"/>
            <w:vAlign w:val="center"/>
          </w:tcPr>
          <w:p>
            <w:pPr>
              <w:widowControl/>
              <w:snapToGrid w:val="0"/>
              <w:spacing w:line="400" w:lineRule="exact"/>
              <w:rPr>
                <w:rFonts w:ascii="仿宋_GB2312" w:hAnsi="宋体" w:eastAsia="仿宋_GB2312" w:cs="宋体"/>
                <w:b/>
                <w:kern w:val="0"/>
                <w:sz w:val="24"/>
              </w:rPr>
            </w:pPr>
            <w:r>
              <w:rPr>
                <w:rFonts w:hint="eastAsia" w:ascii="仿宋_GB2312" w:hAnsi="宋体" w:eastAsia="仿宋_GB2312" w:cs="宋体"/>
                <w:b/>
                <w:kern w:val="0"/>
                <w:sz w:val="24"/>
              </w:rPr>
              <w:t>现有堤防、泵闸等防洪治涝设施维修工程</w:t>
            </w:r>
          </w:p>
        </w:tc>
        <w:tc>
          <w:tcPr>
            <w:tcW w:w="204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721" w:type="dxa"/>
            <w:gridSpan w:val="7"/>
            <w:vAlign w:val="center"/>
          </w:tcPr>
          <w:p>
            <w:pPr>
              <w:widowControl/>
              <w:snapToGrid w:val="0"/>
              <w:spacing w:line="400" w:lineRule="exact"/>
              <w:rPr>
                <w:rFonts w:ascii="仿宋_GB2312" w:hAnsi="宋体" w:eastAsia="仿宋_GB2312" w:cs="宋体"/>
                <w:b/>
                <w:bCs/>
                <w:kern w:val="0"/>
                <w:sz w:val="24"/>
              </w:rPr>
            </w:pPr>
            <w:r>
              <w:rPr>
                <w:rFonts w:hint="eastAsia" w:ascii="仿宋_GB2312" w:hAnsi="宋体" w:eastAsia="仿宋_GB2312" w:cs="宋体"/>
                <w:b/>
                <w:bCs/>
                <w:kern w:val="0"/>
                <w:sz w:val="24"/>
              </w:rPr>
              <w:t>四十九、交通运输业、管道运输业和仓储业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7"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157</w:t>
            </w:r>
          </w:p>
        </w:tc>
        <w:tc>
          <w:tcPr>
            <w:tcW w:w="317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等级公路（不含维护、不含改扩建四级公路、</w:t>
            </w:r>
            <w:r>
              <w:rPr>
                <w:rFonts w:hint="eastAsia" w:ascii="仿宋_GB2312" w:hAnsi="宋体" w:eastAsia="仿宋_GB2312" w:cs="宋体"/>
                <w:b/>
                <w:kern w:val="0"/>
                <w:sz w:val="24"/>
              </w:rPr>
              <w:t>不含补建或增建隔声屏</w:t>
            </w:r>
            <w:r>
              <w:rPr>
                <w:rFonts w:hint="eastAsia" w:ascii="仿宋_GB2312" w:hAnsi="宋体" w:eastAsia="仿宋_GB2312" w:cs="宋体"/>
                <w:kern w:val="0"/>
                <w:sz w:val="24"/>
              </w:rPr>
              <w:t>）</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新建30公里以上的三级及以上等级公路；新建涉及环境敏感区的1公里及以上的隧道，新建涉及环境敏感区的主桥长度1公里及以上的桥梁</w:t>
            </w:r>
          </w:p>
        </w:tc>
        <w:tc>
          <w:tcPr>
            <w:tcW w:w="2276"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其他(配套设施、不涉及环境敏感区的四级公路、免于办理环评手续的除外)</w:t>
            </w:r>
          </w:p>
        </w:tc>
        <w:tc>
          <w:tcPr>
            <w:tcW w:w="2264"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配套设施、不涉及环境敏感区的四级公路</w:t>
            </w:r>
          </w:p>
        </w:tc>
        <w:tc>
          <w:tcPr>
            <w:tcW w:w="204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第三条（一）中的全部区域；第三条（二）中的全部区域；第三条（三）中的全部区域</w:t>
            </w:r>
          </w:p>
        </w:tc>
        <w:tc>
          <w:tcPr>
            <w:tcW w:w="1840"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声评价（三级及以上且涉及第三条（三）中的环境敏感区的等级公路\隧道\桥梁）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171</w:t>
            </w:r>
          </w:p>
        </w:tc>
        <w:tc>
          <w:tcPr>
            <w:tcW w:w="317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城市轨道交通</w:t>
            </w:r>
          </w:p>
        </w:tc>
        <w:tc>
          <w:tcPr>
            <w:tcW w:w="237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主线设施</w:t>
            </w:r>
          </w:p>
        </w:tc>
        <w:tc>
          <w:tcPr>
            <w:tcW w:w="2276"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不包括主线的车站建设；停车场、车辆段、定修段等附属配套设施</w:t>
            </w:r>
          </w:p>
        </w:tc>
        <w:tc>
          <w:tcPr>
            <w:tcW w:w="226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声评价（涉及第三条（三）中的环境敏感区）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172</w:t>
            </w:r>
          </w:p>
        </w:tc>
        <w:tc>
          <w:tcPr>
            <w:tcW w:w="317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城市道路（不含维护，不含支路）</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新建快速路、干道</w:t>
            </w:r>
          </w:p>
        </w:tc>
        <w:tc>
          <w:tcPr>
            <w:tcW w:w="226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声评价（次干路及以上且涉及第三条（三）中的环境敏感区的城市道路）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173</w:t>
            </w:r>
          </w:p>
        </w:tc>
        <w:tc>
          <w:tcPr>
            <w:tcW w:w="317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城市桥梁、隧道（不含人行天桥、人行地道）</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全部</w:t>
            </w:r>
          </w:p>
        </w:tc>
        <w:tc>
          <w:tcPr>
            <w:tcW w:w="226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声评价(涉及第三条(三) 中的环境敏感区);大气评价（涉及风塔的建设项目）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51" w:type="dxa"/>
            <w:vMerge w:val="restart"/>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175</w:t>
            </w:r>
          </w:p>
        </w:tc>
        <w:tc>
          <w:tcPr>
            <w:tcW w:w="3174"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城镇管网及管廊建设(1.6兆帕及以下的天然气管道，</w:t>
            </w:r>
            <w:r>
              <w:rPr>
                <w:rFonts w:hint="eastAsia" w:ascii="仿宋_GB2312" w:hAnsi="宋体" w:eastAsia="仿宋_GB2312" w:cs="宋体"/>
                <w:b/>
                <w:kern w:val="0"/>
                <w:sz w:val="24"/>
              </w:rPr>
              <w:t>住宅小区内管线建设，改扩建雨水管网、热力管网、中水管网、自来水管网、通信管线</w:t>
            </w:r>
            <w:r>
              <w:rPr>
                <w:rFonts w:hint="eastAsia" w:ascii="仿宋_GB2312" w:hAnsi="宋体" w:eastAsia="仿宋_GB2312" w:cs="宋体"/>
                <w:kern w:val="0"/>
                <w:sz w:val="36"/>
                <w:vertAlign w:val="superscript"/>
              </w:rPr>
              <w:t>⑦</w:t>
            </w:r>
            <w:r>
              <w:rPr>
                <w:rFonts w:hint="eastAsia" w:ascii="仿宋_GB2312" w:hAnsi="宋体" w:eastAsia="仿宋_GB2312" w:cs="宋体"/>
                <w:b/>
                <w:kern w:val="0"/>
                <w:sz w:val="24"/>
              </w:rPr>
              <w:t>除外</w:t>
            </w:r>
            <w:r>
              <w:rPr>
                <w:rFonts w:hint="eastAsia" w:ascii="仿宋_GB2312" w:hAnsi="宋体" w:eastAsia="仿宋_GB2312" w:cs="宋体"/>
                <w:kern w:val="0"/>
                <w:sz w:val="24"/>
              </w:rPr>
              <w:t>)</w:t>
            </w:r>
          </w:p>
        </w:tc>
        <w:tc>
          <w:tcPr>
            <w:tcW w:w="2373" w:type="dxa"/>
            <w:vMerge w:val="restart"/>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Merge w:val="restart"/>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新建、或新增用地（含污水泵站或合流制雨污水泵站）</w:t>
            </w:r>
          </w:p>
        </w:tc>
        <w:tc>
          <w:tcPr>
            <w:tcW w:w="2264" w:type="dxa"/>
            <w:vMerge w:val="restart"/>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Merge w:val="restart"/>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第三条（一）中的全部区域</w:t>
            </w:r>
          </w:p>
        </w:tc>
        <w:tc>
          <w:tcPr>
            <w:tcW w:w="1840" w:type="dxa"/>
            <w:vMerge w:val="restart"/>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1" w:type="dxa"/>
            <w:vMerge w:val="continue"/>
            <w:vAlign w:val="center"/>
          </w:tcPr>
          <w:p>
            <w:pPr>
              <w:widowControl/>
              <w:jc w:val="left"/>
              <w:rPr>
                <w:rFonts w:ascii="仿宋_GB2312" w:hAnsi="宋体" w:eastAsia="仿宋_GB2312" w:cs="宋体"/>
                <w:kern w:val="0"/>
                <w:sz w:val="24"/>
              </w:rPr>
            </w:pPr>
          </w:p>
        </w:tc>
        <w:tc>
          <w:tcPr>
            <w:tcW w:w="3174" w:type="dxa"/>
            <w:vMerge w:val="continue"/>
            <w:vAlign w:val="center"/>
          </w:tcPr>
          <w:p>
            <w:pPr>
              <w:widowControl/>
              <w:jc w:val="left"/>
              <w:rPr>
                <w:rFonts w:ascii="仿宋_GB2312" w:hAnsi="宋体" w:eastAsia="仿宋_GB2312" w:cs="宋体"/>
                <w:kern w:val="0"/>
                <w:sz w:val="24"/>
              </w:rPr>
            </w:pPr>
          </w:p>
        </w:tc>
        <w:tc>
          <w:tcPr>
            <w:tcW w:w="2373" w:type="dxa"/>
            <w:vMerge w:val="continue"/>
            <w:vAlign w:val="center"/>
          </w:tcPr>
          <w:p>
            <w:pPr>
              <w:widowControl/>
              <w:jc w:val="left"/>
              <w:rPr>
                <w:rFonts w:ascii="仿宋_GB2312" w:hAnsi="宋体" w:eastAsia="仿宋_GB2312" w:cs="宋体"/>
                <w:kern w:val="0"/>
                <w:sz w:val="24"/>
              </w:rPr>
            </w:pPr>
          </w:p>
        </w:tc>
        <w:tc>
          <w:tcPr>
            <w:tcW w:w="2276" w:type="dxa"/>
            <w:vMerge w:val="continue"/>
            <w:vAlign w:val="center"/>
          </w:tcPr>
          <w:p>
            <w:pPr>
              <w:widowControl/>
              <w:jc w:val="left"/>
              <w:rPr>
                <w:rFonts w:ascii="仿宋_GB2312" w:hAnsi="宋体" w:eastAsia="仿宋_GB2312" w:cs="宋体"/>
                <w:kern w:val="0"/>
                <w:sz w:val="24"/>
              </w:rPr>
            </w:pPr>
          </w:p>
        </w:tc>
        <w:tc>
          <w:tcPr>
            <w:tcW w:w="2264" w:type="dxa"/>
            <w:vMerge w:val="continue"/>
            <w:vAlign w:val="center"/>
          </w:tcPr>
          <w:p>
            <w:pPr>
              <w:widowControl/>
              <w:jc w:val="left"/>
              <w:rPr>
                <w:rFonts w:ascii="仿宋_GB2312" w:hAnsi="宋体" w:eastAsia="仿宋_GB2312" w:cs="宋体"/>
                <w:kern w:val="0"/>
                <w:sz w:val="24"/>
              </w:rPr>
            </w:pPr>
          </w:p>
        </w:tc>
        <w:tc>
          <w:tcPr>
            <w:tcW w:w="2043" w:type="dxa"/>
            <w:vMerge w:val="continue"/>
            <w:vAlign w:val="center"/>
          </w:tcPr>
          <w:p>
            <w:pPr>
              <w:widowControl/>
              <w:jc w:val="left"/>
              <w:rPr>
                <w:rFonts w:ascii="仿宋_GB2312" w:hAnsi="宋体" w:eastAsia="仿宋_GB2312" w:cs="宋体"/>
                <w:kern w:val="0"/>
                <w:sz w:val="24"/>
              </w:rPr>
            </w:pPr>
          </w:p>
        </w:tc>
        <w:tc>
          <w:tcPr>
            <w:tcW w:w="1840" w:type="dxa"/>
            <w:vMerge w:val="continue"/>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51" w:type="dxa"/>
            <w:vMerge w:val="continue"/>
            <w:vAlign w:val="center"/>
          </w:tcPr>
          <w:p>
            <w:pPr>
              <w:widowControl/>
              <w:jc w:val="left"/>
              <w:rPr>
                <w:rFonts w:ascii="仿宋_GB2312" w:hAnsi="宋体" w:eastAsia="仿宋_GB2312" w:cs="宋体"/>
                <w:kern w:val="0"/>
                <w:sz w:val="24"/>
              </w:rPr>
            </w:pPr>
          </w:p>
        </w:tc>
        <w:tc>
          <w:tcPr>
            <w:tcW w:w="3174" w:type="dxa"/>
            <w:vMerge w:val="continue"/>
            <w:vAlign w:val="center"/>
          </w:tcPr>
          <w:p>
            <w:pPr>
              <w:widowControl/>
              <w:jc w:val="left"/>
              <w:rPr>
                <w:rFonts w:ascii="仿宋_GB2312" w:hAnsi="宋体" w:eastAsia="仿宋_GB2312" w:cs="宋体"/>
                <w:kern w:val="0"/>
                <w:sz w:val="24"/>
              </w:rPr>
            </w:pPr>
          </w:p>
        </w:tc>
        <w:tc>
          <w:tcPr>
            <w:tcW w:w="2373" w:type="dxa"/>
            <w:vMerge w:val="continue"/>
            <w:vAlign w:val="center"/>
          </w:tcPr>
          <w:p>
            <w:pPr>
              <w:widowControl/>
              <w:jc w:val="left"/>
              <w:rPr>
                <w:rFonts w:ascii="仿宋_GB2312" w:hAnsi="宋体" w:eastAsia="仿宋_GB2312" w:cs="宋体"/>
                <w:kern w:val="0"/>
                <w:sz w:val="24"/>
              </w:rPr>
            </w:pPr>
          </w:p>
        </w:tc>
        <w:tc>
          <w:tcPr>
            <w:tcW w:w="2276" w:type="dxa"/>
            <w:vMerge w:val="continue"/>
            <w:vAlign w:val="center"/>
          </w:tcPr>
          <w:p>
            <w:pPr>
              <w:widowControl/>
              <w:jc w:val="left"/>
              <w:rPr>
                <w:rFonts w:ascii="仿宋_GB2312" w:hAnsi="宋体" w:eastAsia="仿宋_GB2312" w:cs="宋体"/>
                <w:kern w:val="0"/>
                <w:sz w:val="24"/>
              </w:rPr>
            </w:pPr>
          </w:p>
        </w:tc>
        <w:tc>
          <w:tcPr>
            <w:tcW w:w="2264" w:type="dxa"/>
            <w:vMerge w:val="continue"/>
            <w:vAlign w:val="center"/>
          </w:tcPr>
          <w:p>
            <w:pPr>
              <w:widowControl/>
              <w:jc w:val="left"/>
              <w:rPr>
                <w:rFonts w:ascii="仿宋_GB2312" w:hAnsi="宋体" w:eastAsia="仿宋_GB2312" w:cs="宋体"/>
                <w:kern w:val="0"/>
                <w:sz w:val="24"/>
              </w:rPr>
            </w:pPr>
          </w:p>
        </w:tc>
        <w:tc>
          <w:tcPr>
            <w:tcW w:w="2043" w:type="dxa"/>
            <w:vMerge w:val="continue"/>
            <w:vAlign w:val="center"/>
          </w:tcPr>
          <w:p>
            <w:pPr>
              <w:widowControl/>
              <w:jc w:val="left"/>
              <w:rPr>
                <w:rFonts w:ascii="仿宋_GB2312" w:hAnsi="宋体" w:eastAsia="仿宋_GB2312" w:cs="宋体"/>
                <w:kern w:val="0"/>
                <w:sz w:val="24"/>
              </w:rPr>
            </w:pPr>
          </w:p>
        </w:tc>
        <w:tc>
          <w:tcPr>
            <w:tcW w:w="1840" w:type="dxa"/>
            <w:vMerge w:val="continue"/>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1" w:type="dxa"/>
            <w:vMerge w:val="continue"/>
            <w:vAlign w:val="center"/>
          </w:tcPr>
          <w:p>
            <w:pPr>
              <w:widowControl/>
              <w:jc w:val="left"/>
              <w:rPr>
                <w:rFonts w:ascii="仿宋_GB2312" w:hAnsi="宋体" w:eastAsia="仿宋_GB2312" w:cs="宋体"/>
                <w:kern w:val="0"/>
                <w:sz w:val="24"/>
              </w:rPr>
            </w:pPr>
          </w:p>
        </w:tc>
        <w:tc>
          <w:tcPr>
            <w:tcW w:w="3174" w:type="dxa"/>
            <w:vMerge w:val="continue"/>
            <w:vAlign w:val="center"/>
          </w:tcPr>
          <w:p>
            <w:pPr>
              <w:widowControl/>
              <w:jc w:val="left"/>
              <w:rPr>
                <w:rFonts w:ascii="仿宋_GB2312" w:hAnsi="宋体" w:eastAsia="仿宋_GB2312" w:cs="宋体"/>
                <w:kern w:val="0"/>
                <w:sz w:val="24"/>
              </w:rPr>
            </w:pPr>
          </w:p>
        </w:tc>
        <w:tc>
          <w:tcPr>
            <w:tcW w:w="2373" w:type="dxa"/>
            <w:vMerge w:val="continue"/>
            <w:vAlign w:val="center"/>
          </w:tcPr>
          <w:p>
            <w:pPr>
              <w:widowControl/>
              <w:jc w:val="left"/>
              <w:rPr>
                <w:rFonts w:ascii="仿宋_GB2312" w:hAnsi="宋体" w:eastAsia="仿宋_GB2312" w:cs="宋体"/>
                <w:kern w:val="0"/>
                <w:sz w:val="24"/>
              </w:rPr>
            </w:pPr>
          </w:p>
        </w:tc>
        <w:tc>
          <w:tcPr>
            <w:tcW w:w="2276" w:type="dxa"/>
            <w:vMerge w:val="continue"/>
            <w:vAlign w:val="center"/>
          </w:tcPr>
          <w:p>
            <w:pPr>
              <w:widowControl/>
              <w:jc w:val="left"/>
              <w:rPr>
                <w:rFonts w:ascii="仿宋_GB2312" w:hAnsi="宋体" w:eastAsia="仿宋_GB2312" w:cs="宋体"/>
                <w:kern w:val="0"/>
                <w:sz w:val="24"/>
              </w:rPr>
            </w:pPr>
          </w:p>
        </w:tc>
        <w:tc>
          <w:tcPr>
            <w:tcW w:w="2264" w:type="dxa"/>
            <w:vMerge w:val="continue"/>
            <w:vAlign w:val="center"/>
          </w:tcPr>
          <w:p>
            <w:pPr>
              <w:widowControl/>
              <w:jc w:val="left"/>
              <w:rPr>
                <w:rFonts w:ascii="仿宋_GB2312" w:hAnsi="宋体" w:eastAsia="仿宋_GB2312" w:cs="宋体"/>
                <w:kern w:val="0"/>
                <w:sz w:val="24"/>
              </w:rPr>
            </w:pPr>
          </w:p>
        </w:tc>
        <w:tc>
          <w:tcPr>
            <w:tcW w:w="2043" w:type="dxa"/>
            <w:vMerge w:val="continue"/>
            <w:vAlign w:val="center"/>
          </w:tcPr>
          <w:p>
            <w:pPr>
              <w:widowControl/>
              <w:jc w:val="left"/>
              <w:rPr>
                <w:rFonts w:ascii="仿宋_GB2312" w:hAnsi="宋体" w:eastAsia="仿宋_GB2312" w:cs="宋体"/>
                <w:kern w:val="0"/>
                <w:sz w:val="24"/>
              </w:rPr>
            </w:pPr>
          </w:p>
        </w:tc>
        <w:tc>
          <w:tcPr>
            <w:tcW w:w="1840" w:type="dxa"/>
            <w:vMerge w:val="continue"/>
            <w:vAlign w:val="center"/>
          </w:tcPr>
          <w:p>
            <w:pPr>
              <w:widowControl/>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177</w:t>
            </w:r>
          </w:p>
        </w:tc>
        <w:tc>
          <w:tcPr>
            <w:tcW w:w="317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化学品输送管线</w:t>
            </w:r>
          </w:p>
        </w:tc>
        <w:tc>
          <w:tcPr>
            <w:tcW w:w="237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化学品输送管线（氮气、惰性气体除外）</w:t>
            </w:r>
          </w:p>
        </w:tc>
        <w:tc>
          <w:tcPr>
            <w:tcW w:w="2276"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氮气、惰性气体输送管线</w:t>
            </w:r>
          </w:p>
        </w:tc>
        <w:tc>
          <w:tcPr>
            <w:tcW w:w="226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51" w:type="dxa"/>
            <w:vAlign w:val="center"/>
          </w:tcPr>
          <w:p>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180</w:t>
            </w:r>
          </w:p>
        </w:tc>
        <w:tc>
          <w:tcPr>
            <w:tcW w:w="317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仓库(不含油库\气库\煤炭储存</w:t>
            </w:r>
            <w:r>
              <w:rPr>
                <w:rFonts w:hint="eastAsia" w:ascii="仿宋_GB2312" w:hAnsi="宋体" w:eastAsia="仿宋_GB2312" w:cs="宋体"/>
                <w:b/>
                <w:kern w:val="0"/>
                <w:sz w:val="24"/>
              </w:rPr>
              <w:t>，不含简易低风险工程</w:t>
            </w:r>
            <w:r>
              <w:rPr>
                <w:rFonts w:hint="eastAsia" w:ascii="仿宋_GB2312" w:hAnsi="宋体" w:eastAsia="仿宋_GB2312" w:cs="宋体"/>
                <w:kern w:val="0"/>
                <w:sz w:val="36"/>
                <w:vertAlign w:val="superscript"/>
              </w:rPr>
              <w:t>⑧</w:t>
            </w:r>
            <w:r>
              <w:rPr>
                <w:rFonts w:hint="eastAsia" w:ascii="仿宋_GB2312" w:hAnsi="宋体" w:eastAsia="仿宋_GB2312" w:cs="宋体"/>
                <w:kern w:val="0"/>
                <w:sz w:val="24"/>
              </w:rPr>
              <w:t>)</w:t>
            </w:r>
          </w:p>
        </w:tc>
        <w:tc>
          <w:tcPr>
            <w:tcW w:w="2373" w:type="dxa"/>
            <w:vAlign w:val="center"/>
          </w:tcPr>
          <w:p>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有毒、有害及危险品的仓储、物流配送项目</w:t>
            </w:r>
          </w:p>
        </w:tc>
        <w:tc>
          <w:tcPr>
            <w:tcW w:w="2264"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风险评价</w:t>
            </w:r>
          </w:p>
        </w:tc>
      </w:tr>
    </w:tbl>
    <w:p>
      <w:pPr>
        <w:rPr>
          <w:rFonts w:ascii="仿宋_GB2312" w:hAnsi="宋体" w:eastAsia="仿宋_GB2312" w:cs="宋体"/>
          <w:b/>
          <w:kern w:val="0"/>
          <w:sz w:val="24"/>
          <w:szCs w:val="21"/>
        </w:rPr>
      </w:pPr>
      <w:r>
        <w:rPr>
          <w:rFonts w:hint="eastAsia" w:ascii="仿宋_GB2312" w:hAnsi="宋体" w:eastAsia="仿宋_GB2312" w:cs="宋体"/>
          <w:b/>
          <w:kern w:val="0"/>
          <w:sz w:val="24"/>
          <w:szCs w:val="21"/>
        </w:rPr>
        <w:t>注释：</w:t>
      </w:r>
    </w:p>
    <w:p>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更换同等或以下规模设备，不涉及项目扩能且工艺无变化的。</w:t>
      </w:r>
    </w:p>
    <w:p>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简易低风险工程包括：</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a.</w:t>
      </w:r>
      <w:r>
        <w:rPr>
          <w:rFonts w:hint="eastAsia" w:ascii="仿宋_GB2312" w:hAnsi="宋体" w:eastAsia="仿宋_GB2312" w:cs="宋体"/>
          <w:b/>
          <w:kern w:val="0"/>
          <w:sz w:val="24"/>
          <w:szCs w:val="21"/>
        </w:rPr>
        <w:t>未设置化学或生物实验室的办公用房建筑物</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地上建筑面积不大于10000平方米，位于规划城乡建设用地内，市政管网配套齐全，不需自建配套污水处理设施，不涉及环境敏感区，未位于机要单位和地铁安全控制范围）；</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b.</w:t>
      </w:r>
      <w:r>
        <w:rPr>
          <w:rFonts w:hint="eastAsia" w:ascii="仿宋_GB2312" w:hAnsi="宋体" w:eastAsia="仿宋_GB2312" w:cs="宋体"/>
          <w:b/>
          <w:kern w:val="0"/>
          <w:sz w:val="24"/>
          <w:szCs w:val="21"/>
        </w:rPr>
        <w:t>不销售易燃、易爆、有毒、有害物品且不产生油烟、异味的商业建筑物</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不包括具体经营内容，地上建筑面积不大于10000平方米，位于规划城乡建设用地内，市政管网配套齐全，不需自建配套污水处理设施，不涉及环境敏感区，未位于机要单位和地铁安全控制范围）；</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c.</w:t>
      </w:r>
      <w:r>
        <w:rPr>
          <w:rFonts w:hint="eastAsia" w:ascii="仿宋_GB2312" w:hAnsi="宋体" w:eastAsia="仿宋_GB2312" w:cs="宋体"/>
          <w:b/>
          <w:kern w:val="0"/>
          <w:sz w:val="24"/>
          <w:szCs w:val="21"/>
        </w:rPr>
        <w:t>不含生产的标准厂房</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地上建筑面积不大于10000平方米，位于规划城乡建设用地内，市政管网配套齐全，不需自建配套污水处理设施，不涉及环境敏感区，未位于机要单位和地铁安全控制范围）；</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d.</w:t>
      </w:r>
      <w:r>
        <w:rPr>
          <w:rFonts w:hint="eastAsia" w:ascii="仿宋_GB2312" w:hAnsi="宋体" w:eastAsia="仿宋_GB2312" w:cs="宋体"/>
          <w:b/>
          <w:kern w:val="0"/>
          <w:sz w:val="24"/>
          <w:szCs w:val="21"/>
        </w:rPr>
        <w:t>连片开发项目除外的平房</w:t>
      </w:r>
      <w:r>
        <w:rPr>
          <w:rFonts w:hint="eastAsia" w:ascii="仿宋_GB2312" w:hAnsi="宋体" w:eastAsia="仿宋_GB2312" w:cs="宋体"/>
          <w:kern w:val="0"/>
          <w:sz w:val="24"/>
          <w:szCs w:val="21"/>
        </w:rPr>
        <w:t>（私房仅限原翻原建，地上建筑面积不大于10000平方米，位于规划城乡建设用地内，市政管网配套齐全，不需自建配套污水处理设施，不涉及环境敏感区，未位于机要单位安全控制范围内）；</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e.</w:t>
      </w:r>
      <w:r>
        <w:rPr>
          <w:rFonts w:hint="eastAsia" w:ascii="仿宋_GB2312" w:hAnsi="宋体" w:eastAsia="仿宋_GB2312" w:cs="宋体"/>
          <w:b/>
          <w:kern w:val="0"/>
          <w:sz w:val="24"/>
          <w:szCs w:val="21"/>
        </w:rPr>
        <w:t>连片开发项目除外的楼房</w:t>
      </w:r>
      <w:r>
        <w:rPr>
          <w:rFonts w:hint="eastAsia" w:ascii="仿宋_GB2312" w:hAnsi="宋体" w:eastAsia="仿宋_GB2312" w:cs="宋体"/>
          <w:kern w:val="0"/>
          <w:sz w:val="24"/>
          <w:szCs w:val="21"/>
        </w:rPr>
        <w:t>（地上建筑面积不大于10000平方米，位于规划城乡建设用地内，市政管网配套齐全，不需自建配套污水处理设施，不涉及环境敏感区，未位于机要单位和地铁安全控制范围）；</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f.</w:t>
      </w:r>
      <w:r>
        <w:rPr>
          <w:rFonts w:hint="eastAsia" w:ascii="仿宋_GB2312" w:hAnsi="宋体" w:eastAsia="仿宋_GB2312" w:cs="宋体"/>
          <w:b/>
          <w:kern w:val="0"/>
          <w:sz w:val="24"/>
          <w:szCs w:val="21"/>
        </w:rPr>
        <w:t>未设置化学或生物实验室的室内儿童活动场所、劳动密集型企业的员工集体宿舍等公共服务设施</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建筑总面积不大于1000平方米，位于规划城乡建设用地内，市政管网配套齐全，不需自建配套污水处理设施，不涉及环境敏感区，未位于机要单位和地铁安全控制范围）；</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g.</w:t>
      </w:r>
      <w:r>
        <w:rPr>
          <w:rFonts w:hint="eastAsia" w:ascii="仿宋_GB2312" w:hAnsi="宋体" w:eastAsia="仿宋_GB2312" w:cs="宋体"/>
          <w:b/>
          <w:kern w:val="0"/>
          <w:sz w:val="24"/>
          <w:szCs w:val="21"/>
        </w:rPr>
        <w:t>未设置化学或生物实验室的寺庙、教堂建筑物、营业性室内健身及休闲场馆等公共服务设施</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建筑总面积不大于2500平方米，位于规划城乡建设用地内，市政管网配套齐全，不需自建配套污水处理设施，不涉及环境敏感区，未位于机要单位和地铁安全控制范围）；</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h.</w:t>
      </w:r>
      <w:r>
        <w:rPr>
          <w:rFonts w:hint="eastAsia" w:ascii="仿宋_GB2312" w:hAnsi="宋体" w:eastAsia="仿宋_GB2312" w:cs="宋体"/>
          <w:b/>
          <w:kern w:val="0"/>
          <w:sz w:val="24"/>
          <w:szCs w:val="21"/>
        </w:rPr>
        <w:t>其他未设置化学或生物实验室的公共服务设施建筑物</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地上建筑面积不大于10000平方米，位于规划城乡建设用地内，市政管网配套齐全，不需自建配套污水处理设施，不涉及环境敏感区，未位于机要单位和地铁安全控制范围）。</w:t>
      </w:r>
    </w:p>
    <w:p>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简易低风险工程包括：</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a.</w:t>
      </w:r>
      <w:r>
        <w:rPr>
          <w:rFonts w:hint="eastAsia" w:ascii="仿宋_GB2312" w:hAnsi="宋体" w:eastAsia="仿宋_GB2312" w:cs="宋体"/>
          <w:b/>
          <w:kern w:val="0"/>
          <w:sz w:val="24"/>
          <w:szCs w:val="21"/>
        </w:rPr>
        <w:t>未设置化学或生物实验室的医院、疗养院病房楼</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不包括具体经营内容，建筑总面积不大于1000平方米，位于规划城乡建设用地内，市政管网配套齐全，不需自建配套污水处理设施，不涉及环境敏感区，未位于机要单位和地铁安全控制范围）;</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b.</w:t>
      </w:r>
      <w:r>
        <w:rPr>
          <w:rFonts w:hint="eastAsia" w:ascii="仿宋_GB2312" w:hAnsi="宋体" w:eastAsia="仿宋_GB2312" w:cs="宋体"/>
          <w:b/>
          <w:kern w:val="0"/>
          <w:sz w:val="24"/>
          <w:szCs w:val="21"/>
        </w:rPr>
        <w:t>未设置化学或生物实验室的医院门诊楼</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不包括具体经营内容，建筑总面积不大于2500平方米，位于规划城乡建设用地内，市政管网配套齐全，不需自建配套污水处理设施，不涉及环境敏感区，未位于机要单位和地铁安全控制范围）；</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c.</w:t>
      </w:r>
      <w:r>
        <w:rPr>
          <w:rFonts w:hint="eastAsia" w:ascii="仿宋_GB2312" w:hAnsi="宋体" w:eastAsia="仿宋_GB2312" w:cs="宋体"/>
          <w:b/>
          <w:kern w:val="0"/>
          <w:sz w:val="24"/>
          <w:szCs w:val="21"/>
        </w:rPr>
        <w:t>只有门诊服务和药房的诊所</w:t>
      </w:r>
      <w:r>
        <w:rPr>
          <w:rFonts w:hint="eastAsia" w:ascii="仿宋_GB2312" w:hAnsi="宋体" w:eastAsia="仿宋_GB2312" w:cs="宋体"/>
          <w:kern w:val="0"/>
          <w:sz w:val="24"/>
          <w:szCs w:val="21"/>
        </w:rPr>
        <w:t>（不涉及土建且污水排入市政管网）；</w:t>
      </w:r>
    </w:p>
    <w:p>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d.</w:t>
      </w:r>
      <w:r>
        <w:rPr>
          <w:rFonts w:hint="eastAsia" w:ascii="仿宋_GB2312" w:hAnsi="宋体" w:eastAsia="仿宋_GB2312" w:cs="宋体"/>
          <w:b/>
          <w:kern w:val="0"/>
          <w:sz w:val="24"/>
          <w:szCs w:val="21"/>
        </w:rPr>
        <w:t>不含煎药、检验、化验和中药制剂生产的中医诊所</w:t>
      </w:r>
      <w:r>
        <w:rPr>
          <w:rFonts w:hint="eastAsia" w:ascii="仿宋_GB2312" w:hAnsi="宋体" w:eastAsia="仿宋_GB2312" w:cs="宋体"/>
          <w:kern w:val="0"/>
          <w:sz w:val="24"/>
          <w:szCs w:val="21"/>
        </w:rPr>
        <w:t>（不涉及土建且污水排入市政管网）。</w:t>
      </w:r>
    </w:p>
    <w:p>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不涉及土建且污水排入市政管网。</w:t>
      </w:r>
    </w:p>
    <w:p>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简易低风险工程包括：</w:t>
      </w:r>
      <w:r>
        <w:rPr>
          <w:rFonts w:hint="eastAsia" w:ascii="仿宋_GB2312" w:hAnsi="宋体" w:eastAsia="仿宋_GB2312" w:cs="宋体"/>
          <w:b/>
          <w:kern w:val="0"/>
          <w:sz w:val="24"/>
          <w:szCs w:val="21"/>
        </w:rPr>
        <w:t>不销售易燃、易爆、有毒、有害物品且不产生油烟、异味的歌舞厅、录像厅、放映厅、卡拉OK厅、夜总会、游艺厅、桑拿浴室、网吧、酒吧、具有娱乐功能的餐馆、茶馆、咖啡厅</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建筑面积不大于500平方米，位于规划城乡建设用地内，市政管网配套齐全，不需自建配套污水处理设施，不涉及环境敏感区，未位于机要单位和地铁安全控制范围）。</w:t>
      </w:r>
    </w:p>
    <w:p>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简易低风险工程包括：</w:t>
      </w:r>
      <w:r>
        <w:rPr>
          <w:rFonts w:hint="eastAsia" w:ascii="仿宋_GB2312" w:hAnsi="宋体" w:eastAsia="仿宋_GB2312" w:cs="宋体"/>
          <w:b/>
          <w:kern w:val="0"/>
          <w:sz w:val="24"/>
          <w:szCs w:val="21"/>
        </w:rPr>
        <w:t>公共图书馆、影剧院</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建筑总面积不大于2500平方米，位于规划城乡建设用地内，市政管网配套齐全，不需自建配套污水处理设施，不涉及环境敏感区，未位于机要单位和地铁安全控制范围）。</w:t>
      </w:r>
    </w:p>
    <w:p>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不涉及环境敏感区且不新增用地的。</w:t>
      </w:r>
    </w:p>
    <w:p>
      <w:r>
        <w:rPr>
          <w:rFonts w:hint="eastAsia" w:ascii="仿宋_GB2312" w:hAnsi="宋体" w:eastAsia="仿宋_GB2312" w:cs="宋体"/>
          <w:kern w:val="0"/>
          <w:sz w:val="24"/>
          <w:szCs w:val="21"/>
        </w:rPr>
        <w:t>简易低风险工程包括：</w:t>
      </w:r>
      <w:r>
        <w:rPr>
          <w:rFonts w:hint="eastAsia" w:ascii="仿宋_GB2312" w:hAnsi="宋体" w:eastAsia="仿宋_GB2312" w:cs="宋体"/>
          <w:b/>
          <w:kern w:val="0"/>
          <w:sz w:val="24"/>
          <w:szCs w:val="21"/>
        </w:rPr>
        <w:t>不存放易燃、易爆、有毒、有害物品或危险品的仓储、物流配送项目</w:t>
      </w:r>
      <w:r>
        <w:rPr>
          <w:rFonts w:hint="eastAsia" w:ascii="仿宋_GB2312" w:hAnsi="宋体" w:eastAsia="仿宋_GB2312" w:cs="宋体"/>
          <w:kern w:val="0"/>
          <w:sz w:val="24"/>
          <w:szCs w:val="21"/>
        </w:rPr>
        <w:t>。</w:t>
      </w:r>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326DA"/>
    <w:multiLevelType w:val="multilevel"/>
    <w:tmpl w:val="25F326DA"/>
    <w:lvl w:ilvl="0" w:tentative="0">
      <w:start w:val="1"/>
      <w:numFmt w:val="decimalEnclosedCircle"/>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942C5"/>
    <w:rsid w:val="17994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2019-12-11T09:59:00Z</dcterms:created>
  <dc:creator>86159</dc:creator>
  <cp:lastModifiedBy>86159</cp:lastModifiedBy>
  <dcterms:modified xsi:type="dcterms:W3CDTF">2019-12-11T09:59:57Z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