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sz w:val="32"/>
          <w:szCs w:val="32"/>
        </w:rPr>
      </w:pPr>
      <w:r>
        <w:rPr>
          <w:rFonts w:hint="eastAsia" w:ascii="黑体" w:eastAsia="黑体"/>
          <w:sz w:val="32"/>
          <w:szCs w:val="32"/>
        </w:rPr>
        <w:t>附件1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beforeLines="50" w:after="156" w:afterLines="50" w:line="560" w:lineRule="exact"/>
        <w:ind w:firstLine="880" w:firstLineChars="200"/>
        <w:jc w:val="center"/>
        <w:rPr>
          <w:rFonts w:ascii="黑体" w:hAnsi="黑体" w:eastAsia="方正小标宋简体"/>
          <w:sz w:val="44"/>
          <w:szCs w:val="44"/>
        </w:rPr>
      </w:pPr>
      <w:r>
        <w:rPr>
          <w:rFonts w:hint="eastAsia" w:ascii="方正小标宋简体" w:hAnsi="方正小标宋简体" w:eastAsia="方正小标宋简体" w:cs="方正小标宋简体"/>
          <w:sz w:val="44"/>
          <w:szCs w:val="44"/>
        </w:rPr>
        <w:t>2023年度北京市先进低碳技术试点优秀项目</w:t>
      </w:r>
      <w:bookmarkStart w:id="0" w:name="_GoBack"/>
      <w:bookmarkEnd w:id="0"/>
    </w:p>
    <w:tbl>
      <w:tblPr>
        <w:tblStyle w:val="4"/>
        <w:tblW w:w="5118" w:type="pct"/>
        <w:tblInd w:w="-199" w:type="dxa"/>
        <w:tblLayout w:type="autofit"/>
        <w:tblCellMar>
          <w:top w:w="0" w:type="dxa"/>
          <w:left w:w="108" w:type="dxa"/>
          <w:bottom w:w="0" w:type="dxa"/>
          <w:right w:w="108" w:type="dxa"/>
        </w:tblCellMar>
      </w:tblPr>
      <w:tblGrid>
        <w:gridCol w:w="478"/>
        <w:gridCol w:w="1574"/>
        <w:gridCol w:w="1094"/>
        <w:gridCol w:w="4825"/>
        <w:gridCol w:w="752"/>
      </w:tblGrid>
      <w:tr>
        <w:tblPrEx>
          <w:tblCellMar>
            <w:top w:w="0" w:type="dxa"/>
            <w:left w:w="108" w:type="dxa"/>
            <w:bottom w:w="0" w:type="dxa"/>
            <w:right w:w="108" w:type="dxa"/>
          </w:tblCellMar>
        </w:tblPrEx>
        <w:trPr>
          <w:trHeight w:val="403" w:hRule="atLeast"/>
          <w:tblHeader/>
        </w:trPr>
        <w:tc>
          <w:tcPr>
            <w:tcW w:w="274" w:type="pc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序号</w:t>
            </w:r>
          </w:p>
        </w:tc>
        <w:tc>
          <w:tcPr>
            <w:tcW w:w="902"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项目名称</w:t>
            </w:r>
          </w:p>
        </w:tc>
        <w:tc>
          <w:tcPr>
            <w:tcW w:w="627"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申报单位</w:t>
            </w:r>
          </w:p>
        </w:tc>
        <w:tc>
          <w:tcPr>
            <w:tcW w:w="2765"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项目特色</w:t>
            </w:r>
          </w:p>
        </w:tc>
        <w:tc>
          <w:tcPr>
            <w:tcW w:w="431"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所在区</w:t>
            </w:r>
          </w:p>
        </w:tc>
      </w:tr>
      <w:tr>
        <w:tblPrEx>
          <w:tblCellMar>
            <w:top w:w="0" w:type="dxa"/>
            <w:left w:w="108" w:type="dxa"/>
            <w:bottom w:w="0" w:type="dxa"/>
            <w:right w:w="108" w:type="dxa"/>
          </w:tblCellMar>
        </w:tblPrEx>
        <w:trPr>
          <w:trHeight w:val="930"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华能北京热电厂燃气机组烟气余热利用项目</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华能北京热电有限责任公司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国内首个燃气发电机组烟气余热深度回收利用项目，研发应用了高效板式换热、模块化换热等技术和设备，排烟温度从85度降至30度，年节约天然气8000万方，减少碳排放约14万吨。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朝阳区</w:t>
            </w:r>
          </w:p>
        </w:tc>
      </w:tr>
      <w:tr>
        <w:tblPrEx>
          <w:tblCellMar>
            <w:top w:w="0" w:type="dxa"/>
            <w:left w:w="108" w:type="dxa"/>
            <w:bottom w:w="0" w:type="dxa"/>
            <w:right w:w="108" w:type="dxa"/>
          </w:tblCellMar>
        </w:tblPrEx>
        <w:trPr>
          <w:trHeight w:val="990"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北京城市排水集团高安屯再生水厂综合低碳运行技术</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北京城市排水集团有限责任公司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高级厌氧消化技术协同处置餐厨垃圾与污泥、提高沼气生产量，年可产沼气3000万余立方米，沼气热电联产年发电量可达4800万度，建设1.6MW分布式光伏发电设施。通过上述措施可实现高安屯再生水厂厂区范围能源自给率超过100%，建设成为全国首座用电自给再生水厂。每年可减少二氧化碳排放约 4万吨。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朝阳区</w:t>
            </w:r>
          </w:p>
        </w:tc>
      </w:tr>
      <w:tr>
        <w:tblPrEx>
          <w:tblCellMar>
            <w:top w:w="0" w:type="dxa"/>
            <w:left w:w="108" w:type="dxa"/>
            <w:bottom w:w="0" w:type="dxa"/>
            <w:right w:w="108" w:type="dxa"/>
          </w:tblCellMar>
        </w:tblPrEx>
        <w:trPr>
          <w:trHeight w:val="1017"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京能燃气电厂二氧化碳排放在线连续监测试点应用及研究</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北京京能科技有限公司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京能集团在京的两个燃气电厂试点采用高精度碳排放连续监测设备，开展燃气电厂二氧化碳在线监测，实现二氧化碳排放实时监测，开展二氧化碳排放实时监测与核算比对研究，探索电力行业二氧化碳监测监管技术手段。</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朝阳区、</w:t>
            </w:r>
          </w:p>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昌平区</w:t>
            </w:r>
          </w:p>
        </w:tc>
      </w:tr>
      <w:tr>
        <w:tblPrEx>
          <w:tblCellMar>
            <w:top w:w="0" w:type="dxa"/>
            <w:left w:w="108" w:type="dxa"/>
            <w:bottom w:w="0" w:type="dxa"/>
            <w:right w:w="108" w:type="dxa"/>
          </w:tblCellMar>
        </w:tblPrEx>
        <w:trPr>
          <w:trHeight w:val="1021"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中国民航信息网络公司数据中心绿色化智能化改造</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中国民航信息网络股份有限公司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采用智能化自动化技术，对现有数据中心的制冷系统、除湿系统、电加热系统等进行改造，实现数据中心PUE从设计值1.58降低到1.295，年节约电量3000余万度,年减少碳排放约1.9万吨。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顺义区</w:t>
            </w:r>
          </w:p>
        </w:tc>
      </w:tr>
      <w:tr>
        <w:tblPrEx>
          <w:tblCellMar>
            <w:top w:w="0" w:type="dxa"/>
            <w:left w:w="108" w:type="dxa"/>
            <w:bottom w:w="0" w:type="dxa"/>
            <w:right w:w="108" w:type="dxa"/>
          </w:tblCellMar>
        </w:tblPrEx>
        <w:trPr>
          <w:trHeight w:val="1215"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中国移动数据中心余热利用及低碳建筑综合改造</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中国移动通信有限公司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板式换热技术实现数据中心余热回收和自然冷源制冷，为2栋办公楼约8万平米供热，同时减少空调制冷能耗，年节约天然气约66万立方米、节电20万度；建成空调、照明能耗智慧化管理系统，进一步优化运行、节能降耗。每年减少碳排放千余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西城区、昌平区</w:t>
            </w:r>
          </w:p>
        </w:tc>
      </w:tr>
      <w:tr>
        <w:tblPrEx>
          <w:tblCellMar>
            <w:top w:w="0" w:type="dxa"/>
            <w:left w:w="108" w:type="dxa"/>
            <w:bottom w:w="0" w:type="dxa"/>
            <w:right w:w="108" w:type="dxa"/>
          </w:tblCellMar>
        </w:tblPrEx>
        <w:trPr>
          <w:trHeight w:val="679"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联想微型计算机产品绿色设计平台</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联想（北京）有限公司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建成首个微型计算机产品绿色设计综合管理服务平台，实现微型计算机类产品环境负荷和碳足迹在线评估、智能诊断与调控优化，推动产业链绿色低碳转型。</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海淀区</w:t>
            </w:r>
          </w:p>
        </w:tc>
      </w:tr>
      <w:tr>
        <w:tblPrEx>
          <w:tblCellMar>
            <w:top w:w="0" w:type="dxa"/>
            <w:left w:w="108" w:type="dxa"/>
            <w:bottom w:w="0" w:type="dxa"/>
            <w:right w:w="108" w:type="dxa"/>
          </w:tblCellMar>
        </w:tblPrEx>
        <w:trPr>
          <w:trHeight w:val="401" w:hRule="atLeast"/>
          <w:tblHeader/>
        </w:trPr>
        <w:tc>
          <w:tcPr>
            <w:tcW w:w="274" w:type="pc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序号</w:t>
            </w:r>
          </w:p>
        </w:tc>
        <w:tc>
          <w:tcPr>
            <w:tcW w:w="902"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项目名称</w:t>
            </w:r>
          </w:p>
        </w:tc>
        <w:tc>
          <w:tcPr>
            <w:tcW w:w="627"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申报单位</w:t>
            </w:r>
          </w:p>
        </w:tc>
        <w:tc>
          <w:tcPr>
            <w:tcW w:w="2765"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项目特色</w:t>
            </w:r>
          </w:p>
        </w:tc>
        <w:tc>
          <w:tcPr>
            <w:tcW w:w="431" w:type="pct"/>
            <w:tcBorders>
              <w:top w:val="single" w:color="auto" w:sz="8" w:space="0"/>
              <w:left w:val="nil"/>
              <w:bottom w:val="single" w:color="auto" w:sz="8" w:space="0"/>
              <w:right w:val="single" w:color="auto" w:sz="8"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所在区</w:t>
            </w:r>
          </w:p>
        </w:tc>
      </w:tr>
      <w:tr>
        <w:tblPrEx>
          <w:tblCellMar>
            <w:top w:w="0" w:type="dxa"/>
            <w:left w:w="108" w:type="dxa"/>
            <w:bottom w:w="0" w:type="dxa"/>
            <w:right w:w="108" w:type="dxa"/>
          </w:tblCellMar>
        </w:tblPrEx>
        <w:trPr>
          <w:trHeight w:val="1030"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北京热力集团丰台分公司南中轴国际文化科技园综合能源应用</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北京市热力集团有限责任公司丰台分公司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创新采用水源热泵、地源热泵、冰蓄冷、能源塔热泵等可再生能源多能互补技术，结合光伏建筑一体化发电，完成既有建筑能源低碳高效利用改造，较一般公共建筑碳排放降低60%，每年减少碳排放约3000余吨。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丰台区</w:t>
            </w:r>
          </w:p>
        </w:tc>
      </w:tr>
      <w:tr>
        <w:tblPrEx>
          <w:tblCellMar>
            <w:top w:w="0" w:type="dxa"/>
            <w:left w:w="108" w:type="dxa"/>
            <w:bottom w:w="0" w:type="dxa"/>
            <w:right w:w="108" w:type="dxa"/>
          </w:tblCellMar>
        </w:tblPrEx>
        <w:trPr>
          <w:trHeight w:val="1009"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国电投园区级综合智慧零碳电厂样板间关键技术研究及示范</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国家电投集团科学技术研究院有限公司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采用光伏+储能+风电+地源热泵+碳纤维供热材料+智慧化管理平台等技术，建设“综合智慧零碳电厂”样板间，提供可再生能源利用一体化解决方案。样板设施运行每年可减少排碳排放1200余吨。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昌平区</w:t>
            </w:r>
          </w:p>
        </w:tc>
      </w:tr>
      <w:tr>
        <w:tblPrEx>
          <w:tblCellMar>
            <w:top w:w="0" w:type="dxa"/>
            <w:left w:w="108" w:type="dxa"/>
            <w:bottom w:w="0" w:type="dxa"/>
            <w:right w:w="108" w:type="dxa"/>
          </w:tblCellMar>
        </w:tblPrEx>
        <w:trPr>
          <w:trHeight w:val="1044"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天普太阳能老旧厂房低碳能源升级改造技术</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北京天普太阳能工业有限公司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集成太阳能光伏、太阳能光热、空气源热泵技术及智能控制技术，研制“太阳能及地源热泵一体机”专利技术产品，实现可再生能源利用设备标准化生产和快速安装。单套样本运行每年可减少碳排放400余吨。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大兴区</w:t>
            </w:r>
          </w:p>
        </w:tc>
      </w:tr>
      <w:tr>
        <w:tblPrEx>
          <w:tblCellMar>
            <w:top w:w="0" w:type="dxa"/>
            <w:left w:w="108" w:type="dxa"/>
            <w:bottom w:w="0" w:type="dxa"/>
            <w:right w:w="108" w:type="dxa"/>
          </w:tblCellMar>
        </w:tblPrEx>
        <w:trPr>
          <w:trHeight w:val="1035"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密云区太师屯镇中心区域可再生能源耦合供暖</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润京绿能（北京）技术有限公司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集成热泵、相变蓄能等技术，形成可再生能源耦合供热系统，通过一体化装配式能源方舱设备（能源站）进行供暖，相较单一技术实现综合能效提升30%左右，工期短，现场施工少。每年可减少碳排放4800余吨。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密云区</w:t>
            </w:r>
          </w:p>
        </w:tc>
      </w:tr>
      <w:tr>
        <w:tblPrEx>
          <w:tblCellMar>
            <w:top w:w="0" w:type="dxa"/>
            <w:left w:w="108" w:type="dxa"/>
            <w:bottom w:w="0" w:type="dxa"/>
            <w:right w:w="108" w:type="dxa"/>
          </w:tblCellMar>
        </w:tblPrEx>
        <w:trPr>
          <w:trHeight w:val="1036"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中赫工体改造复建硬质景观低碳材料应用</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中赫工体（北京）商业运营管理有限公司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采用自主研发的现浇艺术混凝土工艺和材料，具有高承载性和透水性，能够减少城市热岛效应，较传统石材路面耐久耐用，初步测算可较大幅减少全生命周期碳排放。</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丰台区、朝阳区</w:t>
            </w:r>
          </w:p>
        </w:tc>
      </w:tr>
      <w:tr>
        <w:tblPrEx>
          <w:tblCellMar>
            <w:top w:w="0" w:type="dxa"/>
            <w:left w:w="108" w:type="dxa"/>
            <w:bottom w:w="0" w:type="dxa"/>
            <w:right w:w="108" w:type="dxa"/>
          </w:tblCellMar>
        </w:tblPrEx>
        <w:trPr>
          <w:trHeight w:val="855"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紫龙宾馆低碳花园酒店改造</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北京红墙紫龙花园酒店管理有限公司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光伏、空气源热泵、电化学储能、高效围护结构、数字化等技术和设备，提供既有公共建筑低碳改造一体化综合解决方案。同时搭建面向酒店住客及周围居民的碳普惠平台，带动社会公众践行绿色低碳生活方式。</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东城区</w:t>
            </w:r>
          </w:p>
        </w:tc>
      </w:tr>
      <w:tr>
        <w:tblPrEx>
          <w:tblCellMar>
            <w:top w:w="0" w:type="dxa"/>
            <w:left w:w="108" w:type="dxa"/>
            <w:bottom w:w="0" w:type="dxa"/>
            <w:right w:w="108" w:type="dxa"/>
          </w:tblCellMar>
        </w:tblPrEx>
        <w:trPr>
          <w:trHeight w:val="928"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13</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海华百利良种蛋鸡产业集群粪污处理项目</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北京海华百利能源科技有限公司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采用生物质技术、纳米分子膜静态好氧发酵等技术，年处理养鸡场粪污22万吨、产沼气269万方可发电 538万度，并生产有机肥2万吨，实现畜禽养殖粪污资源化利用。每年可减少碳排放约3200吨。</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密云区</w:t>
            </w:r>
          </w:p>
        </w:tc>
      </w:tr>
      <w:tr>
        <w:tblPrEx>
          <w:tblCellMar>
            <w:top w:w="0" w:type="dxa"/>
            <w:left w:w="108" w:type="dxa"/>
            <w:bottom w:w="0" w:type="dxa"/>
            <w:right w:w="108" w:type="dxa"/>
          </w:tblCellMar>
        </w:tblPrEx>
        <w:trPr>
          <w:trHeight w:val="855" w:hRule="atLeast"/>
          <w:tblHeader/>
        </w:trPr>
        <w:tc>
          <w:tcPr>
            <w:tcW w:w="274" w:type="pc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w:t>
            </w:r>
          </w:p>
        </w:tc>
        <w:tc>
          <w:tcPr>
            <w:tcW w:w="902"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微构工场年产千吨PHA智能示范线</w:t>
            </w:r>
          </w:p>
        </w:tc>
        <w:tc>
          <w:tcPr>
            <w:tcW w:w="627"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北京微构工场生物技术有限公司</w:t>
            </w:r>
          </w:p>
        </w:tc>
        <w:tc>
          <w:tcPr>
            <w:tcW w:w="2765" w:type="pct"/>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采用嗜盐菌生物技术，以葡萄糖为原料，生产生物基可降解塑料PHA，年产量1000吨。该材料可用于生产塑料产品，具有安全食品级、水阻隔和可降解的优点，初步测算全生命周期碳足迹比传统塑料低约60%。</w:t>
            </w:r>
          </w:p>
        </w:tc>
        <w:tc>
          <w:tcPr>
            <w:tcW w:w="431" w:type="pct"/>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顺义区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NmM3ZGU0MzFkYTQzMTExZDdhYTk5MDczNzcxNmUifQ=="/>
  </w:docVars>
  <w:rsids>
    <w:rsidRoot w:val="61181CC7"/>
    <w:rsid w:val="00676E9B"/>
    <w:rsid w:val="00F6022B"/>
    <w:rsid w:val="36B410D6"/>
    <w:rsid w:val="6118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character" w:customStyle="1" w:styleId="6">
    <w:name w:val="批注框文本 Char"/>
    <w:basedOn w:val="5"/>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DC3C-FB74-46D3-8ABA-9D2F0905627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305</Words>
  <Characters>1745</Characters>
  <Lines>14</Lines>
  <Paragraphs>4</Paragraphs>
  <TotalTime>1</TotalTime>
  <ScaleCrop>false</ScaleCrop>
  <LinksUpToDate>false</LinksUpToDate>
  <CharactersWithSpaces>2046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2024-04-19T07:36:00Z</dcterms:created>
  <dc:creator>赵旭</dc:creator>
  <cp:lastModifiedBy>赵旭</cp:lastModifiedBy>
  <dcterms:modified xsi:type="dcterms:W3CDTF">2024-04-22T02:40:20Z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68FB4BBF69B041A4BE7A2C45DF59FE77_11</vt:lpwstr>
  </property>
</Properties>
</file>