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 w:ascii="仿宋_GB2312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pStyle w:val="5"/>
        <w:spacing w:before="157" w:beforeLines="50" w:after="157" w:afterLines="50"/>
        <w:ind w:right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核查工作</w:t>
      </w:r>
      <w:r>
        <w:rPr>
          <w:rFonts w:ascii="方正小标宋简体" w:hAnsi="宋体" w:eastAsia="方正小标宋简体" w:cs="宋体"/>
          <w:sz w:val="44"/>
          <w:szCs w:val="44"/>
        </w:rPr>
        <w:t>质量评</w:t>
      </w:r>
      <w:r>
        <w:rPr>
          <w:rFonts w:hint="eastAsia" w:ascii="方正小标宋简体" w:hAnsi="宋体" w:eastAsia="方正小标宋简体" w:cs="宋体"/>
          <w:sz w:val="44"/>
          <w:szCs w:val="44"/>
        </w:rPr>
        <w:t>估结果</w:t>
      </w:r>
    </w:p>
    <w:tbl>
      <w:tblPr>
        <w:tblStyle w:val="4"/>
        <w:tblW w:w="139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5298"/>
        <w:gridCol w:w="3792"/>
        <w:gridCol w:w="1369"/>
        <w:gridCol w:w="1326"/>
        <w:gridCol w:w="1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出具核查报告的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核查机构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bidi="ar"/>
              </w:rPr>
              <w:t>专家评审年度得分（平均分）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抽查扣分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ind w:left="-105" w:leftChars="-50" w:right="-105" w:rightChars="-5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评估得分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评估结果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中竞同创能源环境科技集团股份有限公司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94.32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94.32</w:t>
            </w:r>
          </w:p>
        </w:tc>
        <w:tc>
          <w:tcPr>
            <w:tcW w:w="12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中节能衡准科技服务（北京）有限公司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93.74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93.74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北京节能技术监测中心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93.73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93.73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傲搏智碳（北京）能源科技有限公司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93.43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93.43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中国建筑科学研究院有限公司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92.96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92.96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北京恒鼎碳和科技有限公司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92.88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92.88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中环联合（北京）认证中心有限公司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92.83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92.83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中国质量认证中心有限公司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92.59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92.59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华夏认证中心有限公司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92.15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92.15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方圆标志认证集团有限公司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92.12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92.12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中国船级社质量认证有限公司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92.08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92.08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北京北方节能环保有限公司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91.69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91.69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北京中碳科创能源科技有限公司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91.62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91.62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中标合信（北京）认证有限公司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91.61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91.61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北京市生态环境保护科学研究院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91.42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91.42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北京华电恒通电力技术开发有限公司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91.42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91.42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中国国检测试控股集团股份有限公司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91.34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91.34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北京市北节能源设计研究所有限公司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90.13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</w:rPr>
              <w:t>-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90.13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华测认证有限公司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2.86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82.86</w:t>
            </w:r>
          </w:p>
        </w:tc>
        <w:tc>
          <w:tcPr>
            <w:tcW w:w="12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北京赛西认证有限责任公司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1.80 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81.80</w:t>
            </w:r>
          </w:p>
        </w:tc>
        <w:tc>
          <w:tcPr>
            <w:tcW w:w="12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北京鉴衡认证中心有限公司</w:t>
            </w:r>
          </w:p>
        </w:tc>
        <w:tc>
          <w:tcPr>
            <w:tcW w:w="3792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2.62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72.62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科瑞创想（北京）能源技术有限公司</w:t>
            </w:r>
          </w:p>
        </w:tc>
        <w:tc>
          <w:tcPr>
            <w:tcW w:w="7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840" w:firstLineChars="3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因核查机构出具的核查报告总数低于5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份（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含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  <w:t>）</w:t>
            </w:r>
            <w:r>
              <w:rPr>
                <w:rStyle w:val="6"/>
                <w:rFonts w:hint="default" w:ascii="仿宋_GB2312" w:hAnsi="仿宋_GB2312" w:eastAsia="仿宋_GB2312" w:cs="仿宋_GB2312"/>
                <w:sz w:val="28"/>
                <w:szCs w:val="28"/>
                <w:lang w:bidi="ar"/>
              </w:rPr>
              <w:t>，未</w:t>
            </w:r>
            <w:r>
              <w:rPr>
                <w:rStyle w:val="6"/>
                <w:rFonts w:ascii="仿宋_GB2312" w:hAnsi="仿宋_GB2312" w:eastAsia="仿宋_GB2312" w:cs="仿宋_GB2312"/>
                <w:sz w:val="28"/>
                <w:szCs w:val="28"/>
                <w:lang w:bidi="ar"/>
              </w:rPr>
              <w:t>进行综合</w:t>
            </w:r>
            <w:r>
              <w:rPr>
                <w:rStyle w:val="6"/>
                <w:rFonts w:ascii="仿宋_GB2312" w:hAnsi="仿宋_GB2312" w:eastAsia="仿宋_GB2312" w:cs="仿宋_GB2312"/>
                <w:sz w:val="28"/>
                <w:szCs w:val="28"/>
                <w:lang w:eastAsia="zh-CN" w:bidi="ar"/>
              </w:rPr>
              <w:t>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北京贝西启航科技有限公司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北京航协认证中心有限责任公司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国润创投（北京）科技有限公司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北京三星九千认证中心有限公司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电能（北京）认证中心有限公司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兴原认证中心有限公司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中润城汇（北京）检测技术有限公司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恒联海航（北京）认证中心有限公司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北京国一尚德环保科技有限公司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谱尼测试集团股份有限公司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北京中科鼎图环境技术服务有限公司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北京市计量检测科学研究院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中国民航科学技术研究院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北京宝城环境科技有限公司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北京大陆航星质量认证中心股份有限公司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交通运输部规划研究院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298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北京国建联信认证中心有限公司</w:t>
            </w:r>
          </w:p>
        </w:tc>
        <w:tc>
          <w:tcPr>
            <w:tcW w:w="7728" w:type="dxa"/>
            <w:gridSpan w:val="4"/>
            <w:vMerge w:val="continue"/>
            <w:tcBorders>
              <w:tl2br w:val="nil"/>
              <w:tr2bl w:val="nil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3945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1651"/>
              </w:tabs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备注：</w:t>
            </w:r>
          </w:p>
          <w:p>
            <w:pPr>
              <w:tabs>
                <w:tab w:val="left" w:pos="1651"/>
              </w:tabs>
              <w:jc w:val="lef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评分规则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和分类：</w:t>
            </w:r>
          </w:p>
          <w:p>
            <w:pPr>
              <w:tabs>
                <w:tab w:val="left" w:pos="1651"/>
              </w:tabs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（1）专家评分规则：每份报告由两个专家独立进行评审，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平均分作为该核查报告的得分，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核查机构出具的所有核查报告的平均得分作为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专家评审年度得分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总分为100分。</w:t>
            </w:r>
          </w:p>
          <w:p>
            <w:pPr>
              <w:tabs>
                <w:tab w:val="left" w:pos="1651"/>
              </w:tabs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（2）核查扣分规则：抽查过程中发现由于对排放单位的碳排放核算有误，造成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碳排放核查量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和核定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量差异超过1000吨或占排放单位总排放量10%的，对应的核查报告须被退回并按照要求进行修改重报。每退回一份报告，对核查机构专家评审年度得分扣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后的分数为核查机构的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评估得分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。 </w:t>
            </w:r>
          </w:p>
          <w:p>
            <w:pPr>
              <w:tabs>
                <w:tab w:val="left" w:pos="1651"/>
              </w:tabs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评估分类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：核查机构的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评估得分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超过90分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的评定为“优”，超过80分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（含）低于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的评定为“良”，超过60分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（含）低于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80分的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，60分以下的评定为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</w:tc>
      </w:tr>
    </w:tbl>
    <w:p/>
    <w:bookmarkEnd w:id="0"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105F8"/>
    <w:rsid w:val="4931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三号仿宋标"/>
    <w:basedOn w:val="1"/>
    <w:qFormat/>
    <w:uiPriority w:val="0"/>
    <w:rPr>
      <w:rFonts w:ascii="仿宋_GB2312" w:eastAsia="仿宋_GB2312"/>
      <w:kern w:val="0"/>
      <w:sz w:val="32"/>
      <w:szCs w:val="20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2025-12-25T07:38:00Z</dcterms:created>
  <dc:creator>ZX</dc:creator>
  <cp:lastModifiedBy>ZX</cp:lastModifiedBy>
  <dcterms:modified xsi:type="dcterms:W3CDTF">2025-12-25T07:38:39Z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