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rPr>
          <w:rFonts w:ascii="楷体" w:hAnsi="楷体" w:eastAsia="楷体"/>
          <w:b/>
          <w:sz w:val="36"/>
          <w:szCs w:val="36"/>
        </w:rPr>
      </w:pP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2023年</w:t>
      </w:r>
      <w:r>
        <w:rPr>
          <w:rFonts w:hint="eastAsia" w:ascii="方正小标宋简体" w:eastAsia="方正小标宋简体"/>
          <w:sz w:val="36"/>
          <w:szCs w:val="36"/>
          <w:lang w:eastAsia="zh-CN"/>
        </w:rPr>
        <w:t>度</w:t>
      </w:r>
      <w:r>
        <w:rPr>
          <w:rFonts w:hint="eastAsia" w:ascii="方正小标宋简体" w:eastAsia="方正小标宋简体"/>
          <w:sz w:val="36"/>
          <w:szCs w:val="36"/>
        </w:rPr>
        <w:t>部门整体绩效</w:t>
      </w:r>
      <w:r>
        <w:rPr>
          <w:rFonts w:hint="eastAsia" w:ascii="方正小标宋简体" w:eastAsia="方正小标宋简体"/>
          <w:sz w:val="36"/>
          <w:szCs w:val="36"/>
          <w:lang w:eastAsia="zh-CN"/>
        </w:rPr>
        <w:t>评价</w:t>
      </w:r>
      <w:r>
        <w:rPr>
          <w:rFonts w:hint="eastAsia" w:ascii="方正小标宋简体" w:eastAsia="方正小标宋简体"/>
          <w:sz w:val="36"/>
          <w:szCs w:val="36"/>
        </w:rPr>
        <w:t>报告</w:t>
      </w:r>
      <w:bookmarkStart w:id="1" w:name="_GoBack"/>
      <w:bookmarkEnd w:id="1"/>
    </w:p>
    <w:p>
      <w:pPr>
        <w:jc w:val="center"/>
        <w:rPr>
          <w:rFonts w:ascii="仿宋_GB2312"/>
          <w:szCs w:val="30"/>
        </w:rPr>
      </w:pPr>
    </w:p>
    <w:p>
      <w:pPr>
        <w:adjustRightInd w:val="0"/>
        <w:snapToGrid w:val="0"/>
        <w:spacing w:line="360" w:lineRule="auto"/>
        <w:ind w:firstLine="640" w:firstLineChars="20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adjustRightInd w:val="0"/>
        <w:snapToGrid w:val="0"/>
        <w:spacing w:line="360" w:lineRule="auto"/>
        <w:ind w:firstLine="643" w:firstLineChars="200"/>
        <w:outlineLvl w:val="1"/>
        <w:rPr>
          <w:rFonts w:ascii="楷体_GB2312" w:eastAsia="楷体_GB2312"/>
          <w:b/>
          <w:sz w:val="32"/>
          <w:szCs w:val="32"/>
        </w:rPr>
      </w:pPr>
      <w:r>
        <w:rPr>
          <w:rFonts w:hint="eastAsia" w:ascii="楷体_GB2312" w:eastAsia="楷体_GB2312"/>
          <w:b/>
          <w:sz w:val="32"/>
          <w:szCs w:val="32"/>
        </w:rPr>
        <w:t>（一）机构设置及职责工作任务情况</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1.部门职责</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北京市生态环境局（简称市生态环境局）为市政府组成部门，主要职责包括：负责建立健全本市生态环境基本制度。负责本市重大生态环境问题的统筹协调和监督管理。负责监督管理本市污染减排目标的落实。负责提出本市生态环境领域固定资产投资方向、规模建议。负责本市环境污染防治的监督管理。指导协调和监督本市生态保护修复工作。负责本市辐射安全的监督管理。负责本市生态环境准入的监督管理。负责本市生态环境监测和信息发布工作。开展本市应对气候变化工作。组织开展本市生态环境保护督察工作。组织指导和协调本市生态环境保护宣传教育工作。开展本市生态环境科技和国际合作交流工作。负责组织开展生态环境监督执法。负责指导、监督检查各区生态环境工作。完成市委、市政府交办的其他任务。</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2.机构设置情况</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生态环境局内设27个处室，分别为办公室、研究室、法规与标准处、综合处、自然生态保护处、大气环境处、水生态环境处、土壤生态环境处、固体废物与化学品处、辐射安全监管处、机动车排放管理处、污染源管理处（应急管理处）、政务服务处、环境影响评价处、生态环境监测处、督察综合处、督察一处、督察二处、科技与国际合作处、应对气候变化处、宣传教育处、财务处（审计处）、人事处、机关党委（党建工作处）、机关纪委、工会、离退休干部处。</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生态环境局下属12个预算单位，其中1个为局机关，1个为行政执法机构，9个为公益一类单位，1个为公益二类单位。行政执法机构为北京市生态环境保护综合执法总队，9个公益一类单位分别为北京市生态环境监测中心、北京市生态环境保护宣传中心、北京市核与辐射安全中心、北京市污染源管理事务中心、北京市机动车排放管理事务中心、北京市生态环境评估与投诉中心、北京市生态环境保护督察中心、北京市应对气候变化管理事务中心、北京市生态环境局综合事务中心，1个公益二类单位是北京市生态环境保护科学研究院。</w:t>
      </w:r>
    </w:p>
    <w:p>
      <w:pPr>
        <w:adjustRightInd w:val="0"/>
        <w:snapToGrid w:val="0"/>
        <w:spacing w:line="360" w:lineRule="auto"/>
        <w:ind w:firstLine="643" w:firstLineChars="200"/>
        <w:outlineLvl w:val="1"/>
        <w:rPr>
          <w:rFonts w:ascii="楷体_GB2312" w:eastAsia="楷体_GB2312"/>
          <w:b/>
          <w:sz w:val="32"/>
          <w:szCs w:val="32"/>
        </w:rPr>
      </w:pPr>
      <w:r>
        <w:rPr>
          <w:rFonts w:hint="eastAsia" w:ascii="楷体_GB2312" w:eastAsia="楷体_GB2312"/>
          <w:b/>
          <w:sz w:val="32"/>
          <w:szCs w:val="32"/>
        </w:rPr>
        <w:t>（二）部门整体绩效目标设立情况（包括绩效目标设立依据、目标</w:t>
      </w:r>
      <w:r>
        <w:rPr>
          <w:rFonts w:ascii="楷体_GB2312" w:eastAsia="楷体_GB2312"/>
          <w:b/>
          <w:sz w:val="32"/>
          <w:szCs w:val="32"/>
        </w:rPr>
        <w:t>与</w:t>
      </w:r>
      <w:r>
        <w:rPr>
          <w:rFonts w:hint="eastAsia" w:ascii="楷体_GB2312" w:eastAsia="楷体_GB2312"/>
          <w:b/>
          <w:sz w:val="32"/>
          <w:szCs w:val="32"/>
        </w:rPr>
        <w:t>职责任务匹配情况、目标合理性等）。</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生态环境局2023年部门整体绩效目标设立紧密围绕《北京市十四五时期生态环境保护规划》《北京市深入打好污染防治攻坚战及碳排放控制2023年行动计划》等规划要求，落实生态环境部任务要求，全面落实过“紧日子”思想，讲成本、讲绩效，突出低碳、生态保护、机动车污染、VOCs治理等重点，统筹兼顾环境质量改善需要和环境安全保障需求。具体绩效目标包括以下几方面：</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一是生态环境保护执法方面，开展全面执法检查，推动街乡镇精细化治污。组织市级单独检查和市区交叉检查专项行动不少于5次。</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二是生态环境保护督察方面，根据年度督察工作安排，开展例行督察工作不少于6次，强化环保主体责任，推进责任主体对环保工作的进一步重视。</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三是生态环境监测方面，提供完善的监测数据，为本市生态环境监管提供有效技术支持。</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四是生态环境保护宣传教育方面，深入开展生态环境保护教育、公众参与活动，不断提升全社会生态环境保护意识。</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五是应对气候变化工作方面，推进绿色低碳发展，健全完善应对气候变化法规标准政策体系，积极稳妥推进北京碳市场建设，开展低碳试点示范的评估创建工作。支持一批符合北京市先进低碳技术应用要求的项目不少于10个。</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六是核与辐射安全的监督管理方面，对本市辖区内的核技术利用单位实现有效监督管理，降低辐射安全风险，妥善应对突发辐射环境事件，消除辐射安全事故产生的影响，保证首都辐射环境安全。</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七是机动车监督管理方面，持续推进移动源污染减排，加强移动源监管，开展重型柴油车检查不少于180万个。</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八是污染源监督管理方面，主要污染物减排量达到国家要求。</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九是自然生态保护工作方面，促进生态保护,提升生态系统质量和稳定性。</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十是水生态环境保护方面，持续打好碧水保卫战，消除劣V类水体断面，集中式饮用水水源地水质保持稳定达标，地下水水质总体保持稳定，地表水国家考核断面达到或优于Ⅲ类水体比例达到国家要求的70.3%。</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十一是土壤生态环境保护方面，深入落实土壤污染防治法，支撑《北京市土壤污染防治条例》贯彻实施，强化土壤全过程管控和农村环境整治，健全法规标准体系，提升监管能力。</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十二是大气生态环境保护方面，巩固空气质量改善成效，细颗粒物（PM2.5）年均浓度、空气质量优良天数比率、重污染天数比率达到国家和本市要求。</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十三是生态环境评估与投诉举报工作方面，及时解答市民涉法涉诉环境诉求，进一步畅通生态环境信访渠道，妥善化解信访矛盾，信访投诉信件采集率不低于95%。</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十四是生态环境保障类工作方面，为工作人员提供良好的工作环境和后勤保障服务，服务对象满意度不低于90%。</w:t>
      </w:r>
    </w:p>
    <w:p>
      <w:pPr>
        <w:adjustRightInd w:val="0"/>
        <w:snapToGrid w:val="0"/>
        <w:spacing w:line="360" w:lineRule="auto"/>
        <w:ind w:firstLine="640" w:firstLineChars="20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kern w:val="0"/>
          <w:sz w:val="32"/>
          <w:szCs w:val="32"/>
        </w:rPr>
        <w:t>2023</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预算数122,315.41万元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w:t>
      </w:r>
      <w:r>
        <w:rPr>
          <w:rFonts w:hint="eastAsia" w:ascii="仿宋_GB2312" w:hAnsi="宋体" w:eastAsia="仿宋_GB2312" w:cs="宋体"/>
          <w:color w:val="000000"/>
          <w:kern w:val="0"/>
          <w:sz w:val="32"/>
          <w:szCs w:val="32"/>
        </w:rPr>
        <w:t>51,553.06</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项目支出预算数70,762.35</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。财政拨款全年预算数94,137.73万元，其中，基本支出43,850.52万元</w:t>
      </w:r>
      <w:r>
        <w:rPr>
          <w:rFonts w:ascii="仿宋_GB2312" w:hAnsi="宋体" w:eastAsia="仿宋_GB2312" w:cs="宋体"/>
          <w:color w:val="000000"/>
          <w:kern w:val="0"/>
          <w:sz w:val="32"/>
          <w:szCs w:val="32"/>
        </w:rPr>
        <w:t>，项目支出</w:t>
      </w:r>
      <w:r>
        <w:rPr>
          <w:rFonts w:hint="eastAsia" w:ascii="仿宋_GB2312" w:hAnsi="宋体" w:eastAsia="仿宋_GB2312" w:cs="宋体"/>
          <w:color w:val="000000"/>
          <w:kern w:val="0"/>
          <w:sz w:val="32"/>
          <w:szCs w:val="32"/>
        </w:rPr>
        <w:t>50,287.21万元。</w:t>
      </w:r>
      <w:r>
        <w:rPr>
          <w:rFonts w:ascii="仿宋_GB2312" w:hAnsi="宋体" w:eastAsia="仿宋_GB2312" w:cs="宋体"/>
          <w:color w:val="000000"/>
          <w:kern w:val="0"/>
          <w:sz w:val="32"/>
          <w:szCs w:val="32"/>
        </w:rPr>
        <w:t>财政拨款支出</w:t>
      </w:r>
      <w:r>
        <w:rPr>
          <w:rFonts w:hint="eastAsia" w:ascii="仿宋_GB2312" w:hAnsi="宋体" w:eastAsia="仿宋_GB2312" w:cs="宋体"/>
          <w:color w:val="000000"/>
          <w:kern w:val="0"/>
          <w:sz w:val="32"/>
          <w:szCs w:val="32"/>
        </w:rPr>
        <w:t>85,041.70</w:t>
      </w:r>
      <w:r>
        <w:rPr>
          <w:rFonts w:ascii="仿宋_GB2312" w:hAnsi="宋体" w:eastAsia="仿宋_GB2312" w:cs="宋体"/>
          <w:color w:val="000000"/>
          <w:kern w:val="0"/>
          <w:sz w:val="32"/>
          <w:szCs w:val="32"/>
        </w:rPr>
        <w:t>万元，其中，基本支出</w:t>
      </w:r>
      <w:r>
        <w:rPr>
          <w:rFonts w:hint="eastAsia" w:ascii="仿宋_GB2312" w:hAnsi="宋体" w:eastAsia="仿宋_GB2312" w:cs="宋体"/>
          <w:color w:val="000000"/>
          <w:kern w:val="0"/>
          <w:sz w:val="32"/>
          <w:szCs w:val="32"/>
        </w:rPr>
        <w:t>43,461.42</w:t>
      </w:r>
      <w:r>
        <w:rPr>
          <w:rFonts w:ascii="仿宋_GB2312" w:hAnsi="宋体" w:eastAsia="仿宋_GB2312" w:cs="宋体"/>
          <w:color w:val="000000"/>
          <w:kern w:val="0"/>
          <w:sz w:val="32"/>
          <w:szCs w:val="32"/>
        </w:rPr>
        <w:t>万元，项目</w:t>
      </w:r>
      <w:r>
        <w:rPr>
          <w:rFonts w:hint="eastAsia" w:ascii="仿宋_GB2312" w:hAnsi="宋体" w:eastAsia="仿宋_GB2312" w:cs="宋体"/>
          <w:color w:val="000000"/>
          <w:kern w:val="0"/>
          <w:sz w:val="32"/>
          <w:szCs w:val="32"/>
        </w:rPr>
        <w:t>支出41,580.28</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w:t>
      </w:r>
      <w:r>
        <w:rPr>
          <w:rFonts w:hint="eastAsia" w:ascii="仿宋_GB2312" w:hAnsi="宋体" w:eastAsia="仿宋_GB2312" w:cs="宋体"/>
          <w:color w:val="000000"/>
          <w:kern w:val="0"/>
          <w:sz w:val="32"/>
          <w:szCs w:val="32"/>
        </w:rPr>
        <w:t>90.34%。</w:t>
      </w:r>
    </w:p>
    <w:p>
      <w:pPr>
        <w:adjustRightInd w:val="0"/>
        <w:snapToGrid w:val="0"/>
        <w:spacing w:line="360" w:lineRule="auto"/>
        <w:ind w:firstLine="640" w:firstLineChars="20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2023年，市生态环境局坚持以习近平新时代中国特色社会主义思想、特别是习近平生态文明思想为指导，深入贯彻落实党的二十大、全国和全市生态环境保护大会精神，以改善生态环境质量为核心，统筹抓好深入打好污染防治攻坚战、推动发展方式绿色低碳转型、强化生态系统保护、守牢环境安全底线等重点任务，推进美丽北京建设取得新成效，推动习近平生态文明思想在京华大地落地生根、形成生动实践。</w:t>
      </w:r>
    </w:p>
    <w:p>
      <w:pPr>
        <w:adjustRightInd w:val="0"/>
        <w:snapToGrid w:val="0"/>
        <w:spacing w:line="360" w:lineRule="auto"/>
        <w:ind w:firstLine="643" w:firstLineChars="200"/>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（一）生态环境保护政治责任压紧压实。</w:t>
      </w:r>
      <w:r>
        <w:rPr>
          <w:rFonts w:hint="eastAsia" w:ascii="仿宋_GB2312" w:hAnsi="宋体" w:eastAsia="仿宋_GB2312" w:cs="宋体"/>
          <w:color w:val="000000"/>
          <w:kern w:val="0"/>
          <w:sz w:val="32"/>
          <w:szCs w:val="32"/>
        </w:rPr>
        <w:t>牢记生态环境是关系党的使命宗旨的重大政治问题。强化市委生态文明办统筹作用，高标准承办全市生态环境保护大会，推动完成市委生态文明委2023年度59项任务、形成171项政策成果。狠抓第二轮中央生态环境保护督察反馈问题整改，累计对13个区开展第二轮市级生态环境保护督察，解决典型问题1000余个。着力提升“四个服务”水平，圆满完成全国“两会”、第三届“一带一路”国际合作高峰论坛等重大活动空气质量保障任务，高峰论坛期间（10月17-18日）全市PM2.5浓度连续两天1级优、开幕式期间保持极低个位数水平。</w:t>
      </w:r>
    </w:p>
    <w:p>
      <w:pPr>
        <w:adjustRightInd w:val="0"/>
        <w:snapToGrid w:val="0"/>
        <w:spacing w:line="360" w:lineRule="auto"/>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bCs/>
          <w:color w:val="000000"/>
          <w:kern w:val="0"/>
          <w:sz w:val="32"/>
          <w:szCs w:val="32"/>
        </w:rPr>
        <w:t>（二）污染防治攻坚战成效稳固。</w:t>
      </w:r>
      <w:r>
        <w:rPr>
          <w:rFonts w:hint="eastAsia" w:ascii="仿宋_GB2312" w:hAnsi="宋体" w:eastAsia="仿宋_GB2312" w:cs="宋体"/>
          <w:color w:val="000000"/>
          <w:kern w:val="0"/>
          <w:sz w:val="32"/>
          <w:szCs w:val="32"/>
        </w:rPr>
        <w:t>从群众切身利益出发，全力改善生态环境质量，群众生态环境获得感、幸福感持续提升。国家对本市污染防治攻坚战考核连续四年“优秀”、居全国前列。蓝天保卫战是重中之重，始终以有力的举措，冲抵气象转差、沙尘频发、排放增加等不利因素，一微克一微克地抠，稳住了空气质量改善成果。全市PM2.5年均浓度32微克/立方米，连续三年稳定达标、为有监测记录以来第二好成绩，在京津冀及周边地区“2+26”城市中最优，较2019年下降23.8%。狠抓扬尘专项治理百日攻坚行动，实施“问题通报-联合督导-提醒督办”闭环工作机制，全市降尘量为3.6吨/平方公里·月，较2019年下降37.9%，城市洁净度明显提升。强化VOCs和NOx协同治理，实施产业园区VOCs专项治理等8大专项行动，建立VOCs高值区精准溯源机制，完成44家重点行业企业“一厂一策”深度治理，累计推广新能源车77万辆，完成490蒸吨燃气锅炉深度治理、3.09万余户农村散煤清洁能源改造。坚持以保护人民群众健康为导向，发布新版全市空气重污染应急预案，降低重污染应急启动门槛，优化实施绩效分级、差异化精准管控措施。打好碧水保卫战，坚持“三水统筹”，突出汛期污染、黑臭水体治理，克服“23.7”极端强降雨不利影响，推进全市水环境质量总体稳定。国考断面Ⅰ-Ⅲ类水质占比75.7%、动态消除劣V类断面，超额完成国家目标。联合5部门印发重点流域水生态环境保护规划，深入实施密云水库上游补偿，落实《北京市水生态区域补偿办法》，以经济手段促进水生态环境质量改善，全市超一半河流水生态环境达优良水平，怀柔区雁栖湖获评全国第二批美丽河湖优秀案例。打好净土保卫战，坚持“三地”齐抓共管，全面实施“本市土壤条例”，削减受污染建设用地面积23.7万平方米，重点建设用地安全利用得到有效保障，受污染耕地安全利用率保持100%、提前超额完成国家目标，土壤环境状况保持良好，切实保障人民群众“吃得放心、住得安心”。</w:t>
      </w:r>
    </w:p>
    <w:p>
      <w:pPr>
        <w:adjustRightInd w:val="0"/>
        <w:snapToGrid w:val="0"/>
        <w:spacing w:line="360" w:lineRule="auto"/>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bCs/>
          <w:color w:val="000000"/>
          <w:kern w:val="0"/>
          <w:sz w:val="32"/>
          <w:szCs w:val="32"/>
        </w:rPr>
        <w:t>（三）绿色低碳发展稳步推进。</w:t>
      </w:r>
      <w:r>
        <w:rPr>
          <w:rFonts w:hint="eastAsia" w:ascii="仿宋_GB2312" w:hAnsi="宋体" w:eastAsia="仿宋_GB2312" w:cs="宋体"/>
          <w:color w:val="000000"/>
          <w:kern w:val="0"/>
          <w:sz w:val="32"/>
          <w:szCs w:val="32"/>
        </w:rPr>
        <w:t>在经济社会发展大局中统筹谋划生态环境保护工作，引领、优化、倒逼高质量发展。实施“三线一单”分区管控，累计发布两批规划环评与项目环评联动产业园区名单，高效服务118个重大项目环评审批，从源头推动绿色低碳发展。深化碳排放总量和强度“双控”，万元GDP碳排放量持续保持省级最优。高标准建设全国温室气体自愿减排（CCER）交易机构，本市碳市场稳定运行10年，累计交易额超40亿元。低碳城市试点成绩位居全国榜首，创新实施绿色绩效评价、碳资产质押融资等绿色金融政策，有效激发企业低碳转型潜力。</w:t>
      </w:r>
    </w:p>
    <w:p>
      <w:pPr>
        <w:adjustRightInd w:val="0"/>
        <w:snapToGrid w:val="0"/>
        <w:spacing w:line="360" w:lineRule="auto"/>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bCs/>
          <w:color w:val="000000"/>
          <w:kern w:val="0"/>
          <w:sz w:val="32"/>
          <w:szCs w:val="32"/>
        </w:rPr>
        <w:t>（四）生态系统多样性、稳定性、持续性系统提升。</w:t>
      </w:r>
      <w:r>
        <w:rPr>
          <w:rFonts w:hint="eastAsia" w:ascii="仿宋_GB2312" w:hAnsi="宋体" w:eastAsia="仿宋_GB2312" w:cs="宋体"/>
          <w:color w:val="000000"/>
          <w:kern w:val="0"/>
          <w:sz w:val="32"/>
          <w:szCs w:val="32"/>
        </w:rPr>
        <w:t>维护首都生态安全，持续加大生态保护力度，全市生态环境质量（EI）指数总体保持稳定。推动落实本市生物多样性保护规划，牵头建立生物多样性保护部门联席会议制度。在全国率先制定以生态保护为导向的GEP核算方案，解决了生态产品价值难度量的问题，完成市区两级生态系统调节服务价值（GEP-R）核算，推动将生态优势转化为发展优势。累计9个区获评国家生态文明建设示范创建称号，极大提升生态文明意识，促进绿色高质量发展。</w:t>
      </w:r>
    </w:p>
    <w:p>
      <w:pPr>
        <w:adjustRightInd w:val="0"/>
        <w:snapToGrid w:val="0"/>
        <w:spacing w:line="360" w:lineRule="auto"/>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bCs/>
          <w:color w:val="000000"/>
          <w:kern w:val="0"/>
          <w:sz w:val="32"/>
          <w:szCs w:val="32"/>
        </w:rPr>
        <w:t>（五）首都环境安全有效保障。</w:t>
      </w:r>
      <w:r>
        <w:rPr>
          <w:rFonts w:hint="eastAsia" w:ascii="仿宋_GB2312" w:hAnsi="宋体" w:eastAsia="仿宋_GB2312" w:cs="宋体"/>
          <w:color w:val="000000"/>
          <w:kern w:val="0"/>
          <w:sz w:val="32"/>
          <w:szCs w:val="32"/>
        </w:rPr>
        <w:t>坚持人民至上，全力保障首都环境安全。开展饮用水源地周边污染风险排查，帮扶就近妥善处置淤泥，有效避免发生环境次生灾害，积极助力灾后恢复重建。实施《北京市新污染物治理工作方案》，开展首轮化学物质环境信息统计调查。指导经开区、密云区、通州区积极开展“无废城市”建设。修订《北京市突发环境事件应急预案》，强化核与辐射、危险废物监管，确保环境安全。</w:t>
      </w:r>
    </w:p>
    <w:p>
      <w:pPr>
        <w:adjustRightInd w:val="0"/>
        <w:snapToGrid w:val="0"/>
        <w:spacing w:line="360" w:lineRule="auto"/>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bCs/>
          <w:color w:val="000000"/>
          <w:kern w:val="0"/>
          <w:sz w:val="32"/>
          <w:szCs w:val="32"/>
        </w:rPr>
        <w:t>（六）京津冀生态环境协同成效明显。</w:t>
      </w:r>
      <w:r>
        <w:rPr>
          <w:rFonts w:hint="eastAsia" w:ascii="仿宋_GB2312" w:hAnsi="宋体" w:eastAsia="仿宋_GB2312" w:cs="宋体"/>
          <w:color w:val="000000"/>
          <w:kern w:val="0"/>
          <w:sz w:val="32"/>
          <w:szCs w:val="32"/>
        </w:rPr>
        <w:t>深入贯彻京津冀协同发展战略，三地生态环境部门共同发布走深走实行动宣言，会同水务、园林成立生态协同专项小组，推动两批次协同措施落地见效，拓展协同范围至环评、辐射、信访等领域。在生态环境部统筹指导下，连续7年开展区域秋冬季大气攻坚行动，京津冀鲁豫五省（市）全力协同、共同应对年底长时间、大范围重污染过程。签订官厅水库上游永定河流域生态补偿协议，建立京冀密云水库保护联席会议制度，持续改善流域水环境。落实《华北地区危险废物联防联控联治合作协议》，创新探索省际危废“点对点”资源化利用，提升危险废物跨省转移处置合作水平。</w:t>
      </w:r>
    </w:p>
    <w:p>
      <w:pPr>
        <w:adjustRightInd w:val="0"/>
        <w:snapToGrid w:val="0"/>
        <w:spacing w:line="360" w:lineRule="auto"/>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bCs/>
          <w:color w:val="000000"/>
          <w:kern w:val="0"/>
          <w:sz w:val="32"/>
          <w:szCs w:val="32"/>
        </w:rPr>
        <w:t>（七）环境治理保障体系不断夯实。</w:t>
      </w:r>
      <w:r>
        <w:rPr>
          <w:rFonts w:hint="eastAsia" w:ascii="仿宋_GB2312" w:hAnsi="宋体" w:eastAsia="仿宋_GB2312" w:cs="宋体"/>
          <w:color w:val="000000"/>
          <w:kern w:val="0"/>
          <w:sz w:val="32"/>
          <w:szCs w:val="32"/>
        </w:rPr>
        <w:t>着眼超大城市治理规律，坚持守正创新，提升生态环境现代化治理水平。完成《北京市环境噪声污染防治办法》立法评估，发布８项地方生态环境标准。坚持问题导向、结果导向，创新运用大数据手段建立“三监联动”机制，提升科学精准监管效能和减排效果；建成首个生态环境领域温室气体综合观测实验室；完善市区执法联动机制，开展4轮次市级“点穴式”执法。举办第7届国际大都市清洁空气与气候行动论坛、COP28北京主题边会等，向国际社会讲好北京生态环境保护故事。</w:t>
      </w:r>
    </w:p>
    <w:p>
      <w:pPr>
        <w:adjustRightInd w:val="0"/>
        <w:snapToGrid w:val="0"/>
        <w:spacing w:line="360" w:lineRule="auto"/>
        <w:ind w:firstLine="640" w:firstLineChars="20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adjustRightInd w:val="0"/>
        <w:snapToGrid w:val="0"/>
        <w:spacing w:line="360" w:lineRule="auto"/>
        <w:ind w:firstLine="643" w:firstLineChars="200"/>
        <w:outlineLvl w:val="1"/>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（一）财务管理</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财务管理制度方面，市生态环境局制定了《北京市生态环境局部门预算管理办法》、《北京市生态环境局合同管理办法》、《北京市生态环境局会计基础工作规范》、《北京市生态环境局工会财务管理办法》、《北京市生态环境局财务安全管理办法》、《北京市生态环境局差旅费管理办法》等制度和办法，对部门预算编制、经费支出管理、合同管理等各个环节程序和责任主体进行了明确规定，财务管理制度健全。</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w:t>
      </w:r>
      <w:r>
        <w:rPr>
          <w:rFonts w:hint="eastAsia" w:ascii="仿宋_GB2312" w:hAnsi="宋体" w:eastAsia="仿宋_GB2312" w:cs="宋体"/>
          <w:color w:val="000000"/>
          <w:kern w:val="0"/>
          <w:sz w:val="32"/>
          <w:szCs w:val="32"/>
        </w:rPr>
        <w:t>安全性</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资金使用过程中，市生态环境局严格按照国家财经法规和财务管理制度规定以及有关专项资金管理办法的规定支出资金，资金的拨付有完整的审批程序和手续；针对项目的重大开支</w:t>
      </w:r>
      <w:r>
        <w:rPr>
          <w:rFonts w:hint="eastAsia" w:ascii="仿宋_GB2312" w:eastAsia="仿宋_GB2312"/>
          <w:sz w:val="32"/>
        </w:rPr>
        <w:t>均通过局党组会或局长办公会集体研究决定，并严格按照市生态环境局大额度资金监督管理使用有关规定执行</w:t>
      </w:r>
      <w:r>
        <w:rPr>
          <w:rFonts w:hint="eastAsia" w:ascii="仿宋_GB2312" w:hAnsi="宋体" w:eastAsia="仿宋_GB2312" w:cs="宋体"/>
          <w:color w:val="000000"/>
          <w:kern w:val="0"/>
          <w:sz w:val="32"/>
          <w:szCs w:val="32"/>
        </w:rPr>
        <w:t>，项目执行过程中不存在截留、挤占、挪用情况；</w:t>
      </w:r>
      <w:r>
        <w:rPr>
          <w:rFonts w:hint="eastAsia" w:ascii="仿宋_GB2312" w:hAnsi="仿宋_GB2312" w:eastAsia="仿宋_GB2312" w:cs="仿宋_GB2312"/>
          <w:sz w:val="32"/>
          <w:szCs w:val="32"/>
        </w:rPr>
        <w:t>组织各直属单位开展财务安全自查，围绕设施设备、防火防盗、现金存放、财务内控等方面进行财务安全现场抽查。指导直属单位规范财务内控管理，持续防控财务风险，切实筑牢财务安全防线。</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会计基础信息管理方面，市生态环境局严格规范会计基础工作，确保基础数据信息和会计信息资料真实、完整、准确。同时</w:t>
      </w:r>
      <w:r>
        <w:rPr>
          <w:rFonts w:hint="eastAsia" w:ascii="仿宋_GB2312" w:hAnsi="???" w:eastAsia="仿宋_GB2312" w:cs="仿宋_GB2312"/>
          <w:color w:val="000000"/>
          <w:kern w:val="0"/>
          <w:sz w:val="32"/>
          <w:szCs w:val="32"/>
        </w:rPr>
        <w:t>鼓励局系统财务人员报考初、中、高级会计专业技术资格考试，全面提升财务人员综合素质。全面清查局系统资产负债、往来事项、固定资产、无形资产等科目，落实好决算“事实性、法定性、权威性”的要求。</w:t>
      </w:r>
    </w:p>
    <w:p>
      <w:pPr>
        <w:adjustRightInd w:val="0"/>
        <w:snapToGrid w:val="0"/>
        <w:spacing w:line="360" w:lineRule="auto"/>
        <w:ind w:firstLine="643" w:firstLineChars="200"/>
        <w:outlineLvl w:val="1"/>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（二）资产管理</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为加强固定资产管理，实现固定资产安全完整、合理配置和有效利用，市生态环境局制定了《北京市生态环境局固定资产管理办法》，对固定资产的管理机构及职责、固定资产核算标准、固定资产配置、固定资产日常管理和固定资产处置等进行了明确。在固定资产日常管理过程中，加强精细化管理，重视对重点资产的管理，按照固定资产管理各个环节进行实物管理和财务核算。加强对系统单位资产管理的监督，严格按规定进行审核。</w:t>
      </w:r>
    </w:p>
    <w:p>
      <w:pPr>
        <w:adjustRightInd w:val="0"/>
        <w:snapToGrid w:val="0"/>
        <w:spacing w:line="360" w:lineRule="auto"/>
        <w:ind w:firstLine="643" w:firstLineChars="200"/>
        <w:outlineLvl w:val="1"/>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（三）绩效</w:t>
      </w:r>
      <w:r>
        <w:rPr>
          <w:rFonts w:ascii="仿宋_GB2312" w:hAnsi="宋体" w:eastAsia="仿宋_GB2312" w:cs="宋体"/>
          <w:b/>
          <w:bCs/>
          <w:color w:val="000000"/>
          <w:kern w:val="0"/>
          <w:sz w:val="32"/>
          <w:szCs w:val="32"/>
        </w:rPr>
        <w:t>管理</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为规范和加强项目全过程管理，确保资金使用安全和绩效，市生态环境局制定了《北京市生态环境局项目管理办法》，明确了管理职责、项目申报与储备、评审与论证、资金申请与批复、执行与管理、采购与支付、验收与备案等要求。同时，制定了《北京市生态环境局财政支出绩效评价管理办法》，明确了绩效评价组织管理、评价内容、评价工作程序和要求等内容。</w:t>
      </w:r>
    </w:p>
    <w:p>
      <w:pPr>
        <w:adjustRightInd w:val="0"/>
        <w:snapToGrid w:val="0"/>
        <w:spacing w:line="360" w:lineRule="auto"/>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rPr>
        <w:t>按照项目管理办法对预算项目实行储备、评审、执行、采购、验收、绩效等全流程管理。项目申报时，市生态环境局严把项目事前审核关，对项目必要性、可行性、绩效目标、预算等内容组织评审，评审通过项目方可入库；项目执行过程中，严格落实绩效目标和预算执行“双监控”要求，</w:t>
      </w:r>
      <w:r>
        <w:rPr>
          <w:rFonts w:hint="eastAsia" w:ascii="仿宋_GB2312" w:hAnsi="仿宋" w:eastAsia="仿宋_GB2312"/>
          <w:color w:val="000000"/>
          <w:sz w:val="32"/>
          <w:szCs w:val="32"/>
          <w:highlight w:val="none"/>
        </w:rPr>
        <w:t>组织</w:t>
      </w:r>
      <w:r>
        <w:rPr>
          <w:rFonts w:hint="eastAsia" w:ascii="仿宋_GB2312" w:eastAsia="仿宋_GB2312"/>
          <w:sz w:val="32"/>
          <w:szCs w:val="32"/>
          <w:highlight w:val="none"/>
        </w:rPr>
        <w:t>预算绩效</w:t>
      </w:r>
      <w:r>
        <w:rPr>
          <w:rFonts w:hint="eastAsia" w:ascii="仿宋_GB2312" w:hAnsi="仿宋" w:eastAsia="仿宋_GB2312"/>
          <w:color w:val="000000"/>
          <w:sz w:val="32"/>
          <w:szCs w:val="32"/>
          <w:highlight w:val="none"/>
        </w:rPr>
        <w:t>监控</w:t>
      </w:r>
      <w:r>
        <w:rPr>
          <w:rFonts w:hint="eastAsia" w:ascii="仿宋_GB2312" w:hAnsi="宋体" w:eastAsia="仿宋_GB2312" w:cs="宋体"/>
          <w:color w:val="000000"/>
          <w:kern w:val="0"/>
          <w:sz w:val="32"/>
          <w:szCs w:val="32"/>
          <w:highlight w:val="none"/>
        </w:rPr>
        <w:t>，及时纠偏</w:t>
      </w:r>
      <w:r>
        <w:rPr>
          <w:rFonts w:hint="eastAsia" w:ascii="仿宋_GB2312" w:hAnsi="宋体" w:eastAsia="仿宋_GB2312" w:cs="宋体"/>
          <w:color w:val="000000"/>
          <w:kern w:val="0"/>
          <w:sz w:val="32"/>
          <w:szCs w:val="32"/>
          <w:highlight w:val="none"/>
          <w:lang w:val="en-US" w:eastAsia="zh-CN"/>
        </w:rPr>
        <w:t>;</w:t>
      </w:r>
      <w:r>
        <w:rPr>
          <w:rFonts w:hint="eastAsia" w:ascii="仿宋_GB2312" w:eastAsia="仿宋_GB2312"/>
          <w:sz w:val="32"/>
          <w:szCs w:val="32"/>
          <w:highlight w:val="none"/>
        </w:rPr>
        <w:t>监控涉及公开的市级项目86个，监控资金43,624.55万元，其中：财政资金35,737.12万元，自有资金7,887.43万元</w:t>
      </w:r>
      <w:r>
        <w:rPr>
          <w:rFonts w:hint="eastAsia" w:ascii="仿宋_GB2312" w:hAnsi="宋体" w:eastAsia="仿宋_GB2312" w:cs="宋体"/>
          <w:color w:val="000000"/>
          <w:kern w:val="0"/>
          <w:sz w:val="32"/>
          <w:szCs w:val="32"/>
          <w:highlight w:val="none"/>
        </w:rPr>
        <w:t>；项目完成后，及时组织项目验收</w:t>
      </w:r>
      <w:r>
        <w:rPr>
          <w:rFonts w:hint="eastAsia" w:ascii="仿宋_GB2312" w:hAnsi="宋体" w:eastAsia="仿宋_GB2312" w:cs="宋体"/>
          <w:color w:val="000000"/>
          <w:kern w:val="0"/>
          <w:sz w:val="32"/>
          <w:szCs w:val="32"/>
          <w:highlight w:val="none"/>
          <w:lang w:val="en-US" w:eastAsia="zh-CN"/>
        </w:rPr>
        <w:t>;</w:t>
      </w:r>
      <w:r>
        <w:rPr>
          <w:rFonts w:hint="eastAsia" w:ascii="仿宋_GB2312" w:eastAsia="仿宋_GB2312"/>
          <w:sz w:val="32"/>
          <w:szCs w:val="32"/>
          <w:highlight w:val="none"/>
        </w:rPr>
        <w:t>组织部门预算绩效自评工作培训</w:t>
      </w:r>
      <w:r>
        <w:rPr>
          <w:rFonts w:hint="eastAsia" w:ascii="仿宋_GB2312" w:hAnsi="宋体" w:eastAsia="仿宋_GB2312" w:cs="宋体"/>
          <w:color w:val="000000"/>
          <w:kern w:val="0"/>
          <w:sz w:val="32"/>
          <w:szCs w:val="32"/>
          <w:highlight w:val="none"/>
        </w:rPr>
        <w:t>，开展</w:t>
      </w:r>
      <w:r>
        <w:rPr>
          <w:rFonts w:hint="eastAsia" w:ascii="仿宋_GB2312" w:eastAsia="仿宋_GB2312"/>
          <w:sz w:val="32"/>
          <w:szCs w:val="32"/>
          <w:highlight w:val="none"/>
        </w:rPr>
        <w:t>部门预算项目绩效自评</w:t>
      </w:r>
      <w:r>
        <w:rPr>
          <w:rFonts w:hint="eastAsia" w:ascii="仿宋_GB2312" w:hAnsi="宋体" w:eastAsia="仿宋_GB2312" w:cs="宋体"/>
          <w:color w:val="000000"/>
          <w:kern w:val="0"/>
          <w:sz w:val="32"/>
          <w:szCs w:val="32"/>
          <w:highlight w:val="none"/>
        </w:rPr>
        <w:t>、</w:t>
      </w:r>
      <w:r>
        <w:rPr>
          <w:rFonts w:hint="eastAsia" w:ascii="仿宋_GB2312" w:eastAsia="仿宋_GB2312"/>
          <w:sz w:val="32"/>
          <w:szCs w:val="32"/>
          <w:highlight w:val="none"/>
        </w:rPr>
        <w:t>重点项目和部门整体绩效评价</w:t>
      </w:r>
      <w:r>
        <w:rPr>
          <w:rFonts w:hint="eastAsia" w:ascii="仿宋_GB2312" w:hAnsi="宋体" w:eastAsia="仿宋_GB2312" w:cs="宋体"/>
          <w:color w:val="000000"/>
          <w:kern w:val="0"/>
          <w:sz w:val="32"/>
          <w:szCs w:val="32"/>
          <w:highlight w:val="none"/>
        </w:rPr>
        <w:t>，确保项目产出和绩效。同时，加强对中央转移支付度资金的</w:t>
      </w:r>
      <w:r>
        <w:rPr>
          <w:rFonts w:hint="eastAsia" w:ascii="仿宋_GB2312" w:eastAsia="仿宋_GB2312"/>
          <w:sz w:val="32"/>
          <w:szCs w:val="32"/>
          <w:highlight w:val="none"/>
        </w:rPr>
        <w:t>绩效评价工作，联合市财政局对中央资金支持项目开展监督，督促问题整改。</w:t>
      </w:r>
    </w:p>
    <w:p>
      <w:pPr>
        <w:adjustRightInd w:val="0"/>
        <w:snapToGrid w:val="0"/>
        <w:spacing w:line="360" w:lineRule="auto"/>
        <w:ind w:firstLine="643" w:firstLineChars="200"/>
        <w:outlineLvl w:val="1"/>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（四）结转结余率</w:t>
      </w:r>
    </w:p>
    <w:p>
      <w:pPr>
        <w:adjustRightInd w:val="0"/>
        <w:snapToGrid w:val="0"/>
        <w:spacing w:line="360" w:lineRule="auto"/>
        <w:ind w:firstLine="640" w:firstLineChars="200"/>
        <w:rPr>
          <w:rFonts w:ascii="楷体_GB2312" w:eastAsia="楷体_GB2312"/>
          <w:sz w:val="32"/>
          <w:szCs w:val="32"/>
        </w:rPr>
      </w:pPr>
      <w:r>
        <w:rPr>
          <w:rFonts w:hint="eastAsia" w:ascii="仿宋_GB2312" w:hAnsi="宋体" w:eastAsia="仿宋_GB2312" w:cs="宋体"/>
          <w:color w:val="000000"/>
          <w:kern w:val="0"/>
          <w:sz w:val="32"/>
          <w:szCs w:val="32"/>
        </w:rPr>
        <w:t>市生态环境局2023年财政拨款结转结余资金9,096.02</w:t>
      </w:r>
      <w:r>
        <w:rPr>
          <w:rFonts w:ascii="仿宋_GB2312" w:hAnsi="宋体" w:eastAsia="仿宋_GB2312" w:cs="宋体"/>
          <w:color w:val="000000"/>
          <w:kern w:val="0"/>
          <w:sz w:val="32"/>
          <w:szCs w:val="32"/>
        </w:rPr>
        <w:t>万元，结转结余率</w:t>
      </w:r>
      <w:r>
        <w:rPr>
          <w:rFonts w:hint="eastAsia" w:ascii="仿宋_GB2312" w:hAnsi="宋体" w:eastAsia="仿宋_GB2312" w:cs="宋体"/>
          <w:color w:val="000000"/>
          <w:kern w:val="0"/>
          <w:sz w:val="32"/>
          <w:szCs w:val="32"/>
        </w:rPr>
        <w:t>9.66%</w:t>
      </w:r>
      <w:r>
        <w:rPr>
          <w:rFonts w:ascii="仿宋_GB2312" w:hAnsi="宋体" w:eastAsia="仿宋_GB2312" w:cs="宋体"/>
          <w:color w:val="000000"/>
          <w:kern w:val="0"/>
          <w:sz w:val="32"/>
          <w:szCs w:val="32"/>
        </w:rPr>
        <w:t>，相较于</w:t>
      </w:r>
      <w:r>
        <w:rPr>
          <w:rFonts w:hint="eastAsia" w:ascii="仿宋_GB2312" w:hAnsi="宋体" w:eastAsia="仿宋_GB2312" w:cs="宋体"/>
          <w:color w:val="000000"/>
          <w:kern w:val="0"/>
          <w:sz w:val="32"/>
          <w:szCs w:val="32"/>
        </w:rPr>
        <w:t>2022年财政拨款结转结余率8.46%,增长1.2个百分点</w:t>
      </w:r>
      <w:r>
        <w:rPr>
          <w:rFonts w:ascii="仿宋_GB2312" w:hAnsi="宋体" w:eastAsia="仿宋_GB2312" w:cs="宋体"/>
          <w:color w:val="000000"/>
          <w:kern w:val="0"/>
          <w:sz w:val="32"/>
          <w:szCs w:val="32"/>
        </w:rPr>
        <w:t>。</w:t>
      </w:r>
    </w:p>
    <w:p>
      <w:pPr>
        <w:adjustRightInd w:val="0"/>
        <w:snapToGrid w:val="0"/>
        <w:spacing w:line="360" w:lineRule="auto"/>
        <w:ind w:firstLine="643" w:firstLineChars="200"/>
        <w:outlineLvl w:val="1"/>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（五）部门</w:t>
      </w:r>
      <w:r>
        <w:rPr>
          <w:rFonts w:ascii="仿宋_GB2312" w:hAnsi="宋体" w:eastAsia="仿宋_GB2312" w:cs="宋体"/>
          <w:b/>
          <w:bCs/>
          <w:color w:val="000000"/>
          <w:kern w:val="0"/>
          <w:sz w:val="32"/>
          <w:szCs w:val="32"/>
        </w:rPr>
        <w:t>预决算差异率</w:t>
      </w:r>
    </w:p>
    <w:p>
      <w:pPr>
        <w:adjustRightInd w:val="0"/>
        <w:snapToGrid w:val="0"/>
        <w:spacing w:line="360" w:lineRule="auto"/>
        <w:ind w:firstLine="640" w:firstLineChars="200"/>
        <w:rPr>
          <w:rFonts w:ascii="黑体" w:hAnsi="黑体" w:eastAsia="黑体"/>
          <w:sz w:val="32"/>
          <w:szCs w:val="32"/>
        </w:rPr>
      </w:pPr>
      <w:r>
        <w:rPr>
          <w:rFonts w:hint="eastAsia" w:ascii="仿宋_GB2312" w:hAnsi="宋体" w:eastAsia="仿宋_GB2312" w:cs="宋体"/>
          <w:color w:val="000000"/>
          <w:kern w:val="0"/>
          <w:sz w:val="32"/>
          <w:szCs w:val="32"/>
        </w:rPr>
        <w:t>通过年度部门决算与年初部门预算对比，市生态环境局2023年财政拨款全年预算数94,137.73万元，年初预算数86,243.07万元，部门财政拨款预决算差异率9.15%，低于市级平均差异率28.3%，部门预算约束力较好。</w:t>
      </w:r>
    </w:p>
    <w:p>
      <w:pPr>
        <w:adjustRightInd w:val="0"/>
        <w:snapToGrid w:val="0"/>
        <w:spacing w:line="360" w:lineRule="auto"/>
        <w:ind w:firstLine="640" w:firstLineChars="200"/>
        <w:outlineLvl w:val="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adjustRightInd w:val="0"/>
        <w:snapToGrid w:val="0"/>
        <w:spacing w:line="360" w:lineRule="auto"/>
        <w:ind w:firstLine="640" w:firstLineChars="200"/>
        <w:outlineLvl w:val="1"/>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通过对部门整体预算执行、绩效目标实现和预算管理情况分析，市生态环境局2023年部门整体绩效评价得分95.97分。其中，当年预算执行情况分值20分，得分18.07分；整体绩效目标实现情况60分，得分58.3分；预算管理情况分值20分，得分19.6分。具体评分情况见下图1。</w:t>
      </w:r>
    </w:p>
    <w:p>
      <w:pPr>
        <w:adjustRightInd w:val="0"/>
        <w:snapToGrid w:val="0"/>
        <w:spacing w:line="360" w:lineRule="auto"/>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drawing>
          <wp:inline distT="0" distB="0" distL="114300" distR="114300">
            <wp:extent cx="4838700" cy="2752725"/>
            <wp:effectExtent l="0" t="0" r="0" b="0"/>
            <wp:docPr id="1" name="图片 1" descr="4c640b2e6347e33c6ff9bea3a49aa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c640b2e6347e33c6ff9bea3a49aad3"/>
                    <pic:cNvPicPr>
                      <a:picLocks noChangeAspect="1"/>
                    </pic:cNvPicPr>
                  </pic:nvPicPr>
                  <pic:blipFill>
                    <a:blip r:embed="rId6"/>
                    <a:stretch>
                      <a:fillRect/>
                    </a:stretch>
                  </pic:blipFill>
                  <pic:spPr>
                    <a:xfrm>
                      <a:off x="0" y="0"/>
                      <a:ext cx="4838700" cy="2752725"/>
                    </a:xfrm>
                    <a:prstGeom prst="rect">
                      <a:avLst/>
                    </a:prstGeom>
                  </pic:spPr>
                </pic:pic>
              </a:graphicData>
            </a:graphic>
          </wp:inline>
        </w:drawing>
      </w:r>
    </w:p>
    <w:p>
      <w:pPr>
        <w:adjustRightInd w:val="0"/>
        <w:snapToGrid w:val="0"/>
        <w:spacing w:line="360" w:lineRule="auto"/>
        <w:jc w:val="center"/>
        <w:rPr>
          <w:rFonts w:ascii="黑体" w:eastAsia="黑体"/>
          <w:iCs/>
          <w:sz w:val="28"/>
        </w:rPr>
      </w:pPr>
      <w:r>
        <w:rPr>
          <w:rFonts w:hint="eastAsia" w:ascii="黑体" w:eastAsia="黑体"/>
          <w:iCs/>
          <w:sz w:val="28"/>
        </w:rPr>
        <w:t>图1：分项绩效评价指标分值及得分情况</w:t>
      </w:r>
    </w:p>
    <w:p>
      <w:pPr>
        <w:adjustRightInd w:val="0"/>
        <w:snapToGrid w:val="0"/>
        <w:spacing w:line="360" w:lineRule="auto"/>
        <w:jc w:val="center"/>
        <w:rPr>
          <w:rFonts w:ascii="黑体" w:eastAsia="黑体"/>
          <w:iCs/>
          <w:sz w:val="28"/>
        </w:rPr>
      </w:pPr>
    </w:p>
    <w:p>
      <w:pPr>
        <w:adjustRightInd w:val="0"/>
        <w:snapToGrid w:val="0"/>
        <w:spacing w:line="360" w:lineRule="auto"/>
        <w:ind w:firstLine="640" w:firstLineChars="200"/>
        <w:outlineLvl w:val="1"/>
        <w:rPr>
          <w:rFonts w:ascii="楷体_GB2312" w:eastAsia="楷体_GB2312"/>
          <w:sz w:val="32"/>
          <w:szCs w:val="32"/>
        </w:rPr>
      </w:pPr>
      <w:r>
        <w:rPr>
          <w:rFonts w:hint="eastAsia" w:ascii="楷体_GB2312" w:eastAsia="楷体_GB2312"/>
          <w:sz w:val="32"/>
          <w:szCs w:val="32"/>
        </w:rPr>
        <w:t>（二）存在的问题及原因分析</w:t>
      </w:r>
    </w:p>
    <w:p>
      <w:pPr>
        <w:adjustRightInd w:val="0"/>
        <w:snapToGrid w:val="0"/>
        <w:spacing w:line="360" w:lineRule="auto"/>
        <w:ind w:firstLine="643" w:firstLineChars="200"/>
        <w:rPr>
          <w:rFonts w:ascii="仿宋_GB2312" w:hAnsi="宋体" w:eastAsia="仿宋_GB2312" w:cs="宋体"/>
          <w:color w:val="000000"/>
          <w:kern w:val="0"/>
          <w:sz w:val="32"/>
          <w:szCs w:val="32"/>
        </w:rPr>
      </w:pPr>
      <w:r>
        <w:rPr>
          <w:rFonts w:hint="eastAsia" w:ascii="仿宋_GB2312" w:hAnsi="仿宋" w:eastAsia="仿宋_GB2312"/>
          <w:b/>
          <w:sz w:val="32"/>
          <w:szCs w:val="32"/>
        </w:rPr>
        <w:t>一是</w:t>
      </w:r>
      <w:r>
        <w:rPr>
          <w:rFonts w:hint="eastAsia" w:ascii="仿宋_GB2312" w:hAnsi="宋体" w:eastAsia="仿宋_GB2312" w:cs="宋体"/>
          <w:color w:val="000000"/>
          <w:kern w:val="0"/>
          <w:sz w:val="32"/>
          <w:szCs w:val="32"/>
        </w:rPr>
        <w:t>生态环境领域工作仍有进一步提升的空间。</w:t>
      </w:r>
      <w:r>
        <w:rPr>
          <w:rFonts w:hint="eastAsia" w:ascii="仿宋_GB2312" w:eastAsia="仿宋_GB2312"/>
          <w:sz w:val="32"/>
          <w:szCs w:val="32"/>
        </w:rPr>
        <w:t>当前空气质量改善总体进入平台期、瓶颈期，经济活动和能源消费还要恢复性增长，污染排放量将进一步增加，不但要抵消掉增量，还要努力减存量，需尽最大努力推动空气质量改善</w:t>
      </w:r>
      <w:r>
        <w:rPr>
          <w:rFonts w:hint="eastAsia" w:ascii="仿宋_GB2312" w:hAnsi="宋体" w:eastAsia="仿宋_GB2312" w:cs="宋体"/>
          <w:color w:val="000000"/>
          <w:kern w:val="0"/>
          <w:sz w:val="32"/>
          <w:szCs w:val="32"/>
        </w:rPr>
        <w:t>；水资源严重短缺，水环境质量改善形势依然严峻；土壤污染防治工作还需稳步推进。</w:t>
      </w:r>
    </w:p>
    <w:p>
      <w:pPr>
        <w:adjustRightInd w:val="0"/>
        <w:snapToGrid w:val="0"/>
        <w:spacing w:line="360" w:lineRule="auto"/>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bCs/>
          <w:color w:val="000000"/>
          <w:kern w:val="0"/>
          <w:sz w:val="32"/>
          <w:szCs w:val="32"/>
        </w:rPr>
        <w:t>二是</w:t>
      </w:r>
      <w:r>
        <w:rPr>
          <w:rFonts w:hint="eastAsia" w:ascii="仿宋_GB2312" w:hAnsi="宋体" w:eastAsia="仿宋_GB2312" w:cs="宋体"/>
          <w:color w:val="000000"/>
          <w:kern w:val="0"/>
          <w:sz w:val="32"/>
          <w:szCs w:val="32"/>
        </w:rPr>
        <w:t>部分项目绩效目标完成情况未达预期。受暴雨等不确定因素影响，部分现场督察工作涉及调整，未能按计划完成预期目标。另外，部分项目实施周期较长，涉及跨年执行，部分工作内容仍在合同执行期内，截至自评节点尚未完成。</w:t>
      </w:r>
    </w:p>
    <w:p>
      <w:pPr>
        <w:adjustRightInd w:val="0"/>
        <w:snapToGrid w:val="0"/>
        <w:spacing w:line="360" w:lineRule="auto"/>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bCs/>
          <w:color w:val="000000"/>
          <w:kern w:val="0"/>
          <w:sz w:val="32"/>
          <w:szCs w:val="32"/>
        </w:rPr>
        <w:t>三是</w:t>
      </w:r>
      <w:r>
        <w:rPr>
          <w:rFonts w:hint="eastAsia" w:ascii="仿宋_GB2312" w:hAnsi="宋体" w:eastAsia="仿宋_GB2312" w:cs="宋体"/>
          <w:color w:val="000000"/>
          <w:kern w:val="0"/>
          <w:sz w:val="32"/>
          <w:szCs w:val="32"/>
        </w:rPr>
        <w:t>部分项目未开展满意度调查，效益发挥和成果应用情况的支撑材料收集不够全面。部分项目在实施完毕后未及时开展满意度调查工作或仅通过口头形式开展满意度询问，满意度调查不够深入；部分项目缺少成果应用和效益发挥情况的支撑材料收集和整理分析。</w:t>
      </w:r>
    </w:p>
    <w:p>
      <w:pPr>
        <w:adjustRightInd w:val="0"/>
        <w:snapToGrid w:val="0"/>
        <w:spacing w:line="360" w:lineRule="auto"/>
        <w:ind w:firstLine="640" w:firstLineChars="200"/>
        <w:outlineLvl w:val="0"/>
        <w:rPr>
          <w:rFonts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六、措施建议</w:t>
      </w:r>
    </w:p>
    <w:p>
      <w:pPr>
        <w:adjustRightInd w:val="0"/>
        <w:snapToGrid w:val="0"/>
        <w:spacing w:line="360" w:lineRule="auto"/>
        <w:ind w:firstLine="640" w:firstLineChars="200"/>
        <w:rPr>
          <w:rFonts w:ascii="仿宋_GB2312" w:hAnsi="仿宋" w:eastAsia="仿宋_GB2312"/>
          <w:bCs/>
          <w:sz w:val="32"/>
          <w:szCs w:val="32"/>
        </w:rPr>
      </w:pPr>
      <w:bookmarkStart w:id="0" w:name="_Toc103006301"/>
      <w:r>
        <w:rPr>
          <w:rFonts w:hint="eastAsia" w:ascii="仿宋_GB2312" w:hAnsi="仿宋" w:eastAsia="仿宋_GB2312"/>
          <w:bCs/>
          <w:sz w:val="32"/>
          <w:szCs w:val="32"/>
        </w:rPr>
        <w:t>2024年，市生态环境局将全面贯彻党的二十大、中央经济工作会议、全国生态环境保护大会和市委十三届四次全会、全市生态环境保护大会等精神，坚决贯彻党中央、国务院决策部署和生态环境部、市委、市政府重要工作安排，以美丽北京建设为主线，深入实施绿色北京战略，协同推进降碳、减污、扩绿、增长，全力推进生态文明建设和生态环境保护工作，努力推进美丽北京建设取得新成效。</w:t>
      </w:r>
    </w:p>
    <w:p>
      <w:pPr>
        <w:adjustRightInd w:val="0"/>
        <w:snapToGrid w:val="0"/>
        <w:spacing w:line="360" w:lineRule="auto"/>
        <w:ind w:firstLine="643" w:firstLineChars="200"/>
        <w:rPr>
          <w:rFonts w:ascii="仿宋_GB2312" w:hAnsi="仿宋" w:eastAsia="仿宋_GB2312"/>
          <w:bCs/>
          <w:sz w:val="32"/>
          <w:szCs w:val="32"/>
        </w:rPr>
      </w:pPr>
      <w:r>
        <w:rPr>
          <w:rFonts w:hint="eastAsia" w:ascii="仿宋_GB2312" w:hAnsi="仿宋" w:eastAsia="仿宋_GB2312"/>
          <w:b/>
          <w:sz w:val="32"/>
          <w:szCs w:val="32"/>
        </w:rPr>
        <w:t>（一）压紧压实生态文明建设政治责任。</w:t>
      </w:r>
      <w:r>
        <w:rPr>
          <w:rFonts w:hint="eastAsia" w:ascii="仿宋_GB2312" w:hAnsi="仿宋" w:eastAsia="仿宋_GB2312"/>
          <w:bCs/>
          <w:sz w:val="32"/>
          <w:szCs w:val="32"/>
        </w:rPr>
        <w:t>制定实施《全面推进美丽北京建设 打造人与自然和谐共生的现代化大国首都的实施意见》，持续开展污染防治攻坚战成效考核。对接美丽北京建设目标任务，开展本市“十五五”生态环境保护规划前期研究。推动落实市委生态文明委、生态文明体制改革专项小组年度重点工作。健全督察工作全链条工作体系，抓好第二轮中央生态环境保护督察问题整改、做好第三轮督察迎检准备，深化市级生态环境保护督察，实施《北京市推动职能部门做好生态环境保护工作的实施意见》，更好发挥督察“利剑”作用，动真碰硬、压实责任。</w:t>
      </w:r>
    </w:p>
    <w:p>
      <w:pPr>
        <w:adjustRightInd w:val="0"/>
        <w:snapToGrid w:val="0"/>
        <w:spacing w:line="360" w:lineRule="auto"/>
        <w:ind w:firstLine="643" w:firstLineChars="200"/>
        <w:rPr>
          <w:rFonts w:ascii="仿宋_GB2312" w:hAnsi="仿宋" w:eastAsia="仿宋_GB2312"/>
          <w:bCs/>
          <w:sz w:val="32"/>
          <w:szCs w:val="32"/>
        </w:rPr>
      </w:pPr>
      <w:r>
        <w:rPr>
          <w:rFonts w:hint="eastAsia" w:ascii="仿宋_GB2312" w:hAnsi="仿宋" w:eastAsia="仿宋_GB2312"/>
          <w:b/>
          <w:sz w:val="32"/>
          <w:szCs w:val="32"/>
        </w:rPr>
        <w:t>（二）持续深入打好污染防治攻坚战。将蓝天保卫战作为重中之重，深化“0.1微克”行动。</w:t>
      </w:r>
      <w:r>
        <w:rPr>
          <w:rFonts w:hint="eastAsia" w:ascii="仿宋_GB2312" w:hAnsi="仿宋" w:eastAsia="仿宋_GB2312"/>
          <w:bCs/>
          <w:sz w:val="32"/>
          <w:szCs w:val="32"/>
        </w:rPr>
        <w:t>强化挥发性有机物（VOCs）综合治理，坚持源头管、过程控、末端治，推进含VOCs产品源头替代和过程监管，强化石化等重点行业和产业园区VOCs精准治理，加强油品储运环节减排，以重污染天气绩效评级为抓手，推进重点行业绿色高质量发展。深化氮氧化物（NOx）专项治理，加快推动重点行业机动车电动化，执行国家在用汽油车和柴油车排放标准b限值，推动淘汰国四重型营运柴油货车；加强非道路移动机械综合治理，加快推广新能源叉车；深化燃气锅炉氮氧化物深度治理和散煤清洁能源改造。加强“三尘”共治，巩固扬尘治理长效机制，压实监管责任，提升城市清洁度。深化“0.1微克”行动区级示范。</w:t>
      </w:r>
    </w:p>
    <w:p>
      <w:pPr>
        <w:adjustRightInd w:val="0"/>
        <w:snapToGrid w:val="0"/>
        <w:spacing w:line="360" w:lineRule="auto"/>
        <w:ind w:firstLine="643" w:firstLineChars="200"/>
        <w:rPr>
          <w:rFonts w:ascii="仿宋_GB2312" w:hAnsi="仿宋" w:eastAsia="仿宋_GB2312"/>
          <w:bCs/>
          <w:sz w:val="32"/>
          <w:szCs w:val="32"/>
        </w:rPr>
      </w:pPr>
      <w:r>
        <w:rPr>
          <w:rFonts w:hint="eastAsia" w:ascii="仿宋_GB2312" w:hAnsi="仿宋" w:eastAsia="仿宋_GB2312"/>
          <w:b/>
          <w:sz w:val="32"/>
          <w:szCs w:val="32"/>
        </w:rPr>
        <w:t>全力打好碧水保卫战，坚持“三水统筹”，促进人水和谐</w:t>
      </w:r>
      <w:r>
        <w:rPr>
          <w:rFonts w:hint="eastAsia" w:ascii="仿宋_GB2312" w:hAnsi="仿宋" w:eastAsia="仿宋_GB2312"/>
          <w:bCs/>
          <w:sz w:val="32"/>
          <w:szCs w:val="32"/>
        </w:rPr>
        <w:t>。实施重点流域水生态环境保护规划及第四个水环境治理三年行动方案，完善水生态环境领域“三监联动”，强化入河排污口监管，落实区域补偿制度，狠抓汛期污染防控，严防劣V类水体和黑臭水体反弹。推动门头沟区、房山区、昌平区灾后受损河道生态修复，指导通州、大兴、平谷区加快辖区污水处理设施提标改造及日常监管，确保国考断面水质达标。全力打好净土保卫战，全面落实本市土壤污染防治条例，坚持“三地”共管，加强源头防控，有效管控建设用地和农用地土壤环境风险，确保土壤环境安全。</w:t>
      </w:r>
    </w:p>
    <w:p>
      <w:pPr>
        <w:adjustRightInd w:val="0"/>
        <w:snapToGrid w:val="0"/>
        <w:spacing w:line="360" w:lineRule="auto"/>
        <w:ind w:firstLine="643" w:firstLineChars="200"/>
        <w:rPr>
          <w:rFonts w:ascii="仿宋_GB2312" w:hAnsi="仿宋" w:eastAsia="仿宋_GB2312"/>
          <w:bCs/>
          <w:sz w:val="32"/>
          <w:szCs w:val="32"/>
        </w:rPr>
      </w:pPr>
      <w:r>
        <w:rPr>
          <w:rFonts w:hint="eastAsia" w:ascii="仿宋_GB2312" w:hAnsi="仿宋" w:eastAsia="仿宋_GB2312"/>
          <w:b/>
          <w:sz w:val="32"/>
          <w:szCs w:val="32"/>
        </w:rPr>
        <w:t>加强固体废物和新污染治理。</w:t>
      </w:r>
      <w:r>
        <w:rPr>
          <w:rFonts w:hint="eastAsia" w:ascii="仿宋_GB2312" w:hAnsi="仿宋" w:eastAsia="仿宋_GB2312"/>
          <w:bCs/>
          <w:sz w:val="32"/>
          <w:szCs w:val="32"/>
        </w:rPr>
        <w:t>推进燕山石化蓝翠鸟资源综合利用等危险废物处置项目运行，提升危险废物处置能力。深入实施《北京市新污染物治理工作方案》，组织开展新污染监测试点。研究推进“无废城市”“无废细胞”等建设。</w:t>
      </w:r>
    </w:p>
    <w:p>
      <w:pPr>
        <w:adjustRightInd w:val="0"/>
        <w:snapToGrid w:val="0"/>
        <w:spacing w:line="360" w:lineRule="auto"/>
        <w:ind w:firstLine="643" w:firstLineChars="200"/>
        <w:rPr>
          <w:rFonts w:ascii="仿宋_GB2312" w:hAnsi="仿宋" w:eastAsia="仿宋_GB2312"/>
          <w:bCs/>
          <w:sz w:val="32"/>
          <w:szCs w:val="32"/>
        </w:rPr>
      </w:pPr>
      <w:r>
        <w:rPr>
          <w:rFonts w:hint="eastAsia" w:ascii="仿宋_GB2312" w:hAnsi="仿宋" w:eastAsia="仿宋_GB2312"/>
          <w:b/>
          <w:sz w:val="32"/>
          <w:szCs w:val="32"/>
        </w:rPr>
        <w:t>（三）加快推动发展方式绿色低碳转型。</w:t>
      </w:r>
      <w:r>
        <w:rPr>
          <w:rFonts w:hint="eastAsia" w:ascii="仿宋_GB2312" w:hAnsi="仿宋" w:eastAsia="仿宋_GB2312"/>
          <w:bCs/>
          <w:sz w:val="32"/>
          <w:szCs w:val="32"/>
        </w:rPr>
        <w:t>发挥生态环境保护引领、优化、倒逼作用，服务经济社会高质量发展大局。做好重大项目环评审批服务，研究制定北京市加强生态环境分区管控实施意见，深化产业园区规划环评与建设项目环评联动。强化碳排放总量和强度“双控”机制，积极推进能源、建筑、产业、交通等领域绿色低碳转型，创新实施企业和项目绿色绩效评价，持续开展低碳试点示范和减污降碳创新试点示范，充分发挥北京碳市场“降碳”作用，有效助力绿色低碳高质量发展。</w:t>
      </w:r>
    </w:p>
    <w:p>
      <w:pPr>
        <w:adjustRightInd w:val="0"/>
        <w:snapToGrid w:val="0"/>
        <w:spacing w:line="360" w:lineRule="auto"/>
        <w:ind w:firstLine="643" w:firstLineChars="200"/>
        <w:rPr>
          <w:rFonts w:ascii="仿宋_GB2312" w:hAnsi="仿宋" w:eastAsia="仿宋_GB2312"/>
          <w:bCs/>
          <w:sz w:val="32"/>
          <w:szCs w:val="32"/>
        </w:rPr>
      </w:pPr>
      <w:r>
        <w:rPr>
          <w:rFonts w:hint="eastAsia" w:ascii="仿宋_GB2312" w:hAnsi="仿宋" w:eastAsia="仿宋_GB2312"/>
          <w:b/>
          <w:sz w:val="32"/>
          <w:szCs w:val="32"/>
        </w:rPr>
        <w:t>（四）着力提升生态系统多样性、稳定性、持续性。</w:t>
      </w:r>
      <w:r>
        <w:rPr>
          <w:rFonts w:hint="eastAsia" w:ascii="仿宋_GB2312" w:hAnsi="仿宋" w:eastAsia="仿宋_GB2312"/>
          <w:bCs/>
          <w:sz w:val="32"/>
          <w:szCs w:val="32"/>
        </w:rPr>
        <w:t>实施生物多样性保护规划，持续开展本底调查，用好部门联席会议制度，全面提升生物多样性保护水平。加强生态保护红线、自然保护地等重要生态空间监管。持续开展EI评价，指导各区建立EI统筹协调机制。深入开展建成区绿视率评价。组织核算2023年度生态系统调节服务价值（GEP-R），研究建立巩固提升GEP-R的工作机制。深化国家生态文明示范创建，提高“两山”转化水平。</w:t>
      </w:r>
    </w:p>
    <w:p>
      <w:pPr>
        <w:adjustRightInd w:val="0"/>
        <w:snapToGrid w:val="0"/>
        <w:spacing w:line="360" w:lineRule="auto"/>
        <w:ind w:firstLine="643" w:firstLineChars="200"/>
        <w:rPr>
          <w:rFonts w:ascii="仿宋_GB2312" w:hAnsi="仿宋" w:eastAsia="仿宋_GB2312"/>
          <w:bCs/>
          <w:sz w:val="32"/>
          <w:szCs w:val="32"/>
        </w:rPr>
      </w:pPr>
      <w:r>
        <w:rPr>
          <w:rFonts w:hint="eastAsia" w:ascii="仿宋_GB2312" w:hAnsi="仿宋" w:eastAsia="仿宋_GB2312"/>
          <w:b/>
          <w:sz w:val="32"/>
          <w:szCs w:val="32"/>
        </w:rPr>
        <w:t>（五）纵深推进京津冀区域协同。</w:t>
      </w:r>
      <w:r>
        <w:rPr>
          <w:rFonts w:hint="eastAsia" w:ascii="仿宋_GB2312" w:hAnsi="仿宋" w:eastAsia="仿宋_GB2312"/>
          <w:bCs/>
          <w:sz w:val="32"/>
          <w:szCs w:val="32"/>
        </w:rPr>
        <w:t>推动制定实施京津冀生态环境联建联防联治2024年工作要点，持续开展秋冬季大气污染综合治理攻坚行动，实施密云水库、官厅水库上游水源保护横向生态补偿协议，深化在联合执法、危废处置、辐射监管、信访等领域合作。</w:t>
      </w:r>
    </w:p>
    <w:p>
      <w:pPr>
        <w:adjustRightInd w:val="0"/>
        <w:snapToGrid w:val="0"/>
        <w:spacing w:line="360" w:lineRule="auto"/>
        <w:ind w:firstLine="643" w:firstLineChars="200"/>
        <w:rPr>
          <w:rFonts w:ascii="仿宋_GB2312" w:hAnsi="仿宋" w:eastAsia="仿宋_GB2312"/>
          <w:bCs/>
          <w:sz w:val="32"/>
          <w:szCs w:val="32"/>
        </w:rPr>
      </w:pPr>
      <w:r>
        <w:rPr>
          <w:rFonts w:hint="eastAsia" w:ascii="仿宋_GB2312" w:hAnsi="仿宋" w:eastAsia="仿宋_GB2312"/>
          <w:b/>
          <w:sz w:val="32"/>
          <w:szCs w:val="32"/>
        </w:rPr>
        <w:t>（六）切实维护生态环境安全。</w:t>
      </w:r>
      <w:r>
        <w:rPr>
          <w:rFonts w:hint="eastAsia" w:ascii="仿宋_GB2312" w:hAnsi="仿宋" w:eastAsia="仿宋_GB2312"/>
          <w:bCs/>
          <w:sz w:val="32"/>
          <w:szCs w:val="32"/>
        </w:rPr>
        <w:t>强化底线思维，统筹发展与安全。深化首都核安全工作协调机制，完善放射源全过程监管。开展重点领域环境风险排查整治，对危废违法行为保持高压执法态势。加强环境应急能力建设，及时妥善处置突发环境状况。实施本市适应气候变化行动方案，提升城市适应气候变化韧性。</w:t>
      </w:r>
    </w:p>
    <w:p>
      <w:pPr>
        <w:adjustRightInd w:val="0"/>
        <w:snapToGrid w:val="0"/>
        <w:spacing w:line="360" w:lineRule="auto"/>
        <w:ind w:firstLine="643" w:firstLineChars="200"/>
        <w:rPr>
          <w:rFonts w:ascii="仿宋_GB2312" w:hAnsi="仿宋" w:eastAsia="仿宋_GB2312"/>
          <w:bCs/>
          <w:sz w:val="32"/>
          <w:szCs w:val="32"/>
        </w:rPr>
      </w:pPr>
      <w:r>
        <w:rPr>
          <w:rFonts w:hint="eastAsia" w:ascii="仿宋_GB2312" w:hAnsi="仿宋" w:eastAsia="仿宋_GB2312"/>
          <w:b/>
          <w:sz w:val="32"/>
          <w:szCs w:val="32"/>
        </w:rPr>
        <w:t>（七）健全完善美丽北京建设保障体系。</w:t>
      </w:r>
      <w:r>
        <w:rPr>
          <w:rFonts w:hint="eastAsia" w:ascii="仿宋_GB2312" w:hAnsi="仿宋" w:eastAsia="仿宋_GB2312"/>
          <w:bCs/>
          <w:sz w:val="32"/>
          <w:szCs w:val="32"/>
        </w:rPr>
        <w:t>推动噪声污染防治、应对气候变化等地方立法，制修订更加严格的地方标准。全面实行排污许可制，监督企业持证排污、按证排污。深化接诉即办，推动解决群众家门口、窗户边的噪声、油烟、恶臭等突出环境问题。开展新一轮PM2.5来源解析，健全天空地一体化监测网络。加强应对气候变化、污染防治、生态保护修复等关键技术研究。完善“三监联动”、市区联动、快速响应等机制，提升监管执法效能。巩固主题教育成果，深化党风廉政建设，发扬自我革命精神，锻造一支生态环境保护铁军。</w:t>
      </w:r>
    </w:p>
    <w:p>
      <w:pPr>
        <w:adjustRightInd w:val="0"/>
        <w:snapToGrid w:val="0"/>
        <w:spacing w:line="360" w:lineRule="auto"/>
        <w:ind w:firstLine="643" w:firstLineChars="200"/>
        <w:rPr>
          <w:rFonts w:ascii="仿宋_GB2312" w:hAnsi="仿宋" w:eastAsia="仿宋_GB2312"/>
          <w:bCs/>
          <w:sz w:val="32"/>
          <w:szCs w:val="32"/>
        </w:rPr>
      </w:pPr>
      <w:r>
        <w:rPr>
          <w:rFonts w:hint="eastAsia" w:ascii="仿宋_GB2312" w:hAnsi="宋体" w:eastAsia="仿宋_GB2312" w:cs="宋体"/>
          <w:b/>
          <w:bCs/>
          <w:color w:val="000000"/>
          <w:kern w:val="0"/>
          <w:sz w:val="32"/>
          <w:szCs w:val="32"/>
        </w:rPr>
        <w:t>（八）继续做好部门绩效全过程管控。</w:t>
      </w:r>
      <w:r>
        <w:rPr>
          <w:rFonts w:hint="eastAsia" w:ascii="仿宋_GB2312" w:hAnsi="宋体" w:eastAsia="仿宋_GB2312" w:cs="宋体"/>
          <w:color w:val="000000"/>
          <w:kern w:val="0"/>
          <w:sz w:val="32"/>
          <w:szCs w:val="32"/>
        </w:rPr>
        <w:t>事前，</w:t>
      </w:r>
      <w:r>
        <w:rPr>
          <w:rFonts w:hint="eastAsia" w:ascii="仿宋_GB2312" w:hAnsi="宋体" w:eastAsia="仿宋_GB2312" w:cs="宋体"/>
          <w:color w:val="000000"/>
          <w:sz w:val="32"/>
          <w:szCs w:val="32"/>
          <w:lang w:bidi="ar"/>
        </w:rPr>
        <w:t>加强项目前期调研和论证，</w:t>
      </w:r>
      <w:r>
        <w:rPr>
          <w:rFonts w:hint="eastAsia" w:ascii="仿宋_GB2312" w:hAnsi="仿宋" w:eastAsia="仿宋_GB2312"/>
          <w:bCs/>
          <w:sz w:val="32"/>
          <w:szCs w:val="32"/>
        </w:rPr>
        <w:t>加大绩效目标及指标编报的指导和审核力度，进一步规范绩效目标和指标的设定工作，抓好源头约束。事中，加强对项目执行过程的关注和监控，</w:t>
      </w:r>
      <w:r>
        <w:rPr>
          <w:rFonts w:hint="eastAsia" w:ascii="仿宋_GB2312" w:hAnsi="宋体" w:eastAsia="仿宋_GB2312" w:cs="宋体"/>
          <w:color w:val="000000"/>
          <w:sz w:val="32"/>
          <w:szCs w:val="32"/>
          <w:lang w:bidi="ar"/>
        </w:rPr>
        <w:t>重点关注资金执行率偏低、绩效目标及指标完成偏差较大的项目，积极解决项目执行中存在的困难，采取有效措施予以纠偏补正。</w:t>
      </w:r>
      <w:r>
        <w:rPr>
          <w:rFonts w:hint="eastAsia" w:ascii="仿宋_GB2312" w:hAnsi="仿宋" w:eastAsia="仿宋_GB2312"/>
          <w:bCs/>
          <w:sz w:val="32"/>
          <w:szCs w:val="32"/>
        </w:rPr>
        <w:t>事后，</w:t>
      </w:r>
      <w:r>
        <w:rPr>
          <w:rFonts w:hint="eastAsia" w:ascii="仿宋_GB2312" w:hAnsi="宋体" w:eastAsia="仿宋_GB2312" w:cs="宋体"/>
          <w:color w:val="000000"/>
          <w:sz w:val="32"/>
          <w:szCs w:val="32"/>
          <w:lang w:bidi="ar"/>
        </w:rPr>
        <w:t>及时做好总结和自评，注重效益和满意度佐证材料的收集与整理。同时，</w:t>
      </w:r>
      <w:r>
        <w:rPr>
          <w:rFonts w:hint="eastAsia" w:ascii="仿宋_GB2312" w:hAnsi="仿宋" w:eastAsia="仿宋_GB2312"/>
          <w:bCs/>
          <w:sz w:val="32"/>
          <w:szCs w:val="32"/>
        </w:rPr>
        <w:t>不断完善绩效自评结果运用机制，强化评价结果运用，针对评价过程中发现的问题，积极督促相关单位落实改进措施，并对整改落实情况进行监督检查，确保整改落实到位。</w:t>
      </w:r>
    </w:p>
    <w:p>
      <w:pPr>
        <w:adjustRightInd w:val="0"/>
        <w:snapToGrid w:val="0"/>
        <w:spacing w:line="360" w:lineRule="auto"/>
        <w:ind w:firstLine="640" w:firstLineChars="20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七、附件</w:t>
      </w:r>
      <w:bookmarkEnd w:id="0"/>
    </w:p>
    <w:p>
      <w:pPr>
        <w:adjustRightInd w:val="0"/>
        <w:snapToGrid w:val="0"/>
        <w:spacing w:line="360" w:lineRule="auto"/>
        <w:ind w:firstLine="640" w:firstLineChars="200"/>
        <w:rPr>
          <w:rFonts w:ascii="仿宋_GB2312" w:hAnsi="仿宋_GB2312" w:eastAsia="仿宋_GB2312" w:cs="仿宋_GB2312"/>
          <w:sz w:val="32"/>
          <w:szCs w:val="32"/>
        </w:rPr>
        <w:sectPr>
          <w:footerReference r:id="rId3" w:type="default"/>
          <w:pgSz w:w="11906" w:h="16838"/>
          <w:pgMar w:top="1440" w:right="1800" w:bottom="1440" w:left="1800" w:header="851" w:footer="964" w:gutter="0"/>
          <w:pgNumType w:start="1"/>
          <w:cols w:space="425" w:num="1"/>
          <w:docGrid w:type="lines" w:linePitch="435" w:charSpace="0"/>
        </w:sectPr>
      </w:pPr>
      <w:r>
        <w:rPr>
          <w:rFonts w:hint="eastAsia" w:ascii="仿宋_GB2312" w:hAnsi="仿宋_GB2312" w:eastAsia="仿宋_GB2312" w:cs="仿宋_GB2312"/>
          <w:sz w:val="32"/>
          <w:szCs w:val="32"/>
        </w:rPr>
        <w:t>2023年部门整体绩效评价指标体系评分表</w:t>
      </w:r>
    </w:p>
    <w:p>
      <w:pPr>
        <w:spacing w:line="560" w:lineRule="exact"/>
        <w:jc w:val="left"/>
        <w:rPr>
          <w:rFonts w:ascii="方正黑体_GBK" w:hAnsi="方正黑体_GBK" w:eastAsia="方正黑体_GBK" w:cs="方正黑体_GBK"/>
          <w:sz w:val="32"/>
        </w:rPr>
      </w:pPr>
      <w:r>
        <w:rPr>
          <w:rFonts w:hint="eastAsia" w:ascii="方正黑体_GBK" w:hAnsi="方正黑体_GBK" w:eastAsia="方正黑体_GBK" w:cs="方正黑体_GBK"/>
          <w:sz w:val="32"/>
        </w:rPr>
        <w:t>附件</w:t>
      </w:r>
    </w:p>
    <w:tbl>
      <w:tblPr>
        <w:tblStyle w:val="19"/>
        <w:tblW w:w="14299" w:type="dxa"/>
        <w:tblInd w:w="0" w:type="dxa"/>
        <w:tblLayout w:type="fixed"/>
        <w:tblCellMar>
          <w:top w:w="0" w:type="dxa"/>
          <w:left w:w="108" w:type="dxa"/>
          <w:bottom w:w="0" w:type="dxa"/>
          <w:right w:w="108" w:type="dxa"/>
        </w:tblCellMar>
      </w:tblPr>
      <w:tblGrid>
        <w:gridCol w:w="1089"/>
        <w:gridCol w:w="1089"/>
        <w:gridCol w:w="1213"/>
        <w:gridCol w:w="1213"/>
        <w:gridCol w:w="904"/>
        <w:gridCol w:w="809"/>
        <w:gridCol w:w="824"/>
        <w:gridCol w:w="4152"/>
        <w:gridCol w:w="3006"/>
      </w:tblGrid>
      <w:tr>
        <w:tblPrEx>
          <w:tblLayout w:type="fixed"/>
          <w:tblCellMar>
            <w:top w:w="0" w:type="dxa"/>
            <w:left w:w="108" w:type="dxa"/>
            <w:bottom w:w="0" w:type="dxa"/>
            <w:right w:w="108" w:type="dxa"/>
          </w:tblCellMar>
        </w:tblPrEx>
        <w:trPr>
          <w:cantSplit/>
          <w:trHeight w:val="90" w:hRule="atLeast"/>
        </w:trPr>
        <w:tc>
          <w:tcPr>
            <w:tcW w:w="14299" w:type="dxa"/>
            <w:gridSpan w:val="9"/>
            <w:tcBorders>
              <w:top w:val="nil"/>
              <w:left w:val="nil"/>
              <w:bottom w:val="single" w:color="auto" w:sz="4" w:space="0"/>
              <w:right w:val="nil"/>
            </w:tcBorders>
            <w:vAlign w:val="bottom"/>
          </w:tcPr>
          <w:p>
            <w:pPr>
              <w:widowControl/>
              <w:jc w:val="center"/>
              <w:rPr>
                <w:rFonts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rPr>
              <w:t>2023年部门整体绩效评价指标体系评分表</w:t>
            </w:r>
          </w:p>
        </w:tc>
      </w:tr>
      <w:tr>
        <w:tblPrEx>
          <w:tblLayout w:type="fixed"/>
          <w:tblCellMar>
            <w:top w:w="0" w:type="dxa"/>
            <w:left w:w="108" w:type="dxa"/>
            <w:bottom w:w="0" w:type="dxa"/>
            <w:right w:w="108" w:type="dxa"/>
          </w:tblCellMar>
        </w:tblPrEx>
        <w:trPr>
          <w:cantSplit/>
          <w:trHeight w:val="647" w:hRule="atLeast"/>
        </w:trPr>
        <w:tc>
          <w:tcPr>
            <w:tcW w:w="14299" w:type="dxa"/>
            <w:gridSpan w:val="9"/>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20"/>
                <w:szCs w:val="20"/>
              </w:rPr>
              <w:t>一、当年预算执行情况（20分）</w:t>
            </w:r>
          </w:p>
        </w:tc>
      </w:tr>
      <w:tr>
        <w:tblPrEx>
          <w:tblLayout w:type="fixed"/>
          <w:tblCellMar>
            <w:top w:w="0" w:type="dxa"/>
            <w:left w:w="108" w:type="dxa"/>
            <w:bottom w:w="0" w:type="dxa"/>
            <w:right w:w="108" w:type="dxa"/>
          </w:tblCellMar>
        </w:tblPrEx>
        <w:trPr>
          <w:cantSplit/>
          <w:trHeight w:val="800" w:hRule="atLeast"/>
        </w:trPr>
        <w:tc>
          <w:tcPr>
            <w:tcW w:w="10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w:t>
            </w:r>
            <w:r>
              <w:rPr>
                <w:rFonts w:ascii="宋体" w:hAnsi="宋体" w:cs="宋体"/>
                <w:color w:val="000000"/>
                <w:kern w:val="0"/>
                <w:sz w:val="18"/>
                <w:szCs w:val="18"/>
              </w:rPr>
              <w:t>级指标</w:t>
            </w:r>
            <w:r>
              <w:rPr>
                <w:rFonts w:hint="eastAsia" w:ascii="宋体" w:hAnsi="宋体" w:cs="宋体"/>
                <w:color w:val="000000"/>
                <w:kern w:val="0"/>
                <w:sz w:val="18"/>
                <w:szCs w:val="18"/>
              </w:rPr>
              <w:t>　</w:t>
            </w:r>
          </w:p>
        </w:tc>
        <w:tc>
          <w:tcPr>
            <w:tcW w:w="10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级指标</w:t>
            </w:r>
            <w:r>
              <w:rPr>
                <w:rFonts w:hint="eastAsia" w:ascii="宋体" w:hAnsi="宋体" w:cs="宋体"/>
                <w:color w:val="000000"/>
                <w:kern w:val="0"/>
                <w:sz w:val="18"/>
                <w:szCs w:val="18"/>
              </w:rPr>
              <w:t>　</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预算数</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执行数</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8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分值</w:t>
            </w:r>
          </w:p>
        </w:tc>
        <w:tc>
          <w:tcPr>
            <w:tcW w:w="8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41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指标解释</w:t>
            </w:r>
          </w:p>
        </w:tc>
        <w:tc>
          <w:tcPr>
            <w:tcW w:w="300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评分标准</w:t>
            </w:r>
          </w:p>
        </w:tc>
      </w:tr>
      <w:tr>
        <w:tblPrEx>
          <w:tblLayout w:type="fixed"/>
          <w:tblCellMar>
            <w:top w:w="0" w:type="dxa"/>
            <w:left w:w="108" w:type="dxa"/>
            <w:bottom w:w="0" w:type="dxa"/>
            <w:right w:w="108" w:type="dxa"/>
          </w:tblCellMar>
        </w:tblPrEx>
        <w:trPr>
          <w:cantSplit/>
          <w:trHeight w:val="1078" w:hRule="atLeast"/>
        </w:trPr>
        <w:tc>
          <w:tcPr>
            <w:tcW w:w="1089"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当年预算执行情况（20）</w:t>
            </w:r>
          </w:p>
        </w:tc>
        <w:tc>
          <w:tcPr>
            <w:tcW w:w="10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资金总体</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94,137.73　</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85,041.70</w:t>
            </w:r>
          </w:p>
        </w:tc>
        <w:tc>
          <w:tcPr>
            <w:tcW w:w="9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90.34%　</w:t>
            </w:r>
          </w:p>
        </w:tc>
        <w:tc>
          <w:tcPr>
            <w:tcW w:w="80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8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18.07　</w:t>
            </w:r>
          </w:p>
        </w:tc>
        <w:tc>
          <w:tcPr>
            <w:tcW w:w="4152"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3006"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Layout w:type="fixed"/>
          <w:tblCellMar>
            <w:top w:w="0" w:type="dxa"/>
            <w:left w:w="108" w:type="dxa"/>
            <w:bottom w:w="0" w:type="dxa"/>
            <w:right w:w="108" w:type="dxa"/>
          </w:tblCellMar>
        </w:tblPrEx>
        <w:trPr>
          <w:cantSplit/>
          <w:trHeight w:val="1402" w:hRule="atLeast"/>
        </w:trPr>
        <w:tc>
          <w:tcPr>
            <w:tcW w:w="108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89"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基本支出</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right"/>
              <w:rPr>
                <w:rFonts w:ascii="宋体" w:hAnsi="宋体" w:cs="宋体"/>
                <w:color w:val="000000"/>
                <w:kern w:val="0"/>
                <w:sz w:val="18"/>
                <w:szCs w:val="18"/>
              </w:rPr>
            </w:pPr>
            <w:r>
              <w:rPr>
                <w:rFonts w:hint="eastAsia" w:ascii="宋体" w:hAnsi="宋体" w:cs="宋体"/>
                <w:color w:val="000000"/>
                <w:kern w:val="0"/>
                <w:sz w:val="18"/>
                <w:szCs w:val="18"/>
              </w:rPr>
              <w:t>43,850.52</w:t>
            </w:r>
          </w:p>
        </w:tc>
        <w:tc>
          <w:tcPr>
            <w:tcW w:w="1213" w:type="dxa"/>
            <w:tcBorders>
              <w:top w:val="single" w:color="auto" w:sz="4" w:space="0"/>
              <w:left w:val="nil"/>
              <w:bottom w:val="single" w:color="auto" w:sz="4" w:space="0"/>
              <w:right w:val="single" w:color="auto" w:sz="4" w:space="0"/>
            </w:tcBorders>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43,461.42</w:t>
            </w:r>
          </w:p>
        </w:tc>
        <w:tc>
          <w:tcPr>
            <w:tcW w:w="90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824"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18"/>
                <w:szCs w:val="18"/>
              </w:rPr>
            </w:pPr>
          </w:p>
        </w:tc>
        <w:tc>
          <w:tcPr>
            <w:tcW w:w="41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1410" w:hRule="atLeast"/>
        </w:trPr>
        <w:tc>
          <w:tcPr>
            <w:tcW w:w="108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89"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项目支出</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right"/>
              <w:rPr>
                <w:rFonts w:ascii="宋体" w:hAnsi="宋体" w:cs="宋体"/>
                <w:color w:val="000000"/>
                <w:kern w:val="0"/>
                <w:sz w:val="18"/>
                <w:szCs w:val="18"/>
              </w:rPr>
            </w:pPr>
            <w:r>
              <w:rPr>
                <w:rFonts w:hint="eastAsia" w:ascii="宋体" w:hAnsi="宋体" w:cs="宋体"/>
                <w:color w:val="000000"/>
                <w:kern w:val="0"/>
                <w:sz w:val="18"/>
                <w:szCs w:val="18"/>
              </w:rPr>
              <w:t>50,287.21</w:t>
            </w:r>
          </w:p>
        </w:tc>
        <w:tc>
          <w:tcPr>
            <w:tcW w:w="1213" w:type="dxa"/>
            <w:tcBorders>
              <w:top w:val="single" w:color="auto" w:sz="4" w:space="0"/>
              <w:left w:val="nil"/>
              <w:bottom w:val="single" w:color="auto" w:sz="4" w:space="0"/>
              <w:right w:val="single" w:color="auto" w:sz="4" w:space="0"/>
            </w:tcBorders>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41,580.28</w:t>
            </w:r>
          </w:p>
        </w:tc>
        <w:tc>
          <w:tcPr>
            <w:tcW w:w="9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824"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18"/>
                <w:szCs w:val="18"/>
              </w:rPr>
            </w:pPr>
          </w:p>
        </w:tc>
        <w:tc>
          <w:tcPr>
            <w:tcW w:w="41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1200" w:hRule="atLeast"/>
        </w:trPr>
        <w:tc>
          <w:tcPr>
            <w:tcW w:w="108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w:t>
            </w:r>
          </w:p>
        </w:tc>
        <w:tc>
          <w:tcPr>
            <w:tcW w:w="1213" w:type="dxa"/>
            <w:tcBorders>
              <w:top w:val="single" w:color="auto" w:sz="4" w:space="0"/>
              <w:left w:val="nil"/>
              <w:bottom w:val="single" w:color="auto" w:sz="4" w:space="0"/>
              <w:right w:val="single" w:color="auto" w:sz="4" w:space="0"/>
            </w:tcBorders>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　0.00</w:t>
            </w:r>
          </w:p>
        </w:tc>
        <w:tc>
          <w:tcPr>
            <w:tcW w:w="1213" w:type="dxa"/>
            <w:tcBorders>
              <w:top w:val="single" w:color="auto" w:sz="4" w:space="0"/>
              <w:left w:val="nil"/>
              <w:bottom w:val="single" w:color="auto" w:sz="4" w:space="0"/>
              <w:right w:val="single" w:color="auto" w:sz="4" w:space="0"/>
            </w:tcBorders>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　0.00</w:t>
            </w:r>
          </w:p>
        </w:tc>
        <w:tc>
          <w:tcPr>
            <w:tcW w:w="9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824"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18"/>
                <w:szCs w:val="18"/>
              </w:rPr>
            </w:pPr>
          </w:p>
        </w:tc>
        <w:tc>
          <w:tcPr>
            <w:tcW w:w="41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479" w:hRule="atLeast"/>
        </w:trPr>
        <w:tc>
          <w:tcPr>
            <w:tcW w:w="14299"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20"/>
                <w:szCs w:val="20"/>
              </w:rPr>
              <w:t>二</w:t>
            </w:r>
            <w:r>
              <w:rPr>
                <w:rFonts w:ascii="宋体" w:hAnsi="宋体" w:cs="宋体"/>
                <w:color w:val="000000"/>
                <w:kern w:val="0"/>
                <w:sz w:val="20"/>
                <w:szCs w:val="20"/>
              </w:rPr>
              <w:t>、</w:t>
            </w:r>
            <w:r>
              <w:rPr>
                <w:rFonts w:hint="eastAsia" w:ascii="宋体" w:hAnsi="宋体" w:cs="宋体"/>
                <w:color w:val="000000"/>
                <w:kern w:val="0"/>
                <w:sz w:val="20"/>
                <w:szCs w:val="20"/>
              </w:rPr>
              <w:t>整体绩效目标实现情况（60分）</w:t>
            </w:r>
          </w:p>
        </w:tc>
      </w:tr>
      <w:tr>
        <w:tblPrEx>
          <w:tblLayout w:type="fixed"/>
          <w:tblCellMar>
            <w:top w:w="0" w:type="dxa"/>
            <w:left w:w="108" w:type="dxa"/>
            <w:bottom w:w="0" w:type="dxa"/>
            <w:right w:w="108" w:type="dxa"/>
          </w:tblCellMar>
        </w:tblPrEx>
        <w:trPr>
          <w:cantSplit/>
          <w:trHeight w:val="499" w:hRule="atLeast"/>
        </w:trPr>
        <w:tc>
          <w:tcPr>
            <w:tcW w:w="10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w:t>
            </w:r>
            <w:r>
              <w:rPr>
                <w:rFonts w:ascii="宋体" w:hAnsi="宋体" w:cs="宋体"/>
                <w:color w:val="000000"/>
                <w:kern w:val="0"/>
                <w:sz w:val="18"/>
                <w:szCs w:val="18"/>
              </w:rPr>
              <w:t>级指标</w:t>
            </w:r>
          </w:p>
        </w:tc>
        <w:tc>
          <w:tcPr>
            <w:tcW w:w="108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级指标</w:t>
            </w:r>
            <w:r>
              <w:rPr>
                <w:rFonts w:hint="eastAsia" w:ascii="宋体" w:hAnsi="宋体" w:cs="宋体"/>
                <w:color w:val="000000"/>
                <w:kern w:val="0"/>
                <w:sz w:val="18"/>
                <w:szCs w:val="18"/>
              </w:rPr>
              <w:t>　</w:t>
            </w:r>
          </w:p>
        </w:tc>
        <w:tc>
          <w:tcPr>
            <w:tcW w:w="121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级指标</w:t>
            </w:r>
            <w:r>
              <w:rPr>
                <w:rFonts w:hint="eastAsia" w:ascii="宋体" w:hAnsi="宋体" w:cs="宋体"/>
                <w:color w:val="000000"/>
                <w:kern w:val="0"/>
                <w:sz w:val="18"/>
                <w:szCs w:val="18"/>
              </w:rPr>
              <w:t>　</w:t>
            </w:r>
          </w:p>
        </w:tc>
        <w:tc>
          <w:tcPr>
            <w:tcW w:w="121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90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80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分值</w:t>
            </w:r>
          </w:p>
        </w:tc>
        <w:tc>
          <w:tcPr>
            <w:tcW w:w="824"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41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30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Layout w:type="fixed"/>
          <w:tblCellMar>
            <w:top w:w="0" w:type="dxa"/>
            <w:left w:w="108" w:type="dxa"/>
            <w:bottom w:w="0" w:type="dxa"/>
            <w:right w:w="108" w:type="dxa"/>
          </w:tblCellMar>
        </w:tblPrEx>
        <w:trPr>
          <w:cantSplit/>
          <w:trHeight w:val="2177" w:hRule="atLeast"/>
        </w:trPr>
        <w:tc>
          <w:tcPr>
            <w:tcW w:w="108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整体绩效目标实现情况</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08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p>
          <w:p>
            <w:pPr>
              <w:jc w:val="center"/>
              <w:rPr>
                <w:rFonts w:ascii="宋体" w:hAnsi="宋体" w:cs="宋体"/>
                <w:color w:val="000000"/>
                <w:kern w:val="0"/>
                <w:sz w:val="18"/>
                <w:szCs w:val="18"/>
              </w:rPr>
            </w:pPr>
            <w:r>
              <w:rPr>
                <w:rFonts w:hint="eastAsia" w:ascii="宋体" w:hAnsi="宋体" w:cs="宋体"/>
                <w:color w:val="000000"/>
                <w:kern w:val="0"/>
                <w:sz w:val="18"/>
                <w:szCs w:val="18"/>
              </w:rPr>
              <w:t>产出（30）</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p>
          <w:p>
            <w:pPr>
              <w:jc w:val="center"/>
              <w:rPr>
                <w:rFonts w:ascii="宋体" w:hAnsi="宋体" w:cs="宋体"/>
                <w:color w:val="000000"/>
                <w:kern w:val="0"/>
                <w:sz w:val="18"/>
                <w:szCs w:val="18"/>
              </w:rPr>
            </w:pPr>
            <w:r>
              <w:rPr>
                <w:rFonts w:hint="eastAsia" w:ascii="宋体" w:hAnsi="宋体" w:cs="宋体"/>
                <w:color w:val="000000"/>
                <w:kern w:val="0"/>
                <w:sz w:val="18"/>
                <w:szCs w:val="18"/>
              </w:rPr>
              <w:t>低碳、生态保护、机动车污染、VOCs治理等重点工作完成情况</w:t>
            </w:r>
          </w:p>
        </w:tc>
        <w:tc>
          <w:tcPr>
            <w:tcW w:w="121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p>
            <w:pPr>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0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p>
            <w:pPr>
              <w:jc w:val="center"/>
              <w:rPr>
                <w:rFonts w:ascii="宋体" w:hAnsi="宋体" w:cs="宋体"/>
                <w:color w:val="000000"/>
                <w:kern w:val="0"/>
                <w:sz w:val="18"/>
                <w:szCs w:val="18"/>
              </w:rPr>
            </w:pPr>
            <w:r>
              <w:rPr>
                <w:rFonts w:hint="eastAsia" w:ascii="宋体" w:hAnsi="宋体" w:cs="宋体"/>
                <w:color w:val="000000"/>
                <w:kern w:val="0"/>
                <w:sz w:val="18"/>
                <w:szCs w:val="18"/>
              </w:rPr>
              <w:t>100%　</w:t>
            </w:r>
          </w:p>
        </w:tc>
        <w:tc>
          <w:tcPr>
            <w:tcW w:w="8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p>
          <w:p>
            <w:pPr>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8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p>
            <w:pPr>
              <w:jc w:val="center"/>
              <w:rPr>
                <w:rFonts w:ascii="宋体" w:hAnsi="宋体" w:cs="宋体"/>
                <w:color w:val="000000"/>
                <w:kern w:val="0"/>
                <w:sz w:val="18"/>
                <w:szCs w:val="18"/>
              </w:rPr>
            </w:pPr>
            <w:r>
              <w:rPr>
                <w:rFonts w:hint="eastAsia" w:ascii="宋体" w:hAnsi="宋体" w:cs="宋体"/>
                <w:color w:val="000000"/>
                <w:kern w:val="0"/>
                <w:sz w:val="18"/>
                <w:szCs w:val="18"/>
              </w:rPr>
              <w:t>20　</w:t>
            </w:r>
          </w:p>
        </w:tc>
        <w:tc>
          <w:tcPr>
            <w:tcW w:w="4152"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3006"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Layout w:type="fixed"/>
          <w:tblCellMar>
            <w:top w:w="0" w:type="dxa"/>
            <w:left w:w="108" w:type="dxa"/>
            <w:bottom w:w="0" w:type="dxa"/>
            <w:right w:w="108" w:type="dxa"/>
          </w:tblCellMar>
        </w:tblPrEx>
        <w:trPr>
          <w:cantSplit/>
          <w:trHeight w:val="1130" w:hRule="atLeast"/>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8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环境质量改善需要和环境安全保障等工作完成情况</w:t>
            </w:r>
          </w:p>
        </w:tc>
        <w:tc>
          <w:tcPr>
            <w:tcW w:w="121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0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　</w:t>
            </w:r>
          </w:p>
        </w:tc>
        <w:tc>
          <w:tcPr>
            <w:tcW w:w="8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8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　</w:t>
            </w:r>
          </w:p>
        </w:tc>
        <w:tc>
          <w:tcPr>
            <w:tcW w:w="41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0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704" w:hRule="atLeast"/>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8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效果（30）</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sz w:val="18"/>
                <w:szCs w:val="18"/>
              </w:rPr>
              <w:t>大气环境质量持续改善</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优良中低差</w:t>
            </w:r>
          </w:p>
        </w:tc>
        <w:tc>
          <w:tcPr>
            <w:tcW w:w="9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8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8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　</w:t>
            </w:r>
          </w:p>
        </w:tc>
        <w:tc>
          <w:tcPr>
            <w:tcW w:w="4152"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3006"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Layout w:type="fixed"/>
          <w:tblCellMar>
            <w:top w:w="0" w:type="dxa"/>
            <w:left w:w="108" w:type="dxa"/>
            <w:bottom w:w="0" w:type="dxa"/>
            <w:right w:w="108" w:type="dxa"/>
          </w:tblCellMar>
        </w:tblPrEx>
        <w:trPr>
          <w:cantSplit/>
          <w:trHeight w:val="714" w:hRule="atLeast"/>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8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sz w:val="18"/>
                <w:szCs w:val="18"/>
              </w:rPr>
              <w:t>水环境质量稳中向好</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优良中低差</w:t>
            </w:r>
          </w:p>
        </w:tc>
        <w:tc>
          <w:tcPr>
            <w:tcW w:w="9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8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8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41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0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1083" w:hRule="atLeast"/>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8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sz w:val="18"/>
                <w:szCs w:val="18"/>
              </w:rPr>
              <w:t>土壤环境质量保持良好</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优良中低差　</w:t>
            </w:r>
          </w:p>
        </w:tc>
        <w:tc>
          <w:tcPr>
            <w:tcW w:w="9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8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8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　</w:t>
            </w:r>
          </w:p>
        </w:tc>
        <w:tc>
          <w:tcPr>
            <w:tcW w:w="41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0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bl>
    <w:p>
      <w:pPr>
        <w:spacing w:line="20" w:lineRule="exact"/>
        <w:rPr>
          <w:rFonts w:ascii="方正小标宋简体" w:eastAsia="方正小标宋简体"/>
          <w:sz w:val="36"/>
          <w:szCs w:val="36"/>
        </w:rPr>
      </w:pPr>
    </w:p>
    <w:p>
      <w:pPr>
        <w:spacing w:line="20" w:lineRule="exact"/>
        <w:rPr>
          <w:rFonts w:ascii="方正小标宋简体" w:eastAsia="方正小标宋简体"/>
          <w:sz w:val="36"/>
          <w:szCs w:val="36"/>
        </w:rPr>
      </w:pPr>
    </w:p>
    <w:p>
      <w:pPr>
        <w:spacing w:line="20" w:lineRule="exact"/>
        <w:rPr>
          <w:rFonts w:ascii="方正小标宋简体" w:eastAsia="方正小标宋简体"/>
          <w:sz w:val="36"/>
          <w:szCs w:val="36"/>
        </w:rPr>
      </w:pPr>
    </w:p>
    <w:p>
      <w:pPr>
        <w:spacing w:line="20" w:lineRule="exact"/>
        <w:rPr>
          <w:rFonts w:ascii="方正小标宋简体" w:eastAsia="方正小标宋简体"/>
          <w:sz w:val="36"/>
          <w:szCs w:val="36"/>
        </w:rPr>
      </w:pPr>
    </w:p>
    <w:p>
      <w:pPr>
        <w:spacing w:line="20" w:lineRule="exact"/>
        <w:rPr>
          <w:rFonts w:ascii="方正小标宋简体" w:eastAsia="方正小标宋简体"/>
          <w:sz w:val="36"/>
          <w:szCs w:val="36"/>
        </w:rPr>
      </w:pPr>
    </w:p>
    <w:tbl>
      <w:tblPr>
        <w:tblStyle w:val="19"/>
        <w:tblW w:w="14299" w:type="dxa"/>
        <w:tblInd w:w="0" w:type="dxa"/>
        <w:tblLayout w:type="fixed"/>
        <w:tblCellMar>
          <w:top w:w="0" w:type="dxa"/>
          <w:left w:w="108" w:type="dxa"/>
          <w:bottom w:w="0" w:type="dxa"/>
          <w:right w:w="108" w:type="dxa"/>
        </w:tblCellMar>
      </w:tblPr>
      <w:tblGrid>
        <w:gridCol w:w="1080"/>
        <w:gridCol w:w="1086"/>
        <w:gridCol w:w="1213"/>
        <w:gridCol w:w="1215"/>
        <w:gridCol w:w="927"/>
        <w:gridCol w:w="804"/>
        <w:gridCol w:w="735"/>
        <w:gridCol w:w="2580"/>
        <w:gridCol w:w="4659"/>
      </w:tblGrid>
      <w:tr>
        <w:tblPrEx>
          <w:tblLayout w:type="fixed"/>
          <w:tblCellMar>
            <w:top w:w="0" w:type="dxa"/>
            <w:left w:w="108" w:type="dxa"/>
            <w:bottom w:w="0" w:type="dxa"/>
            <w:right w:w="108" w:type="dxa"/>
          </w:tblCellMar>
        </w:tblPrEx>
        <w:trPr>
          <w:cantSplit/>
          <w:trHeight w:val="487" w:hRule="atLeast"/>
        </w:trPr>
        <w:tc>
          <w:tcPr>
            <w:tcW w:w="14299"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20"/>
                <w:szCs w:val="20"/>
              </w:rPr>
              <w:t>三</w:t>
            </w:r>
            <w:r>
              <w:rPr>
                <w:rFonts w:ascii="宋体" w:hAnsi="宋体" w:cs="宋体"/>
                <w:color w:val="000000"/>
                <w:kern w:val="0"/>
                <w:sz w:val="20"/>
                <w:szCs w:val="20"/>
              </w:rPr>
              <w:t>、</w:t>
            </w:r>
            <w:r>
              <w:rPr>
                <w:rFonts w:hint="eastAsia" w:ascii="宋体" w:hAnsi="宋体" w:cs="宋体"/>
                <w:color w:val="000000"/>
                <w:kern w:val="0"/>
                <w:sz w:val="20"/>
                <w:szCs w:val="20"/>
              </w:rPr>
              <w:t>预算管理情况（20分）</w:t>
            </w:r>
          </w:p>
        </w:tc>
      </w:tr>
      <w:tr>
        <w:tblPrEx>
          <w:tblLayout w:type="fixed"/>
          <w:tblCellMar>
            <w:top w:w="0" w:type="dxa"/>
            <w:left w:w="108" w:type="dxa"/>
            <w:bottom w:w="0" w:type="dxa"/>
            <w:right w:w="108" w:type="dxa"/>
          </w:tblCellMar>
        </w:tblPrEx>
        <w:trPr>
          <w:cantSplit/>
          <w:trHeight w:val="702" w:hRule="atLeast"/>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w:t>
            </w:r>
            <w:r>
              <w:rPr>
                <w:rFonts w:ascii="宋体" w:hAnsi="宋体" w:cs="宋体"/>
                <w:color w:val="000000"/>
                <w:kern w:val="0"/>
                <w:sz w:val="18"/>
                <w:szCs w:val="18"/>
              </w:rPr>
              <w:t>级指标</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级指标</w:t>
            </w:r>
          </w:p>
        </w:tc>
        <w:tc>
          <w:tcPr>
            <w:tcW w:w="121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级指标</w:t>
            </w:r>
          </w:p>
        </w:tc>
        <w:tc>
          <w:tcPr>
            <w:tcW w:w="121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值</w:t>
            </w:r>
          </w:p>
        </w:tc>
        <w:tc>
          <w:tcPr>
            <w:tcW w:w="92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w:t>
            </w:r>
            <w:r>
              <w:rPr>
                <w:rFonts w:ascii="宋体" w:hAnsi="宋体" w:cs="宋体"/>
                <w:color w:val="000000"/>
                <w:kern w:val="0"/>
                <w:sz w:val="18"/>
                <w:szCs w:val="18"/>
              </w:rPr>
              <w:t>值</w:t>
            </w:r>
          </w:p>
        </w:tc>
        <w:tc>
          <w:tcPr>
            <w:tcW w:w="80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分</w:t>
            </w:r>
            <w:r>
              <w:rPr>
                <w:rFonts w:ascii="宋体" w:hAnsi="宋体" w:cs="宋体"/>
                <w:color w:val="000000"/>
                <w:kern w:val="0"/>
                <w:sz w:val="18"/>
                <w:szCs w:val="18"/>
              </w:rPr>
              <w:t>值</w:t>
            </w:r>
          </w:p>
        </w:tc>
        <w:tc>
          <w:tcPr>
            <w:tcW w:w="735"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w:t>
            </w:r>
            <w:r>
              <w:rPr>
                <w:rFonts w:ascii="宋体" w:hAnsi="宋体" w:cs="宋体"/>
                <w:color w:val="000000"/>
                <w:kern w:val="0"/>
                <w:sz w:val="18"/>
                <w:szCs w:val="18"/>
              </w:rPr>
              <w:t>分</w:t>
            </w:r>
          </w:p>
        </w:tc>
        <w:tc>
          <w:tcPr>
            <w:tcW w:w="25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465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Layout w:type="fixed"/>
          <w:tblCellMar>
            <w:top w:w="0" w:type="dxa"/>
            <w:left w:w="108" w:type="dxa"/>
            <w:bottom w:w="0" w:type="dxa"/>
            <w:right w:w="108" w:type="dxa"/>
          </w:tblCellMar>
        </w:tblPrEx>
        <w:trPr>
          <w:cantSplit/>
          <w:trHeight w:val="1230" w:hRule="atLeast"/>
        </w:trPr>
        <w:tc>
          <w:tcPr>
            <w:tcW w:w="1080"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预算管理情况</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08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财务管理（4）</w:t>
            </w:r>
          </w:p>
        </w:tc>
        <w:tc>
          <w:tcPr>
            <w:tcW w:w="121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财务管理制度健全性</w:t>
            </w:r>
          </w:p>
        </w:tc>
        <w:tc>
          <w:tcPr>
            <w:tcW w:w="121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优良中低差　</w:t>
            </w:r>
          </w:p>
        </w:tc>
        <w:tc>
          <w:tcPr>
            <w:tcW w:w="92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80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35"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58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4659"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blPrEx>
          <w:tblLayout w:type="fixed"/>
          <w:tblCellMar>
            <w:top w:w="0" w:type="dxa"/>
            <w:left w:w="108" w:type="dxa"/>
            <w:bottom w:w="0" w:type="dxa"/>
            <w:right w:w="108" w:type="dxa"/>
          </w:tblCellMar>
        </w:tblPrEx>
        <w:trPr>
          <w:cantSplit/>
          <w:trHeight w:val="2220" w:hRule="atLeast"/>
        </w:trPr>
        <w:tc>
          <w:tcPr>
            <w:tcW w:w="1080"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21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资金使用合规性和安全性</w:t>
            </w:r>
          </w:p>
        </w:tc>
        <w:tc>
          <w:tcPr>
            <w:tcW w:w="121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优良中低差　</w:t>
            </w:r>
          </w:p>
        </w:tc>
        <w:tc>
          <w:tcPr>
            <w:tcW w:w="92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80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35"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258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4659"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Layout w:type="fixed"/>
          <w:tblCellMar>
            <w:top w:w="0" w:type="dxa"/>
            <w:left w:w="108" w:type="dxa"/>
            <w:bottom w:w="0" w:type="dxa"/>
            <w:right w:w="108" w:type="dxa"/>
          </w:tblCellMar>
        </w:tblPrEx>
        <w:trPr>
          <w:cantSplit/>
          <w:trHeight w:val="410" w:hRule="atLeast"/>
        </w:trPr>
        <w:tc>
          <w:tcPr>
            <w:tcW w:w="1080"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8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213"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会计基础信息完善性</w:t>
            </w:r>
          </w:p>
        </w:tc>
        <w:tc>
          <w:tcPr>
            <w:tcW w:w="121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优良中低差　</w:t>
            </w:r>
          </w:p>
        </w:tc>
        <w:tc>
          <w:tcPr>
            <w:tcW w:w="92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80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35" w:type="dxa"/>
            <w:tcBorders>
              <w:top w:val="nil"/>
              <w:left w:val="nil"/>
              <w:bottom w:val="single" w:color="auto" w:sz="4" w:space="0"/>
              <w:right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58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46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Layout w:type="fixed"/>
          <w:tblCellMar>
            <w:top w:w="0" w:type="dxa"/>
            <w:left w:w="108" w:type="dxa"/>
            <w:bottom w:w="0" w:type="dxa"/>
            <w:right w:w="108" w:type="dxa"/>
          </w:tblCellMar>
        </w:tblPrEx>
        <w:trPr>
          <w:cantSplit/>
          <w:trHeight w:val="2220" w:hRule="atLeast"/>
        </w:trPr>
        <w:tc>
          <w:tcPr>
            <w:tcW w:w="1080"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资产管理（4）</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资产管理规范性</w:t>
            </w:r>
          </w:p>
        </w:tc>
        <w:tc>
          <w:tcPr>
            <w:tcW w:w="121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优良中低差</w:t>
            </w:r>
          </w:p>
        </w:tc>
        <w:tc>
          <w:tcPr>
            <w:tcW w:w="9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58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465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Layout w:type="fixed"/>
          <w:tblCellMar>
            <w:top w:w="0" w:type="dxa"/>
            <w:left w:w="108" w:type="dxa"/>
            <w:bottom w:w="0" w:type="dxa"/>
            <w:right w:w="108" w:type="dxa"/>
          </w:tblCellMar>
        </w:tblPrEx>
        <w:trPr>
          <w:cantSplit/>
          <w:trHeight w:val="773" w:hRule="atLeast"/>
        </w:trPr>
        <w:tc>
          <w:tcPr>
            <w:tcW w:w="1080" w:type="dxa"/>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w:t>
            </w:r>
            <w:r>
              <w:rPr>
                <w:rFonts w:ascii="宋体" w:hAnsi="宋体" w:cs="宋体"/>
                <w:color w:val="000000"/>
                <w:kern w:val="0"/>
                <w:sz w:val="18"/>
                <w:szCs w:val="18"/>
              </w:rPr>
              <w:t>级指标</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级指标</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级指标</w:t>
            </w:r>
          </w:p>
        </w:tc>
        <w:tc>
          <w:tcPr>
            <w:tcW w:w="12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值</w:t>
            </w:r>
          </w:p>
        </w:tc>
        <w:tc>
          <w:tcPr>
            <w:tcW w:w="9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w:t>
            </w:r>
            <w:r>
              <w:rPr>
                <w:rFonts w:ascii="宋体" w:hAnsi="宋体" w:cs="宋体"/>
                <w:color w:val="000000"/>
                <w:kern w:val="0"/>
                <w:sz w:val="18"/>
                <w:szCs w:val="18"/>
              </w:rPr>
              <w:t>值</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分</w:t>
            </w:r>
            <w:r>
              <w:rPr>
                <w:rFonts w:ascii="宋体" w:hAnsi="宋体" w:cs="宋体"/>
                <w:color w:val="000000"/>
                <w:kern w:val="0"/>
                <w:sz w:val="18"/>
                <w:szCs w:val="18"/>
              </w:rPr>
              <w:t>值</w:t>
            </w:r>
          </w:p>
        </w:tc>
        <w:tc>
          <w:tcPr>
            <w:tcW w:w="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w:t>
            </w:r>
            <w:r>
              <w:rPr>
                <w:rFonts w:ascii="宋体" w:hAnsi="宋体" w:cs="宋体"/>
                <w:color w:val="000000"/>
                <w:kern w:val="0"/>
                <w:sz w:val="18"/>
                <w:szCs w:val="18"/>
              </w:rPr>
              <w:t>分</w:t>
            </w:r>
          </w:p>
        </w:tc>
        <w:tc>
          <w:tcPr>
            <w:tcW w:w="25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46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Layout w:type="fixed"/>
          <w:tblCellMar>
            <w:top w:w="0" w:type="dxa"/>
            <w:left w:w="108" w:type="dxa"/>
            <w:bottom w:w="0" w:type="dxa"/>
            <w:right w:w="108" w:type="dxa"/>
          </w:tblCellMar>
        </w:tblPrEx>
        <w:trPr>
          <w:cantSplit/>
          <w:trHeight w:val="1210"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续上页</w:t>
            </w:r>
          </w:p>
        </w:tc>
        <w:tc>
          <w:tcPr>
            <w:tcW w:w="108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绩效管理（4）</w:t>
            </w:r>
          </w:p>
        </w:tc>
        <w:tc>
          <w:tcPr>
            <w:tcW w:w="121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绩效管理情况</w:t>
            </w:r>
          </w:p>
        </w:tc>
        <w:tc>
          <w:tcPr>
            <w:tcW w:w="1215"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优良中低差</w:t>
            </w:r>
          </w:p>
        </w:tc>
        <w:tc>
          <w:tcPr>
            <w:tcW w:w="92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80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35"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　</w:t>
            </w:r>
          </w:p>
        </w:tc>
        <w:tc>
          <w:tcPr>
            <w:tcW w:w="258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4659"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blPrEx>
          <w:tblLayout w:type="fixed"/>
          <w:tblCellMar>
            <w:top w:w="0" w:type="dxa"/>
            <w:left w:w="108" w:type="dxa"/>
            <w:bottom w:w="0" w:type="dxa"/>
            <w:right w:w="108" w:type="dxa"/>
          </w:tblCellMar>
        </w:tblPrEx>
        <w:trPr>
          <w:cantSplit/>
          <w:trHeight w:val="394"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8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　</w:t>
            </w:r>
          </w:p>
        </w:tc>
        <w:tc>
          <w:tcPr>
            <w:tcW w:w="2428"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2022年</w:t>
            </w:r>
          </w:p>
        </w:tc>
        <w:tc>
          <w:tcPr>
            <w:tcW w:w="92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2023年</w:t>
            </w:r>
          </w:p>
        </w:tc>
        <w:tc>
          <w:tcPr>
            <w:tcW w:w="80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分值</w:t>
            </w:r>
          </w:p>
        </w:tc>
        <w:tc>
          <w:tcPr>
            <w:tcW w:w="73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4659" w:type="dxa"/>
            <w:tcBorders>
              <w:top w:val="single" w:color="auto" w:sz="4" w:space="0"/>
              <w:left w:val="nil"/>
              <w:bottom w:val="single" w:color="auto" w:sz="4" w:space="0"/>
              <w:right w:val="single" w:color="auto" w:sz="4" w:space="0"/>
            </w:tcBorders>
            <w:vAlign w:val="center"/>
          </w:tcPr>
          <w:p>
            <w:pPr>
              <w:widowControl/>
              <w:jc w:val="center"/>
              <w:rPr>
                <w:rFonts w:eastAsia="Times New Roman"/>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Layout w:type="fixed"/>
          <w:tblCellMar>
            <w:top w:w="0" w:type="dxa"/>
            <w:left w:w="108" w:type="dxa"/>
            <w:bottom w:w="0" w:type="dxa"/>
            <w:right w:w="108" w:type="dxa"/>
          </w:tblCellMar>
        </w:tblPrEx>
        <w:trPr>
          <w:cantSplit/>
          <w:trHeight w:val="2229"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8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结转结余率（4）</w:t>
            </w:r>
          </w:p>
        </w:tc>
        <w:tc>
          <w:tcPr>
            <w:tcW w:w="2428"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8.46%</w:t>
            </w:r>
          </w:p>
        </w:tc>
        <w:tc>
          <w:tcPr>
            <w:tcW w:w="92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9.66%　</w:t>
            </w:r>
          </w:p>
        </w:tc>
        <w:tc>
          <w:tcPr>
            <w:tcW w:w="80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35" w:type="dxa"/>
            <w:tcBorders>
              <w:top w:val="nil"/>
              <w:left w:val="nil"/>
              <w:bottom w:val="single" w:color="auto" w:sz="4" w:space="0"/>
              <w:right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3.6　</w:t>
            </w:r>
          </w:p>
        </w:tc>
        <w:tc>
          <w:tcPr>
            <w:tcW w:w="258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结转结余总额：部门（单位）本年度的结转资金与结余资金之和。</w:t>
            </w:r>
          </w:p>
        </w:tc>
        <w:tc>
          <w:tcPr>
            <w:tcW w:w="4659"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Layout w:type="fixed"/>
          <w:tblCellMar>
            <w:top w:w="0" w:type="dxa"/>
            <w:left w:w="108" w:type="dxa"/>
            <w:bottom w:w="0" w:type="dxa"/>
            <w:right w:w="108" w:type="dxa"/>
          </w:tblCellMar>
        </w:tblPrEx>
        <w:trPr>
          <w:cantSplit/>
          <w:trHeight w:val="981"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8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部门预决算差异率（4）</w:t>
            </w:r>
          </w:p>
        </w:tc>
        <w:tc>
          <w:tcPr>
            <w:tcW w:w="2428" w:type="dxa"/>
            <w:gridSpan w:val="2"/>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2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9.15%</w:t>
            </w:r>
          </w:p>
        </w:tc>
        <w:tc>
          <w:tcPr>
            <w:tcW w:w="80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35" w:type="dxa"/>
            <w:tcBorders>
              <w:top w:val="nil"/>
              <w:left w:val="nil"/>
              <w:bottom w:val="single" w:color="auto" w:sz="4" w:space="0"/>
              <w:right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　</w:t>
            </w:r>
          </w:p>
        </w:tc>
        <w:tc>
          <w:tcPr>
            <w:tcW w:w="258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46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blPrEx>
          <w:tblLayout w:type="fixed"/>
          <w:tblCellMar>
            <w:top w:w="0" w:type="dxa"/>
            <w:left w:w="108" w:type="dxa"/>
            <w:bottom w:w="0" w:type="dxa"/>
            <w:right w:w="108" w:type="dxa"/>
          </w:tblCellMar>
        </w:tblPrEx>
        <w:trPr>
          <w:cantSplit/>
          <w:trHeight w:val="484" w:hRule="atLeast"/>
        </w:trPr>
        <w:tc>
          <w:tcPr>
            <w:tcW w:w="5521"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8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100</w:t>
            </w:r>
          </w:p>
        </w:tc>
        <w:tc>
          <w:tcPr>
            <w:tcW w:w="735" w:type="dxa"/>
            <w:tcBorders>
              <w:top w:val="nil"/>
              <w:left w:val="nil"/>
              <w:bottom w:val="single" w:color="auto" w:sz="4" w:space="0"/>
              <w:right w:val="nil"/>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95.97　</w:t>
            </w:r>
          </w:p>
        </w:tc>
        <w:tc>
          <w:tcPr>
            <w:tcW w:w="7239"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　</w:t>
            </w:r>
          </w:p>
        </w:tc>
      </w:tr>
    </w:tbl>
    <w:p>
      <w:pPr>
        <w:spacing w:line="20" w:lineRule="exact"/>
        <w:rPr>
          <w:rFonts w:ascii="方正小标宋简体" w:eastAsia="方正小标宋简体"/>
          <w:sz w:val="36"/>
          <w:szCs w:val="36"/>
        </w:rPr>
      </w:pPr>
    </w:p>
    <w:p>
      <w:pPr>
        <w:spacing w:line="20" w:lineRule="exact"/>
        <w:rPr>
          <w:rFonts w:ascii="方正小标宋简体" w:eastAsia="方正小标宋简体"/>
          <w:sz w:val="36"/>
          <w:szCs w:val="36"/>
        </w:rPr>
      </w:pPr>
    </w:p>
    <w:sectPr>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FontAwesome">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方正黑体_GBK">
    <w:altName w:val="Arial Unicode MS"/>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rPr>
        <w:sz w:val="21"/>
        <w:szCs w:val="2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330200" cy="208280"/>
              <wp:effectExtent l="0" t="0" r="0" b="0"/>
              <wp:wrapNone/>
              <wp:docPr id="3" name="文本框 3"/>
              <wp:cNvGraphicFramePr/>
              <a:graphic xmlns:a="http://schemas.openxmlformats.org/drawingml/2006/main">
                <a:graphicData uri="http://schemas.microsoft.com/office/word/2010/wordprocessingShape">
                  <wps:wsp>
                    <wps:cNvSpPr txBox="1"/>
                    <wps:spPr>
                      <a:xfrm>
                        <a:off x="0" y="0"/>
                        <a:ext cx="330200" cy="208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24"/>
                              <w:szCs w:val="28"/>
                            </w:rPr>
                          </w:pPr>
                          <w:r>
                            <w:rPr>
                              <w:sz w:val="24"/>
                              <w:szCs w:val="28"/>
                            </w:rPr>
                            <w:fldChar w:fldCharType="begin"/>
                          </w:r>
                          <w:r>
                            <w:rPr>
                              <w:sz w:val="24"/>
                              <w:szCs w:val="28"/>
                            </w:rPr>
                            <w:instrText xml:space="preserve"> PAGE  \* MERGEFORMAT </w:instrText>
                          </w:r>
                          <w:r>
                            <w:rPr>
                              <w:sz w:val="24"/>
                              <w:szCs w:val="28"/>
                            </w:rPr>
                            <w:fldChar w:fldCharType="separate"/>
                          </w:r>
                          <w:r>
                            <w:rPr>
                              <w:sz w:val="24"/>
                              <w:szCs w:val="28"/>
                            </w:rPr>
                            <w:t>13</w:t>
                          </w:r>
                          <w:r>
                            <w:rPr>
                              <w:sz w:val="24"/>
                              <w:szCs w:val="28"/>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6.4pt;width:26pt;mso-position-horizontal:center;mso-position-horizontal-relative:margin;z-index:251660288;mso-width-relative:page;mso-height-relative:page;" filled="f" stroked="f" coordsize="21600,21600" o:gfxdata="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8J7DW0gAAAAMBAAAPAAAAAAAAAAEAIAAA&#10;ACIAAABkcnMvZG93bnJldi54bWxQSwECFAAUAAAACACHTuJAj6BZChICAAAHBAAADgAAAAAAAAAB&#10;ACAAAAAhAQAAZHJzL2Uyb0RvYy54bWxQSwUGAAAAAAYABgBZAQAApQUAAAAA&#10;">
              <v:fill on="f" focussize="0,0"/>
              <v:stroke on="f" weight="0.5pt"/>
              <v:imagedata o:title=""/>
              <o:lock v:ext="edit" aspectratio="f"/>
              <v:textbox inset="0mm,0mm,0mm,0mm">
                <w:txbxContent>
                  <w:p>
                    <w:pPr>
                      <w:pStyle w:val="7"/>
                      <w:rPr>
                        <w:sz w:val="24"/>
                        <w:szCs w:val="28"/>
                      </w:rPr>
                    </w:pPr>
                    <w:r>
                      <w:rPr>
                        <w:sz w:val="24"/>
                        <w:szCs w:val="28"/>
                      </w:rPr>
                      <w:fldChar w:fldCharType="begin"/>
                    </w:r>
                    <w:r>
                      <w:rPr>
                        <w:sz w:val="24"/>
                        <w:szCs w:val="28"/>
                      </w:rPr>
                      <w:instrText xml:space="preserve"> PAGE  \* MERGEFORMAT </w:instrText>
                    </w:r>
                    <w:r>
                      <w:rPr>
                        <w:sz w:val="24"/>
                        <w:szCs w:val="28"/>
                      </w:rPr>
                      <w:fldChar w:fldCharType="separate"/>
                    </w:r>
                    <w:r>
                      <w:rPr>
                        <w:sz w:val="24"/>
                        <w:szCs w:val="28"/>
                      </w:rPr>
                      <w:t>13</w:t>
                    </w:r>
                    <w:r>
                      <w:rPr>
                        <w:sz w:val="24"/>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iZTQ2NjVmYmJmMGNlZjIwZDI1NTI1ODEwMzlmYzcifQ=="/>
  </w:docVars>
  <w:rsids>
    <w:rsidRoot w:val="F77F09F4"/>
    <w:rsid w:val="00056DF8"/>
    <w:rsid w:val="0008531E"/>
    <w:rsid w:val="001E5C34"/>
    <w:rsid w:val="0023615F"/>
    <w:rsid w:val="00264107"/>
    <w:rsid w:val="002F7E43"/>
    <w:rsid w:val="003D147B"/>
    <w:rsid w:val="0063538C"/>
    <w:rsid w:val="00730527"/>
    <w:rsid w:val="009A00C5"/>
    <w:rsid w:val="00AB0191"/>
    <w:rsid w:val="00CC4D31"/>
    <w:rsid w:val="00D00351"/>
    <w:rsid w:val="00DC4202"/>
    <w:rsid w:val="00EA1509"/>
    <w:rsid w:val="00FC58ED"/>
    <w:rsid w:val="06AE31A0"/>
    <w:rsid w:val="07DB427D"/>
    <w:rsid w:val="0CD23D33"/>
    <w:rsid w:val="15692223"/>
    <w:rsid w:val="175F53D8"/>
    <w:rsid w:val="1A5B2381"/>
    <w:rsid w:val="1EDA588C"/>
    <w:rsid w:val="20600F40"/>
    <w:rsid w:val="24D8759E"/>
    <w:rsid w:val="25E43A45"/>
    <w:rsid w:val="355A4CA1"/>
    <w:rsid w:val="37173543"/>
    <w:rsid w:val="3CF97051"/>
    <w:rsid w:val="3FDBA076"/>
    <w:rsid w:val="3FDFB3F0"/>
    <w:rsid w:val="3FDFC9A6"/>
    <w:rsid w:val="3FF76880"/>
    <w:rsid w:val="40E07050"/>
    <w:rsid w:val="4DC516B7"/>
    <w:rsid w:val="51D92374"/>
    <w:rsid w:val="5B521171"/>
    <w:rsid w:val="5BFD4AC2"/>
    <w:rsid w:val="5F437837"/>
    <w:rsid w:val="605A0ABD"/>
    <w:rsid w:val="64885F15"/>
    <w:rsid w:val="67759716"/>
    <w:rsid w:val="6C977775"/>
    <w:rsid w:val="6F7ED27B"/>
    <w:rsid w:val="75B17A7C"/>
    <w:rsid w:val="7A865B9E"/>
    <w:rsid w:val="7AB7FF50"/>
    <w:rsid w:val="7AEAF641"/>
    <w:rsid w:val="7B483AE8"/>
    <w:rsid w:val="7BAD2729"/>
    <w:rsid w:val="7BFEB0DB"/>
    <w:rsid w:val="7E1D30D3"/>
    <w:rsid w:val="7FFF4E81"/>
    <w:rsid w:val="7FFFD0D3"/>
    <w:rsid w:val="8716660E"/>
    <w:rsid w:val="A3AA735E"/>
    <w:rsid w:val="A75D4892"/>
    <w:rsid w:val="AFFFCE02"/>
    <w:rsid w:val="CEFD3F3D"/>
    <w:rsid w:val="D6B22E60"/>
    <w:rsid w:val="EA3F77F2"/>
    <w:rsid w:val="EEFE5989"/>
    <w:rsid w:val="EFCF3EAE"/>
    <w:rsid w:val="F4FDEB06"/>
    <w:rsid w:val="F5B764A2"/>
    <w:rsid w:val="F77F09F4"/>
    <w:rsid w:val="FBFF6E65"/>
    <w:rsid w:val="FEEF6AA0"/>
    <w:rsid w:val="FFB792B8"/>
    <w:rsid w:val="FFD7BFFC"/>
    <w:rsid w:val="FFFA6B0F"/>
    <w:rsid w:val="FFFFB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line="600" w:lineRule="exact"/>
      <w:ind w:firstLine="640"/>
      <w:outlineLvl w:val="0"/>
    </w:pPr>
    <w:rPr>
      <w:rFonts w:ascii="黑体" w:hAnsi="黑体" w:eastAsia="黑体" w:cs="宋体"/>
      <w:color w:val="000000"/>
      <w:kern w:val="0"/>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26"/>
    <w:qFormat/>
    <w:uiPriority w:val="0"/>
    <w:pPr>
      <w:spacing w:after="120"/>
    </w:pPr>
  </w:style>
  <w:style w:type="paragraph" w:styleId="5">
    <w:name w:val="Body Text Indent"/>
    <w:basedOn w:val="1"/>
    <w:semiHidden/>
    <w:unhideWhenUsed/>
    <w:qFormat/>
    <w:uiPriority w:val="99"/>
    <w:pPr>
      <w:spacing w:after="120"/>
      <w:ind w:left="420" w:leftChars="200"/>
    </w:pPr>
  </w:style>
  <w:style w:type="paragraph" w:styleId="6">
    <w:name w:val="Balloon Text"/>
    <w:basedOn w:val="1"/>
    <w:link w:val="38"/>
    <w:qFormat/>
    <w:uiPriority w:val="0"/>
    <w:rPr>
      <w:sz w:val="18"/>
      <w:szCs w:val="18"/>
    </w:rPr>
  </w:style>
  <w:style w:type="paragraph" w:styleId="7">
    <w:name w:val="footer"/>
    <w:basedOn w:val="1"/>
    <w:link w:val="25"/>
    <w:qFormat/>
    <w:uiPriority w:val="99"/>
    <w:pPr>
      <w:tabs>
        <w:tab w:val="center" w:pos="4153"/>
        <w:tab w:val="right" w:pos="8306"/>
      </w:tabs>
      <w:snapToGrid w:val="0"/>
      <w:jc w:val="left"/>
    </w:pPr>
    <w:rPr>
      <w:sz w:val="18"/>
      <w:szCs w:val="20"/>
    </w:rPr>
  </w:style>
  <w:style w:type="paragraph" w:styleId="8">
    <w:name w:val="Body Text First Indent 2"/>
    <w:basedOn w:val="5"/>
    <w:semiHidden/>
    <w:unhideWhenUsed/>
    <w:qFormat/>
    <w:uiPriority w:val="99"/>
    <w:pPr>
      <w:ind w:firstLine="420" w:firstLineChars="200"/>
    </w:pPr>
  </w:style>
  <w:style w:type="paragraph" w:styleId="9">
    <w:name w:val="header"/>
    <w:basedOn w:val="1"/>
    <w:link w:val="2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pPr>
      <w:spacing w:beforeAutospacing="1" w:afterAutospacing="1"/>
      <w:jc w:val="left"/>
    </w:pPr>
    <w:rPr>
      <w:kern w:val="0"/>
      <w:sz w:val="24"/>
    </w:rPr>
  </w:style>
  <w:style w:type="character" w:styleId="12">
    <w:name w:val="Strong"/>
    <w:basedOn w:val="11"/>
    <w:qFormat/>
    <w:uiPriority w:val="0"/>
    <w:rPr>
      <w:b/>
      <w:bCs/>
    </w:rPr>
  </w:style>
  <w:style w:type="character" w:styleId="13">
    <w:name w:val="FollowedHyperlink"/>
    <w:basedOn w:val="11"/>
    <w:qFormat/>
    <w:uiPriority w:val="0"/>
    <w:rPr>
      <w:color w:val="337AB7"/>
      <w:u w:val="none"/>
    </w:rPr>
  </w:style>
  <w:style w:type="character" w:styleId="14">
    <w:name w:val="HTML Definition"/>
    <w:basedOn w:val="11"/>
    <w:qFormat/>
    <w:uiPriority w:val="0"/>
    <w:rPr>
      <w:i/>
      <w:iCs/>
    </w:rPr>
  </w:style>
  <w:style w:type="character" w:styleId="15">
    <w:name w:val="Hyperlink"/>
    <w:basedOn w:val="11"/>
    <w:qFormat/>
    <w:uiPriority w:val="0"/>
    <w:rPr>
      <w:color w:val="337AB7"/>
      <w:u w:val="none"/>
    </w:rPr>
  </w:style>
  <w:style w:type="character" w:styleId="16">
    <w:name w:val="HTML Code"/>
    <w:basedOn w:val="11"/>
    <w:qFormat/>
    <w:uiPriority w:val="0"/>
    <w:rPr>
      <w:rFonts w:hint="default" w:ascii="Consolas" w:hAnsi="Consolas" w:eastAsia="Consolas" w:cs="Consolas"/>
      <w:color w:val="C7254E"/>
      <w:sz w:val="21"/>
      <w:szCs w:val="21"/>
      <w:shd w:val="clear" w:color="auto" w:fill="F9F2F4"/>
    </w:rPr>
  </w:style>
  <w:style w:type="character" w:styleId="17">
    <w:name w:val="HTML Keyboard"/>
    <w:basedOn w:val="11"/>
    <w:qFormat/>
    <w:uiPriority w:val="0"/>
    <w:rPr>
      <w:rFonts w:hint="default" w:ascii="Consolas" w:hAnsi="Consolas" w:eastAsia="Consolas" w:cs="Consolas"/>
      <w:vanish/>
      <w:color w:val="FFFFFF"/>
      <w:spacing w:val="0"/>
      <w:sz w:val="21"/>
      <w:szCs w:val="21"/>
      <w:u w:val="none"/>
      <w:bdr w:val="single" w:color="CCCCCC" w:sz="4" w:space="0"/>
      <w:shd w:val="clear" w:color="auto" w:fill="333333"/>
    </w:rPr>
  </w:style>
  <w:style w:type="character" w:styleId="18">
    <w:name w:val="HTML Sample"/>
    <w:basedOn w:val="11"/>
    <w:qFormat/>
    <w:uiPriority w:val="0"/>
    <w:rPr>
      <w:rFonts w:ascii="Consolas" w:hAnsi="Consolas" w:eastAsia="Consolas" w:cs="Consolas"/>
      <w:sz w:val="21"/>
      <w:szCs w:val="21"/>
    </w:rPr>
  </w:style>
  <w:style w:type="paragraph" w:customStyle="1" w:styleId="20">
    <w:name w:val="列出段落1"/>
    <w:basedOn w:val="1"/>
    <w:qFormat/>
    <w:uiPriority w:val="34"/>
    <w:pPr>
      <w:ind w:firstLine="420" w:firstLineChars="200"/>
    </w:pPr>
    <w:rPr>
      <w:rFonts w:ascii="Calibri" w:hAnsi="Calibri" w:cs="黑体"/>
      <w:szCs w:val="22"/>
    </w:rPr>
  </w:style>
  <w:style w:type="character" w:customStyle="1" w:styleId="21">
    <w:name w:val="font01"/>
    <w:basedOn w:val="11"/>
    <w:qFormat/>
    <w:uiPriority w:val="0"/>
    <w:rPr>
      <w:rFonts w:hint="eastAsia" w:ascii="宋体" w:hAnsi="宋体" w:eastAsia="宋体" w:cs="宋体"/>
      <w:color w:val="000000"/>
      <w:sz w:val="18"/>
      <w:szCs w:val="18"/>
      <w:u w:val="none"/>
    </w:rPr>
  </w:style>
  <w:style w:type="character" w:customStyle="1" w:styleId="22">
    <w:name w:val="font11"/>
    <w:basedOn w:val="11"/>
    <w:qFormat/>
    <w:uiPriority w:val="0"/>
    <w:rPr>
      <w:rFonts w:hint="eastAsia" w:ascii="宋体" w:hAnsi="宋体" w:eastAsia="宋体" w:cs="宋体"/>
      <w:color w:val="000000"/>
      <w:sz w:val="18"/>
      <w:szCs w:val="18"/>
      <w:u w:val="none"/>
    </w:rPr>
  </w:style>
  <w:style w:type="paragraph" w:customStyle="1" w:styleId="23">
    <w:name w:val="正文文本缩进1"/>
    <w:basedOn w:val="1"/>
    <w:next w:val="9"/>
    <w:qFormat/>
    <w:uiPriority w:val="0"/>
    <w:pPr>
      <w:spacing w:line="360" w:lineRule="auto"/>
      <w:ind w:firstLine="567"/>
    </w:pPr>
    <w:rPr>
      <w:sz w:val="28"/>
    </w:rPr>
  </w:style>
  <w:style w:type="character" w:customStyle="1" w:styleId="24">
    <w:name w:val="页眉 Char"/>
    <w:basedOn w:val="11"/>
    <w:link w:val="9"/>
    <w:qFormat/>
    <w:uiPriority w:val="0"/>
    <w:rPr>
      <w:kern w:val="2"/>
      <w:sz w:val="18"/>
      <w:szCs w:val="18"/>
    </w:rPr>
  </w:style>
  <w:style w:type="character" w:customStyle="1" w:styleId="25">
    <w:name w:val="页脚 Char"/>
    <w:basedOn w:val="11"/>
    <w:link w:val="7"/>
    <w:qFormat/>
    <w:uiPriority w:val="0"/>
    <w:rPr>
      <w:kern w:val="2"/>
      <w:sz w:val="18"/>
      <w:szCs w:val="24"/>
    </w:rPr>
  </w:style>
  <w:style w:type="character" w:customStyle="1" w:styleId="26">
    <w:name w:val="正文文本 Char"/>
    <w:basedOn w:val="11"/>
    <w:link w:val="4"/>
    <w:qFormat/>
    <w:uiPriority w:val="0"/>
    <w:rPr>
      <w:kern w:val="2"/>
      <w:sz w:val="21"/>
      <w:szCs w:val="24"/>
    </w:rPr>
  </w:style>
  <w:style w:type="character" w:customStyle="1" w:styleId="27">
    <w:name w:val="ui-icon"/>
    <w:basedOn w:val="11"/>
    <w:qFormat/>
    <w:uiPriority w:val="0"/>
  </w:style>
  <w:style w:type="character" w:customStyle="1" w:styleId="28">
    <w:name w:val="checkbox4"/>
    <w:basedOn w:val="11"/>
    <w:qFormat/>
    <w:uiPriority w:val="0"/>
  </w:style>
  <w:style w:type="character" w:customStyle="1" w:styleId="29">
    <w:name w:val="before"/>
    <w:basedOn w:val="11"/>
    <w:qFormat/>
    <w:uiPriority w:val="0"/>
    <w:rPr>
      <w:rFonts w:hint="default" w:ascii="FontAwesome" w:hAnsi="FontAwesome" w:eastAsia="FontAwesome" w:cs="FontAwesome"/>
      <w:color w:val="888888"/>
      <w:sz w:val="14"/>
      <w:szCs w:val="14"/>
    </w:rPr>
  </w:style>
  <w:style w:type="character" w:customStyle="1" w:styleId="30">
    <w:name w:val="before1"/>
    <w:basedOn w:val="11"/>
    <w:qFormat/>
    <w:uiPriority w:val="0"/>
    <w:rPr>
      <w:rFonts w:hint="default" w:ascii="FontAwesome" w:hAnsi="FontAwesome" w:eastAsia="FontAwesome" w:cs="FontAwesome"/>
      <w:color w:val="888888"/>
      <w:sz w:val="14"/>
      <w:szCs w:val="14"/>
    </w:rPr>
  </w:style>
  <w:style w:type="character" w:customStyle="1" w:styleId="31">
    <w:name w:val="input-icon2"/>
    <w:basedOn w:val="11"/>
    <w:qFormat/>
    <w:uiPriority w:val="0"/>
  </w:style>
  <w:style w:type="character" w:customStyle="1" w:styleId="32">
    <w:name w:val="ui-jqgrid-resize"/>
    <w:basedOn w:val="11"/>
    <w:qFormat/>
    <w:uiPriority w:val="0"/>
  </w:style>
  <w:style w:type="character" w:customStyle="1" w:styleId="33">
    <w:name w:val="ui-jqgrid-resize1"/>
    <w:basedOn w:val="11"/>
    <w:qFormat/>
    <w:uiPriority w:val="0"/>
  </w:style>
  <w:style w:type="character" w:customStyle="1" w:styleId="34">
    <w:name w:val="ui-icon10"/>
    <w:basedOn w:val="11"/>
    <w:qFormat/>
    <w:uiPriority w:val="0"/>
  </w:style>
  <w:style w:type="character" w:customStyle="1" w:styleId="35">
    <w:name w:val="checkbox"/>
    <w:basedOn w:val="11"/>
    <w:qFormat/>
    <w:uiPriority w:val="0"/>
  </w:style>
  <w:style w:type="character" w:customStyle="1" w:styleId="36">
    <w:name w:val="input-icon"/>
    <w:basedOn w:val="11"/>
    <w:qFormat/>
    <w:uiPriority w:val="0"/>
  </w:style>
  <w:style w:type="character" w:customStyle="1" w:styleId="37">
    <w:name w:val="ui-icon9"/>
    <w:basedOn w:val="11"/>
    <w:qFormat/>
    <w:uiPriority w:val="0"/>
  </w:style>
  <w:style w:type="character" w:customStyle="1" w:styleId="38">
    <w:name w:val="批注框文本 Char"/>
    <w:basedOn w:val="11"/>
    <w:link w:val="6"/>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22</Pages>
  <Words>11064</Words>
  <Characters>897</Characters>
  <Lines>7</Lines>
  <Paragraphs>23</Paragraphs>
  <TotalTime>46</TotalTime>
  <ScaleCrop>false</ScaleCrop>
  <LinksUpToDate>false</LinksUpToDate>
  <CharactersWithSpaces>11938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2022-03-14T19:16:00Z</dcterms:created>
  <dc:creator>user</dc:creator>
  <cp:lastModifiedBy>www</cp:lastModifiedBy>
  <cp:lastPrinted>2023-03-06T01:31:00Z</cp:lastPrinted>
  <dcterms:modified xsi:type="dcterms:W3CDTF">2024-08-26T07:11:43Z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ICV">
    <vt:lpwstr>E62BA5756088441D81AB664EE51C3B38_13</vt:lpwstr>
  </property>
</Properties>
</file>