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harts/colors1.xml" ContentType="application/vnd.ms-office.chartcolorstyle+xml"/>
  <Override PartName="/word/charts/style1.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F52" w:rsidRDefault="00DE41BA">
      <w:pPr>
        <w:adjustRightInd w:val="0"/>
        <w:snapToGrid w:val="0"/>
        <w:spacing w:line="6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2023</w:t>
      </w:r>
      <w:r>
        <w:rPr>
          <w:rFonts w:ascii="方正小标宋简体" w:eastAsia="方正小标宋简体" w:hAnsi="方正小标宋简体" w:cs="方正小标宋简体" w:hint="eastAsia"/>
          <w:bCs/>
          <w:sz w:val="44"/>
          <w:szCs w:val="44"/>
        </w:rPr>
        <w:t>年度饮用水水源地安全保障与流域</w:t>
      </w:r>
    </w:p>
    <w:p w:rsidR="00706F52" w:rsidRDefault="00DE41BA">
      <w:pPr>
        <w:adjustRightInd w:val="0"/>
        <w:snapToGrid w:val="0"/>
        <w:spacing w:line="6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Cs/>
          <w:sz w:val="44"/>
          <w:szCs w:val="44"/>
        </w:rPr>
        <w:t>水生态环境保护支撑项目绩效评价报告</w:t>
      </w:r>
    </w:p>
    <w:p w:rsidR="00706F52" w:rsidRDefault="00706F52">
      <w:pPr>
        <w:adjustRightInd w:val="0"/>
        <w:snapToGrid w:val="0"/>
        <w:spacing w:line="360" w:lineRule="auto"/>
        <w:ind w:firstLineChars="200" w:firstLine="600"/>
        <w:jc w:val="center"/>
        <w:rPr>
          <w:rFonts w:ascii="仿宋_GB2312"/>
          <w:szCs w:val="32"/>
        </w:rPr>
      </w:pPr>
    </w:p>
    <w:p w:rsidR="00706F52" w:rsidRDefault="00DE41BA">
      <w:pPr>
        <w:adjustRightInd w:val="0"/>
        <w:snapToGrid w:val="0"/>
        <w:spacing w:line="360" w:lineRule="auto"/>
        <w:ind w:firstLineChars="200" w:firstLine="640"/>
        <w:outlineLvl w:val="0"/>
        <w:rPr>
          <w:rFonts w:ascii="黑体" w:eastAsia="黑体"/>
          <w:sz w:val="32"/>
          <w:szCs w:val="32"/>
        </w:rPr>
      </w:pPr>
      <w:bookmarkStart w:id="0" w:name="_Toc35588393"/>
      <w:bookmarkStart w:id="1" w:name="_Toc21195"/>
      <w:bookmarkStart w:id="2" w:name="_Toc13517"/>
      <w:bookmarkStart w:id="3" w:name="_Toc1650"/>
      <w:r>
        <w:rPr>
          <w:rFonts w:ascii="黑体" w:eastAsia="黑体" w:hint="eastAsia"/>
          <w:sz w:val="32"/>
          <w:szCs w:val="32"/>
        </w:rPr>
        <w:t>一、基本情况</w:t>
      </w:r>
      <w:bookmarkEnd w:id="0"/>
      <w:bookmarkEnd w:id="1"/>
      <w:bookmarkEnd w:id="2"/>
      <w:bookmarkEnd w:id="3"/>
    </w:p>
    <w:p w:rsidR="00706F52" w:rsidRDefault="00DE41BA">
      <w:pPr>
        <w:adjustRightInd w:val="0"/>
        <w:snapToGrid w:val="0"/>
        <w:spacing w:line="360" w:lineRule="auto"/>
        <w:ind w:firstLineChars="200" w:firstLine="640"/>
        <w:outlineLvl w:val="1"/>
        <w:rPr>
          <w:rFonts w:ascii="楷体_GB2312" w:eastAsia="楷体_GB2312"/>
          <w:sz w:val="32"/>
          <w:szCs w:val="32"/>
        </w:rPr>
      </w:pPr>
      <w:bookmarkStart w:id="4" w:name="_Toc15903"/>
      <w:bookmarkStart w:id="5" w:name="_Toc35588394"/>
      <w:bookmarkStart w:id="6" w:name="_Toc25675"/>
      <w:bookmarkStart w:id="7" w:name="_Toc17037"/>
      <w:r>
        <w:rPr>
          <w:rFonts w:ascii="楷体_GB2312" w:eastAsia="楷体_GB2312" w:hint="eastAsia"/>
          <w:sz w:val="32"/>
          <w:szCs w:val="32"/>
        </w:rPr>
        <w:t>（一）项目概况</w:t>
      </w:r>
      <w:bookmarkEnd w:id="4"/>
      <w:bookmarkEnd w:id="5"/>
      <w:bookmarkEnd w:id="6"/>
      <w:bookmarkEnd w:id="7"/>
    </w:p>
    <w:p w:rsidR="00706F52" w:rsidRDefault="00DE41BA">
      <w:pPr>
        <w:adjustRightInd w:val="0"/>
        <w:snapToGrid w:val="0"/>
        <w:spacing w:line="360" w:lineRule="auto"/>
        <w:ind w:firstLineChars="200" w:firstLine="640"/>
        <w:outlineLvl w:val="2"/>
        <w:rPr>
          <w:rFonts w:ascii="仿宋_GB2312" w:hAnsi="宋体" w:cs="宋体"/>
          <w:kern w:val="0"/>
          <w:sz w:val="32"/>
          <w:szCs w:val="32"/>
        </w:rPr>
      </w:pPr>
      <w:bookmarkStart w:id="8" w:name="_Toc35588395"/>
      <w:r>
        <w:rPr>
          <w:rFonts w:ascii="仿宋_GB2312" w:hAnsi="宋体" w:cs="宋体" w:hint="eastAsia"/>
          <w:kern w:val="0"/>
          <w:sz w:val="32"/>
          <w:szCs w:val="32"/>
        </w:rPr>
        <w:t>1.</w:t>
      </w:r>
      <w:r>
        <w:rPr>
          <w:rFonts w:ascii="仿宋_GB2312" w:hAnsi="宋体" w:cs="宋体" w:hint="eastAsia"/>
          <w:kern w:val="0"/>
          <w:sz w:val="32"/>
          <w:szCs w:val="32"/>
        </w:rPr>
        <w:t>项目背景</w:t>
      </w:r>
      <w:bookmarkEnd w:id="8"/>
    </w:p>
    <w:p w:rsidR="00706F52" w:rsidRDefault="00DE41BA">
      <w:pPr>
        <w:widowControl/>
        <w:adjustRightInd w:val="0"/>
        <w:snapToGrid w:val="0"/>
        <w:spacing w:line="360" w:lineRule="auto"/>
        <w:ind w:firstLineChars="200" w:firstLine="640"/>
        <w:rPr>
          <w:rFonts w:ascii="仿宋_GB2312" w:hAnsi="微软雅黑" w:cs="宋体"/>
          <w:kern w:val="0"/>
          <w:sz w:val="32"/>
          <w:szCs w:val="32"/>
        </w:rPr>
      </w:pPr>
      <w:r>
        <w:rPr>
          <w:rFonts w:ascii="仿宋_GB2312" w:hAnsi="微软雅黑" w:cs="宋体" w:hint="eastAsia"/>
          <w:kern w:val="0"/>
          <w:sz w:val="32"/>
          <w:szCs w:val="32"/>
        </w:rPr>
        <w:t>治理水污染、保护水环境，关系人民福祉，关系国家未来。党的十八大以来，以习近平同志为核心的党中央把水生态环境保护摆在生态文明建设的重要位置，把解决突出水生态环境问题作为民生优先领域，把打好碧水保卫</w:t>
      </w:r>
      <w:proofErr w:type="gramStart"/>
      <w:r>
        <w:rPr>
          <w:rFonts w:ascii="仿宋_GB2312" w:hAnsi="微软雅黑" w:cs="宋体" w:hint="eastAsia"/>
          <w:kern w:val="0"/>
          <w:sz w:val="32"/>
          <w:szCs w:val="32"/>
        </w:rPr>
        <w:t>战列</w:t>
      </w:r>
      <w:proofErr w:type="gramEnd"/>
      <w:r>
        <w:rPr>
          <w:rFonts w:ascii="仿宋_GB2312" w:hAnsi="微软雅黑" w:cs="宋体" w:hint="eastAsia"/>
          <w:kern w:val="0"/>
          <w:sz w:val="32"/>
          <w:szCs w:val="32"/>
        </w:rPr>
        <w:t>为污染防治攻坚战的三大保卫战之一，谋划开展了一系列根本性、开创性、长远性工作。《中华人民共和国水污染防治法》要求“有关地方人民政府应当在饮用水水源保护区的边界设立明确的地理界标和明显的警示标志”“县级以上地方人民政府应当组织环境保护等部门，对饮用水水源保护区、地下水型饮用水源的补给区及供水单位周边区域的环境状况和</w:t>
      </w:r>
      <w:r>
        <w:rPr>
          <w:rFonts w:ascii="仿宋_GB2312" w:hAnsi="微软雅黑" w:cs="宋体" w:hint="eastAsia"/>
          <w:kern w:val="0"/>
          <w:sz w:val="32"/>
          <w:szCs w:val="32"/>
        </w:rPr>
        <w:t>污染风险进行调查评估，筛查可能存在的污染风险因素，并采取相应的风险防范措施”。生态环境部印发《潮河流域生态环境保护综合规划（</w:t>
      </w:r>
      <w:r>
        <w:rPr>
          <w:rFonts w:ascii="仿宋_GB2312" w:hAnsi="微软雅黑" w:cs="宋体" w:hint="eastAsia"/>
          <w:kern w:val="0"/>
          <w:sz w:val="32"/>
          <w:szCs w:val="32"/>
        </w:rPr>
        <w:t>2019-2025</w:t>
      </w:r>
      <w:r>
        <w:rPr>
          <w:rFonts w:ascii="仿宋_GB2312" w:hAnsi="微软雅黑" w:cs="宋体" w:hint="eastAsia"/>
          <w:kern w:val="0"/>
          <w:sz w:val="32"/>
          <w:szCs w:val="32"/>
        </w:rPr>
        <w:t>年）》</w:t>
      </w:r>
      <w:r>
        <w:rPr>
          <w:rFonts w:ascii="仿宋_GB2312" w:hAnsi="微软雅黑" w:cs="宋体" w:hint="eastAsia"/>
          <w:kern w:val="0"/>
          <w:sz w:val="32"/>
          <w:szCs w:val="32"/>
        </w:rPr>
        <w:t>（</w:t>
      </w:r>
      <w:r>
        <w:rPr>
          <w:rFonts w:ascii="仿宋_GB2312" w:hAnsi="微软雅黑" w:cs="宋体" w:hint="eastAsia"/>
          <w:kern w:val="0"/>
          <w:sz w:val="32"/>
          <w:szCs w:val="32"/>
        </w:rPr>
        <w:t>以下简称《规划》）</w:t>
      </w:r>
      <w:r>
        <w:rPr>
          <w:rFonts w:ascii="仿宋_GB2312" w:hAnsi="微软雅黑" w:cs="宋体" w:hint="eastAsia"/>
          <w:kern w:val="0"/>
          <w:sz w:val="32"/>
          <w:szCs w:val="32"/>
        </w:rPr>
        <w:t>提出“北京市和河北省生态环境部门牵头，总结规划年度任务进展、成效、资金使用等相关情况，及时掌握流域水环境质</w:t>
      </w:r>
      <w:r>
        <w:rPr>
          <w:rFonts w:ascii="仿宋_GB2312" w:hAnsi="微软雅黑" w:cs="宋体" w:hint="eastAsia"/>
          <w:kern w:val="0"/>
          <w:sz w:val="32"/>
          <w:szCs w:val="32"/>
        </w:rPr>
        <w:lastRenderedPageBreak/>
        <w:t>量状况和污染防治工作进度”“建立评估制度，生态环境部会同北京市和河北省对《规划》实施情况按年度进行评估”</w:t>
      </w:r>
      <w:r>
        <w:rPr>
          <w:rFonts w:ascii="仿宋_GB2312" w:hAnsi="微软雅黑" w:cs="宋体" w:hint="eastAsia"/>
          <w:kern w:val="0"/>
          <w:sz w:val="32"/>
          <w:szCs w:val="32"/>
        </w:rPr>
        <w:t>。</w:t>
      </w:r>
      <w:r>
        <w:rPr>
          <w:rFonts w:ascii="仿宋_GB2312" w:hAnsi="微软雅黑" w:cs="宋体" w:hint="eastAsia"/>
          <w:kern w:val="0"/>
          <w:sz w:val="32"/>
          <w:szCs w:val="32"/>
        </w:rPr>
        <w:t>生态环境部联合国</w:t>
      </w:r>
      <w:proofErr w:type="gramStart"/>
      <w:r>
        <w:rPr>
          <w:rFonts w:ascii="仿宋_GB2312" w:hAnsi="微软雅黑" w:cs="宋体" w:hint="eastAsia"/>
          <w:kern w:val="0"/>
          <w:sz w:val="32"/>
          <w:szCs w:val="32"/>
        </w:rPr>
        <w:t>家发改委</w:t>
      </w:r>
      <w:proofErr w:type="gramEnd"/>
      <w:r>
        <w:rPr>
          <w:rFonts w:ascii="仿宋_GB2312" w:hAnsi="微软雅黑" w:cs="宋体" w:hint="eastAsia"/>
          <w:kern w:val="0"/>
          <w:sz w:val="32"/>
          <w:szCs w:val="32"/>
        </w:rPr>
        <w:t>、住建部以及水利部</w:t>
      </w:r>
      <w:r>
        <w:rPr>
          <w:rFonts w:ascii="仿宋_GB2312" w:hAnsi="微软雅黑" w:cs="宋体" w:hint="eastAsia"/>
          <w:kern w:val="0"/>
          <w:sz w:val="32"/>
          <w:szCs w:val="32"/>
        </w:rPr>
        <w:t>4</w:t>
      </w:r>
      <w:r>
        <w:rPr>
          <w:rFonts w:ascii="仿宋_GB2312" w:hAnsi="微软雅黑" w:cs="宋体" w:hint="eastAsia"/>
          <w:kern w:val="0"/>
          <w:sz w:val="32"/>
          <w:szCs w:val="32"/>
        </w:rPr>
        <w:t>部门联合印发的《区域再生水循环利用试点实施方案》提出“要加大区域再生水循环利用，缓解区域</w:t>
      </w:r>
      <w:r>
        <w:rPr>
          <w:rFonts w:ascii="仿宋_GB2312" w:hAnsi="微软雅黑" w:cs="宋体" w:hint="eastAsia"/>
          <w:kern w:val="0"/>
          <w:sz w:val="32"/>
          <w:szCs w:val="32"/>
        </w:rPr>
        <w:t>水资源供需矛盾，改善水生态环境质量，提升人居环境品质”。《中共北京市委</w:t>
      </w:r>
      <w:r>
        <w:rPr>
          <w:rFonts w:ascii="仿宋_GB2312" w:hAnsi="微软雅黑" w:cs="宋体" w:hint="eastAsia"/>
          <w:kern w:val="0"/>
          <w:sz w:val="32"/>
          <w:szCs w:val="32"/>
        </w:rPr>
        <w:t xml:space="preserve"> </w:t>
      </w:r>
      <w:r>
        <w:rPr>
          <w:rFonts w:ascii="仿宋_GB2312" w:hAnsi="微软雅黑" w:cs="宋体" w:hint="eastAsia"/>
          <w:kern w:val="0"/>
          <w:sz w:val="32"/>
          <w:szCs w:val="32"/>
        </w:rPr>
        <w:t>北京市人民政府关于深入打好北京市污染防治攻坚战的实施意见》（京发〔</w:t>
      </w:r>
      <w:r>
        <w:rPr>
          <w:rFonts w:ascii="仿宋_GB2312" w:hAnsi="微软雅黑" w:cs="宋体" w:hint="eastAsia"/>
          <w:kern w:val="0"/>
          <w:sz w:val="32"/>
          <w:szCs w:val="32"/>
        </w:rPr>
        <w:t>2022</w:t>
      </w:r>
      <w:r>
        <w:rPr>
          <w:rFonts w:ascii="仿宋_GB2312" w:hAnsi="微软雅黑" w:cs="宋体" w:hint="eastAsia"/>
          <w:kern w:val="0"/>
          <w:sz w:val="32"/>
          <w:szCs w:val="32"/>
        </w:rPr>
        <w:t>〕</w:t>
      </w:r>
      <w:r>
        <w:rPr>
          <w:rFonts w:ascii="仿宋_GB2312" w:hAnsi="微软雅黑" w:cs="宋体" w:hint="eastAsia"/>
          <w:kern w:val="0"/>
          <w:sz w:val="32"/>
          <w:szCs w:val="32"/>
        </w:rPr>
        <w:t>5</w:t>
      </w:r>
      <w:r>
        <w:rPr>
          <w:rFonts w:ascii="仿宋_GB2312" w:hAnsi="微软雅黑" w:cs="宋体" w:hint="eastAsia"/>
          <w:kern w:val="0"/>
          <w:sz w:val="32"/>
          <w:szCs w:val="32"/>
        </w:rPr>
        <w:t>号）提出要“加大水生态保护力度，消除</w:t>
      </w:r>
      <w:r>
        <w:rPr>
          <w:rFonts w:ascii="仿宋_GB2312" w:hAnsi="微软雅黑" w:cs="宋体" w:hint="eastAsia"/>
          <w:kern w:val="0"/>
          <w:sz w:val="32"/>
          <w:szCs w:val="32"/>
        </w:rPr>
        <w:t>劣Ⅴ</w:t>
      </w:r>
      <w:r>
        <w:rPr>
          <w:rFonts w:ascii="仿宋_GB2312" w:hAnsi="微软雅黑" w:cs="宋体" w:hint="eastAsia"/>
          <w:kern w:val="0"/>
          <w:sz w:val="32"/>
          <w:szCs w:val="32"/>
        </w:rPr>
        <w:t>类水体”“巩固提升饮用水安全保障水平”。《北京城市总体规划</w:t>
      </w:r>
      <w:r>
        <w:rPr>
          <w:rFonts w:ascii="仿宋_GB2312" w:hAnsi="微软雅黑" w:cs="宋体" w:hint="eastAsia"/>
          <w:kern w:val="0"/>
          <w:sz w:val="32"/>
          <w:szCs w:val="32"/>
        </w:rPr>
        <w:t>(2016</w:t>
      </w:r>
      <w:r>
        <w:rPr>
          <w:rFonts w:ascii="仿宋_GB2312" w:hAnsi="微软雅黑" w:cs="宋体" w:hint="eastAsia"/>
          <w:kern w:val="0"/>
          <w:sz w:val="32"/>
          <w:szCs w:val="32"/>
        </w:rPr>
        <w:t>年—</w:t>
      </w:r>
      <w:r>
        <w:rPr>
          <w:rFonts w:ascii="仿宋_GB2312" w:hAnsi="微软雅黑" w:cs="宋体" w:hint="eastAsia"/>
          <w:kern w:val="0"/>
          <w:sz w:val="32"/>
          <w:szCs w:val="32"/>
        </w:rPr>
        <w:t>2035</w:t>
      </w:r>
      <w:r>
        <w:rPr>
          <w:rFonts w:ascii="仿宋_GB2312" w:hAnsi="微软雅黑" w:cs="宋体" w:hint="eastAsia"/>
          <w:kern w:val="0"/>
          <w:sz w:val="32"/>
          <w:szCs w:val="32"/>
        </w:rPr>
        <w:t>年</w:t>
      </w:r>
      <w:r>
        <w:rPr>
          <w:rFonts w:ascii="仿宋_GB2312" w:hAnsi="微软雅黑" w:cs="宋体" w:hint="eastAsia"/>
          <w:kern w:val="0"/>
          <w:sz w:val="32"/>
          <w:szCs w:val="32"/>
        </w:rPr>
        <w:t>)</w:t>
      </w:r>
      <w:r>
        <w:rPr>
          <w:rFonts w:ascii="仿宋_GB2312" w:hAnsi="微软雅黑" w:cs="宋体" w:hint="eastAsia"/>
          <w:kern w:val="0"/>
          <w:sz w:val="32"/>
          <w:szCs w:val="32"/>
        </w:rPr>
        <w:t>》提出</w:t>
      </w:r>
      <w:r>
        <w:rPr>
          <w:rFonts w:ascii="仿宋_GB2312" w:hAnsi="微软雅黑" w:cs="宋体" w:hint="eastAsia"/>
          <w:kern w:val="0"/>
          <w:sz w:val="32"/>
          <w:szCs w:val="32"/>
        </w:rPr>
        <w:t>2035</w:t>
      </w:r>
      <w:r>
        <w:rPr>
          <w:rFonts w:ascii="仿宋_GB2312" w:hAnsi="微软雅黑" w:cs="宋体" w:hint="eastAsia"/>
          <w:kern w:val="0"/>
          <w:sz w:val="32"/>
          <w:szCs w:val="32"/>
        </w:rPr>
        <w:t>年发展目标为“建设天蓝、水清、森林环绕的生态城市”“到</w:t>
      </w:r>
      <w:r>
        <w:rPr>
          <w:rFonts w:ascii="仿宋_GB2312" w:hAnsi="微软雅黑" w:cs="宋体" w:hint="eastAsia"/>
          <w:kern w:val="0"/>
          <w:sz w:val="32"/>
          <w:szCs w:val="32"/>
        </w:rPr>
        <w:t>2035</w:t>
      </w:r>
      <w:r>
        <w:rPr>
          <w:rFonts w:ascii="仿宋_GB2312" w:hAnsi="微软雅黑" w:cs="宋体" w:hint="eastAsia"/>
          <w:kern w:val="0"/>
          <w:sz w:val="32"/>
          <w:szCs w:val="32"/>
        </w:rPr>
        <w:t>年全市城乡污水基本实现全处理，重要江河湖泊水功能区水质达标率达到</w:t>
      </w:r>
      <w:r>
        <w:rPr>
          <w:rFonts w:ascii="仿宋_GB2312" w:hAnsi="微软雅黑" w:cs="宋体" w:hint="eastAsia"/>
          <w:kern w:val="0"/>
          <w:sz w:val="32"/>
          <w:szCs w:val="32"/>
        </w:rPr>
        <w:t>95%</w:t>
      </w:r>
      <w:r>
        <w:rPr>
          <w:rFonts w:ascii="仿宋_GB2312" w:hAnsi="微软雅黑" w:cs="宋体" w:hint="eastAsia"/>
          <w:kern w:val="0"/>
          <w:sz w:val="32"/>
          <w:szCs w:val="32"/>
        </w:rPr>
        <w:t>以上，逐步恢复水生态系统功能”。</w:t>
      </w:r>
    </w:p>
    <w:p w:rsidR="00706F52" w:rsidRDefault="00DE41BA">
      <w:pPr>
        <w:adjustRightInd w:val="0"/>
        <w:snapToGrid w:val="0"/>
        <w:spacing w:line="360" w:lineRule="auto"/>
        <w:ind w:firstLineChars="200" w:firstLine="640"/>
        <w:rPr>
          <w:rFonts w:ascii="仿宋_GB2312" w:hAnsi="微软雅黑" w:cs="宋体"/>
          <w:kern w:val="0"/>
          <w:sz w:val="32"/>
          <w:szCs w:val="32"/>
        </w:rPr>
      </w:pPr>
      <w:r>
        <w:rPr>
          <w:rFonts w:ascii="仿宋_GB2312" w:hAnsi="微软雅黑" w:cs="宋体" w:hint="eastAsia"/>
          <w:kern w:val="0"/>
          <w:sz w:val="32"/>
          <w:szCs w:val="32"/>
        </w:rPr>
        <w:t>为提升北京市的饮用水安全保障能力，促进水环境质量全面改善，</w:t>
      </w:r>
      <w:r>
        <w:rPr>
          <w:rFonts w:ascii="仿宋_GB2312" w:hAnsi="微软雅黑" w:cs="宋体" w:hint="eastAsia"/>
          <w:kern w:val="0"/>
          <w:sz w:val="32"/>
          <w:szCs w:val="32"/>
        </w:rPr>
        <w:t>水生态环境高质量发展，北京市生态环境局（以下简称“市生态环境局”）申请实施饮用水水源地安全保障与流域水生态环境保护支撑项目（以下简称“项目”），</w:t>
      </w:r>
      <w:r>
        <w:rPr>
          <w:rFonts w:ascii="仿宋_GB2312" w:hAnsi="仿宋_GB2312" w:cs="仿宋_GB2312" w:hint="eastAsia"/>
          <w:sz w:val="32"/>
          <w:szCs w:val="32"/>
        </w:rPr>
        <w:t>由水生态环境处负责项</w:t>
      </w:r>
      <w:proofErr w:type="gramStart"/>
      <w:r>
        <w:rPr>
          <w:rFonts w:ascii="仿宋_GB2312" w:hAnsi="仿宋_GB2312" w:cs="仿宋_GB2312" w:hint="eastAsia"/>
          <w:sz w:val="32"/>
          <w:szCs w:val="32"/>
        </w:rPr>
        <w:t>目管理</w:t>
      </w:r>
      <w:proofErr w:type="gramEnd"/>
      <w:r>
        <w:rPr>
          <w:rFonts w:ascii="仿宋_GB2312" w:hAnsi="仿宋_GB2312" w:cs="仿宋_GB2312" w:hint="eastAsia"/>
          <w:sz w:val="32"/>
          <w:szCs w:val="32"/>
        </w:rPr>
        <w:t>并组织实施。</w:t>
      </w:r>
    </w:p>
    <w:p w:rsidR="00706F52" w:rsidRDefault="00DE41BA">
      <w:pPr>
        <w:adjustRightInd w:val="0"/>
        <w:snapToGrid w:val="0"/>
        <w:spacing w:line="360" w:lineRule="auto"/>
        <w:ind w:firstLineChars="200" w:firstLine="640"/>
        <w:outlineLvl w:val="2"/>
        <w:rPr>
          <w:rFonts w:ascii="仿宋_GB2312" w:hAnsi="宋体" w:cs="宋体"/>
          <w:kern w:val="0"/>
          <w:sz w:val="32"/>
          <w:szCs w:val="32"/>
        </w:rPr>
      </w:pPr>
      <w:bookmarkStart w:id="9" w:name="_Toc35588396"/>
      <w:r>
        <w:rPr>
          <w:rFonts w:ascii="仿宋_GB2312" w:hAnsi="宋体" w:cs="宋体" w:hint="eastAsia"/>
          <w:kern w:val="0"/>
          <w:sz w:val="32"/>
          <w:szCs w:val="32"/>
        </w:rPr>
        <w:t>2.</w:t>
      </w:r>
      <w:r>
        <w:rPr>
          <w:rFonts w:ascii="仿宋_GB2312" w:hAnsi="宋体" w:cs="宋体" w:hint="eastAsia"/>
          <w:kern w:val="0"/>
          <w:sz w:val="32"/>
          <w:szCs w:val="32"/>
        </w:rPr>
        <w:t>项目主要内容</w:t>
      </w:r>
      <w:bookmarkEnd w:id="9"/>
      <w:r>
        <w:rPr>
          <w:rFonts w:ascii="仿宋_GB2312" w:hAnsi="宋体" w:cs="宋体" w:hint="eastAsia"/>
          <w:kern w:val="0"/>
          <w:sz w:val="32"/>
          <w:szCs w:val="32"/>
        </w:rPr>
        <w:t>及实施情况</w:t>
      </w:r>
    </w:p>
    <w:p w:rsidR="00706F52" w:rsidRDefault="00DE41BA">
      <w:pPr>
        <w:adjustRightInd w:val="0"/>
        <w:snapToGrid w:val="0"/>
        <w:spacing w:line="360" w:lineRule="auto"/>
        <w:ind w:firstLineChars="200" w:firstLine="640"/>
        <w:rPr>
          <w:rFonts w:ascii="仿宋_GB2312" w:hAnsi="仿宋_GB2312" w:cs="仿宋_GB2312"/>
          <w:kern w:val="0"/>
          <w:sz w:val="32"/>
          <w:szCs w:val="32"/>
        </w:rPr>
      </w:pPr>
      <w:r>
        <w:rPr>
          <w:rFonts w:ascii="仿宋_GB2312" w:hAnsi="仿宋_GB2312" w:cs="仿宋_GB2312" w:hint="eastAsia"/>
          <w:kern w:val="0"/>
          <w:sz w:val="32"/>
          <w:szCs w:val="32"/>
        </w:rPr>
        <w:t>2023</w:t>
      </w:r>
      <w:r>
        <w:rPr>
          <w:rFonts w:ascii="仿宋_GB2312" w:hAnsi="仿宋_GB2312" w:cs="仿宋_GB2312" w:hint="eastAsia"/>
          <w:kern w:val="0"/>
          <w:sz w:val="32"/>
          <w:szCs w:val="32"/>
        </w:rPr>
        <w:t>年项目主要工作包括：</w:t>
      </w:r>
      <w:r>
        <w:rPr>
          <w:rFonts w:ascii="仿宋_GB2312" w:hAnsi="仿宋_GB2312" w:cs="仿宋_GB2312" w:hint="eastAsia"/>
          <w:sz w:val="32"/>
          <w:szCs w:val="32"/>
        </w:rPr>
        <w:t>饮用水水源地环境管理技术支撑、劣</w:t>
      </w:r>
      <w:r>
        <w:rPr>
          <w:rFonts w:ascii="仿宋_GB2312" w:hAnsi="仿宋_GB2312" w:cs="仿宋_GB2312" w:hint="eastAsia"/>
          <w:sz w:val="32"/>
          <w:szCs w:val="32"/>
        </w:rPr>
        <w:t>Ⅴ</w:t>
      </w:r>
      <w:r>
        <w:rPr>
          <w:rFonts w:ascii="仿宋_GB2312" w:hAnsi="仿宋_GB2312" w:cs="仿宋_GB2312" w:hint="eastAsia"/>
          <w:sz w:val="32"/>
          <w:szCs w:val="32"/>
        </w:rPr>
        <w:t>类及水生态环境保护重点问题第三方核查、北京市重点</w:t>
      </w:r>
      <w:r>
        <w:rPr>
          <w:rFonts w:ascii="仿宋_GB2312" w:hAnsi="仿宋_GB2312" w:cs="仿宋_GB2312" w:hint="eastAsia"/>
          <w:sz w:val="32"/>
          <w:szCs w:val="32"/>
        </w:rPr>
        <w:lastRenderedPageBreak/>
        <w:t>水体水功能区优化提升技术支撑三</w:t>
      </w:r>
      <w:r>
        <w:rPr>
          <w:rFonts w:ascii="仿宋_GB2312" w:hAnsi="仿宋_GB2312" w:cs="仿宋_GB2312" w:hint="eastAsia"/>
          <w:kern w:val="0"/>
          <w:sz w:val="32"/>
          <w:szCs w:val="32"/>
        </w:rPr>
        <w:t>部分内容。</w:t>
      </w:r>
    </w:p>
    <w:p w:rsidR="00706F52" w:rsidRDefault="00DE41BA">
      <w:pPr>
        <w:adjustRightInd w:val="0"/>
        <w:snapToGrid w:val="0"/>
        <w:spacing w:line="360" w:lineRule="auto"/>
        <w:ind w:firstLineChars="200" w:firstLine="643"/>
        <w:rPr>
          <w:rFonts w:ascii="仿宋_GB2312" w:hAnsi="宋体"/>
          <w:iCs/>
          <w:sz w:val="32"/>
          <w:szCs w:val="28"/>
        </w:rPr>
      </w:pPr>
      <w:r>
        <w:rPr>
          <w:rFonts w:ascii="仿宋_GB2312" w:hAnsi="仿宋_GB2312" w:cs="仿宋_GB2312" w:hint="eastAsia"/>
          <w:b/>
          <w:bCs/>
          <w:kern w:val="0"/>
          <w:sz w:val="32"/>
          <w:szCs w:val="32"/>
        </w:rPr>
        <w:t>（</w:t>
      </w:r>
      <w:r>
        <w:rPr>
          <w:rFonts w:ascii="仿宋_GB2312" w:hAnsi="仿宋_GB2312" w:cs="仿宋_GB2312" w:hint="eastAsia"/>
          <w:b/>
          <w:bCs/>
          <w:kern w:val="0"/>
          <w:sz w:val="32"/>
          <w:szCs w:val="32"/>
        </w:rPr>
        <w:t>1</w:t>
      </w:r>
      <w:r>
        <w:rPr>
          <w:rFonts w:ascii="仿宋_GB2312" w:hAnsi="仿宋_GB2312" w:cs="仿宋_GB2312" w:hint="eastAsia"/>
          <w:b/>
          <w:bCs/>
          <w:kern w:val="0"/>
          <w:sz w:val="32"/>
          <w:szCs w:val="32"/>
        </w:rPr>
        <w:t>）饮用水水源地环境管理技术支撑</w:t>
      </w:r>
      <w:r>
        <w:rPr>
          <w:rFonts w:ascii="仿宋_GB2312" w:hAnsi="宋体" w:hint="eastAsia"/>
          <w:b/>
          <w:bCs/>
          <w:iCs/>
          <w:sz w:val="32"/>
          <w:szCs w:val="28"/>
        </w:rPr>
        <w:t>：</w:t>
      </w:r>
      <w:r>
        <w:rPr>
          <w:rFonts w:ascii="仿宋_GB2312" w:hAnsi="宋体" w:hint="eastAsia"/>
          <w:iCs/>
          <w:sz w:val="32"/>
          <w:szCs w:val="28"/>
        </w:rPr>
        <w:t>完成市级或指导相关</w:t>
      </w:r>
      <w:proofErr w:type="gramStart"/>
      <w:r>
        <w:rPr>
          <w:rFonts w:ascii="仿宋_GB2312" w:hAnsi="宋体" w:hint="eastAsia"/>
          <w:iCs/>
          <w:sz w:val="32"/>
          <w:szCs w:val="28"/>
        </w:rPr>
        <w:t>区顺利</w:t>
      </w:r>
      <w:proofErr w:type="gramEnd"/>
      <w:r>
        <w:rPr>
          <w:rFonts w:ascii="仿宋_GB2312" w:hAnsi="宋体" w:hint="eastAsia"/>
          <w:iCs/>
          <w:sz w:val="32"/>
          <w:szCs w:val="28"/>
        </w:rPr>
        <w:t>完成辖区区级及以下饮用水水源地保护相关工作；补充完善保护区标志牌设置；开展北京市实施《潮河流域生态环境保护综合规划（</w:t>
      </w:r>
      <w:r>
        <w:rPr>
          <w:rFonts w:ascii="仿宋_GB2312" w:hAnsi="宋体" w:hint="eastAsia"/>
          <w:iCs/>
          <w:sz w:val="32"/>
          <w:szCs w:val="28"/>
        </w:rPr>
        <w:t>2019-2025</w:t>
      </w:r>
      <w:r>
        <w:rPr>
          <w:rFonts w:ascii="仿宋_GB2312" w:hAnsi="宋体" w:hint="eastAsia"/>
          <w:iCs/>
          <w:sz w:val="32"/>
          <w:szCs w:val="28"/>
        </w:rPr>
        <w:t>年）》情况分析。</w:t>
      </w:r>
    </w:p>
    <w:p w:rsidR="00706F52" w:rsidRDefault="00DE41BA">
      <w:pPr>
        <w:adjustRightInd w:val="0"/>
        <w:snapToGrid w:val="0"/>
        <w:spacing w:line="360" w:lineRule="auto"/>
        <w:ind w:firstLineChars="200" w:firstLine="643"/>
        <w:rPr>
          <w:rFonts w:ascii="仿宋_GB2312" w:hAnsi="宋体"/>
          <w:iCs/>
          <w:sz w:val="32"/>
          <w:szCs w:val="28"/>
        </w:rPr>
      </w:pPr>
      <w:r>
        <w:rPr>
          <w:rFonts w:ascii="仿宋_GB2312" w:hAnsi="仿宋_GB2312" w:cs="仿宋_GB2312" w:hint="eastAsia"/>
          <w:b/>
          <w:bCs/>
          <w:kern w:val="0"/>
          <w:sz w:val="32"/>
          <w:szCs w:val="32"/>
        </w:rPr>
        <w:t>（</w:t>
      </w:r>
      <w:r>
        <w:rPr>
          <w:rFonts w:ascii="仿宋_GB2312" w:hAnsi="仿宋_GB2312" w:cs="仿宋_GB2312" w:hint="eastAsia"/>
          <w:b/>
          <w:bCs/>
          <w:kern w:val="0"/>
          <w:sz w:val="32"/>
          <w:szCs w:val="32"/>
        </w:rPr>
        <w:t>2</w:t>
      </w:r>
      <w:r>
        <w:rPr>
          <w:rFonts w:ascii="仿宋_GB2312" w:hAnsi="仿宋_GB2312" w:cs="仿宋_GB2312" w:hint="eastAsia"/>
          <w:b/>
          <w:bCs/>
          <w:kern w:val="0"/>
          <w:sz w:val="32"/>
          <w:szCs w:val="32"/>
        </w:rPr>
        <w:t>）</w:t>
      </w:r>
      <w:r>
        <w:rPr>
          <w:rFonts w:ascii="仿宋_GB2312" w:hAnsi="宋体" w:hint="eastAsia"/>
          <w:b/>
          <w:bCs/>
          <w:iCs/>
          <w:sz w:val="32"/>
          <w:szCs w:val="28"/>
        </w:rPr>
        <w:t>劣</w:t>
      </w:r>
      <w:r>
        <w:rPr>
          <w:rFonts w:ascii="仿宋_GB2312" w:hAnsi="宋体" w:hint="eastAsia"/>
          <w:b/>
          <w:bCs/>
          <w:iCs/>
          <w:sz w:val="32"/>
          <w:szCs w:val="28"/>
        </w:rPr>
        <w:t>Ⅴ</w:t>
      </w:r>
      <w:r>
        <w:rPr>
          <w:rFonts w:ascii="仿宋_GB2312" w:hAnsi="宋体" w:hint="eastAsia"/>
          <w:b/>
          <w:bCs/>
          <w:iCs/>
          <w:sz w:val="32"/>
          <w:szCs w:val="28"/>
        </w:rPr>
        <w:t>类及水生态环境保护重点问题第三方核查：</w:t>
      </w:r>
      <w:r>
        <w:rPr>
          <w:rFonts w:ascii="仿宋_GB2312" w:hAnsi="宋体" w:hint="eastAsia"/>
          <w:iCs/>
          <w:sz w:val="32"/>
          <w:szCs w:val="28"/>
        </w:rPr>
        <w:t>完成劣Ⅴ类水体、农村饮用水水源保护区内环境状况、农村污水处理设施运行情况以及排污口整治情况核查相关工作。</w:t>
      </w:r>
    </w:p>
    <w:p w:rsidR="00706F52" w:rsidRDefault="00DE41BA">
      <w:pPr>
        <w:adjustRightInd w:val="0"/>
        <w:snapToGrid w:val="0"/>
        <w:spacing w:line="360" w:lineRule="auto"/>
        <w:ind w:firstLineChars="200" w:firstLine="643"/>
        <w:rPr>
          <w:rFonts w:ascii="仿宋_GB2312" w:hAnsi="仿宋_GB2312" w:cs="仿宋_GB2312"/>
          <w:kern w:val="0"/>
          <w:sz w:val="32"/>
          <w:szCs w:val="32"/>
        </w:rPr>
      </w:pPr>
      <w:r>
        <w:rPr>
          <w:rFonts w:ascii="仿宋_GB2312" w:hAnsi="宋体" w:hint="eastAsia"/>
          <w:b/>
          <w:bCs/>
          <w:iCs/>
          <w:sz w:val="32"/>
          <w:szCs w:val="28"/>
        </w:rPr>
        <w:t>（</w:t>
      </w:r>
      <w:r>
        <w:rPr>
          <w:rFonts w:ascii="仿宋_GB2312" w:hAnsi="宋体" w:hint="eastAsia"/>
          <w:b/>
          <w:bCs/>
          <w:iCs/>
          <w:sz w:val="32"/>
          <w:szCs w:val="28"/>
        </w:rPr>
        <w:t>3</w:t>
      </w:r>
      <w:r>
        <w:rPr>
          <w:rFonts w:ascii="仿宋_GB2312" w:hAnsi="宋体" w:hint="eastAsia"/>
          <w:b/>
          <w:bCs/>
          <w:iCs/>
          <w:sz w:val="32"/>
          <w:szCs w:val="28"/>
        </w:rPr>
        <w:t>）北京市重点水体水功能区优化提升技术支撑：</w:t>
      </w:r>
      <w:r>
        <w:rPr>
          <w:rFonts w:ascii="仿宋_GB2312" w:hAnsi="宋体" w:hint="eastAsia"/>
          <w:iCs/>
          <w:sz w:val="32"/>
          <w:szCs w:val="28"/>
        </w:rPr>
        <w:t>开展重点水体水功能区内水资源、水生态和水环境调研与总体效果评估工作，对北京市水生态管理目标指标及措施进行优化和完善，探索重点区域水功能区</w:t>
      </w:r>
      <w:r>
        <w:rPr>
          <w:rFonts w:ascii="仿宋_GB2312" w:hAnsi="宋体" w:hint="eastAsia"/>
          <w:iCs/>
          <w:sz w:val="32"/>
          <w:szCs w:val="28"/>
        </w:rPr>
        <w:t>水生态产品价值实现、区域再生水循环利用领域的可行路径。</w:t>
      </w:r>
    </w:p>
    <w:p w:rsidR="00706F52" w:rsidRDefault="00DE41BA">
      <w:pPr>
        <w:adjustRightInd w:val="0"/>
        <w:snapToGrid w:val="0"/>
        <w:spacing w:line="360" w:lineRule="auto"/>
        <w:ind w:firstLineChars="200" w:firstLine="640"/>
        <w:rPr>
          <w:rFonts w:ascii="仿宋_GB2312" w:hAnsi="宋体" w:cs="宋体"/>
          <w:kern w:val="0"/>
          <w:sz w:val="32"/>
          <w:szCs w:val="32"/>
        </w:rPr>
      </w:pPr>
      <w:r>
        <w:rPr>
          <w:rFonts w:ascii="仿宋_GB2312" w:hAnsi="宋体" w:hint="eastAsia"/>
          <w:iCs/>
          <w:sz w:val="32"/>
          <w:szCs w:val="28"/>
        </w:rPr>
        <w:t>项目跨年实施，</w:t>
      </w:r>
      <w:r>
        <w:rPr>
          <w:rFonts w:ascii="仿宋_GB2312" w:hAnsi="宋体" w:hint="eastAsia"/>
          <w:iCs/>
          <w:sz w:val="32"/>
          <w:szCs w:val="28"/>
        </w:rPr>
        <w:t>截至</w:t>
      </w:r>
      <w:r>
        <w:rPr>
          <w:rFonts w:ascii="仿宋_GB2312" w:hAnsi="宋体" w:hint="eastAsia"/>
          <w:iCs/>
          <w:sz w:val="32"/>
          <w:szCs w:val="28"/>
        </w:rPr>
        <w:t>2023</w:t>
      </w:r>
      <w:r>
        <w:rPr>
          <w:rFonts w:ascii="仿宋_GB2312" w:hAnsi="宋体" w:hint="eastAsia"/>
          <w:iCs/>
          <w:sz w:val="32"/>
          <w:szCs w:val="28"/>
        </w:rPr>
        <w:t>年</w:t>
      </w:r>
      <w:r>
        <w:rPr>
          <w:rFonts w:ascii="仿宋_GB2312" w:hAnsi="宋体" w:hint="eastAsia"/>
          <w:iCs/>
          <w:sz w:val="32"/>
          <w:szCs w:val="28"/>
        </w:rPr>
        <w:t>12</w:t>
      </w:r>
      <w:r>
        <w:rPr>
          <w:rFonts w:ascii="仿宋_GB2312" w:hAnsi="宋体" w:hint="eastAsia"/>
          <w:iCs/>
          <w:sz w:val="32"/>
          <w:szCs w:val="28"/>
        </w:rPr>
        <w:t>月</w:t>
      </w:r>
      <w:r>
        <w:rPr>
          <w:rFonts w:ascii="仿宋_GB2312" w:hAnsi="宋体" w:hint="eastAsia"/>
          <w:iCs/>
          <w:sz w:val="32"/>
          <w:szCs w:val="28"/>
        </w:rPr>
        <w:t>31</w:t>
      </w:r>
      <w:r>
        <w:rPr>
          <w:rFonts w:ascii="仿宋_GB2312" w:hAnsi="宋体" w:hint="eastAsia"/>
          <w:iCs/>
          <w:sz w:val="32"/>
          <w:szCs w:val="28"/>
        </w:rPr>
        <w:t>日，尚未完成项目工作内容。但根据项目合同，</w:t>
      </w:r>
      <w:r>
        <w:rPr>
          <w:rFonts w:ascii="仿宋_GB2312"/>
          <w:sz w:val="32"/>
          <w:szCs w:val="32"/>
        </w:rPr>
        <w:t>饮用水水源地环境管理技术支撑</w:t>
      </w:r>
      <w:r>
        <w:rPr>
          <w:rFonts w:ascii="仿宋_GB2312" w:hint="eastAsia"/>
          <w:sz w:val="32"/>
          <w:szCs w:val="32"/>
        </w:rPr>
        <w:t>、劣</w:t>
      </w:r>
      <w:r>
        <w:rPr>
          <w:rFonts w:ascii="仿宋_GB2312" w:hint="eastAsia"/>
          <w:sz w:val="32"/>
          <w:szCs w:val="32"/>
        </w:rPr>
        <w:t>Ⅴ</w:t>
      </w:r>
      <w:r>
        <w:rPr>
          <w:rFonts w:ascii="仿宋_GB2312" w:hint="eastAsia"/>
          <w:sz w:val="32"/>
          <w:szCs w:val="32"/>
        </w:rPr>
        <w:t>类及水生态环境保护工作第三方核查、北京市水功能区划调整技术支撑等三个子项内容</w:t>
      </w:r>
      <w:r>
        <w:rPr>
          <w:rFonts w:ascii="仿宋_GB2312" w:hint="eastAsia"/>
          <w:sz w:val="32"/>
          <w:szCs w:val="32"/>
        </w:rPr>
        <w:t>，</w:t>
      </w:r>
      <w:r>
        <w:rPr>
          <w:rFonts w:ascii="仿宋_GB2312" w:hint="eastAsia"/>
          <w:sz w:val="32"/>
          <w:szCs w:val="32"/>
        </w:rPr>
        <w:t>均</w:t>
      </w:r>
      <w:r>
        <w:rPr>
          <w:rFonts w:ascii="仿宋_GB2312" w:hint="eastAsia"/>
          <w:sz w:val="32"/>
          <w:szCs w:val="32"/>
        </w:rPr>
        <w:t>在合同约定时间</w:t>
      </w:r>
      <w:r>
        <w:rPr>
          <w:rFonts w:ascii="仿宋_GB2312" w:hint="eastAsia"/>
          <w:sz w:val="32"/>
          <w:szCs w:val="32"/>
        </w:rPr>
        <w:t>2024</w:t>
      </w:r>
      <w:r>
        <w:rPr>
          <w:rFonts w:ascii="仿宋_GB2312" w:hint="eastAsia"/>
          <w:sz w:val="32"/>
          <w:szCs w:val="32"/>
        </w:rPr>
        <w:t>年</w:t>
      </w:r>
      <w:r>
        <w:rPr>
          <w:rFonts w:ascii="仿宋_GB2312" w:hint="eastAsia"/>
          <w:sz w:val="32"/>
          <w:szCs w:val="32"/>
        </w:rPr>
        <w:t>3</w:t>
      </w:r>
      <w:r>
        <w:rPr>
          <w:rFonts w:ascii="仿宋_GB2312" w:hint="eastAsia"/>
          <w:sz w:val="32"/>
          <w:szCs w:val="32"/>
        </w:rPr>
        <w:t>月</w:t>
      </w:r>
      <w:r>
        <w:rPr>
          <w:rFonts w:ascii="仿宋_GB2312" w:hint="eastAsia"/>
          <w:sz w:val="32"/>
          <w:szCs w:val="32"/>
        </w:rPr>
        <w:t>31</w:t>
      </w:r>
      <w:r>
        <w:rPr>
          <w:rFonts w:ascii="仿宋_GB2312" w:hint="eastAsia"/>
          <w:sz w:val="32"/>
          <w:szCs w:val="32"/>
        </w:rPr>
        <w:t>日前完成了相关工作，并形成了成果报告</w:t>
      </w:r>
      <w:r>
        <w:rPr>
          <w:rFonts w:ascii="仿宋_GB2312" w:hint="eastAsia"/>
          <w:sz w:val="32"/>
          <w:szCs w:val="32"/>
        </w:rPr>
        <w:t>。</w:t>
      </w:r>
      <w:bookmarkStart w:id="10" w:name="_Toc35588397"/>
    </w:p>
    <w:p w:rsidR="00706F52" w:rsidRDefault="00DE41BA">
      <w:pPr>
        <w:adjustRightInd w:val="0"/>
        <w:snapToGrid w:val="0"/>
        <w:spacing w:line="360" w:lineRule="auto"/>
        <w:ind w:firstLineChars="200" w:firstLine="640"/>
        <w:outlineLvl w:val="2"/>
        <w:rPr>
          <w:rFonts w:ascii="仿宋_GB2312" w:hAnsi="宋体" w:cs="宋体"/>
          <w:kern w:val="0"/>
          <w:sz w:val="32"/>
          <w:szCs w:val="32"/>
        </w:rPr>
      </w:pPr>
      <w:r>
        <w:rPr>
          <w:rFonts w:ascii="仿宋_GB2312" w:hAnsi="宋体" w:cs="宋体" w:hint="eastAsia"/>
          <w:kern w:val="0"/>
          <w:sz w:val="32"/>
          <w:szCs w:val="32"/>
        </w:rPr>
        <w:t>3.</w:t>
      </w:r>
      <w:r>
        <w:rPr>
          <w:rFonts w:ascii="仿宋_GB2312" w:hAnsi="宋体" w:cs="宋体" w:hint="eastAsia"/>
          <w:kern w:val="0"/>
          <w:sz w:val="32"/>
          <w:szCs w:val="32"/>
        </w:rPr>
        <w:t>项目资金投入</w:t>
      </w:r>
      <w:bookmarkEnd w:id="10"/>
      <w:r>
        <w:rPr>
          <w:rFonts w:ascii="仿宋_GB2312" w:hAnsi="宋体" w:cs="宋体" w:hint="eastAsia"/>
          <w:kern w:val="0"/>
          <w:sz w:val="32"/>
          <w:szCs w:val="32"/>
        </w:rPr>
        <w:t>和使用情况</w:t>
      </w:r>
    </w:p>
    <w:p w:rsidR="00706F52" w:rsidRDefault="00DE41BA">
      <w:pPr>
        <w:adjustRightInd w:val="0"/>
        <w:snapToGrid w:val="0"/>
        <w:spacing w:line="360" w:lineRule="auto"/>
        <w:ind w:firstLineChars="200" w:firstLine="640"/>
        <w:rPr>
          <w:rFonts w:ascii="黑体" w:eastAsia="黑体" w:hAnsi="黑体"/>
          <w:kern w:val="0"/>
          <w:sz w:val="28"/>
          <w:szCs w:val="28"/>
        </w:rPr>
      </w:pPr>
      <w:r>
        <w:rPr>
          <w:rFonts w:ascii="仿宋_GB2312" w:hAnsi="仿宋_GB2312" w:cs="仿宋_GB2312" w:hint="eastAsia"/>
          <w:bCs/>
          <w:kern w:val="0"/>
          <w:sz w:val="32"/>
          <w:szCs w:val="32"/>
        </w:rPr>
        <w:t>2023</w:t>
      </w:r>
      <w:r>
        <w:rPr>
          <w:rFonts w:ascii="仿宋_GB2312" w:hAnsi="仿宋_GB2312" w:cs="仿宋_GB2312" w:hint="eastAsia"/>
          <w:bCs/>
          <w:kern w:val="0"/>
          <w:sz w:val="32"/>
          <w:szCs w:val="32"/>
        </w:rPr>
        <w:t>年项目申请财政资金</w:t>
      </w:r>
      <w:r>
        <w:rPr>
          <w:rFonts w:ascii="仿宋_GB2312" w:hAnsi="仿宋_GB2312" w:cs="仿宋_GB2312" w:hint="eastAsia"/>
          <w:bCs/>
          <w:kern w:val="0"/>
          <w:sz w:val="32"/>
          <w:szCs w:val="32"/>
        </w:rPr>
        <w:t>465.05</w:t>
      </w:r>
      <w:r>
        <w:rPr>
          <w:rFonts w:ascii="仿宋_GB2312" w:hAnsi="仿宋_GB2312" w:cs="仿宋_GB2312" w:hint="eastAsia"/>
          <w:bCs/>
          <w:kern w:val="0"/>
          <w:sz w:val="32"/>
          <w:szCs w:val="32"/>
        </w:rPr>
        <w:t>万元，实际批复资金</w:t>
      </w:r>
      <w:r>
        <w:rPr>
          <w:rFonts w:ascii="仿宋_GB2312" w:hAnsi="仿宋_GB2312" w:cs="仿宋_GB2312" w:hint="eastAsia"/>
          <w:bCs/>
          <w:kern w:val="0"/>
          <w:sz w:val="32"/>
          <w:szCs w:val="32"/>
        </w:rPr>
        <w:lastRenderedPageBreak/>
        <w:t>465.05</w:t>
      </w:r>
      <w:r>
        <w:rPr>
          <w:rFonts w:ascii="仿宋_GB2312" w:hAnsi="仿宋_GB2312" w:cs="仿宋_GB2312" w:hint="eastAsia"/>
          <w:bCs/>
          <w:kern w:val="0"/>
          <w:sz w:val="32"/>
          <w:szCs w:val="32"/>
        </w:rPr>
        <w:t>万元。其中，</w:t>
      </w:r>
      <w:r>
        <w:rPr>
          <w:rFonts w:ascii="仿宋_GB2312" w:hAnsi="仿宋_GB2312" w:cs="仿宋_GB2312" w:hint="eastAsia"/>
          <w:sz w:val="32"/>
          <w:szCs w:val="32"/>
        </w:rPr>
        <w:t>饮用水水源地环境管理技术支撑</w:t>
      </w:r>
      <w:r>
        <w:rPr>
          <w:rFonts w:ascii="仿宋_GB2312" w:hAnsi="仿宋_GB2312" w:cs="仿宋_GB2312" w:hint="eastAsia"/>
          <w:bCs/>
          <w:kern w:val="0"/>
          <w:sz w:val="32"/>
          <w:szCs w:val="32"/>
        </w:rPr>
        <w:t>193.60</w:t>
      </w:r>
      <w:r>
        <w:rPr>
          <w:rFonts w:ascii="仿宋_GB2312" w:hAnsi="仿宋_GB2312" w:cs="仿宋_GB2312" w:hint="eastAsia"/>
          <w:sz w:val="32"/>
          <w:szCs w:val="32"/>
        </w:rPr>
        <w:t>万元、劣</w:t>
      </w:r>
      <w:r>
        <w:rPr>
          <w:rFonts w:ascii="仿宋_GB2312" w:hAnsi="仿宋_GB2312" w:cs="仿宋_GB2312" w:hint="eastAsia"/>
          <w:sz w:val="32"/>
          <w:szCs w:val="32"/>
        </w:rPr>
        <w:t>Ⅴ</w:t>
      </w:r>
      <w:r>
        <w:rPr>
          <w:rFonts w:ascii="仿宋_GB2312" w:hAnsi="仿宋_GB2312" w:cs="仿宋_GB2312" w:hint="eastAsia"/>
          <w:sz w:val="32"/>
          <w:szCs w:val="32"/>
        </w:rPr>
        <w:t>类及水生态环境保护重点问题第三方核查</w:t>
      </w:r>
      <w:r>
        <w:rPr>
          <w:rFonts w:ascii="仿宋_GB2312" w:hAnsi="仿宋_GB2312" w:cs="仿宋_GB2312" w:hint="eastAsia"/>
          <w:bCs/>
          <w:kern w:val="0"/>
          <w:sz w:val="32"/>
          <w:szCs w:val="32"/>
        </w:rPr>
        <w:t>103.67</w:t>
      </w:r>
      <w:r>
        <w:rPr>
          <w:rFonts w:ascii="仿宋_GB2312" w:hAnsi="仿宋_GB2312" w:cs="仿宋_GB2312" w:hint="eastAsia"/>
          <w:sz w:val="32"/>
          <w:szCs w:val="32"/>
        </w:rPr>
        <w:t>万元、北京市重点水体水功能区优化提升技术支撑</w:t>
      </w:r>
      <w:r>
        <w:rPr>
          <w:rFonts w:ascii="仿宋_GB2312" w:hAnsi="仿宋_GB2312" w:cs="仿宋_GB2312" w:hint="eastAsia"/>
          <w:bCs/>
          <w:kern w:val="0"/>
          <w:sz w:val="32"/>
          <w:szCs w:val="32"/>
        </w:rPr>
        <w:t>167.78</w:t>
      </w:r>
      <w:r>
        <w:rPr>
          <w:rFonts w:ascii="仿宋_GB2312" w:hAnsi="仿宋_GB2312" w:cs="仿宋_GB2312" w:hint="eastAsia"/>
          <w:bCs/>
          <w:kern w:val="0"/>
          <w:sz w:val="32"/>
          <w:szCs w:val="32"/>
        </w:rPr>
        <w:t>万元</w:t>
      </w:r>
      <w:r>
        <w:rPr>
          <w:rFonts w:ascii="仿宋_GB2312" w:hAnsi="仿宋_GB2312" w:cs="仿宋_GB2312" w:hint="eastAsia"/>
          <w:bCs/>
          <w:kern w:val="0"/>
          <w:sz w:val="32"/>
          <w:szCs w:val="32"/>
        </w:rPr>
        <w:t>。截至</w:t>
      </w:r>
      <w:r>
        <w:rPr>
          <w:rFonts w:ascii="仿宋_GB2312" w:hAnsi="仿宋_GB2312" w:cs="仿宋_GB2312" w:hint="eastAsia"/>
          <w:bCs/>
          <w:kern w:val="0"/>
          <w:sz w:val="32"/>
          <w:szCs w:val="32"/>
        </w:rPr>
        <w:t>2023</w:t>
      </w:r>
      <w:r>
        <w:rPr>
          <w:rFonts w:ascii="仿宋_GB2312" w:hAnsi="仿宋_GB2312" w:cs="仿宋_GB2312" w:hint="eastAsia"/>
          <w:bCs/>
          <w:kern w:val="0"/>
          <w:sz w:val="32"/>
          <w:szCs w:val="32"/>
        </w:rPr>
        <w:t>年</w:t>
      </w:r>
      <w:r>
        <w:rPr>
          <w:rFonts w:ascii="仿宋_GB2312" w:hAnsi="仿宋_GB2312" w:cs="仿宋_GB2312" w:hint="eastAsia"/>
          <w:bCs/>
          <w:kern w:val="0"/>
          <w:sz w:val="32"/>
          <w:szCs w:val="32"/>
        </w:rPr>
        <w:t>12</w:t>
      </w:r>
      <w:r>
        <w:rPr>
          <w:rFonts w:ascii="仿宋_GB2312" w:hAnsi="仿宋_GB2312" w:cs="仿宋_GB2312" w:hint="eastAsia"/>
          <w:bCs/>
          <w:kern w:val="0"/>
          <w:sz w:val="32"/>
          <w:szCs w:val="32"/>
        </w:rPr>
        <w:t>月</w:t>
      </w:r>
      <w:r>
        <w:rPr>
          <w:rFonts w:ascii="仿宋_GB2312" w:hAnsi="仿宋_GB2312" w:cs="仿宋_GB2312" w:hint="eastAsia"/>
          <w:bCs/>
          <w:kern w:val="0"/>
          <w:sz w:val="32"/>
          <w:szCs w:val="32"/>
        </w:rPr>
        <w:t>31</w:t>
      </w:r>
      <w:r>
        <w:rPr>
          <w:rFonts w:ascii="仿宋_GB2312" w:hAnsi="仿宋_GB2312" w:cs="仿宋_GB2312" w:hint="eastAsia"/>
          <w:bCs/>
          <w:kern w:val="0"/>
          <w:sz w:val="32"/>
          <w:szCs w:val="32"/>
        </w:rPr>
        <w:t>日，项目实际支出</w:t>
      </w:r>
      <w:r>
        <w:rPr>
          <w:rFonts w:ascii="仿宋_GB2312" w:hAnsi="仿宋_GB2312" w:cs="仿宋_GB2312" w:hint="eastAsia"/>
          <w:bCs/>
          <w:kern w:val="0"/>
          <w:sz w:val="32"/>
          <w:szCs w:val="32"/>
        </w:rPr>
        <w:t>463.60</w:t>
      </w:r>
      <w:r>
        <w:rPr>
          <w:rFonts w:ascii="仿宋_GB2312" w:hAnsi="仿宋_GB2312" w:cs="仿宋_GB2312" w:hint="eastAsia"/>
          <w:bCs/>
          <w:kern w:val="0"/>
          <w:sz w:val="32"/>
          <w:szCs w:val="32"/>
        </w:rPr>
        <w:t>万元，预算执行率</w:t>
      </w:r>
      <w:r>
        <w:rPr>
          <w:rFonts w:ascii="仿宋_GB2312" w:hAnsi="仿宋_GB2312" w:cs="仿宋_GB2312" w:hint="eastAsia"/>
          <w:bCs/>
          <w:kern w:val="0"/>
          <w:sz w:val="32"/>
          <w:szCs w:val="32"/>
        </w:rPr>
        <w:t>99.69%</w:t>
      </w:r>
      <w:r>
        <w:rPr>
          <w:rFonts w:ascii="仿宋_GB2312" w:hAnsi="仿宋_GB2312" w:cs="仿宋_GB2312" w:hint="eastAsia"/>
          <w:iCs/>
          <w:kern w:val="0"/>
          <w:sz w:val="32"/>
          <w:szCs w:val="32"/>
        </w:rPr>
        <w:t>。</w:t>
      </w:r>
      <w:r>
        <w:rPr>
          <w:rFonts w:ascii="仿宋_GB2312" w:hAnsi="宋体" w:hint="eastAsia"/>
          <w:bCs/>
          <w:kern w:val="0"/>
          <w:sz w:val="32"/>
          <w:szCs w:val="32"/>
        </w:rPr>
        <w:t>项目预算执行情况见下表</w:t>
      </w:r>
      <w:r>
        <w:rPr>
          <w:rFonts w:ascii="仿宋_GB2312" w:hAnsi="宋体" w:hint="eastAsia"/>
          <w:bCs/>
          <w:kern w:val="0"/>
          <w:sz w:val="32"/>
          <w:szCs w:val="32"/>
        </w:rPr>
        <w:t>1</w:t>
      </w:r>
      <w:r>
        <w:rPr>
          <w:rFonts w:ascii="仿宋_GB2312" w:hAnsi="宋体" w:hint="eastAsia"/>
          <w:bCs/>
          <w:kern w:val="0"/>
          <w:sz w:val="32"/>
          <w:szCs w:val="32"/>
        </w:rPr>
        <w:t>。</w:t>
      </w:r>
    </w:p>
    <w:p w:rsidR="00706F52" w:rsidRDefault="00DE41BA">
      <w:pPr>
        <w:adjustRightInd w:val="0"/>
        <w:snapToGrid w:val="0"/>
        <w:spacing w:line="360" w:lineRule="auto"/>
        <w:ind w:firstLineChars="200" w:firstLine="560"/>
        <w:jc w:val="center"/>
        <w:rPr>
          <w:rFonts w:ascii="仿宋_GB2312" w:hAnsi="宋体" w:cs="宋体"/>
          <w:iCs/>
          <w:kern w:val="0"/>
          <w:sz w:val="32"/>
          <w:szCs w:val="32"/>
        </w:rPr>
      </w:pPr>
      <w:r>
        <w:rPr>
          <w:rFonts w:ascii="黑体" w:eastAsia="黑体" w:hAnsi="黑体" w:hint="eastAsia"/>
          <w:kern w:val="0"/>
          <w:sz w:val="28"/>
          <w:szCs w:val="28"/>
        </w:rPr>
        <w:t>表</w:t>
      </w:r>
      <w:r>
        <w:rPr>
          <w:rFonts w:ascii="黑体" w:eastAsia="黑体" w:hAnsi="黑体" w:hint="eastAsia"/>
          <w:kern w:val="0"/>
          <w:sz w:val="28"/>
          <w:szCs w:val="28"/>
        </w:rPr>
        <w:t>1</w:t>
      </w:r>
      <w:r>
        <w:rPr>
          <w:rFonts w:ascii="黑体" w:eastAsia="黑体" w:hAnsi="黑体" w:hint="eastAsia"/>
          <w:kern w:val="0"/>
          <w:sz w:val="28"/>
          <w:szCs w:val="28"/>
        </w:rPr>
        <w:t>：项目预算执行情况对照表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2779"/>
        <w:gridCol w:w="1300"/>
        <w:gridCol w:w="1256"/>
        <w:gridCol w:w="1423"/>
        <w:gridCol w:w="1684"/>
      </w:tblGrid>
      <w:tr w:rsidR="00706F52">
        <w:trPr>
          <w:trHeight w:val="567"/>
          <w:jc w:val="center"/>
        </w:trPr>
        <w:tc>
          <w:tcPr>
            <w:tcW w:w="618" w:type="dxa"/>
            <w:vAlign w:val="center"/>
          </w:tcPr>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序号</w:t>
            </w:r>
          </w:p>
        </w:tc>
        <w:tc>
          <w:tcPr>
            <w:tcW w:w="2779" w:type="dxa"/>
            <w:vAlign w:val="center"/>
          </w:tcPr>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支出内容</w:t>
            </w:r>
          </w:p>
        </w:tc>
        <w:tc>
          <w:tcPr>
            <w:tcW w:w="1300" w:type="dxa"/>
            <w:vAlign w:val="center"/>
          </w:tcPr>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预算批复数（万元）</w:t>
            </w:r>
          </w:p>
        </w:tc>
        <w:tc>
          <w:tcPr>
            <w:tcW w:w="1256" w:type="dxa"/>
            <w:vAlign w:val="center"/>
          </w:tcPr>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实际支出数（万元）</w:t>
            </w:r>
          </w:p>
        </w:tc>
        <w:tc>
          <w:tcPr>
            <w:tcW w:w="1423" w:type="dxa"/>
            <w:vAlign w:val="center"/>
          </w:tcPr>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差异</w:t>
            </w:r>
          </w:p>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（预算</w:t>
            </w:r>
            <w:r>
              <w:rPr>
                <w:rFonts w:ascii="宋体" w:eastAsia="宋体" w:hAnsi="宋体" w:hint="eastAsia"/>
                <w:b/>
                <w:bCs/>
                <w:iCs/>
                <w:sz w:val="20"/>
                <w:szCs w:val="20"/>
              </w:rPr>
              <w:t>-</w:t>
            </w:r>
            <w:r>
              <w:rPr>
                <w:rFonts w:ascii="宋体" w:eastAsia="宋体" w:hAnsi="宋体" w:hint="eastAsia"/>
                <w:b/>
                <w:bCs/>
                <w:iCs/>
                <w:sz w:val="20"/>
                <w:szCs w:val="20"/>
              </w:rPr>
              <w:t>支出）</w:t>
            </w:r>
          </w:p>
        </w:tc>
        <w:tc>
          <w:tcPr>
            <w:tcW w:w="1684" w:type="dxa"/>
            <w:vAlign w:val="center"/>
          </w:tcPr>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差异原因</w:t>
            </w:r>
          </w:p>
        </w:tc>
      </w:tr>
      <w:tr w:rsidR="00706F52">
        <w:trPr>
          <w:trHeight w:val="567"/>
          <w:jc w:val="center"/>
        </w:trPr>
        <w:tc>
          <w:tcPr>
            <w:tcW w:w="618" w:type="dxa"/>
            <w:vAlign w:val="center"/>
          </w:tcPr>
          <w:p w:rsidR="00706F52" w:rsidRDefault="00DE41BA">
            <w:pPr>
              <w:adjustRightInd w:val="0"/>
              <w:snapToGrid w:val="0"/>
              <w:jc w:val="center"/>
              <w:rPr>
                <w:rFonts w:ascii="宋体" w:eastAsia="宋体" w:hAnsi="宋体"/>
                <w:iCs/>
                <w:sz w:val="20"/>
                <w:szCs w:val="20"/>
              </w:rPr>
            </w:pPr>
            <w:r>
              <w:rPr>
                <w:rFonts w:ascii="宋体" w:eastAsia="宋体" w:hAnsi="宋体" w:hint="eastAsia"/>
                <w:iCs/>
                <w:sz w:val="20"/>
                <w:szCs w:val="20"/>
              </w:rPr>
              <w:t>1</w:t>
            </w:r>
          </w:p>
        </w:tc>
        <w:tc>
          <w:tcPr>
            <w:tcW w:w="2779" w:type="dxa"/>
            <w:vAlign w:val="center"/>
          </w:tcPr>
          <w:p w:rsidR="00706F52" w:rsidRDefault="00DE41BA">
            <w:pPr>
              <w:adjustRightInd w:val="0"/>
              <w:snapToGrid w:val="0"/>
              <w:jc w:val="center"/>
              <w:rPr>
                <w:rFonts w:ascii="宋体" w:eastAsia="宋体" w:hAnsi="宋体"/>
                <w:iCs/>
                <w:sz w:val="20"/>
                <w:szCs w:val="20"/>
              </w:rPr>
            </w:pPr>
            <w:r>
              <w:rPr>
                <w:rFonts w:ascii="宋体" w:eastAsia="宋体" w:hAnsi="宋体" w:hint="eastAsia"/>
                <w:iCs/>
                <w:sz w:val="20"/>
                <w:szCs w:val="20"/>
              </w:rPr>
              <w:t>饮用水水源地环境管理技术支撑</w:t>
            </w:r>
          </w:p>
        </w:tc>
        <w:tc>
          <w:tcPr>
            <w:tcW w:w="1300" w:type="dxa"/>
            <w:vAlign w:val="center"/>
          </w:tcPr>
          <w:p w:rsidR="00706F52" w:rsidRDefault="00DE41BA">
            <w:pPr>
              <w:adjustRightInd w:val="0"/>
              <w:snapToGrid w:val="0"/>
              <w:jc w:val="right"/>
              <w:rPr>
                <w:rFonts w:ascii="宋体" w:eastAsia="宋体" w:hAnsi="宋体"/>
                <w:iCs/>
                <w:sz w:val="20"/>
                <w:szCs w:val="20"/>
              </w:rPr>
            </w:pPr>
            <w:r>
              <w:rPr>
                <w:rFonts w:ascii="宋体" w:eastAsia="宋体" w:hAnsi="宋体" w:hint="eastAsia"/>
                <w:iCs/>
                <w:sz w:val="20"/>
                <w:szCs w:val="20"/>
              </w:rPr>
              <w:t>193.60</w:t>
            </w:r>
          </w:p>
        </w:tc>
        <w:tc>
          <w:tcPr>
            <w:tcW w:w="1256" w:type="dxa"/>
            <w:vAlign w:val="center"/>
          </w:tcPr>
          <w:p w:rsidR="00706F52" w:rsidRDefault="00DE41BA">
            <w:pPr>
              <w:adjustRightInd w:val="0"/>
              <w:snapToGrid w:val="0"/>
              <w:jc w:val="right"/>
              <w:rPr>
                <w:rFonts w:ascii="宋体" w:eastAsia="宋体" w:hAnsi="宋体"/>
                <w:iCs/>
                <w:sz w:val="20"/>
                <w:szCs w:val="20"/>
              </w:rPr>
            </w:pPr>
            <w:r>
              <w:rPr>
                <w:rFonts w:ascii="宋体" w:eastAsia="宋体" w:hAnsi="宋体" w:hint="eastAsia"/>
                <w:iCs/>
                <w:sz w:val="20"/>
                <w:szCs w:val="20"/>
              </w:rPr>
              <w:t>193.00</w:t>
            </w:r>
          </w:p>
        </w:tc>
        <w:tc>
          <w:tcPr>
            <w:tcW w:w="1423" w:type="dxa"/>
            <w:vAlign w:val="center"/>
          </w:tcPr>
          <w:p w:rsidR="00706F52" w:rsidRDefault="00DE41BA">
            <w:pPr>
              <w:adjustRightInd w:val="0"/>
              <w:snapToGrid w:val="0"/>
              <w:jc w:val="right"/>
              <w:rPr>
                <w:rFonts w:ascii="宋体" w:eastAsia="宋体" w:hAnsi="宋体"/>
                <w:iCs/>
                <w:sz w:val="20"/>
                <w:szCs w:val="20"/>
              </w:rPr>
            </w:pPr>
            <w:r>
              <w:rPr>
                <w:rFonts w:ascii="宋体" w:eastAsia="宋体" w:hAnsi="宋体" w:hint="eastAsia"/>
                <w:iCs/>
                <w:sz w:val="20"/>
                <w:szCs w:val="20"/>
              </w:rPr>
              <w:t>0.60</w:t>
            </w:r>
          </w:p>
        </w:tc>
        <w:tc>
          <w:tcPr>
            <w:tcW w:w="1684" w:type="dxa"/>
            <w:vAlign w:val="center"/>
          </w:tcPr>
          <w:p w:rsidR="00706F52" w:rsidRDefault="00DE41BA">
            <w:pPr>
              <w:widowControl/>
              <w:adjustRightInd w:val="0"/>
              <w:snapToGrid w:val="0"/>
              <w:rPr>
                <w:rFonts w:ascii="宋体" w:eastAsia="宋体" w:hAnsi="宋体"/>
                <w:iCs/>
                <w:sz w:val="20"/>
                <w:szCs w:val="20"/>
              </w:rPr>
            </w:pPr>
            <w:r>
              <w:rPr>
                <w:rFonts w:ascii="宋体" w:eastAsia="宋体" w:hAnsi="宋体" w:cs="宋体" w:hint="eastAsia"/>
                <w:bCs/>
                <w:color w:val="000000"/>
                <w:sz w:val="20"/>
                <w:szCs w:val="20"/>
              </w:rPr>
              <w:t>招标结余</w:t>
            </w:r>
          </w:p>
        </w:tc>
      </w:tr>
      <w:tr w:rsidR="00706F52">
        <w:trPr>
          <w:trHeight w:val="567"/>
          <w:jc w:val="center"/>
        </w:trPr>
        <w:tc>
          <w:tcPr>
            <w:tcW w:w="618" w:type="dxa"/>
            <w:vAlign w:val="center"/>
          </w:tcPr>
          <w:p w:rsidR="00706F52" w:rsidRDefault="00DE41BA">
            <w:pPr>
              <w:adjustRightInd w:val="0"/>
              <w:snapToGrid w:val="0"/>
              <w:jc w:val="center"/>
              <w:rPr>
                <w:rFonts w:ascii="宋体" w:eastAsia="宋体" w:hAnsi="宋体"/>
                <w:iCs/>
                <w:sz w:val="20"/>
                <w:szCs w:val="20"/>
              </w:rPr>
            </w:pPr>
            <w:r>
              <w:rPr>
                <w:rFonts w:ascii="宋体" w:eastAsia="宋体" w:hAnsi="宋体" w:hint="eastAsia"/>
                <w:iCs/>
                <w:sz w:val="20"/>
                <w:szCs w:val="20"/>
              </w:rPr>
              <w:t>2</w:t>
            </w:r>
          </w:p>
        </w:tc>
        <w:tc>
          <w:tcPr>
            <w:tcW w:w="2779" w:type="dxa"/>
            <w:vAlign w:val="center"/>
          </w:tcPr>
          <w:p w:rsidR="00706F52" w:rsidRDefault="00DE41BA">
            <w:pPr>
              <w:adjustRightInd w:val="0"/>
              <w:snapToGrid w:val="0"/>
              <w:jc w:val="center"/>
              <w:rPr>
                <w:rFonts w:ascii="宋体" w:eastAsia="宋体" w:hAnsi="宋体"/>
                <w:iCs/>
                <w:sz w:val="20"/>
                <w:szCs w:val="20"/>
              </w:rPr>
            </w:pPr>
            <w:r>
              <w:rPr>
                <w:rFonts w:ascii="宋体" w:eastAsia="宋体" w:hAnsi="宋体" w:hint="eastAsia"/>
                <w:iCs/>
                <w:sz w:val="20"/>
                <w:szCs w:val="20"/>
              </w:rPr>
              <w:t>劣Ⅴ</w:t>
            </w:r>
            <w:r>
              <w:rPr>
                <w:rFonts w:ascii="宋体" w:eastAsia="宋体" w:hAnsi="宋体" w:hint="eastAsia"/>
                <w:iCs/>
                <w:sz w:val="20"/>
                <w:szCs w:val="20"/>
              </w:rPr>
              <w:t>类及水生态环境保护重点问题第三方核查</w:t>
            </w:r>
          </w:p>
        </w:tc>
        <w:tc>
          <w:tcPr>
            <w:tcW w:w="1300" w:type="dxa"/>
            <w:vAlign w:val="center"/>
          </w:tcPr>
          <w:p w:rsidR="00706F52" w:rsidRDefault="00DE41BA">
            <w:pPr>
              <w:adjustRightInd w:val="0"/>
              <w:snapToGrid w:val="0"/>
              <w:jc w:val="right"/>
              <w:rPr>
                <w:rFonts w:ascii="宋体" w:eastAsia="宋体" w:hAnsi="宋体"/>
                <w:iCs/>
                <w:sz w:val="20"/>
                <w:szCs w:val="20"/>
              </w:rPr>
            </w:pPr>
            <w:r>
              <w:rPr>
                <w:rFonts w:ascii="宋体" w:eastAsia="宋体" w:hAnsi="宋体" w:hint="eastAsia"/>
                <w:iCs/>
                <w:sz w:val="20"/>
                <w:szCs w:val="20"/>
              </w:rPr>
              <w:t>103.67</w:t>
            </w:r>
          </w:p>
        </w:tc>
        <w:tc>
          <w:tcPr>
            <w:tcW w:w="1256" w:type="dxa"/>
            <w:vAlign w:val="center"/>
          </w:tcPr>
          <w:p w:rsidR="00706F52" w:rsidRDefault="00DE41BA">
            <w:pPr>
              <w:adjustRightInd w:val="0"/>
              <w:snapToGrid w:val="0"/>
              <w:jc w:val="right"/>
              <w:rPr>
                <w:rFonts w:ascii="宋体" w:eastAsia="宋体" w:hAnsi="宋体"/>
                <w:iCs/>
                <w:sz w:val="20"/>
                <w:szCs w:val="20"/>
              </w:rPr>
            </w:pPr>
            <w:r>
              <w:rPr>
                <w:rFonts w:ascii="宋体" w:eastAsia="宋体" w:hAnsi="宋体" w:hint="eastAsia"/>
                <w:iCs/>
                <w:sz w:val="20"/>
                <w:szCs w:val="20"/>
              </w:rPr>
              <w:t>103.10</w:t>
            </w:r>
          </w:p>
        </w:tc>
        <w:tc>
          <w:tcPr>
            <w:tcW w:w="1423" w:type="dxa"/>
            <w:vAlign w:val="center"/>
          </w:tcPr>
          <w:p w:rsidR="00706F52" w:rsidRDefault="00DE41BA">
            <w:pPr>
              <w:adjustRightInd w:val="0"/>
              <w:snapToGrid w:val="0"/>
              <w:jc w:val="right"/>
              <w:rPr>
                <w:rFonts w:ascii="宋体" w:eastAsia="宋体" w:hAnsi="宋体"/>
                <w:iCs/>
                <w:sz w:val="20"/>
                <w:szCs w:val="20"/>
              </w:rPr>
            </w:pPr>
            <w:r>
              <w:rPr>
                <w:rFonts w:ascii="宋体" w:eastAsia="宋体" w:hAnsi="宋体" w:hint="eastAsia"/>
                <w:iCs/>
                <w:sz w:val="20"/>
                <w:szCs w:val="20"/>
              </w:rPr>
              <w:t>0.57</w:t>
            </w:r>
          </w:p>
        </w:tc>
        <w:tc>
          <w:tcPr>
            <w:tcW w:w="1684" w:type="dxa"/>
            <w:vAlign w:val="center"/>
          </w:tcPr>
          <w:p w:rsidR="00706F52" w:rsidRDefault="00DE41BA">
            <w:pPr>
              <w:adjustRightInd w:val="0"/>
              <w:snapToGrid w:val="0"/>
              <w:jc w:val="left"/>
              <w:rPr>
                <w:rFonts w:ascii="宋体" w:eastAsia="宋体" w:hAnsi="宋体"/>
                <w:iCs/>
                <w:sz w:val="20"/>
                <w:szCs w:val="20"/>
              </w:rPr>
            </w:pPr>
            <w:r>
              <w:rPr>
                <w:rFonts w:ascii="宋体" w:eastAsia="宋体" w:hAnsi="宋体" w:cs="宋体" w:hint="eastAsia"/>
                <w:bCs/>
                <w:color w:val="000000"/>
                <w:sz w:val="20"/>
                <w:szCs w:val="20"/>
              </w:rPr>
              <w:t>招标结余</w:t>
            </w:r>
          </w:p>
        </w:tc>
      </w:tr>
      <w:tr w:rsidR="00706F52">
        <w:trPr>
          <w:trHeight w:val="567"/>
          <w:jc w:val="center"/>
        </w:trPr>
        <w:tc>
          <w:tcPr>
            <w:tcW w:w="618" w:type="dxa"/>
            <w:vAlign w:val="center"/>
          </w:tcPr>
          <w:p w:rsidR="00706F52" w:rsidRDefault="00DE41BA">
            <w:pPr>
              <w:adjustRightInd w:val="0"/>
              <w:snapToGrid w:val="0"/>
              <w:jc w:val="center"/>
              <w:rPr>
                <w:rFonts w:ascii="宋体" w:eastAsia="宋体" w:hAnsi="宋体"/>
                <w:iCs/>
                <w:sz w:val="20"/>
                <w:szCs w:val="20"/>
              </w:rPr>
            </w:pPr>
            <w:r>
              <w:rPr>
                <w:rFonts w:ascii="宋体" w:eastAsia="宋体" w:hAnsi="宋体" w:hint="eastAsia"/>
                <w:iCs/>
                <w:sz w:val="20"/>
                <w:szCs w:val="20"/>
              </w:rPr>
              <w:t>3</w:t>
            </w:r>
          </w:p>
        </w:tc>
        <w:tc>
          <w:tcPr>
            <w:tcW w:w="2779" w:type="dxa"/>
            <w:vAlign w:val="center"/>
          </w:tcPr>
          <w:p w:rsidR="00706F52" w:rsidRDefault="00DE41BA">
            <w:pPr>
              <w:adjustRightInd w:val="0"/>
              <w:snapToGrid w:val="0"/>
              <w:jc w:val="center"/>
              <w:rPr>
                <w:rFonts w:ascii="宋体" w:eastAsia="宋体" w:hAnsi="宋体"/>
                <w:iCs/>
                <w:sz w:val="20"/>
                <w:szCs w:val="20"/>
              </w:rPr>
            </w:pPr>
            <w:r>
              <w:rPr>
                <w:rFonts w:ascii="宋体" w:eastAsia="宋体" w:hAnsi="宋体" w:hint="eastAsia"/>
                <w:iCs/>
                <w:sz w:val="20"/>
                <w:szCs w:val="20"/>
              </w:rPr>
              <w:t>北京市重点水体水功能区优化提升技术支撑</w:t>
            </w:r>
          </w:p>
        </w:tc>
        <w:tc>
          <w:tcPr>
            <w:tcW w:w="1300" w:type="dxa"/>
            <w:vAlign w:val="center"/>
          </w:tcPr>
          <w:p w:rsidR="00706F52" w:rsidRDefault="00DE41BA">
            <w:pPr>
              <w:adjustRightInd w:val="0"/>
              <w:snapToGrid w:val="0"/>
              <w:jc w:val="right"/>
              <w:rPr>
                <w:rFonts w:ascii="宋体" w:eastAsia="宋体" w:hAnsi="宋体" w:cs="宋体"/>
                <w:bCs/>
                <w:sz w:val="20"/>
                <w:szCs w:val="20"/>
              </w:rPr>
            </w:pPr>
            <w:r>
              <w:rPr>
                <w:rFonts w:ascii="宋体" w:eastAsia="宋体" w:hAnsi="宋体" w:cs="宋体" w:hint="eastAsia"/>
                <w:bCs/>
                <w:sz w:val="20"/>
                <w:szCs w:val="20"/>
              </w:rPr>
              <w:t>167.78</w:t>
            </w:r>
          </w:p>
        </w:tc>
        <w:tc>
          <w:tcPr>
            <w:tcW w:w="1256" w:type="dxa"/>
            <w:vAlign w:val="center"/>
          </w:tcPr>
          <w:p w:rsidR="00706F52" w:rsidRDefault="00DE41BA">
            <w:pPr>
              <w:adjustRightInd w:val="0"/>
              <w:snapToGrid w:val="0"/>
              <w:jc w:val="right"/>
              <w:rPr>
                <w:rFonts w:ascii="宋体" w:eastAsia="宋体" w:hAnsi="宋体" w:cs="宋体"/>
                <w:bCs/>
                <w:color w:val="000000"/>
                <w:sz w:val="20"/>
                <w:szCs w:val="20"/>
              </w:rPr>
            </w:pPr>
            <w:r>
              <w:rPr>
                <w:rFonts w:ascii="宋体" w:eastAsia="宋体" w:hAnsi="宋体" w:cs="宋体" w:hint="eastAsia"/>
                <w:bCs/>
                <w:color w:val="000000"/>
                <w:sz w:val="20"/>
                <w:szCs w:val="20"/>
              </w:rPr>
              <w:t>167.50</w:t>
            </w:r>
          </w:p>
        </w:tc>
        <w:tc>
          <w:tcPr>
            <w:tcW w:w="1423" w:type="dxa"/>
            <w:vAlign w:val="center"/>
          </w:tcPr>
          <w:p w:rsidR="00706F52" w:rsidRDefault="00DE41BA">
            <w:pPr>
              <w:adjustRightInd w:val="0"/>
              <w:snapToGrid w:val="0"/>
              <w:jc w:val="right"/>
              <w:rPr>
                <w:rFonts w:ascii="宋体" w:eastAsia="宋体" w:hAnsi="宋体" w:cs="宋体"/>
                <w:bCs/>
                <w:color w:val="000000"/>
                <w:sz w:val="20"/>
                <w:szCs w:val="20"/>
              </w:rPr>
            </w:pPr>
            <w:r>
              <w:rPr>
                <w:rFonts w:ascii="宋体" w:eastAsia="宋体" w:hAnsi="宋体" w:cs="宋体" w:hint="eastAsia"/>
                <w:bCs/>
                <w:color w:val="000000"/>
                <w:sz w:val="20"/>
                <w:szCs w:val="20"/>
              </w:rPr>
              <w:t>0.28</w:t>
            </w:r>
          </w:p>
        </w:tc>
        <w:tc>
          <w:tcPr>
            <w:tcW w:w="1684" w:type="dxa"/>
            <w:vAlign w:val="center"/>
          </w:tcPr>
          <w:p w:rsidR="00706F52" w:rsidRDefault="00DE41BA">
            <w:pPr>
              <w:adjustRightInd w:val="0"/>
              <w:snapToGrid w:val="0"/>
              <w:jc w:val="left"/>
              <w:rPr>
                <w:rFonts w:ascii="宋体" w:eastAsia="宋体" w:hAnsi="宋体" w:cs="宋体"/>
                <w:bCs/>
                <w:color w:val="000000"/>
                <w:sz w:val="20"/>
                <w:szCs w:val="20"/>
              </w:rPr>
            </w:pPr>
            <w:r>
              <w:rPr>
                <w:rFonts w:ascii="宋体" w:eastAsia="宋体" w:hAnsi="宋体" w:cs="宋体" w:hint="eastAsia"/>
                <w:bCs/>
                <w:color w:val="000000"/>
                <w:sz w:val="20"/>
                <w:szCs w:val="20"/>
              </w:rPr>
              <w:t>招标结余</w:t>
            </w:r>
          </w:p>
        </w:tc>
      </w:tr>
      <w:tr w:rsidR="00706F52">
        <w:trPr>
          <w:trHeight w:val="495"/>
          <w:jc w:val="center"/>
        </w:trPr>
        <w:tc>
          <w:tcPr>
            <w:tcW w:w="3397" w:type="dxa"/>
            <w:gridSpan w:val="2"/>
            <w:vAlign w:val="center"/>
          </w:tcPr>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合计</w:t>
            </w:r>
          </w:p>
        </w:tc>
        <w:tc>
          <w:tcPr>
            <w:tcW w:w="1300" w:type="dxa"/>
            <w:vAlign w:val="center"/>
          </w:tcPr>
          <w:p w:rsidR="00706F52" w:rsidRDefault="00DE41BA">
            <w:pPr>
              <w:adjustRightInd w:val="0"/>
              <w:snapToGrid w:val="0"/>
              <w:jc w:val="right"/>
              <w:rPr>
                <w:rFonts w:ascii="宋体" w:eastAsia="宋体" w:hAnsi="宋体"/>
                <w:b/>
                <w:bCs/>
                <w:iCs/>
                <w:sz w:val="20"/>
                <w:szCs w:val="20"/>
              </w:rPr>
            </w:pPr>
            <w:r>
              <w:rPr>
                <w:rFonts w:ascii="宋体" w:eastAsia="宋体" w:hAnsi="宋体" w:hint="eastAsia"/>
                <w:b/>
                <w:bCs/>
                <w:iCs/>
                <w:sz w:val="20"/>
                <w:szCs w:val="20"/>
              </w:rPr>
              <w:t>465.05</w:t>
            </w:r>
          </w:p>
        </w:tc>
        <w:tc>
          <w:tcPr>
            <w:tcW w:w="1256" w:type="dxa"/>
            <w:vAlign w:val="center"/>
          </w:tcPr>
          <w:p w:rsidR="00706F52" w:rsidRDefault="00DE41BA">
            <w:pPr>
              <w:adjustRightInd w:val="0"/>
              <w:snapToGrid w:val="0"/>
              <w:jc w:val="right"/>
              <w:rPr>
                <w:rFonts w:ascii="宋体" w:eastAsia="宋体" w:hAnsi="宋体"/>
                <w:b/>
                <w:bCs/>
                <w:iCs/>
                <w:sz w:val="20"/>
                <w:szCs w:val="20"/>
              </w:rPr>
            </w:pPr>
            <w:r>
              <w:rPr>
                <w:rFonts w:ascii="宋体" w:eastAsia="宋体" w:hAnsi="宋体" w:hint="eastAsia"/>
                <w:b/>
                <w:bCs/>
                <w:iCs/>
                <w:sz w:val="20"/>
                <w:szCs w:val="20"/>
              </w:rPr>
              <w:t>463.60</w:t>
            </w:r>
          </w:p>
        </w:tc>
        <w:tc>
          <w:tcPr>
            <w:tcW w:w="1423" w:type="dxa"/>
            <w:vAlign w:val="center"/>
          </w:tcPr>
          <w:p w:rsidR="00706F52" w:rsidRDefault="00DE41BA">
            <w:pPr>
              <w:adjustRightInd w:val="0"/>
              <w:snapToGrid w:val="0"/>
              <w:jc w:val="right"/>
              <w:rPr>
                <w:rFonts w:ascii="宋体" w:eastAsia="宋体" w:hAnsi="宋体"/>
                <w:b/>
                <w:bCs/>
                <w:iCs/>
                <w:sz w:val="20"/>
                <w:szCs w:val="20"/>
              </w:rPr>
            </w:pPr>
            <w:r>
              <w:rPr>
                <w:rFonts w:ascii="宋体" w:eastAsia="宋体" w:hAnsi="宋体" w:hint="eastAsia"/>
                <w:b/>
                <w:bCs/>
                <w:iCs/>
                <w:sz w:val="20"/>
                <w:szCs w:val="20"/>
              </w:rPr>
              <w:t>1.45</w:t>
            </w:r>
          </w:p>
        </w:tc>
        <w:tc>
          <w:tcPr>
            <w:tcW w:w="1684" w:type="dxa"/>
            <w:vAlign w:val="center"/>
          </w:tcPr>
          <w:p w:rsidR="00706F52" w:rsidRDefault="00DE41BA">
            <w:pPr>
              <w:adjustRightInd w:val="0"/>
              <w:snapToGrid w:val="0"/>
              <w:jc w:val="center"/>
              <w:rPr>
                <w:rFonts w:ascii="宋体" w:eastAsia="宋体" w:hAnsi="宋体"/>
                <w:b/>
                <w:bCs/>
                <w:iCs/>
                <w:sz w:val="20"/>
                <w:szCs w:val="20"/>
              </w:rPr>
            </w:pPr>
            <w:r>
              <w:rPr>
                <w:rFonts w:ascii="宋体" w:eastAsia="宋体" w:hAnsi="宋体" w:hint="eastAsia"/>
                <w:b/>
                <w:bCs/>
                <w:iCs/>
                <w:sz w:val="20"/>
                <w:szCs w:val="20"/>
              </w:rPr>
              <w:t>--</w:t>
            </w:r>
          </w:p>
        </w:tc>
      </w:tr>
    </w:tbl>
    <w:p w:rsidR="00706F52" w:rsidRDefault="00706F52">
      <w:pPr>
        <w:adjustRightInd w:val="0"/>
        <w:snapToGrid w:val="0"/>
        <w:spacing w:line="360" w:lineRule="auto"/>
        <w:rPr>
          <w:rFonts w:ascii="仿宋_GB2312" w:hAnsi="宋体" w:cs="宋体"/>
          <w:i/>
          <w:iCs/>
          <w:kern w:val="0"/>
          <w:sz w:val="32"/>
          <w:szCs w:val="32"/>
        </w:rPr>
      </w:pPr>
    </w:p>
    <w:p w:rsidR="00706F52" w:rsidRDefault="00DE41BA">
      <w:pPr>
        <w:adjustRightInd w:val="0"/>
        <w:snapToGrid w:val="0"/>
        <w:spacing w:line="360" w:lineRule="auto"/>
        <w:ind w:firstLineChars="200" w:firstLine="640"/>
        <w:outlineLvl w:val="1"/>
        <w:rPr>
          <w:rFonts w:ascii="楷体_GB2312" w:eastAsia="楷体_GB2312"/>
          <w:sz w:val="32"/>
          <w:szCs w:val="32"/>
        </w:rPr>
      </w:pPr>
      <w:bookmarkStart w:id="11" w:name="_Toc35588398"/>
      <w:bookmarkStart w:id="12" w:name="_Toc1074"/>
      <w:bookmarkStart w:id="13" w:name="_Toc10365"/>
      <w:bookmarkStart w:id="14" w:name="_Toc19756"/>
      <w:r>
        <w:rPr>
          <w:rFonts w:ascii="楷体_GB2312" w:eastAsia="楷体_GB2312" w:hint="eastAsia"/>
          <w:sz w:val="32"/>
          <w:szCs w:val="32"/>
        </w:rPr>
        <w:t>（二）项目绩效目标</w:t>
      </w:r>
      <w:bookmarkEnd w:id="11"/>
      <w:bookmarkEnd w:id="12"/>
      <w:bookmarkEnd w:id="13"/>
      <w:bookmarkEnd w:id="14"/>
    </w:p>
    <w:p w:rsidR="00706F52" w:rsidRDefault="00DE41BA">
      <w:pPr>
        <w:adjustRightInd w:val="0"/>
        <w:snapToGrid w:val="0"/>
        <w:spacing w:line="360" w:lineRule="auto"/>
        <w:ind w:firstLineChars="200" w:firstLine="640"/>
        <w:rPr>
          <w:rFonts w:ascii="仿宋_GB2312"/>
          <w:sz w:val="32"/>
          <w:szCs w:val="32"/>
        </w:rPr>
      </w:pPr>
      <w:bookmarkStart w:id="15" w:name="_Toc35588399"/>
      <w:r>
        <w:rPr>
          <w:rFonts w:ascii="仿宋_GB2312" w:hAnsi="宋体" w:cs="宋体" w:hint="eastAsia"/>
          <w:kern w:val="0"/>
          <w:sz w:val="32"/>
          <w:szCs w:val="32"/>
        </w:rPr>
        <w:t>1.</w:t>
      </w:r>
      <w:r>
        <w:rPr>
          <w:rFonts w:ascii="仿宋_GB2312" w:hint="eastAsia"/>
          <w:sz w:val="32"/>
          <w:szCs w:val="32"/>
        </w:rPr>
        <w:t>项目年度绩效目标</w:t>
      </w:r>
      <w:bookmarkEnd w:id="15"/>
    </w:p>
    <w:p w:rsidR="00706F52" w:rsidRDefault="00DE41BA">
      <w:pPr>
        <w:adjustRightInd w:val="0"/>
        <w:snapToGrid w:val="0"/>
        <w:spacing w:line="360" w:lineRule="auto"/>
        <w:ind w:firstLineChars="200" w:firstLine="640"/>
        <w:rPr>
          <w:rFonts w:ascii="仿宋_GB2312" w:hAnsi="仿宋_GB2312" w:cs="仿宋_GB2312"/>
          <w:color w:val="000000"/>
          <w:sz w:val="32"/>
        </w:rPr>
      </w:pPr>
      <w:r>
        <w:rPr>
          <w:rFonts w:ascii="仿宋_GB2312" w:hAnsi="仿宋_GB2312" w:cs="仿宋_GB2312" w:hint="eastAsia"/>
          <w:color w:val="000000"/>
          <w:sz w:val="32"/>
        </w:rPr>
        <w:t>开展北京市饮用水水源保护技术支持工作，补充完善保护区标志牌设置，开展北京市实施《潮河流域生态环境保护综合规划（</w:t>
      </w:r>
      <w:r>
        <w:rPr>
          <w:rFonts w:ascii="仿宋_GB2312" w:hAnsi="仿宋_GB2312" w:cs="仿宋_GB2312" w:hint="eastAsia"/>
          <w:color w:val="000000"/>
          <w:sz w:val="32"/>
        </w:rPr>
        <w:t>2019-2025</w:t>
      </w:r>
      <w:r>
        <w:rPr>
          <w:rFonts w:ascii="仿宋_GB2312" w:hAnsi="仿宋_GB2312" w:cs="仿宋_GB2312" w:hint="eastAsia"/>
          <w:color w:val="000000"/>
          <w:sz w:val="32"/>
        </w:rPr>
        <w:t>年）》情况分析，开展劣Ⅴ类及黑臭水体、农村饮用水水源保护区内环境状况、农村污水处理设施运行情况以及排污口整治情况抽查相关工作；开展重点水体水功能区内水资源、水生态和水环境调研与总体效果评估工作，探索重点区域水功能区水生态产品价值实现、区域再生水循环利用领域的可行路径。</w:t>
      </w:r>
    </w:p>
    <w:p w:rsidR="00706F52" w:rsidRDefault="00DE41BA">
      <w:pPr>
        <w:adjustRightInd w:val="0"/>
        <w:snapToGrid w:val="0"/>
        <w:spacing w:line="360" w:lineRule="auto"/>
        <w:ind w:firstLineChars="200" w:firstLine="640"/>
        <w:rPr>
          <w:rFonts w:ascii="仿宋_GB2312" w:hAnsi="宋体"/>
          <w:bCs/>
          <w:iCs/>
          <w:kern w:val="0"/>
          <w:sz w:val="32"/>
          <w:szCs w:val="32"/>
        </w:rPr>
      </w:pPr>
      <w:bookmarkStart w:id="16" w:name="_Toc35588400"/>
      <w:r>
        <w:rPr>
          <w:rFonts w:ascii="仿宋_GB2312" w:hint="eastAsia"/>
          <w:iCs/>
          <w:sz w:val="32"/>
          <w:szCs w:val="32"/>
        </w:rPr>
        <w:lastRenderedPageBreak/>
        <w:t>2.</w:t>
      </w:r>
      <w:bookmarkEnd w:id="16"/>
      <w:r>
        <w:rPr>
          <w:rFonts w:ascii="仿宋_GB2312" w:cs="仿宋_GB2312" w:hint="eastAsia"/>
          <w:bCs/>
          <w:iCs/>
          <w:kern w:val="0"/>
          <w:sz w:val="32"/>
          <w:szCs w:val="32"/>
        </w:rPr>
        <w:t>项目</w:t>
      </w:r>
      <w:bookmarkStart w:id="17" w:name="_Toc336506893"/>
      <w:bookmarkStart w:id="18" w:name="_Toc336506958"/>
      <w:r>
        <w:rPr>
          <w:rFonts w:ascii="仿宋_GB2312" w:cs="仿宋_GB2312" w:hint="eastAsia"/>
          <w:bCs/>
          <w:iCs/>
          <w:kern w:val="0"/>
          <w:sz w:val="32"/>
          <w:szCs w:val="32"/>
        </w:rPr>
        <w:t>绩效指标</w:t>
      </w:r>
    </w:p>
    <w:p w:rsidR="00706F52" w:rsidRDefault="00DE41BA">
      <w:pPr>
        <w:autoSpaceDE w:val="0"/>
        <w:autoSpaceDN w:val="0"/>
        <w:adjustRightInd w:val="0"/>
        <w:snapToGrid w:val="0"/>
        <w:spacing w:line="360" w:lineRule="auto"/>
        <w:ind w:firstLineChars="200" w:firstLine="640"/>
        <w:rPr>
          <w:rFonts w:ascii="仿宋_GB2312" w:hAnsi="宋体"/>
          <w:bCs/>
          <w:kern w:val="0"/>
          <w:sz w:val="32"/>
          <w:szCs w:val="32"/>
        </w:rPr>
      </w:pPr>
      <w:r>
        <w:rPr>
          <w:rFonts w:ascii="仿宋_GB2312" w:cs="仿宋_GB2312" w:hint="eastAsia"/>
          <w:sz w:val="32"/>
          <w:szCs w:val="32"/>
        </w:rPr>
        <w:t>项目绩效指标分为产出指标、效益指标和满意度指标。项目具体绩效指标情况见下表</w:t>
      </w:r>
      <w:r>
        <w:rPr>
          <w:rFonts w:ascii="仿宋_GB2312" w:cs="仿宋_GB2312" w:hint="eastAsia"/>
          <w:sz w:val="32"/>
          <w:szCs w:val="32"/>
        </w:rPr>
        <w:t>2</w:t>
      </w:r>
      <w:r>
        <w:rPr>
          <w:rFonts w:ascii="仿宋_GB2312" w:cs="仿宋_GB2312" w:hint="eastAsia"/>
          <w:sz w:val="32"/>
          <w:szCs w:val="32"/>
        </w:rPr>
        <w:t>。</w:t>
      </w:r>
    </w:p>
    <w:p w:rsidR="00706F52" w:rsidRDefault="00DE41BA">
      <w:pPr>
        <w:adjustRightInd w:val="0"/>
        <w:snapToGrid w:val="0"/>
        <w:spacing w:line="360" w:lineRule="auto"/>
        <w:jc w:val="center"/>
        <w:rPr>
          <w:rFonts w:ascii="黑体" w:eastAsia="黑体" w:hAnsi="黑体"/>
          <w:bCs/>
          <w:kern w:val="0"/>
          <w:sz w:val="28"/>
          <w:szCs w:val="28"/>
        </w:rPr>
      </w:pPr>
      <w:r>
        <w:rPr>
          <w:rFonts w:ascii="黑体" w:eastAsia="黑体" w:hAnsi="黑体" w:hint="eastAsia"/>
          <w:bCs/>
          <w:kern w:val="0"/>
          <w:sz w:val="28"/>
          <w:szCs w:val="28"/>
        </w:rPr>
        <w:t>表</w:t>
      </w:r>
      <w:r>
        <w:rPr>
          <w:rFonts w:ascii="黑体" w:eastAsia="黑体" w:hAnsi="黑体" w:hint="eastAsia"/>
          <w:bCs/>
          <w:kern w:val="0"/>
          <w:sz w:val="28"/>
          <w:szCs w:val="28"/>
        </w:rPr>
        <w:t>2</w:t>
      </w:r>
      <w:r>
        <w:rPr>
          <w:rFonts w:ascii="黑体" w:eastAsia="黑体" w:hAnsi="黑体" w:hint="eastAsia"/>
          <w:bCs/>
          <w:kern w:val="0"/>
          <w:sz w:val="28"/>
          <w:szCs w:val="28"/>
        </w:rPr>
        <w:t>：项目绩效指</w:t>
      </w:r>
      <w:r>
        <w:rPr>
          <w:rFonts w:ascii="黑体" w:eastAsia="黑体" w:hAnsi="黑体" w:hint="eastAsia"/>
          <w:bCs/>
          <w:kern w:val="0"/>
          <w:sz w:val="28"/>
          <w:szCs w:val="28"/>
        </w:rPr>
        <w:t>标表</w:t>
      </w:r>
    </w:p>
    <w:tbl>
      <w:tblPr>
        <w:tblW w:w="9060" w:type="dxa"/>
        <w:jc w:val="center"/>
        <w:tblLayout w:type="fixed"/>
        <w:tblLook w:val="04A0" w:firstRow="1" w:lastRow="0" w:firstColumn="1" w:lastColumn="0" w:noHBand="0" w:noVBand="1"/>
      </w:tblPr>
      <w:tblGrid>
        <w:gridCol w:w="1401"/>
        <w:gridCol w:w="1659"/>
        <w:gridCol w:w="4367"/>
        <w:gridCol w:w="1633"/>
      </w:tblGrid>
      <w:tr w:rsidR="00706F52">
        <w:trPr>
          <w:trHeight w:val="567"/>
          <w:tblHeader/>
          <w:jc w:val="center"/>
        </w:trPr>
        <w:tc>
          <w:tcPr>
            <w:tcW w:w="1401" w:type="dxa"/>
            <w:tcBorders>
              <w:top w:val="single" w:sz="4" w:space="0" w:color="auto"/>
              <w:left w:val="single" w:sz="4" w:space="0" w:color="auto"/>
              <w:bottom w:val="single" w:sz="4" w:space="0" w:color="auto"/>
              <w:right w:val="single" w:sz="4" w:space="0" w:color="auto"/>
            </w:tcBorders>
            <w:shd w:val="clear" w:color="000000" w:fill="FFFFFF"/>
            <w:vAlign w:val="center"/>
          </w:tcPr>
          <w:bookmarkEnd w:id="17"/>
          <w:bookmarkEnd w:id="18"/>
          <w:p w:rsidR="00706F52" w:rsidRDefault="00DE41BA">
            <w:pPr>
              <w:widowControl/>
              <w:adjustRightInd w:val="0"/>
              <w:snapToGrid w:val="0"/>
              <w:jc w:val="center"/>
              <w:rPr>
                <w:rFonts w:ascii="宋体" w:eastAsia="宋体" w:hAnsi="宋体" w:cs="Arial"/>
                <w:b/>
                <w:bCs/>
                <w:color w:val="000000"/>
                <w:kern w:val="0"/>
                <w:sz w:val="20"/>
                <w:szCs w:val="20"/>
              </w:rPr>
            </w:pPr>
            <w:r>
              <w:rPr>
                <w:rFonts w:ascii="宋体" w:eastAsia="宋体" w:hAnsi="宋体" w:cs="Arial" w:hint="eastAsia"/>
                <w:b/>
                <w:bCs/>
                <w:color w:val="000000"/>
                <w:kern w:val="0"/>
                <w:sz w:val="20"/>
                <w:szCs w:val="20"/>
              </w:rPr>
              <w:t>一级指标</w:t>
            </w:r>
          </w:p>
        </w:tc>
        <w:tc>
          <w:tcPr>
            <w:tcW w:w="1659" w:type="dxa"/>
            <w:tcBorders>
              <w:top w:val="single" w:sz="4" w:space="0" w:color="auto"/>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b/>
                <w:bCs/>
                <w:color w:val="000000"/>
                <w:kern w:val="0"/>
                <w:sz w:val="20"/>
                <w:szCs w:val="20"/>
              </w:rPr>
            </w:pPr>
            <w:r>
              <w:rPr>
                <w:rFonts w:ascii="宋体" w:eastAsia="宋体" w:hAnsi="宋体" w:cs="Arial" w:hint="eastAsia"/>
                <w:b/>
                <w:bCs/>
                <w:color w:val="000000"/>
                <w:kern w:val="0"/>
                <w:sz w:val="20"/>
                <w:szCs w:val="20"/>
              </w:rPr>
              <w:t>二级指标</w:t>
            </w:r>
          </w:p>
        </w:tc>
        <w:tc>
          <w:tcPr>
            <w:tcW w:w="4367" w:type="dxa"/>
            <w:tcBorders>
              <w:top w:val="single" w:sz="4" w:space="0" w:color="auto"/>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b/>
                <w:bCs/>
                <w:color w:val="000000"/>
                <w:kern w:val="0"/>
                <w:sz w:val="20"/>
                <w:szCs w:val="20"/>
              </w:rPr>
            </w:pPr>
            <w:r>
              <w:rPr>
                <w:rFonts w:ascii="宋体" w:eastAsia="宋体" w:hAnsi="宋体" w:cs="Arial" w:hint="eastAsia"/>
                <w:b/>
                <w:bCs/>
                <w:color w:val="000000"/>
                <w:kern w:val="0"/>
                <w:sz w:val="20"/>
                <w:szCs w:val="20"/>
              </w:rPr>
              <w:t>三级指标</w:t>
            </w:r>
          </w:p>
        </w:tc>
        <w:tc>
          <w:tcPr>
            <w:tcW w:w="1633" w:type="dxa"/>
            <w:tcBorders>
              <w:top w:val="single" w:sz="4" w:space="0" w:color="auto"/>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b/>
                <w:bCs/>
                <w:color w:val="000000"/>
                <w:kern w:val="0"/>
                <w:sz w:val="20"/>
                <w:szCs w:val="20"/>
              </w:rPr>
            </w:pPr>
            <w:r>
              <w:rPr>
                <w:rFonts w:ascii="宋体" w:eastAsia="宋体" w:hAnsi="宋体" w:cs="Arial" w:hint="eastAsia"/>
                <w:b/>
                <w:bCs/>
                <w:color w:val="000000"/>
                <w:kern w:val="0"/>
                <w:sz w:val="20"/>
                <w:szCs w:val="20"/>
              </w:rPr>
              <w:t>指标值</w:t>
            </w:r>
          </w:p>
        </w:tc>
      </w:tr>
      <w:tr w:rsidR="00706F52">
        <w:trPr>
          <w:trHeight w:val="667"/>
          <w:jc w:val="center"/>
        </w:trPr>
        <w:tc>
          <w:tcPr>
            <w:tcW w:w="1401" w:type="dxa"/>
            <w:vMerge w:val="restart"/>
            <w:tcBorders>
              <w:top w:val="nil"/>
              <w:left w:val="single" w:sz="4" w:space="0" w:color="auto"/>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产出指标</w:t>
            </w:r>
          </w:p>
        </w:tc>
        <w:tc>
          <w:tcPr>
            <w:tcW w:w="1659" w:type="dxa"/>
            <w:vMerge w:val="restart"/>
            <w:tcBorders>
              <w:top w:val="nil"/>
              <w:left w:val="single" w:sz="4" w:space="0" w:color="auto"/>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数量指标</w:t>
            </w:r>
          </w:p>
        </w:tc>
        <w:tc>
          <w:tcPr>
            <w:tcW w:w="4367" w:type="dxa"/>
            <w:tcBorders>
              <w:top w:val="nil"/>
              <w:left w:val="nil"/>
              <w:bottom w:val="single" w:sz="4" w:space="0" w:color="auto"/>
              <w:right w:val="single" w:sz="4" w:space="0" w:color="auto"/>
            </w:tcBorders>
            <w:shd w:val="clear" w:color="000000" w:fill="FFFFFF"/>
            <w:vAlign w:val="center"/>
          </w:tcPr>
          <w:p w:rsidR="00706F52" w:rsidRDefault="00DE41BA">
            <w:pPr>
              <w:widowControl/>
              <w:jc w:val="center"/>
              <w:textAlignment w:val="center"/>
              <w:rPr>
                <w:rFonts w:ascii="宋体" w:eastAsia="宋体" w:hAnsi="宋体" w:cs="Arial"/>
                <w:color w:val="000000"/>
                <w:kern w:val="0"/>
                <w:sz w:val="20"/>
                <w:szCs w:val="20"/>
              </w:rPr>
            </w:pPr>
            <w:r>
              <w:rPr>
                <w:rFonts w:ascii="宋体" w:eastAsia="宋体" w:hAnsi="宋体" w:cs="宋体" w:hint="eastAsia"/>
                <w:color w:val="000000"/>
                <w:kern w:val="0"/>
                <w:sz w:val="20"/>
                <w:szCs w:val="20"/>
                <w:lang w:bidi="ar"/>
              </w:rPr>
              <w:t>北京市水功能区划调整技术支撑报告</w:t>
            </w:r>
          </w:p>
        </w:tc>
        <w:tc>
          <w:tcPr>
            <w:tcW w:w="1633" w:type="dxa"/>
            <w:tcBorders>
              <w:top w:val="single" w:sz="4" w:space="0" w:color="auto"/>
              <w:left w:val="nil"/>
              <w:bottom w:val="single" w:sz="4" w:space="0" w:color="auto"/>
              <w:right w:val="single" w:sz="4" w:space="0" w:color="auto"/>
            </w:tcBorders>
            <w:shd w:val="clear" w:color="000000" w:fill="FFFFFF"/>
            <w:vAlign w:val="center"/>
          </w:tcPr>
          <w:p w:rsidR="00706F52" w:rsidRDefault="00DE41BA">
            <w:pPr>
              <w:widowControl/>
              <w:jc w:val="center"/>
              <w:textAlignment w:val="center"/>
              <w:rPr>
                <w:rFonts w:ascii="宋体" w:eastAsia="宋体" w:hAnsi="宋体" w:cs="Arial"/>
                <w:color w:val="000000"/>
                <w:kern w:val="0"/>
                <w:sz w:val="20"/>
                <w:szCs w:val="20"/>
              </w:rPr>
            </w:pP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份</w:t>
            </w:r>
          </w:p>
        </w:tc>
      </w:tr>
      <w:tr w:rsidR="00706F52">
        <w:trPr>
          <w:trHeight w:val="609"/>
          <w:jc w:val="center"/>
        </w:trPr>
        <w:tc>
          <w:tcPr>
            <w:tcW w:w="1401" w:type="dxa"/>
            <w:vMerge/>
            <w:tcBorders>
              <w:top w:val="nil"/>
              <w:left w:val="single" w:sz="4" w:space="0" w:color="auto"/>
              <w:bottom w:val="single" w:sz="4" w:space="0" w:color="auto"/>
              <w:right w:val="single" w:sz="4" w:space="0" w:color="auto"/>
            </w:tcBorders>
            <w:shd w:val="clear" w:color="auto" w:fill="auto"/>
            <w:vAlign w:val="center"/>
          </w:tcPr>
          <w:p w:rsidR="00706F52" w:rsidRDefault="00706F52">
            <w:pPr>
              <w:widowControl/>
              <w:adjustRightInd w:val="0"/>
              <w:snapToGrid w:val="0"/>
              <w:jc w:val="left"/>
              <w:rPr>
                <w:rFonts w:ascii="宋体" w:eastAsia="宋体" w:hAnsi="宋体" w:cs="Arial"/>
                <w:color w:val="000000"/>
                <w:kern w:val="0"/>
                <w:sz w:val="20"/>
                <w:szCs w:val="20"/>
              </w:rPr>
            </w:pPr>
          </w:p>
        </w:tc>
        <w:tc>
          <w:tcPr>
            <w:tcW w:w="1659" w:type="dxa"/>
            <w:vMerge/>
            <w:tcBorders>
              <w:top w:val="nil"/>
              <w:left w:val="single" w:sz="4" w:space="0" w:color="auto"/>
              <w:bottom w:val="single" w:sz="4" w:space="0" w:color="auto"/>
              <w:right w:val="single" w:sz="4" w:space="0" w:color="auto"/>
            </w:tcBorders>
            <w:shd w:val="clear" w:color="auto" w:fill="auto"/>
            <w:vAlign w:val="center"/>
          </w:tcPr>
          <w:p w:rsidR="00706F52" w:rsidRDefault="00706F52">
            <w:pPr>
              <w:widowControl/>
              <w:adjustRightInd w:val="0"/>
              <w:snapToGrid w:val="0"/>
              <w:jc w:val="left"/>
              <w:rPr>
                <w:rFonts w:ascii="宋体" w:eastAsia="宋体" w:hAnsi="宋体" w:cs="Arial"/>
                <w:color w:val="000000"/>
                <w:kern w:val="0"/>
                <w:sz w:val="20"/>
                <w:szCs w:val="20"/>
              </w:rPr>
            </w:pPr>
          </w:p>
        </w:tc>
        <w:tc>
          <w:tcPr>
            <w:tcW w:w="4367" w:type="dxa"/>
            <w:tcBorders>
              <w:top w:val="nil"/>
              <w:left w:val="nil"/>
              <w:bottom w:val="single" w:sz="4" w:space="0" w:color="auto"/>
              <w:right w:val="single" w:sz="4" w:space="0" w:color="auto"/>
            </w:tcBorders>
            <w:shd w:val="clear" w:color="000000" w:fill="FFFFFF"/>
            <w:vAlign w:val="center"/>
          </w:tcPr>
          <w:p w:rsidR="00706F52" w:rsidRDefault="00DE41BA">
            <w:pPr>
              <w:widowControl/>
              <w:jc w:val="center"/>
              <w:textAlignment w:val="center"/>
              <w:rPr>
                <w:rFonts w:ascii="宋体" w:eastAsia="宋体" w:hAnsi="宋体" w:cs="Arial"/>
                <w:color w:val="000000"/>
                <w:kern w:val="0"/>
                <w:sz w:val="20"/>
                <w:szCs w:val="20"/>
              </w:rPr>
            </w:pPr>
            <w:r>
              <w:rPr>
                <w:rFonts w:ascii="宋体" w:eastAsia="宋体" w:hAnsi="宋体" w:cs="宋体" w:hint="eastAsia"/>
                <w:color w:val="000000"/>
                <w:kern w:val="0"/>
                <w:sz w:val="20"/>
                <w:szCs w:val="20"/>
                <w:lang w:bidi="ar"/>
              </w:rPr>
              <w:t>劣Ⅴ</w:t>
            </w:r>
            <w:r>
              <w:rPr>
                <w:rFonts w:ascii="宋体" w:eastAsia="宋体" w:hAnsi="宋体" w:cs="宋体" w:hint="eastAsia"/>
                <w:color w:val="000000"/>
                <w:kern w:val="0"/>
                <w:sz w:val="20"/>
                <w:szCs w:val="20"/>
                <w:lang w:bidi="ar"/>
              </w:rPr>
              <w:t>类及水生态环境保护工作第三方核查报告</w:t>
            </w:r>
          </w:p>
        </w:tc>
        <w:tc>
          <w:tcPr>
            <w:tcW w:w="1633" w:type="dxa"/>
            <w:tcBorders>
              <w:top w:val="single" w:sz="4" w:space="0" w:color="auto"/>
              <w:left w:val="nil"/>
              <w:bottom w:val="single" w:sz="4" w:space="0" w:color="auto"/>
              <w:right w:val="single" w:sz="4" w:space="0" w:color="auto"/>
            </w:tcBorders>
            <w:shd w:val="clear" w:color="000000" w:fill="FFFFFF"/>
            <w:vAlign w:val="center"/>
          </w:tcPr>
          <w:p w:rsidR="00706F52" w:rsidRDefault="00DE41BA">
            <w:pPr>
              <w:widowControl/>
              <w:jc w:val="center"/>
              <w:textAlignment w:val="center"/>
              <w:rPr>
                <w:rFonts w:ascii="宋体" w:eastAsia="宋体" w:hAnsi="宋体" w:cs="Arial"/>
                <w:color w:val="000000"/>
                <w:kern w:val="0"/>
                <w:sz w:val="20"/>
                <w:szCs w:val="20"/>
              </w:rPr>
            </w:pP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份</w:t>
            </w:r>
          </w:p>
        </w:tc>
      </w:tr>
      <w:tr w:rsidR="00706F52">
        <w:trPr>
          <w:trHeight w:val="642"/>
          <w:jc w:val="center"/>
        </w:trPr>
        <w:tc>
          <w:tcPr>
            <w:tcW w:w="1401" w:type="dxa"/>
            <w:vMerge/>
            <w:tcBorders>
              <w:top w:val="nil"/>
              <w:left w:val="single" w:sz="4" w:space="0" w:color="auto"/>
              <w:bottom w:val="single" w:sz="4" w:space="0" w:color="auto"/>
              <w:right w:val="single" w:sz="4" w:space="0" w:color="auto"/>
            </w:tcBorders>
            <w:shd w:val="clear" w:color="auto" w:fill="auto"/>
            <w:vAlign w:val="center"/>
          </w:tcPr>
          <w:p w:rsidR="00706F52" w:rsidRDefault="00706F52">
            <w:pPr>
              <w:widowControl/>
              <w:adjustRightInd w:val="0"/>
              <w:snapToGrid w:val="0"/>
              <w:jc w:val="left"/>
              <w:rPr>
                <w:rFonts w:ascii="宋体" w:eastAsia="宋体" w:hAnsi="宋体" w:cs="Arial"/>
                <w:color w:val="000000"/>
                <w:kern w:val="0"/>
                <w:sz w:val="20"/>
                <w:szCs w:val="20"/>
              </w:rPr>
            </w:pPr>
          </w:p>
        </w:tc>
        <w:tc>
          <w:tcPr>
            <w:tcW w:w="1659" w:type="dxa"/>
            <w:vMerge/>
            <w:tcBorders>
              <w:top w:val="nil"/>
              <w:left w:val="single" w:sz="4" w:space="0" w:color="auto"/>
              <w:bottom w:val="single" w:sz="4" w:space="0" w:color="auto"/>
              <w:right w:val="single" w:sz="4" w:space="0" w:color="auto"/>
            </w:tcBorders>
            <w:shd w:val="clear" w:color="auto" w:fill="auto"/>
            <w:vAlign w:val="center"/>
          </w:tcPr>
          <w:p w:rsidR="00706F52" w:rsidRDefault="00706F52">
            <w:pPr>
              <w:widowControl/>
              <w:adjustRightInd w:val="0"/>
              <w:snapToGrid w:val="0"/>
              <w:jc w:val="left"/>
              <w:rPr>
                <w:rFonts w:ascii="宋体" w:eastAsia="宋体" w:hAnsi="宋体" w:cs="Arial"/>
                <w:color w:val="000000"/>
                <w:kern w:val="0"/>
                <w:sz w:val="20"/>
                <w:szCs w:val="20"/>
              </w:rPr>
            </w:pPr>
          </w:p>
        </w:tc>
        <w:tc>
          <w:tcPr>
            <w:tcW w:w="4367" w:type="dxa"/>
            <w:tcBorders>
              <w:top w:val="nil"/>
              <w:left w:val="nil"/>
              <w:bottom w:val="single" w:sz="4" w:space="0" w:color="auto"/>
              <w:right w:val="single" w:sz="4" w:space="0" w:color="auto"/>
            </w:tcBorders>
            <w:shd w:val="clear" w:color="000000" w:fill="FFFFFF"/>
            <w:vAlign w:val="center"/>
          </w:tcPr>
          <w:p w:rsidR="00706F52" w:rsidRDefault="00DE41BA">
            <w:pPr>
              <w:widowControl/>
              <w:jc w:val="center"/>
              <w:textAlignment w:val="center"/>
              <w:rPr>
                <w:rFonts w:ascii="宋体" w:eastAsia="宋体" w:hAnsi="宋体" w:cs="Arial"/>
                <w:color w:val="000000"/>
                <w:kern w:val="0"/>
                <w:sz w:val="20"/>
                <w:szCs w:val="20"/>
              </w:rPr>
            </w:pPr>
            <w:r>
              <w:rPr>
                <w:rFonts w:ascii="宋体" w:eastAsia="宋体" w:hAnsi="宋体" w:cs="宋体" w:hint="eastAsia"/>
                <w:color w:val="000000"/>
                <w:kern w:val="0"/>
                <w:sz w:val="20"/>
                <w:szCs w:val="20"/>
                <w:lang w:bidi="ar"/>
              </w:rPr>
              <w:t>饮用水水源地环境管理技术支撑报告</w:t>
            </w:r>
          </w:p>
        </w:tc>
        <w:tc>
          <w:tcPr>
            <w:tcW w:w="1633" w:type="dxa"/>
            <w:tcBorders>
              <w:top w:val="single" w:sz="4" w:space="0" w:color="auto"/>
              <w:left w:val="nil"/>
              <w:bottom w:val="single" w:sz="4" w:space="0" w:color="auto"/>
              <w:right w:val="single" w:sz="4" w:space="0" w:color="auto"/>
            </w:tcBorders>
            <w:shd w:val="clear" w:color="000000" w:fill="FFFFFF"/>
            <w:vAlign w:val="center"/>
          </w:tcPr>
          <w:p w:rsidR="00706F52" w:rsidRDefault="00DE41BA">
            <w:pPr>
              <w:widowControl/>
              <w:jc w:val="center"/>
              <w:textAlignment w:val="center"/>
              <w:rPr>
                <w:rFonts w:ascii="宋体" w:eastAsia="宋体" w:hAnsi="宋体" w:cs="Arial"/>
                <w:color w:val="000000"/>
                <w:kern w:val="0"/>
                <w:sz w:val="20"/>
                <w:szCs w:val="20"/>
              </w:rPr>
            </w:pP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份</w:t>
            </w:r>
          </w:p>
        </w:tc>
      </w:tr>
      <w:tr w:rsidR="00706F52">
        <w:trPr>
          <w:trHeight w:val="567"/>
          <w:jc w:val="center"/>
        </w:trPr>
        <w:tc>
          <w:tcPr>
            <w:tcW w:w="1401" w:type="dxa"/>
            <w:vMerge/>
            <w:tcBorders>
              <w:top w:val="nil"/>
              <w:left w:val="single" w:sz="4" w:space="0" w:color="auto"/>
              <w:bottom w:val="single" w:sz="4" w:space="0" w:color="auto"/>
              <w:right w:val="single" w:sz="4" w:space="0" w:color="auto"/>
            </w:tcBorders>
            <w:shd w:val="clear" w:color="auto" w:fill="auto"/>
            <w:vAlign w:val="center"/>
          </w:tcPr>
          <w:p w:rsidR="00706F52" w:rsidRDefault="00706F52">
            <w:pPr>
              <w:widowControl/>
              <w:adjustRightInd w:val="0"/>
              <w:snapToGrid w:val="0"/>
              <w:jc w:val="left"/>
              <w:rPr>
                <w:rFonts w:ascii="宋体" w:eastAsia="宋体" w:hAnsi="宋体" w:cs="Arial"/>
                <w:color w:val="000000"/>
                <w:kern w:val="0"/>
                <w:sz w:val="20"/>
                <w:szCs w:val="20"/>
              </w:rPr>
            </w:pPr>
          </w:p>
        </w:tc>
        <w:tc>
          <w:tcPr>
            <w:tcW w:w="1659" w:type="dxa"/>
            <w:tcBorders>
              <w:top w:val="nil"/>
              <w:left w:val="single" w:sz="4" w:space="0" w:color="auto"/>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质量指标</w:t>
            </w:r>
          </w:p>
        </w:tc>
        <w:tc>
          <w:tcPr>
            <w:tcW w:w="4367" w:type="dxa"/>
            <w:tcBorders>
              <w:top w:val="nil"/>
              <w:left w:val="nil"/>
              <w:bottom w:val="single" w:sz="4" w:space="0" w:color="auto"/>
              <w:right w:val="single" w:sz="4" w:space="0" w:color="auto"/>
            </w:tcBorders>
            <w:shd w:val="clear" w:color="000000" w:fill="FFFFFF"/>
            <w:vAlign w:val="center"/>
          </w:tcPr>
          <w:p w:rsidR="00706F52" w:rsidRDefault="00DE41B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报告评审或验收合格率</w:t>
            </w:r>
          </w:p>
        </w:tc>
        <w:tc>
          <w:tcPr>
            <w:tcW w:w="1633" w:type="dxa"/>
            <w:tcBorders>
              <w:top w:val="single" w:sz="4" w:space="0" w:color="auto"/>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100%</w:t>
            </w:r>
          </w:p>
        </w:tc>
      </w:tr>
      <w:tr w:rsidR="00706F52">
        <w:trPr>
          <w:trHeight w:val="567"/>
          <w:jc w:val="center"/>
        </w:trPr>
        <w:tc>
          <w:tcPr>
            <w:tcW w:w="1401" w:type="dxa"/>
            <w:vMerge/>
            <w:tcBorders>
              <w:top w:val="nil"/>
              <w:left w:val="single" w:sz="4" w:space="0" w:color="auto"/>
              <w:bottom w:val="single" w:sz="4" w:space="0" w:color="auto"/>
              <w:right w:val="single" w:sz="4" w:space="0" w:color="auto"/>
            </w:tcBorders>
            <w:shd w:val="clear" w:color="auto" w:fill="auto"/>
            <w:vAlign w:val="center"/>
          </w:tcPr>
          <w:p w:rsidR="00706F52" w:rsidRDefault="00706F52">
            <w:pPr>
              <w:widowControl/>
              <w:adjustRightInd w:val="0"/>
              <w:snapToGrid w:val="0"/>
              <w:jc w:val="left"/>
              <w:rPr>
                <w:rFonts w:ascii="宋体" w:eastAsia="宋体" w:hAnsi="宋体" w:cs="Arial"/>
                <w:color w:val="000000"/>
                <w:kern w:val="0"/>
                <w:sz w:val="20"/>
                <w:szCs w:val="20"/>
              </w:rPr>
            </w:pPr>
          </w:p>
        </w:tc>
        <w:tc>
          <w:tcPr>
            <w:tcW w:w="1659" w:type="dxa"/>
            <w:tcBorders>
              <w:top w:val="nil"/>
              <w:left w:val="single" w:sz="4" w:space="0" w:color="auto"/>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时效指标</w:t>
            </w:r>
          </w:p>
        </w:tc>
        <w:tc>
          <w:tcPr>
            <w:tcW w:w="4367" w:type="dxa"/>
            <w:tcBorders>
              <w:top w:val="nil"/>
              <w:left w:val="nil"/>
              <w:bottom w:val="single" w:sz="4" w:space="0" w:color="auto"/>
              <w:right w:val="single" w:sz="4" w:space="0" w:color="auto"/>
            </w:tcBorders>
            <w:shd w:val="clear" w:color="000000" w:fill="FFFFFF"/>
            <w:vAlign w:val="center"/>
          </w:tcPr>
          <w:p w:rsidR="00706F52" w:rsidRDefault="00DE41B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按时间进度完成</w:t>
            </w:r>
          </w:p>
        </w:tc>
        <w:tc>
          <w:tcPr>
            <w:tcW w:w="1633" w:type="dxa"/>
            <w:tcBorders>
              <w:top w:val="single" w:sz="4" w:space="0" w:color="auto"/>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=12</w:t>
            </w:r>
            <w:r>
              <w:rPr>
                <w:rFonts w:ascii="宋体" w:eastAsia="宋体" w:hAnsi="宋体" w:cs="Arial" w:hint="eastAsia"/>
                <w:color w:val="000000"/>
                <w:kern w:val="0"/>
                <w:sz w:val="20"/>
                <w:szCs w:val="20"/>
              </w:rPr>
              <w:t>月</w:t>
            </w:r>
          </w:p>
        </w:tc>
      </w:tr>
      <w:tr w:rsidR="00706F52">
        <w:trPr>
          <w:trHeight w:val="567"/>
          <w:jc w:val="center"/>
        </w:trPr>
        <w:tc>
          <w:tcPr>
            <w:tcW w:w="1401" w:type="dxa"/>
            <w:tcBorders>
              <w:top w:val="single" w:sz="4" w:space="0" w:color="auto"/>
              <w:left w:val="single" w:sz="4" w:space="0" w:color="auto"/>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效益指标</w:t>
            </w:r>
          </w:p>
        </w:tc>
        <w:tc>
          <w:tcPr>
            <w:tcW w:w="1659" w:type="dxa"/>
            <w:tcBorders>
              <w:top w:val="nil"/>
              <w:left w:val="single" w:sz="4" w:space="0" w:color="auto"/>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生态效益指标</w:t>
            </w:r>
          </w:p>
        </w:tc>
        <w:tc>
          <w:tcPr>
            <w:tcW w:w="4367" w:type="dxa"/>
            <w:tcBorders>
              <w:top w:val="nil"/>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为生态环境管理决策提供基础数据支撑</w:t>
            </w:r>
          </w:p>
        </w:tc>
        <w:tc>
          <w:tcPr>
            <w:tcW w:w="1633" w:type="dxa"/>
            <w:tcBorders>
              <w:left w:val="single" w:sz="4" w:space="0" w:color="auto"/>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优</w:t>
            </w:r>
          </w:p>
        </w:tc>
      </w:tr>
      <w:tr w:rsidR="00706F52">
        <w:trPr>
          <w:trHeight w:val="686"/>
          <w:jc w:val="center"/>
        </w:trPr>
        <w:tc>
          <w:tcPr>
            <w:tcW w:w="1401" w:type="dxa"/>
            <w:tcBorders>
              <w:top w:val="single" w:sz="4" w:space="0" w:color="auto"/>
              <w:left w:val="single" w:sz="4" w:space="0" w:color="auto"/>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满意度指标</w:t>
            </w:r>
          </w:p>
        </w:tc>
        <w:tc>
          <w:tcPr>
            <w:tcW w:w="1659" w:type="dxa"/>
            <w:tcBorders>
              <w:top w:val="nil"/>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服务对象</w:t>
            </w:r>
          </w:p>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满意度指标</w:t>
            </w:r>
          </w:p>
        </w:tc>
        <w:tc>
          <w:tcPr>
            <w:tcW w:w="4367" w:type="dxa"/>
            <w:tcBorders>
              <w:top w:val="nil"/>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管理部门或服务对象满意度</w:t>
            </w:r>
          </w:p>
        </w:tc>
        <w:tc>
          <w:tcPr>
            <w:tcW w:w="1633" w:type="dxa"/>
            <w:tcBorders>
              <w:left w:val="nil"/>
              <w:bottom w:val="single" w:sz="4" w:space="0" w:color="auto"/>
              <w:right w:val="single" w:sz="4" w:space="0" w:color="auto"/>
            </w:tcBorders>
            <w:shd w:val="clear" w:color="000000" w:fill="FFFFFF"/>
            <w:vAlign w:val="center"/>
          </w:tcPr>
          <w:p w:rsidR="00706F52" w:rsidRDefault="00DE41BA">
            <w:pPr>
              <w:widowControl/>
              <w:adjustRightInd w:val="0"/>
              <w:snapToGrid w:val="0"/>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=95%</w:t>
            </w:r>
          </w:p>
        </w:tc>
      </w:tr>
    </w:tbl>
    <w:p w:rsidR="00706F52" w:rsidRDefault="00706F52">
      <w:pPr>
        <w:adjustRightInd w:val="0"/>
        <w:snapToGrid w:val="0"/>
        <w:spacing w:line="360" w:lineRule="auto"/>
        <w:ind w:firstLineChars="200" w:firstLine="640"/>
        <w:rPr>
          <w:rFonts w:ascii="黑体" w:eastAsia="黑体"/>
          <w:color w:val="000000"/>
          <w:sz w:val="32"/>
          <w:szCs w:val="32"/>
        </w:rPr>
      </w:pPr>
      <w:bookmarkStart w:id="19" w:name="_Toc35588401"/>
    </w:p>
    <w:p w:rsidR="00706F52" w:rsidRDefault="00DE41BA">
      <w:pPr>
        <w:adjustRightInd w:val="0"/>
        <w:snapToGrid w:val="0"/>
        <w:spacing w:line="360" w:lineRule="auto"/>
        <w:ind w:firstLineChars="200" w:firstLine="640"/>
        <w:outlineLvl w:val="0"/>
        <w:rPr>
          <w:rFonts w:ascii="黑体" w:eastAsia="黑体"/>
          <w:color w:val="000000"/>
          <w:sz w:val="32"/>
          <w:szCs w:val="32"/>
        </w:rPr>
      </w:pPr>
      <w:bookmarkStart w:id="20" w:name="_Toc8280"/>
      <w:bookmarkStart w:id="21" w:name="_Toc32423"/>
      <w:bookmarkStart w:id="22" w:name="_Toc27143"/>
      <w:r>
        <w:rPr>
          <w:rFonts w:ascii="黑体" w:eastAsia="黑体" w:hint="eastAsia"/>
          <w:color w:val="000000"/>
          <w:sz w:val="32"/>
          <w:szCs w:val="32"/>
        </w:rPr>
        <w:t>二、绩效评价工作开展情况</w:t>
      </w:r>
      <w:bookmarkEnd w:id="19"/>
      <w:bookmarkEnd w:id="20"/>
      <w:bookmarkEnd w:id="21"/>
      <w:bookmarkEnd w:id="22"/>
    </w:p>
    <w:p w:rsidR="00706F52" w:rsidRDefault="00DE41BA">
      <w:pPr>
        <w:adjustRightInd w:val="0"/>
        <w:snapToGrid w:val="0"/>
        <w:spacing w:line="360" w:lineRule="auto"/>
        <w:ind w:firstLineChars="200" w:firstLine="640"/>
        <w:outlineLvl w:val="1"/>
        <w:rPr>
          <w:rFonts w:ascii="楷体_GB2312" w:eastAsia="楷体_GB2312"/>
          <w:color w:val="000000"/>
          <w:sz w:val="32"/>
          <w:szCs w:val="32"/>
        </w:rPr>
      </w:pPr>
      <w:bookmarkStart w:id="23" w:name="_Toc313007027"/>
      <w:bookmarkStart w:id="24" w:name="_Toc2971"/>
      <w:bookmarkStart w:id="25" w:name="_Toc35588402"/>
      <w:bookmarkStart w:id="26" w:name="_Toc13803"/>
      <w:bookmarkStart w:id="27" w:name="_Toc8201"/>
      <w:r>
        <w:rPr>
          <w:rFonts w:ascii="楷体_GB2312" w:eastAsia="楷体_GB2312" w:hint="eastAsia"/>
          <w:color w:val="000000"/>
          <w:sz w:val="32"/>
          <w:szCs w:val="32"/>
        </w:rPr>
        <w:t>（一）</w:t>
      </w:r>
      <w:bookmarkEnd w:id="23"/>
      <w:r>
        <w:rPr>
          <w:rFonts w:ascii="楷体_GB2312" w:eastAsia="楷体_GB2312" w:hint="eastAsia"/>
          <w:color w:val="000000"/>
          <w:sz w:val="32"/>
          <w:szCs w:val="32"/>
        </w:rPr>
        <w:t>绩效评价目的、对象及范围</w:t>
      </w:r>
      <w:bookmarkEnd w:id="24"/>
      <w:bookmarkEnd w:id="25"/>
      <w:bookmarkEnd w:id="26"/>
      <w:bookmarkEnd w:id="27"/>
    </w:p>
    <w:p w:rsidR="00706F52" w:rsidRDefault="00DE41BA">
      <w:pPr>
        <w:adjustRightInd w:val="0"/>
        <w:snapToGrid w:val="0"/>
        <w:spacing w:line="360" w:lineRule="auto"/>
        <w:ind w:firstLineChars="200" w:firstLine="640"/>
        <w:rPr>
          <w:rFonts w:ascii="仿宋_GB2312" w:hAnsi="仿宋" w:cs="仿宋"/>
          <w:b/>
          <w:bCs/>
          <w:sz w:val="32"/>
          <w:szCs w:val="32"/>
        </w:rPr>
      </w:pPr>
      <w:bookmarkStart w:id="28" w:name="_Toc313007028"/>
      <w:bookmarkStart w:id="29" w:name="_Toc35588403"/>
      <w:r>
        <w:rPr>
          <w:rFonts w:ascii="仿宋_GB2312" w:hAnsi="仿宋" w:hint="eastAsia"/>
          <w:sz w:val="32"/>
          <w:szCs w:val="32"/>
        </w:rPr>
        <w:t>为深入贯彻落实《中共北京市委</w:t>
      </w:r>
      <w:r>
        <w:rPr>
          <w:rFonts w:ascii="仿宋_GB2312" w:hAnsi="仿宋" w:hint="eastAsia"/>
          <w:sz w:val="32"/>
          <w:szCs w:val="32"/>
        </w:rPr>
        <w:t xml:space="preserve"> </w:t>
      </w:r>
      <w:r>
        <w:rPr>
          <w:rFonts w:ascii="仿宋_GB2312" w:hAnsi="仿宋" w:hint="eastAsia"/>
          <w:sz w:val="32"/>
          <w:szCs w:val="32"/>
        </w:rPr>
        <w:t>北京市人民政府关于全面实施预算绩效管理的实施意见》（京发〔</w:t>
      </w:r>
      <w:r>
        <w:rPr>
          <w:rFonts w:ascii="仿宋_GB2312" w:hAnsi="仿宋" w:hint="eastAsia"/>
          <w:sz w:val="32"/>
          <w:szCs w:val="32"/>
        </w:rPr>
        <w:t>2019</w:t>
      </w:r>
      <w:r>
        <w:rPr>
          <w:rFonts w:ascii="仿宋_GB2312" w:hAnsi="仿宋" w:hint="eastAsia"/>
          <w:sz w:val="32"/>
          <w:szCs w:val="32"/>
        </w:rPr>
        <w:t>〕</w:t>
      </w:r>
      <w:r>
        <w:rPr>
          <w:rFonts w:ascii="仿宋_GB2312" w:hAnsi="仿宋" w:hint="eastAsia"/>
          <w:sz w:val="32"/>
          <w:szCs w:val="32"/>
        </w:rPr>
        <w:t>12</w:t>
      </w:r>
      <w:r>
        <w:rPr>
          <w:rFonts w:ascii="仿宋_GB2312" w:hAnsi="仿宋" w:hint="eastAsia"/>
          <w:sz w:val="32"/>
          <w:szCs w:val="32"/>
        </w:rPr>
        <w:t>号）、《北京市预算绩效管理办法》（</w:t>
      </w:r>
      <w:proofErr w:type="gramStart"/>
      <w:r>
        <w:rPr>
          <w:rFonts w:ascii="仿宋_GB2312" w:hAnsi="仿宋" w:hint="eastAsia"/>
          <w:sz w:val="32"/>
          <w:szCs w:val="32"/>
        </w:rPr>
        <w:t>京财绩效</w:t>
      </w:r>
      <w:proofErr w:type="gramEnd"/>
      <w:r>
        <w:rPr>
          <w:rFonts w:ascii="仿宋_GB2312" w:hAnsi="仿宋" w:hint="eastAsia"/>
          <w:sz w:val="32"/>
          <w:szCs w:val="32"/>
        </w:rPr>
        <w:t>〔</w:t>
      </w:r>
      <w:r>
        <w:rPr>
          <w:rFonts w:ascii="仿宋_GB2312" w:hAnsi="仿宋" w:hint="eastAsia"/>
          <w:sz w:val="32"/>
          <w:szCs w:val="32"/>
        </w:rPr>
        <w:t>2019</w:t>
      </w:r>
      <w:r>
        <w:rPr>
          <w:rFonts w:ascii="仿宋_GB2312" w:hAnsi="仿宋" w:hint="eastAsia"/>
          <w:sz w:val="32"/>
          <w:szCs w:val="32"/>
        </w:rPr>
        <w:t>〕</w:t>
      </w:r>
      <w:r>
        <w:rPr>
          <w:rFonts w:ascii="仿宋_GB2312" w:hAnsi="仿宋" w:hint="eastAsia"/>
          <w:sz w:val="32"/>
          <w:szCs w:val="32"/>
        </w:rPr>
        <w:t>2129</w:t>
      </w:r>
      <w:r>
        <w:rPr>
          <w:rFonts w:ascii="仿宋_GB2312" w:hAnsi="仿宋" w:hint="eastAsia"/>
          <w:sz w:val="32"/>
          <w:szCs w:val="32"/>
        </w:rPr>
        <w:t>号）、《关于开展</w:t>
      </w:r>
      <w:r>
        <w:rPr>
          <w:rFonts w:ascii="仿宋_GB2312" w:hAnsi="仿宋" w:hint="eastAsia"/>
          <w:sz w:val="32"/>
          <w:szCs w:val="32"/>
        </w:rPr>
        <w:t>2024</w:t>
      </w:r>
      <w:r>
        <w:rPr>
          <w:rFonts w:ascii="仿宋_GB2312" w:hAnsi="仿宋" w:hint="eastAsia"/>
          <w:sz w:val="32"/>
          <w:szCs w:val="32"/>
        </w:rPr>
        <w:t>年预算绩效管理相关工作的函》等文件要求，</w:t>
      </w:r>
      <w:r>
        <w:rPr>
          <w:rFonts w:ascii="仿宋_GB2312" w:hAnsi="仿宋"/>
          <w:sz w:val="32"/>
          <w:szCs w:val="32"/>
        </w:rPr>
        <w:t>根据</w:t>
      </w:r>
      <w:r>
        <w:rPr>
          <w:rFonts w:ascii="仿宋_GB2312" w:hAnsi="仿宋" w:hint="eastAsia"/>
          <w:sz w:val="32"/>
          <w:szCs w:val="32"/>
        </w:rPr>
        <w:t>《北京市项目支出绩效评价管理办法》（</w:t>
      </w:r>
      <w:proofErr w:type="gramStart"/>
      <w:r>
        <w:rPr>
          <w:rFonts w:ascii="仿宋_GB2312" w:hAnsi="仿宋" w:hint="eastAsia"/>
          <w:sz w:val="32"/>
          <w:szCs w:val="32"/>
        </w:rPr>
        <w:t>京财绩效</w:t>
      </w:r>
      <w:proofErr w:type="gramEnd"/>
      <w:r>
        <w:rPr>
          <w:rFonts w:ascii="仿宋_GB2312" w:hAnsi="仿宋" w:hint="eastAsia"/>
          <w:sz w:val="32"/>
          <w:szCs w:val="32"/>
        </w:rPr>
        <w:t>〔</w:t>
      </w:r>
      <w:r>
        <w:rPr>
          <w:rFonts w:ascii="仿宋_GB2312" w:hAnsi="仿宋" w:hint="eastAsia"/>
          <w:sz w:val="32"/>
          <w:szCs w:val="32"/>
        </w:rPr>
        <w:t>2020</w:t>
      </w:r>
      <w:r>
        <w:rPr>
          <w:rFonts w:ascii="仿宋_GB2312" w:hAnsi="仿宋" w:hint="eastAsia"/>
          <w:sz w:val="32"/>
          <w:szCs w:val="32"/>
        </w:rPr>
        <w:t>〕</w:t>
      </w:r>
      <w:r>
        <w:rPr>
          <w:rFonts w:ascii="仿宋_GB2312" w:hAnsi="仿宋" w:hint="eastAsia"/>
          <w:sz w:val="32"/>
          <w:szCs w:val="32"/>
        </w:rPr>
        <w:t>2146</w:t>
      </w:r>
      <w:r>
        <w:rPr>
          <w:rFonts w:ascii="仿宋_GB2312" w:hAnsi="仿宋" w:hint="eastAsia"/>
          <w:sz w:val="32"/>
          <w:szCs w:val="32"/>
        </w:rPr>
        <w:lastRenderedPageBreak/>
        <w:t>号）（以下简称“京财绩效</w:t>
      </w:r>
      <w:r>
        <w:rPr>
          <w:rFonts w:ascii="仿宋_GB2312" w:hAnsi="仿宋" w:hint="eastAsia"/>
          <w:sz w:val="32"/>
          <w:szCs w:val="32"/>
        </w:rPr>
        <w:t>2146</w:t>
      </w:r>
      <w:r>
        <w:rPr>
          <w:rFonts w:ascii="仿宋_GB2312" w:hAnsi="仿宋" w:hint="eastAsia"/>
          <w:sz w:val="32"/>
          <w:szCs w:val="32"/>
        </w:rPr>
        <w:t>号文”）</w:t>
      </w:r>
      <w:r>
        <w:rPr>
          <w:rFonts w:ascii="仿宋_GB2312" w:hAnsi="仿宋"/>
          <w:sz w:val="32"/>
          <w:szCs w:val="32"/>
        </w:rPr>
        <w:t>文件精神，</w:t>
      </w:r>
      <w:r>
        <w:rPr>
          <w:rFonts w:ascii="仿宋_GB2312" w:hAnsi="仿宋" w:hint="eastAsia"/>
          <w:sz w:val="32"/>
          <w:szCs w:val="32"/>
        </w:rPr>
        <w:t>市生态环境局委托</w:t>
      </w:r>
      <w:r>
        <w:rPr>
          <w:rFonts w:hAnsi="仿宋" w:hint="eastAsia"/>
          <w:sz w:val="32"/>
          <w:szCs w:val="32"/>
        </w:rPr>
        <w:t>北京金凯伟业咨询有限公司（以下简称“评价机构”）</w:t>
      </w:r>
      <w:r>
        <w:rPr>
          <w:rFonts w:ascii="仿宋_GB2312" w:hAnsi="仿宋" w:hint="eastAsia"/>
          <w:sz w:val="32"/>
          <w:szCs w:val="32"/>
        </w:rPr>
        <w:t>对</w:t>
      </w:r>
      <w:r>
        <w:rPr>
          <w:rFonts w:ascii="仿宋_GB2312" w:hAnsi="仿宋" w:hint="eastAsia"/>
          <w:sz w:val="32"/>
          <w:szCs w:val="32"/>
        </w:rPr>
        <w:t>2023</w:t>
      </w:r>
      <w:r>
        <w:rPr>
          <w:rFonts w:ascii="仿宋_GB2312" w:hAnsi="仿宋" w:hint="eastAsia"/>
          <w:sz w:val="32"/>
          <w:szCs w:val="32"/>
        </w:rPr>
        <w:t>年度饮用水水源地安全保障与流域水生态环境保护支撑项目</w:t>
      </w:r>
      <w:r>
        <w:rPr>
          <w:rFonts w:ascii="仿宋_GB2312" w:hAnsi="仿宋"/>
          <w:sz w:val="32"/>
          <w:szCs w:val="32"/>
        </w:rPr>
        <w:t>开展绩效评价。本次评价围绕决策、过程、产出及效益</w:t>
      </w:r>
      <w:r>
        <w:rPr>
          <w:rFonts w:ascii="仿宋_GB2312" w:hAnsi="仿宋" w:hint="eastAsia"/>
          <w:sz w:val="32"/>
          <w:szCs w:val="32"/>
        </w:rPr>
        <w:t>四个</w:t>
      </w:r>
      <w:r>
        <w:rPr>
          <w:rFonts w:ascii="仿宋_GB2312" w:hAnsi="仿宋"/>
          <w:sz w:val="32"/>
          <w:szCs w:val="32"/>
        </w:rPr>
        <w:t>维度，总结经验，发现问题，剖析原因，提出改进建议，为相关部门科学决策、规范管理提供参考，提高财政资金配置效率和使用效益。</w:t>
      </w:r>
    </w:p>
    <w:p w:rsidR="00706F52" w:rsidRDefault="00DE41BA">
      <w:pPr>
        <w:adjustRightInd w:val="0"/>
        <w:snapToGrid w:val="0"/>
        <w:spacing w:line="360" w:lineRule="auto"/>
        <w:ind w:firstLineChars="200" w:firstLine="640"/>
        <w:outlineLvl w:val="1"/>
        <w:rPr>
          <w:rFonts w:ascii="楷体_GB2312" w:eastAsia="楷体_GB2312"/>
          <w:color w:val="000000"/>
          <w:sz w:val="32"/>
          <w:szCs w:val="32"/>
        </w:rPr>
      </w:pPr>
      <w:bookmarkStart w:id="30" w:name="_Toc12526"/>
      <w:bookmarkStart w:id="31" w:name="_Toc8449"/>
      <w:bookmarkStart w:id="32" w:name="_Toc25906"/>
      <w:r>
        <w:rPr>
          <w:rFonts w:ascii="楷体_GB2312" w:eastAsia="楷体_GB2312" w:hint="eastAsia"/>
          <w:color w:val="000000"/>
          <w:sz w:val="32"/>
          <w:szCs w:val="32"/>
        </w:rPr>
        <w:t>（二）</w:t>
      </w:r>
      <w:bookmarkEnd w:id="28"/>
      <w:bookmarkEnd w:id="29"/>
      <w:bookmarkEnd w:id="30"/>
      <w:r>
        <w:rPr>
          <w:rFonts w:ascii="楷体_GB2312" w:eastAsia="楷体_GB2312" w:hint="eastAsia"/>
          <w:color w:val="000000"/>
          <w:sz w:val="32"/>
          <w:szCs w:val="32"/>
        </w:rPr>
        <w:t>绩效评价原则、评价指标体系（附表说明）、评价方法、评价标准等</w:t>
      </w:r>
      <w:bookmarkEnd w:id="31"/>
      <w:bookmarkEnd w:id="32"/>
    </w:p>
    <w:p w:rsidR="00706F52" w:rsidRDefault="00DE41BA">
      <w:pPr>
        <w:adjustRightInd w:val="0"/>
        <w:snapToGrid w:val="0"/>
        <w:spacing w:line="360" w:lineRule="auto"/>
        <w:ind w:firstLineChars="200" w:firstLine="640"/>
        <w:rPr>
          <w:rFonts w:ascii="仿宋_GB2312" w:hAnsi="宋体"/>
          <w:bCs/>
          <w:color w:val="000000"/>
          <w:sz w:val="32"/>
          <w:szCs w:val="32"/>
        </w:rPr>
      </w:pPr>
      <w:bookmarkStart w:id="33" w:name="_Toc313007030"/>
      <w:r>
        <w:rPr>
          <w:rFonts w:ascii="仿宋_GB2312" w:hAnsi="宋体" w:hint="eastAsia"/>
          <w:bCs/>
          <w:color w:val="000000"/>
          <w:sz w:val="32"/>
          <w:szCs w:val="32"/>
        </w:rPr>
        <w:t>1.</w:t>
      </w:r>
      <w:r>
        <w:rPr>
          <w:rFonts w:ascii="仿宋_GB2312" w:hAnsi="宋体" w:hint="eastAsia"/>
          <w:bCs/>
          <w:color w:val="000000"/>
          <w:sz w:val="32"/>
          <w:szCs w:val="32"/>
        </w:rPr>
        <w:t>绩效评价原则</w:t>
      </w:r>
    </w:p>
    <w:p w:rsidR="00706F52" w:rsidRDefault="00DE41BA">
      <w:pPr>
        <w:adjustRightInd w:val="0"/>
        <w:snapToGrid w:val="0"/>
        <w:spacing w:line="360" w:lineRule="auto"/>
        <w:ind w:firstLineChars="200" w:firstLine="640"/>
        <w:rPr>
          <w:rFonts w:ascii="仿宋_GB2312" w:hAnsi="楷体"/>
          <w:bCs/>
          <w:sz w:val="32"/>
          <w:szCs w:val="32"/>
        </w:rPr>
      </w:pPr>
      <w:r>
        <w:rPr>
          <w:rFonts w:ascii="仿宋_GB2312" w:hAnsi="楷体" w:hint="eastAsia"/>
          <w:bCs/>
          <w:sz w:val="32"/>
          <w:szCs w:val="32"/>
        </w:rPr>
        <w:t>（</w:t>
      </w:r>
      <w:r>
        <w:rPr>
          <w:rFonts w:ascii="仿宋_GB2312" w:hAnsi="楷体" w:hint="eastAsia"/>
          <w:bCs/>
          <w:sz w:val="32"/>
          <w:szCs w:val="32"/>
        </w:rPr>
        <w:t>1</w:t>
      </w:r>
      <w:r>
        <w:rPr>
          <w:rFonts w:ascii="仿宋_GB2312" w:hAnsi="楷体" w:hint="eastAsia"/>
          <w:bCs/>
          <w:sz w:val="32"/>
          <w:szCs w:val="32"/>
        </w:rPr>
        <w:t>）公开透明原则。评价依据和程序公开。</w:t>
      </w:r>
    </w:p>
    <w:p w:rsidR="00706F52" w:rsidRDefault="00DE41BA">
      <w:pPr>
        <w:adjustRightInd w:val="0"/>
        <w:snapToGrid w:val="0"/>
        <w:spacing w:line="360" w:lineRule="auto"/>
        <w:ind w:firstLineChars="200" w:firstLine="640"/>
        <w:rPr>
          <w:rFonts w:ascii="仿宋_GB2312" w:hAnsi="楷体"/>
          <w:bCs/>
          <w:sz w:val="32"/>
          <w:szCs w:val="32"/>
        </w:rPr>
      </w:pPr>
      <w:r>
        <w:rPr>
          <w:rFonts w:ascii="仿宋_GB2312" w:hAnsi="楷体" w:hint="eastAsia"/>
          <w:bCs/>
          <w:sz w:val="32"/>
          <w:szCs w:val="32"/>
        </w:rPr>
        <w:t>（</w:t>
      </w:r>
      <w:r>
        <w:rPr>
          <w:rFonts w:ascii="仿宋_GB2312" w:hAnsi="楷体" w:hint="eastAsia"/>
          <w:bCs/>
          <w:sz w:val="32"/>
          <w:szCs w:val="32"/>
        </w:rPr>
        <w:t>2</w:t>
      </w:r>
      <w:r>
        <w:rPr>
          <w:rFonts w:ascii="仿宋_GB2312" w:hAnsi="楷体" w:hint="eastAsia"/>
          <w:bCs/>
          <w:sz w:val="32"/>
          <w:szCs w:val="32"/>
        </w:rPr>
        <w:t>）客观公正原则。以</w:t>
      </w:r>
      <w:r>
        <w:rPr>
          <w:rFonts w:ascii="仿宋_GB2312" w:hAnsi="仿宋" w:hint="eastAsia"/>
          <w:sz w:val="32"/>
          <w:szCs w:val="32"/>
        </w:rPr>
        <w:t>事实</w:t>
      </w:r>
      <w:r>
        <w:rPr>
          <w:rFonts w:ascii="仿宋_GB2312" w:hAnsi="楷体" w:hint="eastAsia"/>
          <w:bCs/>
          <w:sz w:val="32"/>
          <w:szCs w:val="32"/>
        </w:rPr>
        <w:t>为依据，用数据说话。</w:t>
      </w:r>
    </w:p>
    <w:p w:rsidR="00706F52" w:rsidRDefault="00DE41BA">
      <w:pPr>
        <w:adjustRightInd w:val="0"/>
        <w:snapToGrid w:val="0"/>
        <w:spacing w:line="360" w:lineRule="auto"/>
        <w:ind w:firstLineChars="200" w:firstLine="640"/>
        <w:rPr>
          <w:rFonts w:ascii="仿宋_GB2312" w:hAnsi="楷体"/>
          <w:bCs/>
          <w:sz w:val="32"/>
          <w:szCs w:val="32"/>
        </w:rPr>
      </w:pPr>
      <w:r>
        <w:rPr>
          <w:rFonts w:ascii="仿宋_GB2312" w:hAnsi="楷体" w:hint="eastAsia"/>
          <w:bCs/>
          <w:sz w:val="32"/>
          <w:szCs w:val="32"/>
        </w:rPr>
        <w:t>（</w:t>
      </w:r>
      <w:r>
        <w:rPr>
          <w:rFonts w:ascii="仿宋_GB2312" w:hAnsi="楷体" w:hint="eastAsia"/>
          <w:bCs/>
          <w:sz w:val="32"/>
          <w:szCs w:val="32"/>
        </w:rPr>
        <w:t>3</w:t>
      </w:r>
      <w:r>
        <w:rPr>
          <w:rFonts w:ascii="仿宋_GB2312" w:hAnsi="楷体" w:hint="eastAsia"/>
          <w:bCs/>
          <w:sz w:val="32"/>
          <w:szCs w:val="32"/>
        </w:rPr>
        <w:t>）重点突出原则。选择与单位业务密切相关、资金量大、与公众利益密切相关的项目进行抽样调查和重点评价。</w:t>
      </w:r>
    </w:p>
    <w:p w:rsidR="00706F52" w:rsidRDefault="00DE41BA">
      <w:pPr>
        <w:adjustRightInd w:val="0"/>
        <w:snapToGrid w:val="0"/>
        <w:spacing w:line="360" w:lineRule="auto"/>
        <w:ind w:firstLineChars="200" w:firstLine="640"/>
        <w:rPr>
          <w:rFonts w:ascii="仿宋_GB2312" w:hAnsi="楷体"/>
          <w:bCs/>
          <w:sz w:val="32"/>
          <w:szCs w:val="32"/>
        </w:rPr>
      </w:pPr>
      <w:r>
        <w:rPr>
          <w:rFonts w:ascii="仿宋_GB2312" w:hAnsi="楷体" w:hint="eastAsia"/>
          <w:bCs/>
          <w:sz w:val="32"/>
          <w:szCs w:val="32"/>
        </w:rPr>
        <w:t>（</w:t>
      </w:r>
      <w:r>
        <w:rPr>
          <w:rFonts w:ascii="仿宋_GB2312" w:hAnsi="楷体" w:hint="eastAsia"/>
          <w:bCs/>
          <w:sz w:val="32"/>
          <w:szCs w:val="32"/>
        </w:rPr>
        <w:t>4</w:t>
      </w:r>
      <w:r>
        <w:rPr>
          <w:rFonts w:ascii="仿宋_GB2312" w:hAnsi="楷体" w:hint="eastAsia"/>
          <w:bCs/>
          <w:sz w:val="32"/>
          <w:szCs w:val="32"/>
        </w:rPr>
        <w:t>）可操作性原则。根据</w:t>
      </w:r>
      <w:r>
        <w:rPr>
          <w:rFonts w:ascii="仿宋_GB2312" w:hAnsi="仿宋" w:hint="eastAsia"/>
          <w:sz w:val="32"/>
          <w:szCs w:val="32"/>
        </w:rPr>
        <w:t>资金</w:t>
      </w:r>
      <w:r>
        <w:rPr>
          <w:rFonts w:ascii="仿宋_GB2312" w:hAnsi="楷体" w:hint="eastAsia"/>
          <w:bCs/>
          <w:sz w:val="32"/>
          <w:szCs w:val="32"/>
        </w:rPr>
        <w:t>用途和管理要求，合理设置评价指</w:t>
      </w:r>
      <w:r>
        <w:rPr>
          <w:rFonts w:ascii="仿宋_GB2312" w:hAnsi="楷体" w:hint="eastAsia"/>
          <w:bCs/>
          <w:sz w:val="32"/>
          <w:szCs w:val="32"/>
        </w:rPr>
        <w:t>标。指标体系具体、明晰、易于操作。</w:t>
      </w:r>
    </w:p>
    <w:p w:rsidR="00706F52" w:rsidRDefault="00DE41BA">
      <w:pPr>
        <w:adjustRightInd w:val="0"/>
        <w:snapToGrid w:val="0"/>
        <w:spacing w:line="360" w:lineRule="auto"/>
        <w:ind w:firstLineChars="200" w:firstLine="640"/>
        <w:rPr>
          <w:rFonts w:ascii="仿宋_GB2312" w:hAnsi="楷体"/>
          <w:bCs/>
          <w:sz w:val="32"/>
          <w:szCs w:val="32"/>
        </w:rPr>
      </w:pPr>
      <w:r>
        <w:rPr>
          <w:rFonts w:ascii="仿宋_GB2312" w:hAnsi="楷体" w:hint="eastAsia"/>
          <w:bCs/>
          <w:sz w:val="32"/>
          <w:szCs w:val="32"/>
        </w:rPr>
        <w:t>（</w:t>
      </w:r>
      <w:r>
        <w:rPr>
          <w:rFonts w:ascii="仿宋_GB2312" w:hAnsi="楷体" w:hint="eastAsia"/>
          <w:bCs/>
          <w:sz w:val="32"/>
          <w:szCs w:val="32"/>
        </w:rPr>
        <w:t>5</w:t>
      </w:r>
      <w:r>
        <w:rPr>
          <w:rFonts w:ascii="仿宋_GB2312" w:hAnsi="楷体" w:hint="eastAsia"/>
          <w:bCs/>
          <w:sz w:val="32"/>
          <w:szCs w:val="32"/>
        </w:rPr>
        <w:t>）科学合理原则。评价指标以定量为主，结合定性分析，达到数据可靠、方法合理。</w:t>
      </w:r>
    </w:p>
    <w:p w:rsidR="00706F52" w:rsidRDefault="00DE41BA">
      <w:pPr>
        <w:adjustRightInd w:val="0"/>
        <w:snapToGrid w:val="0"/>
        <w:spacing w:line="360" w:lineRule="auto"/>
        <w:ind w:firstLineChars="200" w:firstLine="640"/>
        <w:rPr>
          <w:rFonts w:ascii="仿宋_GB2312" w:hAnsi="宋体"/>
          <w:bCs/>
          <w:color w:val="000000"/>
          <w:sz w:val="32"/>
          <w:szCs w:val="32"/>
        </w:rPr>
      </w:pPr>
      <w:r>
        <w:rPr>
          <w:rFonts w:ascii="仿宋_GB2312" w:hAnsi="宋体" w:hint="eastAsia"/>
          <w:bCs/>
          <w:color w:val="000000"/>
          <w:sz w:val="32"/>
          <w:szCs w:val="32"/>
        </w:rPr>
        <w:t>2.</w:t>
      </w:r>
      <w:r>
        <w:rPr>
          <w:rFonts w:ascii="仿宋_GB2312" w:hAnsi="宋体" w:hint="eastAsia"/>
          <w:bCs/>
          <w:color w:val="000000"/>
          <w:sz w:val="32"/>
          <w:szCs w:val="32"/>
        </w:rPr>
        <w:t>评价指标体系及评价标准</w:t>
      </w:r>
    </w:p>
    <w:p w:rsidR="00706F52" w:rsidRDefault="00DE41BA">
      <w:pPr>
        <w:adjustRightInd w:val="0"/>
        <w:snapToGrid w:val="0"/>
        <w:spacing w:line="360" w:lineRule="auto"/>
        <w:ind w:firstLineChars="200" w:firstLine="640"/>
        <w:rPr>
          <w:rFonts w:ascii="仿宋_GB2312" w:hAnsi="宋体"/>
          <w:bCs/>
          <w:sz w:val="32"/>
          <w:szCs w:val="32"/>
        </w:rPr>
      </w:pPr>
      <w:proofErr w:type="gramStart"/>
      <w:r>
        <w:rPr>
          <w:rFonts w:ascii="仿宋_GB2312" w:hAnsi="宋体" w:hint="eastAsia"/>
          <w:bCs/>
          <w:sz w:val="32"/>
          <w:szCs w:val="32"/>
        </w:rPr>
        <w:t>根据</w:t>
      </w:r>
      <w:r>
        <w:rPr>
          <w:rFonts w:ascii="仿宋_GB2312" w:hAnsi="仿宋" w:hint="eastAsia"/>
          <w:sz w:val="32"/>
          <w:szCs w:val="32"/>
        </w:rPr>
        <w:t>京财绩效</w:t>
      </w:r>
      <w:proofErr w:type="gramEnd"/>
      <w:r>
        <w:rPr>
          <w:rFonts w:ascii="仿宋_GB2312" w:hAnsi="仿宋" w:hint="eastAsia"/>
          <w:sz w:val="32"/>
          <w:szCs w:val="32"/>
        </w:rPr>
        <w:t>2146</w:t>
      </w:r>
      <w:r>
        <w:rPr>
          <w:rFonts w:ascii="仿宋_GB2312" w:hAnsi="仿宋" w:hint="eastAsia"/>
          <w:sz w:val="32"/>
          <w:szCs w:val="32"/>
        </w:rPr>
        <w:t>号</w:t>
      </w:r>
      <w:r>
        <w:rPr>
          <w:rFonts w:ascii="仿宋_GB2312" w:hAnsi="宋体" w:hint="eastAsia"/>
          <w:bCs/>
          <w:sz w:val="32"/>
          <w:szCs w:val="32"/>
        </w:rPr>
        <w:t>文件的相关精神，结合项目特点，在</w:t>
      </w:r>
      <w:r>
        <w:rPr>
          <w:rFonts w:ascii="仿宋_GB2312" w:hAnsi="宋体" w:hint="eastAsia"/>
          <w:bCs/>
          <w:sz w:val="32"/>
          <w:szCs w:val="32"/>
        </w:rPr>
        <w:lastRenderedPageBreak/>
        <w:t>与专家组、项目单位充分协商的基础上，评价机构细化了项目的绩效评价指标体系和评价标准，详见附件</w:t>
      </w:r>
      <w:r>
        <w:rPr>
          <w:rFonts w:ascii="仿宋_GB2312" w:hAnsi="宋体" w:hint="eastAsia"/>
          <w:bCs/>
          <w:sz w:val="32"/>
          <w:szCs w:val="32"/>
        </w:rPr>
        <w:t>1</w:t>
      </w:r>
      <w:r>
        <w:rPr>
          <w:rFonts w:ascii="仿宋_GB2312" w:hAnsi="宋体" w:hint="eastAsia"/>
          <w:bCs/>
          <w:sz w:val="32"/>
          <w:szCs w:val="32"/>
        </w:rPr>
        <w:t>。</w:t>
      </w:r>
      <w:r>
        <w:rPr>
          <w:rFonts w:ascii="仿宋_GB2312" w:hint="eastAsia"/>
          <w:sz w:val="32"/>
          <w:szCs w:val="32"/>
        </w:rPr>
        <w:t>评价指标体系总分值为</w:t>
      </w:r>
      <w:r>
        <w:rPr>
          <w:rFonts w:ascii="仿宋_GB2312" w:hint="eastAsia"/>
          <w:sz w:val="32"/>
          <w:szCs w:val="32"/>
        </w:rPr>
        <w:t>100</w:t>
      </w:r>
      <w:r>
        <w:rPr>
          <w:rFonts w:ascii="仿宋_GB2312" w:hint="eastAsia"/>
          <w:sz w:val="32"/>
          <w:szCs w:val="32"/>
        </w:rPr>
        <w:t>分，其中项目决策</w:t>
      </w:r>
      <w:r>
        <w:rPr>
          <w:rFonts w:ascii="仿宋_GB2312" w:hint="eastAsia"/>
          <w:sz w:val="32"/>
          <w:szCs w:val="32"/>
        </w:rPr>
        <w:t>1</w:t>
      </w:r>
      <w:r>
        <w:rPr>
          <w:rFonts w:ascii="仿宋_GB2312"/>
          <w:sz w:val="32"/>
          <w:szCs w:val="32"/>
        </w:rPr>
        <w:t>0</w:t>
      </w:r>
      <w:r>
        <w:rPr>
          <w:rFonts w:ascii="仿宋_GB2312" w:hint="eastAsia"/>
          <w:sz w:val="32"/>
          <w:szCs w:val="32"/>
        </w:rPr>
        <w:t>分，项目过程</w:t>
      </w:r>
      <w:r>
        <w:rPr>
          <w:rFonts w:ascii="仿宋_GB2312"/>
          <w:sz w:val="32"/>
          <w:szCs w:val="32"/>
        </w:rPr>
        <w:t>20</w:t>
      </w:r>
      <w:r>
        <w:rPr>
          <w:rFonts w:ascii="仿宋_GB2312" w:hint="eastAsia"/>
          <w:sz w:val="32"/>
          <w:szCs w:val="32"/>
        </w:rPr>
        <w:t>分，项目产出</w:t>
      </w:r>
      <w:r>
        <w:rPr>
          <w:rFonts w:ascii="仿宋_GB2312" w:hint="eastAsia"/>
          <w:sz w:val="32"/>
          <w:szCs w:val="32"/>
        </w:rPr>
        <w:t>4</w:t>
      </w:r>
      <w:r>
        <w:rPr>
          <w:rFonts w:ascii="仿宋_GB2312"/>
          <w:sz w:val="32"/>
          <w:szCs w:val="32"/>
        </w:rPr>
        <w:t>0</w:t>
      </w:r>
      <w:r>
        <w:rPr>
          <w:rFonts w:ascii="仿宋_GB2312" w:hint="eastAsia"/>
          <w:sz w:val="32"/>
          <w:szCs w:val="32"/>
        </w:rPr>
        <w:t>分，项目效益</w:t>
      </w:r>
      <w:r>
        <w:rPr>
          <w:rFonts w:ascii="仿宋_GB2312" w:hint="eastAsia"/>
          <w:sz w:val="32"/>
          <w:szCs w:val="32"/>
        </w:rPr>
        <w:t>3</w:t>
      </w:r>
      <w:r>
        <w:rPr>
          <w:rFonts w:ascii="仿宋_GB2312"/>
          <w:sz w:val="32"/>
          <w:szCs w:val="32"/>
        </w:rPr>
        <w:t>0</w:t>
      </w:r>
      <w:r>
        <w:rPr>
          <w:rFonts w:ascii="仿宋_GB2312" w:hint="eastAsia"/>
          <w:sz w:val="32"/>
          <w:szCs w:val="32"/>
        </w:rPr>
        <w:t>分。</w:t>
      </w:r>
      <w:r>
        <w:rPr>
          <w:rFonts w:ascii="仿宋_GB2312" w:hAnsi="宋体" w:hint="eastAsia"/>
          <w:bCs/>
          <w:sz w:val="32"/>
          <w:szCs w:val="32"/>
        </w:rPr>
        <w:t>绩效评价综合绩效级别分为</w:t>
      </w:r>
      <w:r>
        <w:rPr>
          <w:rFonts w:ascii="仿宋_GB2312" w:hAnsi="宋体" w:hint="eastAsia"/>
          <w:bCs/>
          <w:sz w:val="32"/>
          <w:szCs w:val="32"/>
        </w:rPr>
        <w:t>4</w:t>
      </w:r>
      <w:r>
        <w:rPr>
          <w:rFonts w:ascii="仿宋_GB2312" w:hAnsi="宋体" w:hint="eastAsia"/>
          <w:bCs/>
          <w:sz w:val="32"/>
          <w:szCs w:val="32"/>
        </w:rPr>
        <w:t>个等级：</w:t>
      </w:r>
    </w:p>
    <w:p w:rsidR="00706F52" w:rsidRDefault="00DE41BA">
      <w:pPr>
        <w:adjustRightInd w:val="0"/>
        <w:snapToGrid w:val="0"/>
        <w:spacing w:line="360" w:lineRule="auto"/>
        <w:ind w:firstLineChars="200" w:firstLine="640"/>
        <w:rPr>
          <w:rFonts w:ascii="仿宋_GB2312" w:hAnsi="仿宋_GB2312" w:cs="仿宋_GB2312"/>
          <w:color w:val="000000"/>
          <w:sz w:val="32"/>
          <w:szCs w:val="32"/>
        </w:rPr>
      </w:pPr>
      <w:r>
        <w:rPr>
          <w:rFonts w:ascii="仿宋_GB2312" w:hAnsi="宋体" w:hint="eastAsia"/>
          <w:bCs/>
          <w:sz w:val="32"/>
          <w:szCs w:val="32"/>
        </w:rPr>
        <w:t>综合得分在</w:t>
      </w:r>
      <w:r>
        <w:rPr>
          <w:rFonts w:ascii="仿宋_GB2312" w:hAnsi="宋体" w:hint="eastAsia"/>
          <w:bCs/>
          <w:sz w:val="32"/>
          <w:szCs w:val="32"/>
        </w:rPr>
        <w:t>90</w:t>
      </w:r>
      <w:r>
        <w:rPr>
          <w:rFonts w:ascii="仿宋_GB2312" w:hAnsi="宋体" w:hint="eastAsia"/>
          <w:bCs/>
          <w:sz w:val="32"/>
          <w:szCs w:val="32"/>
        </w:rPr>
        <w:t>（含）</w:t>
      </w:r>
      <w:r>
        <w:rPr>
          <w:rFonts w:ascii="仿宋_GB2312" w:hAnsi="宋体" w:hint="eastAsia"/>
          <w:bCs/>
          <w:sz w:val="32"/>
          <w:szCs w:val="32"/>
        </w:rPr>
        <w:t>-100</w:t>
      </w:r>
      <w:r>
        <w:rPr>
          <w:rFonts w:ascii="仿宋_GB2312" w:hAnsi="宋体" w:hint="eastAsia"/>
          <w:bCs/>
          <w:sz w:val="32"/>
          <w:szCs w:val="32"/>
        </w:rPr>
        <w:t>分为优；</w:t>
      </w:r>
    </w:p>
    <w:p w:rsidR="00706F52" w:rsidRDefault="00DE41BA">
      <w:pPr>
        <w:adjustRightInd w:val="0"/>
        <w:snapToGrid w:val="0"/>
        <w:spacing w:line="360" w:lineRule="auto"/>
        <w:ind w:firstLineChars="200" w:firstLine="640"/>
        <w:rPr>
          <w:rFonts w:ascii="仿宋_GB2312" w:hAnsi="宋体"/>
          <w:bCs/>
          <w:sz w:val="32"/>
          <w:szCs w:val="32"/>
        </w:rPr>
      </w:pPr>
      <w:r>
        <w:rPr>
          <w:rFonts w:ascii="仿宋_GB2312" w:hAnsi="宋体" w:hint="eastAsia"/>
          <w:bCs/>
          <w:sz w:val="32"/>
          <w:szCs w:val="32"/>
        </w:rPr>
        <w:t>综合得分在</w:t>
      </w:r>
      <w:r>
        <w:rPr>
          <w:rFonts w:ascii="仿宋_GB2312" w:hAnsi="宋体"/>
          <w:bCs/>
          <w:sz w:val="32"/>
          <w:szCs w:val="32"/>
        </w:rPr>
        <w:t>80</w:t>
      </w:r>
      <w:r>
        <w:rPr>
          <w:rFonts w:ascii="仿宋_GB2312" w:hAnsi="宋体" w:hint="eastAsia"/>
          <w:bCs/>
          <w:sz w:val="32"/>
          <w:szCs w:val="32"/>
        </w:rPr>
        <w:t>（含）</w:t>
      </w:r>
      <w:r>
        <w:rPr>
          <w:rFonts w:ascii="仿宋_GB2312" w:hAnsi="宋体" w:hint="eastAsia"/>
          <w:bCs/>
          <w:sz w:val="32"/>
          <w:szCs w:val="32"/>
        </w:rPr>
        <w:t>-90</w:t>
      </w:r>
      <w:r>
        <w:rPr>
          <w:rFonts w:ascii="仿宋_GB2312" w:hAnsi="宋体" w:hint="eastAsia"/>
          <w:bCs/>
          <w:sz w:val="32"/>
          <w:szCs w:val="32"/>
        </w:rPr>
        <w:t>分为良；</w:t>
      </w:r>
    </w:p>
    <w:p w:rsidR="00706F52" w:rsidRDefault="00DE41BA">
      <w:pPr>
        <w:adjustRightInd w:val="0"/>
        <w:snapToGrid w:val="0"/>
        <w:spacing w:line="360" w:lineRule="auto"/>
        <w:ind w:firstLineChars="200" w:firstLine="640"/>
        <w:rPr>
          <w:rFonts w:ascii="仿宋_GB2312" w:hAnsi="宋体"/>
          <w:bCs/>
          <w:sz w:val="32"/>
          <w:szCs w:val="32"/>
        </w:rPr>
      </w:pPr>
      <w:r>
        <w:rPr>
          <w:rFonts w:ascii="仿宋_GB2312" w:hAnsi="宋体" w:hint="eastAsia"/>
          <w:bCs/>
          <w:sz w:val="32"/>
          <w:szCs w:val="32"/>
        </w:rPr>
        <w:t>综合得分在</w:t>
      </w:r>
      <w:r>
        <w:rPr>
          <w:rFonts w:ascii="仿宋_GB2312" w:hAnsi="宋体" w:hint="eastAsia"/>
          <w:bCs/>
          <w:sz w:val="32"/>
          <w:szCs w:val="32"/>
        </w:rPr>
        <w:t>60</w:t>
      </w:r>
      <w:r>
        <w:rPr>
          <w:rFonts w:ascii="仿宋_GB2312" w:hAnsi="宋体" w:hint="eastAsia"/>
          <w:bCs/>
          <w:sz w:val="32"/>
          <w:szCs w:val="32"/>
        </w:rPr>
        <w:t>（含）</w:t>
      </w:r>
      <w:r>
        <w:rPr>
          <w:rFonts w:ascii="仿宋_GB2312" w:hAnsi="宋体" w:hint="eastAsia"/>
          <w:bCs/>
          <w:sz w:val="32"/>
          <w:szCs w:val="32"/>
        </w:rPr>
        <w:t>-</w:t>
      </w:r>
      <w:r>
        <w:rPr>
          <w:rFonts w:ascii="仿宋_GB2312" w:hAnsi="宋体"/>
          <w:bCs/>
          <w:sz w:val="32"/>
          <w:szCs w:val="32"/>
        </w:rPr>
        <w:t>80</w:t>
      </w:r>
      <w:r>
        <w:rPr>
          <w:rFonts w:ascii="仿宋_GB2312" w:hAnsi="宋体" w:hint="eastAsia"/>
          <w:bCs/>
          <w:sz w:val="32"/>
          <w:szCs w:val="32"/>
        </w:rPr>
        <w:t>分为中；</w:t>
      </w:r>
    </w:p>
    <w:p w:rsidR="00706F52" w:rsidRDefault="00DE41BA">
      <w:pPr>
        <w:adjustRightInd w:val="0"/>
        <w:snapToGrid w:val="0"/>
        <w:spacing w:line="360" w:lineRule="auto"/>
        <w:ind w:firstLineChars="200" w:firstLine="640"/>
        <w:rPr>
          <w:rFonts w:ascii="仿宋_GB2312" w:hAnsi="宋体"/>
          <w:bCs/>
          <w:sz w:val="32"/>
          <w:szCs w:val="32"/>
        </w:rPr>
      </w:pPr>
      <w:r>
        <w:rPr>
          <w:rFonts w:ascii="仿宋_GB2312" w:hAnsi="宋体" w:hint="eastAsia"/>
          <w:bCs/>
          <w:sz w:val="32"/>
          <w:szCs w:val="32"/>
        </w:rPr>
        <w:t>综合得分在</w:t>
      </w:r>
      <w:r>
        <w:rPr>
          <w:rFonts w:ascii="仿宋_GB2312" w:hAnsi="宋体" w:hint="eastAsia"/>
          <w:bCs/>
          <w:sz w:val="32"/>
          <w:szCs w:val="32"/>
        </w:rPr>
        <w:t>60</w:t>
      </w:r>
      <w:r>
        <w:rPr>
          <w:rFonts w:ascii="仿宋_GB2312" w:hAnsi="宋体" w:hint="eastAsia"/>
          <w:bCs/>
          <w:sz w:val="32"/>
          <w:szCs w:val="32"/>
        </w:rPr>
        <w:t>分以下为较差。</w:t>
      </w:r>
    </w:p>
    <w:p w:rsidR="00706F52" w:rsidRDefault="00DE41BA">
      <w:pPr>
        <w:adjustRightInd w:val="0"/>
        <w:snapToGrid w:val="0"/>
        <w:spacing w:line="360" w:lineRule="auto"/>
        <w:ind w:firstLineChars="200" w:firstLine="640"/>
        <w:rPr>
          <w:rFonts w:ascii="仿宋_GB2312" w:hAnsi="宋体"/>
          <w:bCs/>
          <w:sz w:val="32"/>
          <w:szCs w:val="32"/>
        </w:rPr>
      </w:pPr>
      <w:r>
        <w:rPr>
          <w:rFonts w:ascii="仿宋_GB2312" w:hAnsi="宋体" w:hint="eastAsia"/>
          <w:bCs/>
          <w:sz w:val="32"/>
          <w:szCs w:val="32"/>
        </w:rPr>
        <w:t>3</w:t>
      </w:r>
      <w:r>
        <w:rPr>
          <w:rFonts w:ascii="仿宋_GB2312" w:hAnsi="宋体"/>
          <w:bCs/>
          <w:sz w:val="32"/>
          <w:szCs w:val="32"/>
        </w:rPr>
        <w:t>.</w:t>
      </w:r>
      <w:r>
        <w:rPr>
          <w:rFonts w:ascii="仿宋_GB2312" w:hAnsi="宋体" w:hint="eastAsia"/>
          <w:bCs/>
          <w:sz w:val="32"/>
          <w:szCs w:val="32"/>
        </w:rPr>
        <w:t>评价方法</w:t>
      </w:r>
    </w:p>
    <w:p w:rsidR="00706F52" w:rsidRDefault="00DE41BA">
      <w:pPr>
        <w:adjustRightInd w:val="0"/>
        <w:snapToGrid w:val="0"/>
        <w:spacing w:line="360" w:lineRule="auto"/>
        <w:ind w:firstLineChars="200" w:firstLine="640"/>
        <w:rPr>
          <w:rFonts w:ascii="仿宋_GB2312"/>
          <w:sz w:val="32"/>
          <w:szCs w:val="32"/>
        </w:rPr>
      </w:pPr>
      <w:r>
        <w:rPr>
          <w:rFonts w:ascii="仿宋_GB2312" w:hint="eastAsia"/>
          <w:sz w:val="32"/>
          <w:szCs w:val="32"/>
        </w:rPr>
        <w:t>常用的评价方法主要包括成本效益分析法、比较法、因素分析法、最低成本法、公众评判法、标杆管理法等。根据此次评价对象的具体情况，主要采用比较法、因素分析法</w:t>
      </w:r>
      <w:r>
        <w:rPr>
          <w:rFonts w:ascii="仿宋_GB2312" w:hint="eastAsia"/>
          <w:sz w:val="32"/>
          <w:szCs w:val="32"/>
        </w:rPr>
        <w:t>、</w:t>
      </w:r>
      <w:r>
        <w:rPr>
          <w:rFonts w:ascii="仿宋_GB2312" w:hint="eastAsia"/>
          <w:sz w:val="32"/>
          <w:szCs w:val="32"/>
        </w:rPr>
        <w:t>公众评判法</w:t>
      </w:r>
      <w:r>
        <w:rPr>
          <w:rFonts w:ascii="仿宋_GB2312" w:hint="eastAsia"/>
          <w:color w:val="000000"/>
          <w:sz w:val="32"/>
          <w:szCs w:val="32"/>
        </w:rPr>
        <w:t>等评价方法</w:t>
      </w:r>
      <w:r>
        <w:rPr>
          <w:rFonts w:ascii="仿宋_GB2312" w:hint="eastAsia"/>
          <w:sz w:val="32"/>
          <w:szCs w:val="32"/>
        </w:rPr>
        <w:t>。</w:t>
      </w:r>
    </w:p>
    <w:p w:rsidR="00706F52" w:rsidRDefault="00DE41BA">
      <w:pPr>
        <w:adjustRightInd w:val="0"/>
        <w:snapToGrid w:val="0"/>
        <w:spacing w:line="360" w:lineRule="auto"/>
        <w:ind w:firstLineChars="200" w:firstLine="640"/>
        <w:rPr>
          <w:rFonts w:ascii="仿宋_GB2312"/>
          <w:sz w:val="32"/>
          <w:szCs w:val="32"/>
        </w:rPr>
      </w:pPr>
      <w:r>
        <w:rPr>
          <w:rFonts w:ascii="仿宋_GB2312" w:hint="eastAsia"/>
          <w:sz w:val="32"/>
          <w:szCs w:val="32"/>
        </w:rPr>
        <w:t>（</w:t>
      </w:r>
      <w:r>
        <w:rPr>
          <w:rFonts w:ascii="仿宋_GB2312" w:hint="eastAsia"/>
          <w:sz w:val="32"/>
          <w:szCs w:val="32"/>
        </w:rPr>
        <w:t>1</w:t>
      </w:r>
      <w:r>
        <w:rPr>
          <w:rFonts w:ascii="仿宋_GB2312" w:hint="eastAsia"/>
          <w:sz w:val="32"/>
          <w:szCs w:val="32"/>
        </w:rPr>
        <w:t>）比较法。将项目</w:t>
      </w:r>
      <w:r>
        <w:rPr>
          <w:rFonts w:ascii="仿宋_GB2312" w:hAnsi="宋体" w:hint="eastAsia"/>
          <w:bCs/>
          <w:sz w:val="32"/>
          <w:szCs w:val="32"/>
        </w:rPr>
        <w:t>实施</w:t>
      </w:r>
      <w:r>
        <w:rPr>
          <w:rFonts w:ascii="仿宋_GB2312" w:hint="eastAsia"/>
          <w:sz w:val="32"/>
          <w:szCs w:val="32"/>
        </w:rPr>
        <w:t>情况与绩效目标、历史情况进行比较的方法。</w:t>
      </w:r>
    </w:p>
    <w:p w:rsidR="00706F52" w:rsidRDefault="00DE41BA">
      <w:pPr>
        <w:adjustRightInd w:val="0"/>
        <w:snapToGrid w:val="0"/>
        <w:spacing w:line="360" w:lineRule="auto"/>
        <w:ind w:firstLineChars="200" w:firstLine="640"/>
        <w:rPr>
          <w:rFonts w:ascii="仿宋_GB2312"/>
          <w:sz w:val="32"/>
          <w:szCs w:val="32"/>
        </w:rPr>
      </w:pPr>
      <w:r>
        <w:rPr>
          <w:rFonts w:ascii="仿宋_GB2312" w:hint="eastAsia"/>
          <w:sz w:val="32"/>
          <w:szCs w:val="32"/>
        </w:rPr>
        <w:t>（</w:t>
      </w:r>
      <w:r>
        <w:rPr>
          <w:rFonts w:ascii="仿宋_GB2312" w:hint="eastAsia"/>
          <w:sz w:val="32"/>
          <w:szCs w:val="32"/>
        </w:rPr>
        <w:t>2</w:t>
      </w:r>
      <w:r>
        <w:rPr>
          <w:rFonts w:ascii="仿宋_GB2312" w:hint="eastAsia"/>
          <w:sz w:val="32"/>
          <w:szCs w:val="32"/>
        </w:rPr>
        <w:t>）因素分析法。</w:t>
      </w:r>
      <w:r>
        <w:rPr>
          <w:rFonts w:ascii="仿宋_GB2312" w:hAnsi="宋体" w:hint="eastAsia"/>
          <w:bCs/>
          <w:sz w:val="32"/>
          <w:szCs w:val="32"/>
        </w:rPr>
        <w:t>综合</w:t>
      </w:r>
      <w:r>
        <w:rPr>
          <w:rFonts w:ascii="仿宋_GB2312" w:hint="eastAsia"/>
          <w:sz w:val="32"/>
          <w:szCs w:val="32"/>
        </w:rPr>
        <w:t>分析影响绩效目标实现、实施效果的内外部因素的方法。</w:t>
      </w:r>
      <w:bookmarkStart w:id="34" w:name="_Toc6909"/>
      <w:bookmarkStart w:id="35" w:name="_Toc35588404"/>
      <w:bookmarkStart w:id="36" w:name="_Toc313007032"/>
      <w:bookmarkStart w:id="37" w:name="_Toc2895"/>
      <w:bookmarkEnd w:id="33"/>
    </w:p>
    <w:p w:rsidR="00706F52" w:rsidRDefault="00DE41BA">
      <w:pPr>
        <w:adjustRightInd w:val="0"/>
        <w:snapToGrid w:val="0"/>
        <w:spacing w:line="360" w:lineRule="auto"/>
        <w:ind w:firstLineChars="200" w:firstLine="640"/>
        <w:rPr>
          <w:rFonts w:ascii="楷体_GB2312" w:eastAsia="楷体_GB2312"/>
          <w:color w:val="000000"/>
          <w:sz w:val="32"/>
          <w:szCs w:val="32"/>
        </w:rPr>
      </w:pPr>
      <w:r>
        <w:rPr>
          <w:rFonts w:ascii="仿宋_GB2312" w:hint="eastAsia"/>
          <w:sz w:val="32"/>
          <w:szCs w:val="32"/>
        </w:rPr>
        <w:t>（</w:t>
      </w:r>
      <w:r>
        <w:rPr>
          <w:rFonts w:ascii="仿宋_GB2312" w:hint="eastAsia"/>
          <w:sz w:val="32"/>
          <w:szCs w:val="32"/>
        </w:rPr>
        <w:t>3</w:t>
      </w:r>
      <w:r>
        <w:rPr>
          <w:rFonts w:ascii="仿宋_GB2312" w:hint="eastAsia"/>
          <w:sz w:val="32"/>
          <w:szCs w:val="32"/>
        </w:rPr>
        <w:t>）公众评判法。通过专家评估方式进行的评判方法。</w:t>
      </w:r>
    </w:p>
    <w:p w:rsidR="00706F52" w:rsidRDefault="00DE41BA">
      <w:pPr>
        <w:adjustRightInd w:val="0"/>
        <w:snapToGrid w:val="0"/>
        <w:spacing w:line="360" w:lineRule="auto"/>
        <w:ind w:firstLineChars="200" w:firstLine="640"/>
        <w:outlineLvl w:val="1"/>
        <w:rPr>
          <w:rFonts w:ascii="楷体_GB2312" w:eastAsia="楷体_GB2312"/>
          <w:color w:val="000000"/>
          <w:sz w:val="32"/>
          <w:szCs w:val="32"/>
        </w:rPr>
      </w:pPr>
      <w:bookmarkStart w:id="38" w:name="_Toc24237"/>
      <w:r>
        <w:rPr>
          <w:rFonts w:ascii="楷体_GB2312" w:eastAsia="楷体_GB2312" w:hint="eastAsia"/>
          <w:color w:val="000000"/>
          <w:sz w:val="32"/>
          <w:szCs w:val="32"/>
        </w:rPr>
        <w:t>（三）绩效评价工作过程</w:t>
      </w:r>
      <w:bookmarkEnd w:id="34"/>
      <w:bookmarkEnd w:id="35"/>
      <w:bookmarkEnd w:id="36"/>
      <w:bookmarkEnd w:id="37"/>
      <w:bookmarkEnd w:id="38"/>
    </w:p>
    <w:p w:rsidR="00706F52" w:rsidRDefault="00DE41BA">
      <w:pPr>
        <w:adjustRightInd w:val="0"/>
        <w:snapToGrid w:val="0"/>
        <w:spacing w:line="360" w:lineRule="auto"/>
        <w:ind w:firstLineChars="200" w:firstLine="640"/>
        <w:outlineLvl w:val="2"/>
        <w:rPr>
          <w:rFonts w:ascii="仿宋_GB2312"/>
          <w:bCs/>
          <w:kern w:val="44"/>
          <w:sz w:val="32"/>
          <w:szCs w:val="32"/>
        </w:rPr>
      </w:pPr>
      <w:bookmarkStart w:id="39" w:name="_Toc35588408"/>
      <w:r>
        <w:rPr>
          <w:rFonts w:ascii="仿宋_GB2312" w:hint="eastAsia"/>
          <w:bCs/>
          <w:kern w:val="44"/>
          <w:sz w:val="32"/>
          <w:szCs w:val="32"/>
        </w:rPr>
        <w:t>1.</w:t>
      </w:r>
      <w:r>
        <w:rPr>
          <w:rFonts w:ascii="仿宋_GB2312" w:hint="eastAsia"/>
          <w:bCs/>
          <w:kern w:val="44"/>
          <w:sz w:val="32"/>
          <w:szCs w:val="32"/>
        </w:rPr>
        <w:t>准备阶段</w:t>
      </w:r>
    </w:p>
    <w:p w:rsidR="00706F52" w:rsidRDefault="00DE41BA">
      <w:pPr>
        <w:widowControl/>
        <w:adjustRightInd w:val="0"/>
        <w:snapToGrid w:val="0"/>
        <w:spacing w:line="360" w:lineRule="auto"/>
        <w:ind w:firstLineChars="200" w:firstLine="640"/>
        <w:rPr>
          <w:rFonts w:ascii="仿宋_GB2312" w:hAnsi="宋体"/>
          <w:sz w:val="32"/>
          <w:szCs w:val="32"/>
        </w:rPr>
      </w:pPr>
      <w:r>
        <w:rPr>
          <w:rFonts w:ascii="仿宋_GB2312" w:hAnsi="宋体" w:hint="eastAsia"/>
          <w:sz w:val="32"/>
          <w:szCs w:val="32"/>
        </w:rPr>
        <w:lastRenderedPageBreak/>
        <w:t>评价机构组建了评价工作组，</w:t>
      </w:r>
      <w:proofErr w:type="gramStart"/>
      <w:r>
        <w:rPr>
          <w:rFonts w:ascii="仿宋_GB2312" w:hAnsi="宋体" w:cs="宋体" w:hint="eastAsia"/>
          <w:color w:val="000000"/>
          <w:kern w:val="0"/>
          <w:sz w:val="32"/>
          <w:szCs w:val="32"/>
        </w:rPr>
        <w:t>辅导水</w:t>
      </w:r>
      <w:proofErr w:type="gramEnd"/>
      <w:r>
        <w:rPr>
          <w:rFonts w:ascii="仿宋_GB2312" w:hAnsi="宋体" w:cs="宋体" w:hint="eastAsia"/>
          <w:color w:val="000000"/>
          <w:kern w:val="0"/>
          <w:sz w:val="32"/>
          <w:szCs w:val="32"/>
        </w:rPr>
        <w:t>生态环境处撰写绩效报告、准备资料；</w:t>
      </w:r>
      <w:r>
        <w:rPr>
          <w:rFonts w:ascii="仿宋_GB2312" w:hAnsi="宋体" w:hint="eastAsia"/>
          <w:sz w:val="32"/>
          <w:szCs w:val="32"/>
        </w:rPr>
        <w:t>在与项目单位充分沟通的基础上进行项目资料收集、整理和分析工作；</w:t>
      </w:r>
      <w:r>
        <w:rPr>
          <w:rFonts w:ascii="仿宋_GB2312" w:hAnsi="宋体" w:cs="宋体" w:hint="eastAsia"/>
          <w:color w:val="000000"/>
          <w:kern w:val="0"/>
          <w:sz w:val="32"/>
          <w:szCs w:val="32"/>
        </w:rPr>
        <w:t>辅导项目单位完善绩效报告，形成绩效报告终稿；完成专家遴选、专家培训等相关工作，组建绩效评价专家组，</w:t>
      </w:r>
      <w:r>
        <w:rPr>
          <w:rFonts w:ascii="仿宋_GB2312" w:hAnsi="宋体" w:hint="eastAsia"/>
          <w:sz w:val="32"/>
          <w:szCs w:val="32"/>
        </w:rPr>
        <w:t>包括</w:t>
      </w:r>
      <w:r>
        <w:rPr>
          <w:rFonts w:ascii="仿宋_GB2312" w:hAnsi="宋体" w:hint="eastAsia"/>
          <w:sz w:val="32"/>
          <w:szCs w:val="32"/>
        </w:rPr>
        <w:t>2</w:t>
      </w:r>
      <w:r>
        <w:rPr>
          <w:rFonts w:ascii="仿宋_GB2312" w:hAnsi="宋体" w:hint="eastAsia"/>
          <w:sz w:val="32"/>
          <w:szCs w:val="32"/>
        </w:rPr>
        <w:t>名业务专家、</w:t>
      </w:r>
      <w:r>
        <w:rPr>
          <w:rFonts w:ascii="仿宋_GB2312" w:hAnsi="宋体" w:hint="eastAsia"/>
          <w:sz w:val="32"/>
          <w:szCs w:val="32"/>
        </w:rPr>
        <w:t>2</w:t>
      </w:r>
      <w:r>
        <w:rPr>
          <w:rFonts w:ascii="仿宋_GB2312" w:hAnsi="宋体" w:hint="eastAsia"/>
          <w:sz w:val="32"/>
          <w:szCs w:val="32"/>
        </w:rPr>
        <w:t>名绩效管理专家、</w:t>
      </w:r>
      <w:r>
        <w:rPr>
          <w:rFonts w:ascii="仿宋_GB2312" w:hAnsi="宋体" w:hint="eastAsia"/>
          <w:sz w:val="32"/>
          <w:szCs w:val="32"/>
        </w:rPr>
        <w:t>1</w:t>
      </w:r>
      <w:r>
        <w:rPr>
          <w:rFonts w:ascii="仿宋_GB2312" w:hAnsi="宋体" w:hint="eastAsia"/>
          <w:sz w:val="32"/>
          <w:szCs w:val="32"/>
        </w:rPr>
        <w:t>名财政财务专家。</w:t>
      </w:r>
    </w:p>
    <w:p w:rsidR="00706F52" w:rsidRDefault="00DE41BA">
      <w:pPr>
        <w:adjustRightInd w:val="0"/>
        <w:snapToGrid w:val="0"/>
        <w:spacing w:line="360" w:lineRule="auto"/>
        <w:ind w:firstLineChars="200" w:firstLine="640"/>
        <w:outlineLvl w:val="2"/>
        <w:rPr>
          <w:rFonts w:ascii="仿宋_GB2312"/>
          <w:bCs/>
          <w:kern w:val="44"/>
          <w:sz w:val="32"/>
          <w:szCs w:val="32"/>
        </w:rPr>
      </w:pPr>
      <w:r>
        <w:rPr>
          <w:rFonts w:ascii="仿宋_GB2312" w:hint="eastAsia"/>
          <w:bCs/>
          <w:kern w:val="44"/>
          <w:sz w:val="32"/>
          <w:szCs w:val="32"/>
        </w:rPr>
        <w:t>2.</w:t>
      </w:r>
      <w:r>
        <w:rPr>
          <w:rFonts w:ascii="仿宋_GB2312" w:hint="eastAsia"/>
          <w:bCs/>
          <w:kern w:val="44"/>
          <w:sz w:val="32"/>
          <w:szCs w:val="32"/>
        </w:rPr>
        <w:t>实施阶段</w:t>
      </w:r>
    </w:p>
    <w:p w:rsidR="00706F52" w:rsidRDefault="00DE41BA">
      <w:pPr>
        <w:adjustRightInd w:val="0"/>
        <w:snapToGrid w:val="0"/>
        <w:spacing w:line="360" w:lineRule="auto"/>
        <w:ind w:firstLineChars="200" w:firstLine="640"/>
        <w:rPr>
          <w:rFonts w:ascii="仿宋_GB2312" w:hAnsi="仿宋_GB2312" w:cs="仿宋_GB2312"/>
          <w:sz w:val="32"/>
          <w:szCs w:val="32"/>
        </w:rPr>
      </w:pPr>
      <w:r>
        <w:rPr>
          <w:rFonts w:ascii="仿宋_GB2312" w:hAnsi="仿宋_GB2312" w:cs="仿宋_GB2312" w:hint="eastAsia"/>
          <w:sz w:val="32"/>
          <w:szCs w:val="32"/>
        </w:rPr>
        <w:t>在资料收集和整理分析的基础上，评价工作组于</w:t>
      </w:r>
      <w:r>
        <w:rPr>
          <w:rFonts w:ascii="仿宋_GB2312" w:hAnsi="仿宋_GB2312" w:cs="仿宋_GB2312" w:hint="eastAsia"/>
          <w:sz w:val="32"/>
          <w:szCs w:val="32"/>
        </w:rPr>
        <w:t>2024</w:t>
      </w:r>
      <w:r>
        <w:rPr>
          <w:rFonts w:ascii="仿宋_GB2312" w:hAnsi="仿宋_GB2312" w:cs="仿宋_GB2312" w:hint="eastAsia"/>
          <w:sz w:val="32"/>
          <w:szCs w:val="32"/>
        </w:rPr>
        <w:t>年</w:t>
      </w:r>
      <w:r>
        <w:rPr>
          <w:rFonts w:ascii="仿宋_GB2312" w:hAnsi="仿宋_GB2312" w:cs="仿宋_GB2312" w:hint="eastAsia"/>
          <w:sz w:val="32"/>
          <w:szCs w:val="32"/>
        </w:rPr>
        <w:t>5</w:t>
      </w:r>
      <w:r>
        <w:rPr>
          <w:rFonts w:ascii="仿宋_GB2312" w:hAnsi="仿宋_GB2312" w:cs="仿宋_GB2312" w:hint="eastAsia"/>
          <w:sz w:val="32"/>
          <w:szCs w:val="32"/>
        </w:rPr>
        <w:t>月</w:t>
      </w:r>
      <w:r>
        <w:rPr>
          <w:rFonts w:ascii="仿宋_GB2312" w:hAnsi="仿宋_GB2312" w:cs="仿宋_GB2312" w:hint="eastAsia"/>
          <w:sz w:val="32"/>
          <w:szCs w:val="32"/>
        </w:rPr>
        <w:t>13</w:t>
      </w:r>
      <w:r>
        <w:rPr>
          <w:rFonts w:ascii="仿宋_GB2312" w:hAnsi="仿宋_GB2312" w:cs="仿宋_GB2312" w:hint="eastAsia"/>
          <w:sz w:val="32"/>
          <w:szCs w:val="32"/>
        </w:rPr>
        <w:t>日组织召开专家评价会。专家组通过听取汇报、质询、查阅资料等方式，了解项目的执行情况，对项目进行了综合评价，出具评价意见。</w:t>
      </w:r>
    </w:p>
    <w:p w:rsidR="00706F52" w:rsidRDefault="00DE41BA">
      <w:pPr>
        <w:adjustRightInd w:val="0"/>
        <w:snapToGrid w:val="0"/>
        <w:spacing w:line="360" w:lineRule="auto"/>
        <w:ind w:firstLineChars="200" w:firstLine="640"/>
        <w:outlineLvl w:val="2"/>
        <w:rPr>
          <w:rFonts w:ascii="仿宋_GB2312"/>
          <w:bCs/>
          <w:kern w:val="44"/>
          <w:sz w:val="32"/>
          <w:szCs w:val="32"/>
        </w:rPr>
      </w:pPr>
      <w:r>
        <w:rPr>
          <w:rFonts w:ascii="仿宋_GB2312" w:hint="eastAsia"/>
          <w:bCs/>
          <w:kern w:val="44"/>
          <w:sz w:val="32"/>
          <w:szCs w:val="32"/>
        </w:rPr>
        <w:t>3.</w:t>
      </w:r>
      <w:r>
        <w:rPr>
          <w:rFonts w:ascii="仿宋_GB2312" w:hint="eastAsia"/>
          <w:bCs/>
          <w:kern w:val="44"/>
          <w:sz w:val="32"/>
          <w:szCs w:val="32"/>
        </w:rPr>
        <w:t>评价分析阶段</w:t>
      </w:r>
    </w:p>
    <w:p w:rsidR="00706F52" w:rsidRDefault="00DE41BA">
      <w:pPr>
        <w:adjustRightInd w:val="0"/>
        <w:snapToGrid w:val="0"/>
        <w:spacing w:line="360" w:lineRule="auto"/>
        <w:ind w:firstLineChars="200" w:firstLine="640"/>
        <w:rPr>
          <w:rFonts w:ascii="黑体" w:eastAsia="黑体"/>
          <w:color w:val="000000"/>
          <w:sz w:val="32"/>
          <w:szCs w:val="32"/>
        </w:rPr>
      </w:pPr>
      <w:r>
        <w:rPr>
          <w:rFonts w:ascii="仿宋_GB2312" w:hAnsi="宋体" w:hint="eastAsia"/>
          <w:sz w:val="32"/>
          <w:szCs w:val="32"/>
        </w:rPr>
        <w:t>评价工作组根据收集到的项目相关资料以及专家</w:t>
      </w:r>
      <w:r>
        <w:rPr>
          <w:rFonts w:ascii="仿宋_GB2312" w:hAnsi="宋体" w:hint="eastAsia"/>
          <w:sz w:val="32"/>
          <w:szCs w:val="32"/>
        </w:rPr>
        <w:t>组意见，对项目决策、过程、产出及效益情况进行综合分析，按照规定的文本格式和内容撰写绩效评价报告，提交市生态环境局征求意见。</w:t>
      </w:r>
      <w:r>
        <w:rPr>
          <w:rFonts w:ascii="仿宋_GB2312" w:hAnsi="宋体" w:hint="eastAsia"/>
          <w:sz w:val="32"/>
          <w:szCs w:val="32"/>
        </w:rPr>
        <w:t>2024</w:t>
      </w:r>
      <w:r>
        <w:rPr>
          <w:rFonts w:ascii="仿宋_GB2312" w:hAnsi="宋体" w:hint="eastAsia"/>
          <w:sz w:val="32"/>
          <w:szCs w:val="32"/>
        </w:rPr>
        <w:t>年</w:t>
      </w:r>
      <w:r>
        <w:rPr>
          <w:rFonts w:ascii="仿宋_GB2312" w:hAnsi="宋体" w:hint="eastAsia"/>
          <w:sz w:val="32"/>
          <w:szCs w:val="32"/>
        </w:rPr>
        <w:t>5</w:t>
      </w:r>
      <w:r>
        <w:rPr>
          <w:rFonts w:ascii="仿宋_GB2312" w:hAnsi="宋体" w:hint="eastAsia"/>
          <w:sz w:val="32"/>
          <w:szCs w:val="32"/>
        </w:rPr>
        <w:t>月</w:t>
      </w:r>
      <w:r>
        <w:rPr>
          <w:rFonts w:ascii="仿宋_GB2312" w:hAnsi="宋体" w:hint="eastAsia"/>
          <w:sz w:val="32"/>
          <w:szCs w:val="32"/>
        </w:rPr>
        <w:t>20</w:t>
      </w:r>
      <w:r>
        <w:rPr>
          <w:rFonts w:ascii="仿宋_GB2312" w:hAnsi="宋体" w:hint="eastAsia"/>
          <w:sz w:val="32"/>
          <w:szCs w:val="32"/>
        </w:rPr>
        <w:t>日前，根据反馈意见，修改形成绩效评价报告正式稿，报送市生态环境局。</w:t>
      </w:r>
      <w:bookmarkStart w:id="40" w:name="_Toc9790"/>
      <w:bookmarkStart w:id="41" w:name="_Toc24074"/>
    </w:p>
    <w:p w:rsidR="00706F52" w:rsidRDefault="00DE41BA">
      <w:pPr>
        <w:adjustRightInd w:val="0"/>
        <w:snapToGrid w:val="0"/>
        <w:spacing w:line="360" w:lineRule="auto"/>
        <w:ind w:firstLineChars="200" w:firstLine="640"/>
        <w:outlineLvl w:val="0"/>
        <w:rPr>
          <w:rFonts w:ascii="黑体" w:eastAsia="黑体"/>
          <w:color w:val="000000"/>
          <w:sz w:val="32"/>
          <w:szCs w:val="32"/>
        </w:rPr>
      </w:pPr>
      <w:bookmarkStart w:id="42" w:name="_Toc10067"/>
      <w:r>
        <w:rPr>
          <w:rFonts w:ascii="黑体" w:eastAsia="黑体" w:hint="eastAsia"/>
          <w:color w:val="000000"/>
          <w:sz w:val="32"/>
          <w:szCs w:val="32"/>
        </w:rPr>
        <w:t>三、综合评价情况及评价结论</w:t>
      </w:r>
      <w:bookmarkEnd w:id="39"/>
      <w:bookmarkEnd w:id="40"/>
      <w:bookmarkEnd w:id="41"/>
      <w:bookmarkEnd w:id="42"/>
    </w:p>
    <w:p w:rsidR="00706F52" w:rsidRDefault="00DE41BA">
      <w:pPr>
        <w:adjustRightInd w:val="0"/>
        <w:snapToGrid w:val="0"/>
        <w:spacing w:line="360" w:lineRule="auto"/>
        <w:ind w:firstLineChars="200" w:firstLine="640"/>
        <w:rPr>
          <w:sz w:val="32"/>
          <w:szCs w:val="32"/>
        </w:rPr>
      </w:pPr>
      <w:r>
        <w:rPr>
          <w:sz w:val="32"/>
          <w:szCs w:val="32"/>
        </w:rPr>
        <w:t>项目</w:t>
      </w:r>
      <w:r>
        <w:rPr>
          <w:rFonts w:hint="eastAsia"/>
          <w:sz w:val="32"/>
          <w:szCs w:val="32"/>
        </w:rPr>
        <w:t>通过</w:t>
      </w:r>
      <w:r>
        <w:rPr>
          <w:sz w:val="32"/>
          <w:szCs w:val="32"/>
        </w:rPr>
        <w:t>饮用水水源地环境管理技术支撑、</w:t>
      </w:r>
      <w:r>
        <w:rPr>
          <w:rFonts w:hint="eastAsia"/>
          <w:sz w:val="32"/>
          <w:szCs w:val="32"/>
        </w:rPr>
        <w:t>劣Ⅴ</w:t>
      </w:r>
      <w:r>
        <w:rPr>
          <w:sz w:val="32"/>
          <w:szCs w:val="32"/>
        </w:rPr>
        <w:t>类及水生态环境保护重点问题第三方核查、北京市重点水体水功能区优化提</w:t>
      </w:r>
      <w:r>
        <w:rPr>
          <w:sz w:val="32"/>
          <w:szCs w:val="32"/>
        </w:rPr>
        <w:lastRenderedPageBreak/>
        <w:t>升技术支撑</w:t>
      </w:r>
      <w:r>
        <w:rPr>
          <w:rFonts w:hint="eastAsia"/>
          <w:sz w:val="32"/>
          <w:szCs w:val="32"/>
        </w:rPr>
        <w:t>三方面工作，动态掌握饮用水水源保护区内的环境状况、水质状况和管理状况等信息，并按照生态环境部要求填报了国家水源地调查评估系统年度数据</w:t>
      </w:r>
      <w:r>
        <w:rPr>
          <w:rFonts w:hint="eastAsia"/>
          <w:sz w:val="32"/>
          <w:szCs w:val="32"/>
        </w:rPr>
        <w:t>。</w:t>
      </w:r>
      <w:r>
        <w:rPr>
          <w:rFonts w:hint="eastAsia"/>
          <w:sz w:val="32"/>
          <w:szCs w:val="32"/>
        </w:rPr>
        <w:t>对农村的污水处理设施、排</w:t>
      </w:r>
      <w:r>
        <w:rPr>
          <w:rFonts w:hint="eastAsia"/>
          <w:sz w:val="32"/>
          <w:szCs w:val="32"/>
        </w:rPr>
        <w:t>污口整治情况、黑臭水体、劣Ⅴ类水体等进行现场调研及核查，形成农村污水</w:t>
      </w:r>
      <w:proofErr w:type="gramStart"/>
      <w:r>
        <w:rPr>
          <w:rFonts w:hint="eastAsia"/>
          <w:sz w:val="32"/>
          <w:szCs w:val="32"/>
        </w:rPr>
        <w:t>治理台</w:t>
      </w:r>
      <w:proofErr w:type="gramEnd"/>
      <w:r>
        <w:rPr>
          <w:rFonts w:hint="eastAsia"/>
          <w:sz w:val="32"/>
          <w:szCs w:val="32"/>
        </w:rPr>
        <w:t>账，污水处理设施台账和示意图，饮用水水源地、劣Ⅴ、黑臭水体现场核查的环境问题</w:t>
      </w:r>
      <w:proofErr w:type="gramStart"/>
      <w:r>
        <w:rPr>
          <w:rFonts w:hint="eastAsia"/>
          <w:sz w:val="32"/>
          <w:szCs w:val="32"/>
        </w:rPr>
        <w:t>线索台</w:t>
      </w:r>
      <w:proofErr w:type="gramEnd"/>
      <w:r>
        <w:rPr>
          <w:rFonts w:hint="eastAsia"/>
          <w:sz w:val="32"/>
          <w:szCs w:val="32"/>
        </w:rPr>
        <w:t>账和照片</w:t>
      </w:r>
      <w:r>
        <w:rPr>
          <w:rFonts w:hint="eastAsia"/>
          <w:sz w:val="32"/>
          <w:szCs w:val="32"/>
        </w:rPr>
        <w:t>。</w:t>
      </w:r>
      <w:r>
        <w:rPr>
          <w:rFonts w:hint="eastAsia"/>
          <w:sz w:val="32"/>
          <w:szCs w:val="32"/>
        </w:rPr>
        <w:t>项目的实施，</w:t>
      </w:r>
      <w:r>
        <w:rPr>
          <w:rFonts w:hint="eastAsia"/>
          <w:sz w:val="32"/>
          <w:szCs w:val="32"/>
        </w:rPr>
        <w:t>一定程度上为</w:t>
      </w:r>
      <w:r>
        <w:rPr>
          <w:rFonts w:hint="eastAsia"/>
          <w:sz w:val="32"/>
          <w:szCs w:val="32"/>
        </w:rPr>
        <w:t>北京</w:t>
      </w:r>
      <w:r>
        <w:rPr>
          <w:rFonts w:hint="eastAsia"/>
          <w:sz w:val="32"/>
          <w:szCs w:val="32"/>
        </w:rPr>
        <w:t>市水生态环境监管工作提供</w:t>
      </w:r>
      <w:r>
        <w:rPr>
          <w:rFonts w:hint="eastAsia"/>
          <w:sz w:val="32"/>
          <w:szCs w:val="32"/>
        </w:rPr>
        <w:t>了</w:t>
      </w:r>
      <w:r>
        <w:rPr>
          <w:rFonts w:hint="eastAsia"/>
          <w:sz w:val="32"/>
          <w:szCs w:val="32"/>
        </w:rPr>
        <w:t>基础数据支撑</w:t>
      </w:r>
      <w:r>
        <w:rPr>
          <w:rFonts w:hint="eastAsia"/>
          <w:sz w:val="32"/>
          <w:szCs w:val="32"/>
        </w:rPr>
        <w:t>，</w:t>
      </w:r>
      <w:r>
        <w:rPr>
          <w:rFonts w:hint="eastAsia"/>
          <w:sz w:val="32"/>
          <w:szCs w:val="32"/>
        </w:rPr>
        <w:t>为水生态功能分区、再生水循环利用提供</w:t>
      </w:r>
      <w:r>
        <w:rPr>
          <w:rFonts w:hint="eastAsia"/>
          <w:sz w:val="32"/>
          <w:szCs w:val="32"/>
        </w:rPr>
        <w:t>了</w:t>
      </w:r>
      <w:r>
        <w:rPr>
          <w:rFonts w:hint="eastAsia"/>
          <w:sz w:val="32"/>
          <w:szCs w:val="32"/>
        </w:rPr>
        <w:t>技术支撑方案</w:t>
      </w:r>
      <w:r>
        <w:rPr>
          <w:rFonts w:hint="eastAsia"/>
          <w:sz w:val="32"/>
          <w:szCs w:val="32"/>
        </w:rPr>
        <w:t>，</w:t>
      </w:r>
      <w:r>
        <w:rPr>
          <w:rFonts w:hint="eastAsia"/>
          <w:sz w:val="32"/>
          <w:szCs w:val="32"/>
        </w:rPr>
        <w:t>促进了北京市的饮用水安全保障能力的提升，促进水环境质量全面改善，水生态环境高质量发展。</w:t>
      </w:r>
    </w:p>
    <w:p w:rsidR="00706F52" w:rsidRDefault="00DE41BA">
      <w:pPr>
        <w:adjustRightInd w:val="0"/>
        <w:snapToGrid w:val="0"/>
        <w:spacing w:line="360" w:lineRule="auto"/>
        <w:ind w:firstLineChars="200" w:firstLine="640"/>
        <w:rPr>
          <w:rFonts w:ascii="仿宋_GB2312" w:hAnsi="仿宋_GB2312" w:cs="仿宋_GB2312"/>
          <w:sz w:val="32"/>
          <w:szCs w:val="32"/>
        </w:rPr>
      </w:pPr>
      <w:r>
        <w:rPr>
          <w:rFonts w:cs="仿宋_GB2312" w:hint="eastAsia"/>
          <w:sz w:val="32"/>
          <w:szCs w:val="32"/>
          <w:lang w:bidi="ar"/>
        </w:rPr>
        <w:t>整体上看，项目立项依据和立项程序较规范，资金管理制度相对健全，基本实现了预期的绩效目标。但评价发现，</w:t>
      </w:r>
      <w:r>
        <w:rPr>
          <w:rFonts w:cs="仿宋_GB2312" w:hint="eastAsia"/>
          <w:sz w:val="32"/>
          <w:szCs w:val="32"/>
          <w:lang w:bidi="ar"/>
        </w:rPr>
        <w:t>项目在绩效目标设置、合同及验收管理、成果应用、满意度调查等方面存在一定不足，需在后续工作中进一步改进完善。通过</w:t>
      </w:r>
      <w:r>
        <w:rPr>
          <w:rFonts w:cs="仿宋_GB2312" w:hint="eastAsia"/>
          <w:sz w:val="32"/>
          <w:szCs w:val="32"/>
        </w:rPr>
        <w:t>对项目决策、过程、产出、效益四个方面进行评价，项目综合得分</w:t>
      </w:r>
      <w:r>
        <w:rPr>
          <w:rFonts w:ascii="仿宋_GB2312" w:hAnsi="仿宋_GB2312" w:cs="仿宋_GB2312" w:hint="eastAsia"/>
          <w:b/>
          <w:sz w:val="32"/>
          <w:szCs w:val="32"/>
        </w:rPr>
        <w:t>90.26</w:t>
      </w:r>
      <w:r>
        <w:rPr>
          <w:rFonts w:ascii="仿宋_GB2312" w:hAnsi="仿宋_GB2312" w:cs="仿宋_GB2312" w:hint="eastAsia"/>
          <w:sz w:val="32"/>
          <w:szCs w:val="32"/>
        </w:rPr>
        <w:t>分，综合绩效评定结论为“</w:t>
      </w:r>
      <w:r>
        <w:rPr>
          <w:rFonts w:ascii="仿宋_GB2312" w:hAnsi="仿宋_GB2312" w:cs="仿宋_GB2312" w:hint="eastAsia"/>
          <w:b/>
          <w:bCs/>
          <w:sz w:val="32"/>
          <w:szCs w:val="32"/>
        </w:rPr>
        <w:t>优</w:t>
      </w:r>
      <w:r>
        <w:rPr>
          <w:rFonts w:ascii="仿宋_GB2312" w:hAnsi="仿宋_GB2312" w:cs="仿宋_GB2312" w:hint="eastAsia"/>
          <w:sz w:val="32"/>
          <w:szCs w:val="32"/>
        </w:rPr>
        <w:t>”，</w:t>
      </w:r>
      <w:r>
        <w:rPr>
          <w:rFonts w:ascii="仿宋_GB2312" w:hint="eastAsia"/>
          <w:sz w:val="32"/>
          <w:szCs w:val="32"/>
        </w:rPr>
        <w:t>项目评分情况见图</w:t>
      </w:r>
      <w:r>
        <w:rPr>
          <w:rFonts w:ascii="仿宋_GB2312" w:hint="eastAsia"/>
          <w:sz w:val="32"/>
          <w:szCs w:val="32"/>
        </w:rPr>
        <w:t>1</w:t>
      </w:r>
      <w:r>
        <w:rPr>
          <w:rFonts w:ascii="仿宋_GB2312" w:hint="eastAsia"/>
          <w:sz w:val="32"/>
          <w:szCs w:val="32"/>
        </w:rPr>
        <w:t>，</w:t>
      </w:r>
      <w:r>
        <w:rPr>
          <w:rFonts w:ascii="仿宋_GB2312" w:hAnsi="仿宋_GB2312" w:cs="仿宋_GB2312" w:hint="eastAsia"/>
          <w:sz w:val="32"/>
          <w:szCs w:val="32"/>
        </w:rPr>
        <w:t>具体评分情况见附件</w:t>
      </w:r>
      <w:r>
        <w:rPr>
          <w:rFonts w:ascii="仿宋_GB2312" w:hAnsi="仿宋_GB2312" w:cs="仿宋_GB2312" w:hint="eastAsia"/>
          <w:sz w:val="32"/>
          <w:szCs w:val="32"/>
        </w:rPr>
        <w:t>2</w:t>
      </w:r>
      <w:r>
        <w:rPr>
          <w:rFonts w:ascii="仿宋_GB2312" w:hAnsi="仿宋_GB2312" w:cs="仿宋_GB2312" w:hint="eastAsia"/>
          <w:sz w:val="32"/>
          <w:szCs w:val="32"/>
        </w:rPr>
        <w:t>。</w:t>
      </w:r>
    </w:p>
    <w:p w:rsidR="00706F52" w:rsidRDefault="00DE41BA">
      <w:pPr>
        <w:adjustRightInd w:val="0"/>
        <w:snapToGrid w:val="0"/>
        <w:spacing w:line="360" w:lineRule="auto"/>
        <w:ind w:firstLineChars="200" w:firstLine="600"/>
        <w:jc w:val="left"/>
        <w:rPr>
          <w:rFonts w:ascii="黑体" w:eastAsia="黑体"/>
          <w:iCs/>
          <w:sz w:val="28"/>
          <w:highlight w:val="yellow"/>
        </w:rPr>
      </w:pPr>
      <w:r>
        <w:rPr>
          <w:noProof/>
        </w:rPr>
        <w:lastRenderedPageBreak/>
        <w:drawing>
          <wp:inline distT="0" distB="0" distL="114300" distR="114300">
            <wp:extent cx="4826000" cy="2743200"/>
            <wp:effectExtent l="4445" t="4445" r="8255" b="8255"/>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06F52" w:rsidRDefault="00DE41BA">
      <w:pPr>
        <w:adjustRightInd w:val="0"/>
        <w:snapToGrid w:val="0"/>
        <w:spacing w:line="360" w:lineRule="auto"/>
        <w:jc w:val="center"/>
        <w:rPr>
          <w:rFonts w:ascii="黑体" w:eastAsia="黑体"/>
          <w:iCs/>
          <w:sz w:val="28"/>
        </w:rPr>
      </w:pPr>
      <w:r>
        <w:rPr>
          <w:rFonts w:ascii="黑体" w:eastAsia="黑体" w:hint="eastAsia"/>
          <w:iCs/>
          <w:sz w:val="28"/>
        </w:rPr>
        <w:t>图</w:t>
      </w:r>
      <w:r>
        <w:rPr>
          <w:rFonts w:ascii="黑体" w:eastAsia="黑体" w:hint="eastAsia"/>
          <w:iCs/>
          <w:sz w:val="28"/>
        </w:rPr>
        <w:t>1</w:t>
      </w:r>
      <w:r>
        <w:rPr>
          <w:rFonts w:ascii="黑体" w:eastAsia="黑体" w:hint="eastAsia"/>
          <w:iCs/>
          <w:sz w:val="28"/>
        </w:rPr>
        <w:t>：项目分项绩效评价指标分值及得分情况</w:t>
      </w:r>
    </w:p>
    <w:p w:rsidR="00706F52" w:rsidRDefault="00706F52">
      <w:pPr>
        <w:adjustRightInd w:val="0"/>
        <w:snapToGrid w:val="0"/>
        <w:spacing w:line="360" w:lineRule="auto"/>
        <w:ind w:firstLineChars="200" w:firstLine="640"/>
        <w:outlineLvl w:val="0"/>
        <w:rPr>
          <w:rFonts w:ascii="黑体" w:eastAsia="黑体"/>
          <w:sz w:val="32"/>
          <w:szCs w:val="32"/>
        </w:rPr>
      </w:pPr>
      <w:bookmarkStart w:id="43" w:name="_Toc15729"/>
      <w:bookmarkStart w:id="44" w:name="_Toc35588409"/>
    </w:p>
    <w:p w:rsidR="00706F52" w:rsidRDefault="00DE41BA">
      <w:pPr>
        <w:adjustRightInd w:val="0"/>
        <w:snapToGrid w:val="0"/>
        <w:spacing w:line="360" w:lineRule="auto"/>
        <w:ind w:firstLineChars="200" w:firstLine="640"/>
        <w:outlineLvl w:val="0"/>
        <w:rPr>
          <w:rFonts w:ascii="黑体" w:eastAsia="黑体"/>
          <w:sz w:val="32"/>
          <w:szCs w:val="32"/>
        </w:rPr>
      </w:pPr>
      <w:bookmarkStart w:id="45" w:name="_Toc3347"/>
      <w:bookmarkStart w:id="46" w:name="_Toc2368"/>
      <w:r>
        <w:rPr>
          <w:rFonts w:ascii="黑体" w:eastAsia="黑体" w:hint="eastAsia"/>
          <w:sz w:val="32"/>
          <w:szCs w:val="32"/>
        </w:rPr>
        <w:t>四、绩效评价指标分析</w:t>
      </w:r>
      <w:bookmarkEnd w:id="43"/>
      <w:bookmarkEnd w:id="44"/>
      <w:bookmarkEnd w:id="45"/>
      <w:bookmarkEnd w:id="46"/>
    </w:p>
    <w:p w:rsidR="00706F52" w:rsidRDefault="00DE41BA">
      <w:pPr>
        <w:adjustRightInd w:val="0"/>
        <w:snapToGrid w:val="0"/>
        <w:spacing w:line="360" w:lineRule="auto"/>
        <w:ind w:firstLineChars="200" w:firstLine="640"/>
        <w:outlineLvl w:val="1"/>
        <w:rPr>
          <w:rFonts w:ascii="楷体_GB2312" w:eastAsia="楷体_GB2312"/>
          <w:sz w:val="32"/>
          <w:szCs w:val="32"/>
        </w:rPr>
      </w:pPr>
      <w:bookmarkStart w:id="47" w:name="_Toc35588410"/>
      <w:bookmarkStart w:id="48" w:name="_Toc29140"/>
      <w:bookmarkStart w:id="49" w:name="_Toc3751"/>
      <w:bookmarkStart w:id="50" w:name="_Toc24807"/>
      <w:r>
        <w:rPr>
          <w:rFonts w:ascii="楷体_GB2312" w:eastAsia="楷体_GB2312" w:hint="eastAsia"/>
          <w:sz w:val="32"/>
          <w:szCs w:val="32"/>
        </w:rPr>
        <w:t>（一）项目决策情况</w:t>
      </w:r>
      <w:bookmarkEnd w:id="47"/>
      <w:bookmarkEnd w:id="48"/>
      <w:bookmarkEnd w:id="49"/>
      <w:bookmarkEnd w:id="50"/>
    </w:p>
    <w:p w:rsidR="00706F52" w:rsidRDefault="00DE41BA">
      <w:pPr>
        <w:tabs>
          <w:tab w:val="left" w:pos="4065"/>
        </w:tabs>
        <w:adjustRightInd w:val="0"/>
        <w:snapToGrid w:val="0"/>
        <w:spacing w:line="360" w:lineRule="auto"/>
        <w:ind w:firstLineChars="200" w:firstLine="640"/>
        <w:outlineLvl w:val="2"/>
        <w:rPr>
          <w:rFonts w:ascii="仿宋_GB2312"/>
          <w:sz w:val="32"/>
          <w:szCs w:val="32"/>
        </w:rPr>
      </w:pPr>
      <w:bookmarkStart w:id="51" w:name="_Toc35588411"/>
      <w:r>
        <w:rPr>
          <w:rFonts w:ascii="仿宋_GB2312" w:hint="eastAsia"/>
          <w:sz w:val="32"/>
          <w:szCs w:val="32"/>
        </w:rPr>
        <w:t>1.</w:t>
      </w:r>
      <w:r>
        <w:rPr>
          <w:rFonts w:ascii="仿宋_GB2312" w:hint="eastAsia"/>
          <w:sz w:val="32"/>
          <w:szCs w:val="32"/>
        </w:rPr>
        <w:t>项目立项</w:t>
      </w:r>
      <w:bookmarkEnd w:id="51"/>
    </w:p>
    <w:p w:rsidR="00706F52" w:rsidRDefault="00DE41BA">
      <w:pPr>
        <w:adjustRightInd w:val="0"/>
        <w:snapToGrid w:val="0"/>
        <w:spacing w:line="360" w:lineRule="auto"/>
        <w:ind w:firstLineChars="200" w:firstLine="640"/>
        <w:rPr>
          <w:rFonts w:ascii="仿宋_GB2312"/>
          <w:sz w:val="32"/>
          <w:szCs w:val="32"/>
        </w:rPr>
      </w:pPr>
      <w:r>
        <w:rPr>
          <w:rFonts w:ascii="仿宋_GB2312" w:hint="eastAsia"/>
          <w:sz w:val="32"/>
          <w:szCs w:val="32"/>
        </w:rPr>
        <w:t>（</w:t>
      </w:r>
      <w:r>
        <w:rPr>
          <w:rFonts w:ascii="仿宋_GB2312" w:hint="eastAsia"/>
          <w:sz w:val="32"/>
          <w:szCs w:val="32"/>
        </w:rPr>
        <w:t>1</w:t>
      </w:r>
      <w:r>
        <w:rPr>
          <w:rFonts w:ascii="仿宋_GB2312" w:hint="eastAsia"/>
          <w:sz w:val="32"/>
          <w:szCs w:val="32"/>
        </w:rPr>
        <w:t>）立项依据充分性</w:t>
      </w:r>
    </w:p>
    <w:p w:rsidR="00706F52" w:rsidRDefault="00DE41BA">
      <w:pPr>
        <w:adjustRightInd w:val="0"/>
        <w:snapToGrid w:val="0"/>
        <w:spacing w:line="360" w:lineRule="auto"/>
        <w:ind w:firstLineChars="200" w:firstLine="640"/>
        <w:rPr>
          <w:rFonts w:ascii="仿宋_GB2312" w:hAnsi="微软雅黑" w:cs="宋体"/>
          <w:kern w:val="0"/>
          <w:sz w:val="32"/>
          <w:szCs w:val="32"/>
        </w:rPr>
      </w:pPr>
      <w:r>
        <w:rPr>
          <w:rFonts w:ascii="仿宋_GB2312" w:hAnsi="微软雅黑" w:cs="宋体" w:hint="eastAsia"/>
          <w:kern w:val="0"/>
          <w:sz w:val="32"/>
          <w:szCs w:val="32"/>
        </w:rPr>
        <w:t>项目主要依据《中共北京市委</w:t>
      </w:r>
      <w:r>
        <w:rPr>
          <w:rFonts w:ascii="仿宋_GB2312" w:hAnsi="微软雅黑" w:cs="宋体" w:hint="eastAsia"/>
          <w:kern w:val="0"/>
          <w:sz w:val="32"/>
          <w:szCs w:val="32"/>
        </w:rPr>
        <w:t xml:space="preserve"> </w:t>
      </w:r>
      <w:r>
        <w:rPr>
          <w:rFonts w:ascii="仿宋_GB2312" w:hAnsi="微软雅黑" w:cs="宋体" w:hint="eastAsia"/>
          <w:kern w:val="0"/>
          <w:sz w:val="32"/>
          <w:szCs w:val="32"/>
        </w:rPr>
        <w:t>北京市人民政府关于深入打好北京市污染防治攻坚战的实施意见》（京发〔</w:t>
      </w:r>
      <w:r>
        <w:rPr>
          <w:rFonts w:ascii="仿宋_GB2312" w:hAnsi="微软雅黑" w:cs="宋体" w:hint="eastAsia"/>
          <w:kern w:val="0"/>
          <w:sz w:val="32"/>
          <w:szCs w:val="32"/>
        </w:rPr>
        <w:t>2022</w:t>
      </w:r>
      <w:r>
        <w:rPr>
          <w:rFonts w:ascii="仿宋_GB2312" w:hAnsi="微软雅黑" w:cs="宋体" w:hint="eastAsia"/>
          <w:kern w:val="0"/>
          <w:sz w:val="32"/>
          <w:szCs w:val="32"/>
        </w:rPr>
        <w:t>〕</w:t>
      </w:r>
      <w:r>
        <w:rPr>
          <w:rFonts w:ascii="仿宋_GB2312" w:hAnsi="微软雅黑" w:cs="宋体" w:hint="eastAsia"/>
          <w:kern w:val="0"/>
          <w:sz w:val="32"/>
          <w:szCs w:val="32"/>
        </w:rPr>
        <w:t>5</w:t>
      </w:r>
      <w:r>
        <w:rPr>
          <w:rFonts w:ascii="仿宋_GB2312" w:hAnsi="微软雅黑" w:cs="宋体" w:hint="eastAsia"/>
          <w:kern w:val="0"/>
          <w:sz w:val="32"/>
          <w:szCs w:val="32"/>
        </w:rPr>
        <w:t>号）、《中华人民共和国水污染防治法》《潮河流域生态环境保护综合规划（</w:t>
      </w:r>
      <w:r>
        <w:rPr>
          <w:rFonts w:ascii="仿宋_GB2312" w:hAnsi="微软雅黑" w:cs="宋体" w:hint="eastAsia"/>
          <w:kern w:val="0"/>
          <w:sz w:val="32"/>
          <w:szCs w:val="32"/>
        </w:rPr>
        <w:t>2019-2025</w:t>
      </w:r>
      <w:r>
        <w:rPr>
          <w:rFonts w:ascii="仿宋_GB2312" w:hAnsi="微软雅黑" w:cs="宋体" w:hint="eastAsia"/>
          <w:kern w:val="0"/>
          <w:sz w:val="32"/>
          <w:szCs w:val="32"/>
        </w:rPr>
        <w:t>年）》《北京城市总体规划</w:t>
      </w:r>
      <w:r>
        <w:rPr>
          <w:rFonts w:ascii="仿宋_GB2312" w:hAnsi="微软雅黑" w:cs="宋体" w:hint="eastAsia"/>
          <w:kern w:val="0"/>
          <w:sz w:val="32"/>
          <w:szCs w:val="32"/>
        </w:rPr>
        <w:t>(2016</w:t>
      </w:r>
      <w:r>
        <w:rPr>
          <w:rFonts w:ascii="仿宋_GB2312" w:hAnsi="微软雅黑" w:cs="宋体" w:hint="eastAsia"/>
          <w:kern w:val="0"/>
          <w:sz w:val="32"/>
          <w:szCs w:val="32"/>
        </w:rPr>
        <w:t>年—</w:t>
      </w:r>
      <w:r>
        <w:rPr>
          <w:rFonts w:ascii="仿宋_GB2312" w:hAnsi="微软雅黑" w:cs="宋体" w:hint="eastAsia"/>
          <w:kern w:val="0"/>
          <w:sz w:val="32"/>
          <w:szCs w:val="32"/>
        </w:rPr>
        <w:t>2035</w:t>
      </w:r>
      <w:r>
        <w:rPr>
          <w:rFonts w:ascii="仿宋_GB2312" w:hAnsi="微软雅黑" w:cs="宋体" w:hint="eastAsia"/>
          <w:kern w:val="0"/>
          <w:sz w:val="32"/>
          <w:szCs w:val="32"/>
        </w:rPr>
        <w:t>年</w:t>
      </w:r>
      <w:r>
        <w:rPr>
          <w:rFonts w:ascii="仿宋_GB2312" w:hAnsi="微软雅黑" w:cs="宋体" w:hint="eastAsia"/>
          <w:kern w:val="0"/>
          <w:sz w:val="32"/>
          <w:szCs w:val="32"/>
        </w:rPr>
        <w:t>)</w:t>
      </w:r>
      <w:r>
        <w:rPr>
          <w:rFonts w:ascii="仿宋_GB2312" w:hAnsi="微软雅黑" w:cs="宋体" w:hint="eastAsia"/>
          <w:kern w:val="0"/>
          <w:sz w:val="32"/>
          <w:szCs w:val="32"/>
        </w:rPr>
        <w:t>》等文件要求设立，旨在提升北京市的饮用水安全保障能力，促进水环境质量全面改善，促进水生态环境高质量发展。项目立项依据充分。</w:t>
      </w:r>
    </w:p>
    <w:p w:rsidR="00706F52" w:rsidRDefault="00DE41BA">
      <w:pPr>
        <w:adjustRightInd w:val="0"/>
        <w:snapToGrid w:val="0"/>
        <w:spacing w:line="360" w:lineRule="auto"/>
        <w:ind w:firstLineChars="200" w:firstLine="640"/>
        <w:rPr>
          <w:rFonts w:ascii="仿宋_GB2312" w:hAnsi="微软雅黑" w:cs="宋体"/>
          <w:kern w:val="0"/>
          <w:sz w:val="32"/>
          <w:szCs w:val="32"/>
        </w:rPr>
      </w:pPr>
      <w:r>
        <w:rPr>
          <w:rFonts w:ascii="仿宋_GB2312" w:hAnsi="微软雅黑" w:cs="宋体" w:hint="eastAsia"/>
          <w:kern w:val="0"/>
          <w:sz w:val="32"/>
          <w:szCs w:val="32"/>
        </w:rPr>
        <w:lastRenderedPageBreak/>
        <w:t>项目由市生态环境局水生态环境处具体实施，与其“负责本市地表水、地下水生态环境监督管理</w:t>
      </w:r>
      <w:r>
        <w:rPr>
          <w:rFonts w:ascii="仿宋_GB2312" w:hAnsi="微软雅黑" w:cs="宋体" w:hint="eastAsia"/>
          <w:kern w:val="0"/>
          <w:sz w:val="32"/>
          <w:szCs w:val="32"/>
        </w:rPr>
        <w:t>”“</w:t>
      </w:r>
      <w:r>
        <w:rPr>
          <w:rFonts w:ascii="仿宋_GB2312" w:hAnsi="微软雅黑" w:cs="宋体" w:hint="eastAsia"/>
          <w:kern w:val="0"/>
          <w:sz w:val="32"/>
          <w:szCs w:val="32"/>
        </w:rPr>
        <w:t>拟订重点流域、饮用水水源地生态环境规划和水功能区划，并监督实施</w:t>
      </w:r>
      <w:r>
        <w:rPr>
          <w:rFonts w:ascii="仿宋_GB2312" w:hAnsi="微软雅黑" w:cs="宋体" w:hint="eastAsia"/>
          <w:kern w:val="0"/>
          <w:sz w:val="32"/>
          <w:szCs w:val="32"/>
        </w:rPr>
        <w:t>”“</w:t>
      </w:r>
      <w:r>
        <w:rPr>
          <w:rFonts w:ascii="仿宋_GB2312" w:hAnsi="微软雅黑" w:cs="宋体" w:hint="eastAsia"/>
          <w:kern w:val="0"/>
          <w:sz w:val="32"/>
          <w:szCs w:val="32"/>
        </w:rPr>
        <w:t>监督管理饮用水水源地</w:t>
      </w:r>
      <w:r>
        <w:rPr>
          <w:rFonts w:ascii="仿宋_GB2312" w:hAnsi="微软雅黑" w:cs="宋体" w:hint="eastAsia"/>
          <w:kern w:val="0"/>
          <w:sz w:val="32"/>
          <w:szCs w:val="32"/>
        </w:rPr>
        <w:t>环境保护工作</w:t>
      </w:r>
      <w:r>
        <w:rPr>
          <w:rFonts w:ascii="仿宋_GB2312" w:hAnsi="微软雅黑" w:cs="宋体" w:hint="eastAsia"/>
          <w:kern w:val="0"/>
          <w:sz w:val="32"/>
          <w:szCs w:val="32"/>
        </w:rPr>
        <w:t>”“</w:t>
      </w:r>
      <w:r>
        <w:rPr>
          <w:rFonts w:ascii="仿宋_GB2312" w:hAnsi="微软雅黑" w:cs="宋体" w:hint="eastAsia"/>
          <w:kern w:val="0"/>
          <w:sz w:val="32"/>
          <w:szCs w:val="32"/>
        </w:rPr>
        <w:t>负责入河排污口设置管理</w:t>
      </w:r>
      <w:r>
        <w:rPr>
          <w:rFonts w:ascii="仿宋_GB2312" w:hAnsi="微软雅黑" w:cs="宋体" w:hint="eastAsia"/>
          <w:kern w:val="0"/>
          <w:sz w:val="32"/>
          <w:szCs w:val="32"/>
        </w:rPr>
        <w:t>”</w:t>
      </w:r>
      <w:r>
        <w:rPr>
          <w:rFonts w:ascii="仿宋_GB2312" w:hAnsi="微软雅黑" w:cs="宋体" w:hint="eastAsia"/>
          <w:kern w:val="0"/>
          <w:sz w:val="32"/>
          <w:szCs w:val="32"/>
        </w:rPr>
        <w:t>等</w:t>
      </w:r>
      <w:r>
        <w:rPr>
          <w:rFonts w:ascii="仿宋_GB2312" w:hAnsi="微软雅黑" w:cs="宋体" w:hint="eastAsia"/>
          <w:kern w:val="0"/>
          <w:sz w:val="32"/>
          <w:szCs w:val="32"/>
        </w:rPr>
        <w:t>职责相符。</w:t>
      </w:r>
    </w:p>
    <w:p w:rsidR="00706F52" w:rsidRDefault="00DE41BA">
      <w:pPr>
        <w:adjustRightInd w:val="0"/>
        <w:snapToGrid w:val="0"/>
        <w:spacing w:line="360" w:lineRule="auto"/>
        <w:ind w:firstLineChars="200" w:firstLine="640"/>
        <w:rPr>
          <w:rFonts w:ascii="仿宋_GB2312"/>
          <w:sz w:val="32"/>
          <w:szCs w:val="32"/>
        </w:rPr>
      </w:pPr>
      <w:r>
        <w:rPr>
          <w:rFonts w:ascii="仿宋_GB2312" w:hint="eastAsia"/>
          <w:sz w:val="32"/>
          <w:szCs w:val="32"/>
        </w:rPr>
        <w:t>（</w:t>
      </w:r>
      <w:r>
        <w:rPr>
          <w:rFonts w:ascii="仿宋_GB2312" w:hint="eastAsia"/>
          <w:sz w:val="32"/>
          <w:szCs w:val="32"/>
        </w:rPr>
        <w:t>2</w:t>
      </w:r>
      <w:r>
        <w:rPr>
          <w:rFonts w:ascii="仿宋_GB2312" w:hint="eastAsia"/>
          <w:sz w:val="32"/>
          <w:szCs w:val="32"/>
        </w:rPr>
        <w:t>）立项程序规范性</w:t>
      </w:r>
    </w:p>
    <w:p w:rsidR="00706F52" w:rsidRDefault="00DE41BA">
      <w:pPr>
        <w:suppressAutoHyphens/>
        <w:adjustRightInd w:val="0"/>
        <w:snapToGrid w:val="0"/>
        <w:spacing w:line="360" w:lineRule="auto"/>
        <w:ind w:firstLineChars="200" w:firstLine="640"/>
      </w:pPr>
      <w:bookmarkStart w:id="52" w:name="_Toc35588412"/>
      <w:r>
        <w:rPr>
          <w:rFonts w:ascii="仿宋_GB2312" w:hAnsi="仿宋_GB2312" w:cs="仿宋_GB2312" w:hint="eastAsia"/>
          <w:sz w:val="32"/>
        </w:rPr>
        <w:t>2022</w:t>
      </w:r>
      <w:r>
        <w:rPr>
          <w:rFonts w:ascii="仿宋_GB2312" w:hAnsi="仿宋_GB2312" w:cs="仿宋_GB2312" w:hint="eastAsia"/>
          <w:sz w:val="32"/>
        </w:rPr>
        <w:t>年</w:t>
      </w:r>
      <w:r>
        <w:rPr>
          <w:rFonts w:ascii="仿宋_GB2312" w:hAnsi="仿宋_GB2312" w:cs="仿宋_GB2312" w:hint="eastAsia"/>
          <w:sz w:val="32"/>
        </w:rPr>
        <w:t>10</w:t>
      </w:r>
      <w:r>
        <w:rPr>
          <w:rFonts w:ascii="仿宋_GB2312" w:hAnsi="仿宋_GB2312" w:cs="仿宋_GB2312" w:hint="eastAsia"/>
          <w:sz w:val="32"/>
        </w:rPr>
        <w:t>月</w:t>
      </w:r>
      <w:r>
        <w:rPr>
          <w:rFonts w:hint="eastAsia"/>
          <w:sz w:val="32"/>
        </w:rPr>
        <w:t>，市生态环境局按照相关要求组织编制项目申报书、可行性研究报告及预算等立项申请材料。经专家论证、资金评审及局长办公会研究后报送市财政局，并获得批复，</w:t>
      </w:r>
      <w:r>
        <w:rPr>
          <w:rFonts w:cs="仿宋_GB2312" w:hint="eastAsia"/>
          <w:sz w:val="32"/>
          <w:szCs w:val="32"/>
          <w:lang w:bidi="ar"/>
        </w:rPr>
        <w:t>项目立项程序规范。</w:t>
      </w:r>
    </w:p>
    <w:p w:rsidR="00706F52" w:rsidRDefault="00DE41BA">
      <w:pPr>
        <w:adjustRightInd w:val="0"/>
        <w:snapToGrid w:val="0"/>
        <w:spacing w:line="360" w:lineRule="auto"/>
        <w:ind w:firstLineChars="200" w:firstLine="640"/>
        <w:outlineLvl w:val="2"/>
        <w:rPr>
          <w:rFonts w:ascii="仿宋_GB2312"/>
          <w:sz w:val="32"/>
          <w:szCs w:val="32"/>
        </w:rPr>
      </w:pPr>
      <w:r>
        <w:rPr>
          <w:rFonts w:ascii="仿宋_GB2312" w:hint="eastAsia"/>
          <w:sz w:val="32"/>
          <w:szCs w:val="32"/>
        </w:rPr>
        <w:t>2.</w:t>
      </w:r>
      <w:r>
        <w:rPr>
          <w:rFonts w:ascii="仿宋_GB2312" w:hint="eastAsia"/>
          <w:sz w:val="32"/>
          <w:szCs w:val="32"/>
        </w:rPr>
        <w:t>绩效目标</w:t>
      </w:r>
      <w:bookmarkEnd w:id="52"/>
    </w:p>
    <w:p w:rsidR="00706F52" w:rsidRDefault="00DE41BA">
      <w:pPr>
        <w:adjustRightInd w:val="0"/>
        <w:snapToGrid w:val="0"/>
        <w:spacing w:line="360" w:lineRule="auto"/>
        <w:ind w:firstLineChars="200" w:firstLine="640"/>
        <w:rPr>
          <w:rFonts w:ascii="仿宋_GB2312"/>
          <w:sz w:val="32"/>
          <w:szCs w:val="32"/>
        </w:rPr>
      </w:pPr>
      <w:r>
        <w:rPr>
          <w:rFonts w:ascii="仿宋_GB2312" w:hint="eastAsia"/>
          <w:sz w:val="32"/>
          <w:szCs w:val="32"/>
        </w:rPr>
        <w:t>（</w:t>
      </w:r>
      <w:r>
        <w:rPr>
          <w:rFonts w:ascii="仿宋_GB2312" w:hint="eastAsia"/>
          <w:sz w:val="32"/>
          <w:szCs w:val="32"/>
        </w:rPr>
        <w:t>1</w:t>
      </w:r>
      <w:r>
        <w:rPr>
          <w:rFonts w:ascii="仿宋_GB2312" w:hint="eastAsia"/>
          <w:sz w:val="32"/>
          <w:szCs w:val="32"/>
        </w:rPr>
        <w:t>）绩效目标合理性</w:t>
      </w:r>
    </w:p>
    <w:p w:rsidR="00706F52" w:rsidRDefault="00DE41BA">
      <w:pPr>
        <w:pStyle w:val="2"/>
        <w:adjustRightInd w:val="0"/>
        <w:snapToGrid w:val="0"/>
        <w:spacing w:after="0" w:line="360" w:lineRule="auto"/>
        <w:ind w:leftChars="0" w:left="0" w:firstLine="640"/>
      </w:pPr>
      <w:r>
        <w:rPr>
          <w:rFonts w:hint="eastAsia"/>
          <w:sz w:val="32"/>
        </w:rPr>
        <w:t>项目设置了年度目标，明确了年度主要工作任务产出，但对于通过项目实施预计产生的效益及影响未进行提炼，绩效目标设置的全面性需进一步提升。</w:t>
      </w:r>
    </w:p>
    <w:p w:rsidR="00706F52" w:rsidRDefault="00DE41BA">
      <w:pPr>
        <w:numPr>
          <w:ilvl w:val="0"/>
          <w:numId w:val="1"/>
        </w:numPr>
        <w:adjustRightInd w:val="0"/>
        <w:snapToGrid w:val="0"/>
        <w:spacing w:line="360" w:lineRule="auto"/>
        <w:ind w:firstLineChars="200" w:firstLine="640"/>
        <w:rPr>
          <w:rFonts w:ascii="仿宋_GB2312"/>
          <w:sz w:val="32"/>
          <w:szCs w:val="32"/>
        </w:rPr>
      </w:pPr>
      <w:r>
        <w:rPr>
          <w:rFonts w:ascii="仿宋_GB2312" w:hint="eastAsia"/>
          <w:sz w:val="32"/>
          <w:szCs w:val="32"/>
        </w:rPr>
        <w:t>绩效指标明确性</w:t>
      </w:r>
    </w:p>
    <w:p w:rsidR="00706F52" w:rsidRDefault="00DE41BA">
      <w:pPr>
        <w:adjustRightInd w:val="0"/>
        <w:snapToGrid w:val="0"/>
        <w:spacing w:line="360" w:lineRule="auto"/>
        <w:ind w:firstLineChars="200" w:firstLine="640"/>
      </w:pPr>
      <w:r>
        <w:rPr>
          <w:rFonts w:hint="eastAsia"/>
          <w:sz w:val="32"/>
        </w:rPr>
        <w:t>项目单位在年度绩效目标的基础上，从产出和效果两方面细化、量化了绩效指标，设定了数量、质量、时效等产出指标及效益、服务对象满意度等效果指标。</w:t>
      </w:r>
      <w:r>
        <w:rPr>
          <w:rFonts w:hint="eastAsia"/>
          <w:sz w:val="32"/>
        </w:rPr>
        <w:t>根据饮用水水源地环境管理技术支撑、劣Ⅴ类及水生态环境保护重点问题第三方核查、北京市</w:t>
      </w:r>
      <w:r>
        <w:rPr>
          <w:rFonts w:hint="eastAsia"/>
          <w:sz w:val="32"/>
        </w:rPr>
        <w:lastRenderedPageBreak/>
        <w:t>重点水体水功能区优化提升技术支撑三方面工作对应设置了数量指标，指标的设置</w:t>
      </w:r>
      <w:r>
        <w:rPr>
          <w:rFonts w:hint="eastAsia"/>
          <w:sz w:val="32"/>
        </w:rPr>
        <w:t>与项目目标</w:t>
      </w:r>
      <w:r>
        <w:rPr>
          <w:rFonts w:hint="eastAsia"/>
          <w:sz w:val="32"/>
        </w:rPr>
        <w:t>较为对应</w:t>
      </w:r>
      <w:r>
        <w:rPr>
          <w:rFonts w:hint="eastAsia"/>
          <w:sz w:val="32"/>
        </w:rPr>
        <w:t>。</w:t>
      </w:r>
    </w:p>
    <w:p w:rsidR="00706F52" w:rsidRDefault="00DE41BA">
      <w:pPr>
        <w:adjustRightInd w:val="0"/>
        <w:snapToGrid w:val="0"/>
        <w:spacing w:line="360" w:lineRule="auto"/>
        <w:ind w:firstLineChars="200" w:firstLine="640"/>
        <w:outlineLvl w:val="2"/>
        <w:rPr>
          <w:rFonts w:ascii="仿宋_GB2312"/>
          <w:sz w:val="32"/>
          <w:szCs w:val="32"/>
        </w:rPr>
      </w:pPr>
      <w:bookmarkStart w:id="53" w:name="_Toc35588413"/>
      <w:r>
        <w:rPr>
          <w:rFonts w:ascii="仿宋_GB2312" w:hint="eastAsia"/>
          <w:sz w:val="32"/>
          <w:szCs w:val="32"/>
        </w:rPr>
        <w:t>3.</w:t>
      </w:r>
      <w:r>
        <w:rPr>
          <w:rFonts w:ascii="仿宋_GB2312" w:hint="eastAsia"/>
          <w:sz w:val="32"/>
          <w:szCs w:val="32"/>
        </w:rPr>
        <w:t>资金投入</w:t>
      </w:r>
      <w:bookmarkEnd w:id="53"/>
    </w:p>
    <w:p w:rsidR="00706F52" w:rsidRDefault="00DE41BA">
      <w:pPr>
        <w:suppressAutoHyphens/>
        <w:adjustRightInd w:val="0"/>
        <w:snapToGrid w:val="0"/>
        <w:spacing w:line="360" w:lineRule="auto"/>
        <w:ind w:firstLineChars="200" w:firstLine="640"/>
        <w:rPr>
          <w:rFonts w:ascii="仿宋_GB2312" w:hAnsi="仿宋_GB2312" w:cs="仿宋_GB2312"/>
          <w:sz w:val="32"/>
          <w:szCs w:val="32"/>
        </w:rPr>
      </w:pPr>
      <w:r>
        <w:rPr>
          <w:rFonts w:ascii="仿宋_GB2312" w:hAnsi="仿宋_GB2312" w:cs="仿宋_GB2312" w:hint="eastAsia"/>
          <w:sz w:val="32"/>
        </w:rPr>
        <w:t>2023</w:t>
      </w:r>
      <w:r>
        <w:rPr>
          <w:rFonts w:ascii="仿宋_GB2312" w:hAnsi="仿宋_GB2312" w:cs="仿宋_GB2312" w:hint="eastAsia"/>
          <w:sz w:val="32"/>
        </w:rPr>
        <w:t>年度项目预算总投入</w:t>
      </w:r>
      <w:r>
        <w:rPr>
          <w:rFonts w:ascii="仿宋_GB2312" w:hAnsi="仿宋_GB2312" w:cs="仿宋_GB2312" w:hint="eastAsia"/>
          <w:sz w:val="32"/>
        </w:rPr>
        <w:t>465.05</w:t>
      </w:r>
      <w:r>
        <w:rPr>
          <w:rFonts w:ascii="仿宋_GB2312" w:hAnsi="仿宋_GB2312" w:cs="仿宋_GB2312" w:hint="eastAsia"/>
          <w:sz w:val="32"/>
        </w:rPr>
        <w:t>万元，预算构成主要为委托业务费，</w:t>
      </w:r>
      <w:r>
        <w:rPr>
          <w:rFonts w:ascii="仿宋_GB2312" w:hAnsi="仿宋_GB2312" w:cs="仿宋_GB2312" w:hint="eastAsia"/>
          <w:sz w:val="32"/>
          <w:szCs w:val="32"/>
        </w:rPr>
        <w:t>项目单位能够根据各子项的工作内容</w:t>
      </w:r>
      <w:r>
        <w:rPr>
          <w:rFonts w:ascii="仿宋_GB2312" w:hAnsi="仿宋_GB2312" w:cs="仿宋_GB2312" w:hint="eastAsia"/>
          <w:sz w:val="32"/>
          <w:szCs w:val="32"/>
        </w:rPr>
        <w:t>结合预计发生的工作量</w:t>
      </w:r>
      <w:r>
        <w:rPr>
          <w:rFonts w:ascii="仿宋_GB2312" w:hAnsi="仿宋_GB2312" w:cs="仿宋_GB2312" w:hint="eastAsia"/>
          <w:sz w:val="32"/>
          <w:szCs w:val="32"/>
        </w:rPr>
        <w:t>编制年度预算</w:t>
      </w:r>
      <w:r>
        <w:rPr>
          <w:rFonts w:ascii="仿宋_GB2312" w:hAnsi="仿宋_GB2312" w:cs="仿宋_GB2312" w:hint="eastAsia"/>
          <w:sz w:val="32"/>
          <w:szCs w:val="32"/>
        </w:rPr>
        <w:t>，</w:t>
      </w:r>
      <w:r>
        <w:rPr>
          <w:rFonts w:ascii="仿宋_GB2312" w:hAnsi="仿宋_GB2312" w:cs="仿宋_GB2312" w:hint="eastAsia"/>
          <w:sz w:val="32"/>
          <w:szCs w:val="32"/>
        </w:rPr>
        <w:t>经过内部资金评审后确定资金规模，项目预算编制过程</w:t>
      </w:r>
      <w:r>
        <w:rPr>
          <w:rFonts w:ascii="仿宋_GB2312" w:hAnsi="仿宋_GB2312" w:cs="仿宋_GB2312" w:hint="eastAsia"/>
          <w:sz w:val="32"/>
          <w:szCs w:val="32"/>
        </w:rPr>
        <w:t>较科学。</w:t>
      </w:r>
      <w:r>
        <w:rPr>
          <w:rFonts w:ascii="仿宋_GB2312" w:hAnsi="仿宋_GB2312" w:cs="仿宋_GB2312" w:hint="eastAsia"/>
          <w:sz w:val="32"/>
        </w:rPr>
        <w:t xml:space="preserve"> </w:t>
      </w:r>
    </w:p>
    <w:p w:rsidR="00706F52" w:rsidRDefault="00DE41BA">
      <w:pPr>
        <w:adjustRightInd w:val="0"/>
        <w:snapToGrid w:val="0"/>
        <w:spacing w:line="360" w:lineRule="auto"/>
        <w:ind w:firstLineChars="200" w:firstLine="640"/>
        <w:outlineLvl w:val="1"/>
        <w:rPr>
          <w:rFonts w:ascii="楷体_GB2312" w:eastAsia="楷体_GB2312"/>
          <w:sz w:val="32"/>
          <w:szCs w:val="32"/>
        </w:rPr>
      </w:pPr>
      <w:bookmarkStart w:id="54" w:name="_Toc35588414"/>
      <w:bookmarkStart w:id="55" w:name="_Toc25466"/>
      <w:bookmarkStart w:id="56" w:name="_Toc23453"/>
      <w:bookmarkStart w:id="57" w:name="_Toc6199"/>
      <w:r>
        <w:rPr>
          <w:rFonts w:ascii="楷体_GB2312" w:eastAsia="楷体_GB2312" w:hAnsi="宋体" w:cs="宋体" w:hint="eastAsia"/>
          <w:kern w:val="0"/>
          <w:sz w:val="32"/>
          <w:szCs w:val="32"/>
        </w:rPr>
        <w:t>（二）项目过程情况</w:t>
      </w:r>
      <w:bookmarkEnd w:id="54"/>
      <w:bookmarkEnd w:id="55"/>
      <w:bookmarkEnd w:id="56"/>
      <w:bookmarkEnd w:id="57"/>
    </w:p>
    <w:p w:rsidR="00706F52" w:rsidRDefault="00DE41BA">
      <w:pPr>
        <w:adjustRightInd w:val="0"/>
        <w:snapToGrid w:val="0"/>
        <w:spacing w:line="360" w:lineRule="auto"/>
        <w:ind w:firstLineChars="200" w:firstLine="640"/>
        <w:outlineLvl w:val="2"/>
        <w:rPr>
          <w:rFonts w:ascii="仿宋_GB2312"/>
          <w:sz w:val="32"/>
          <w:szCs w:val="32"/>
        </w:rPr>
      </w:pPr>
      <w:bookmarkStart w:id="58" w:name="_Toc35588415"/>
      <w:r>
        <w:rPr>
          <w:rFonts w:ascii="仿宋_GB2312" w:hint="eastAsia"/>
          <w:sz w:val="32"/>
          <w:szCs w:val="32"/>
        </w:rPr>
        <w:t>1.</w:t>
      </w:r>
      <w:r>
        <w:rPr>
          <w:rFonts w:ascii="仿宋_GB2312" w:hint="eastAsia"/>
          <w:sz w:val="32"/>
          <w:szCs w:val="32"/>
        </w:rPr>
        <w:t>资金管理</w:t>
      </w:r>
      <w:bookmarkEnd w:id="58"/>
    </w:p>
    <w:p w:rsidR="00706F52" w:rsidRDefault="00DE41BA">
      <w:pPr>
        <w:adjustRightInd w:val="0"/>
        <w:snapToGrid w:val="0"/>
        <w:spacing w:line="360" w:lineRule="auto"/>
        <w:ind w:firstLineChars="200" w:firstLine="640"/>
        <w:rPr>
          <w:rFonts w:ascii="仿宋_GB2312" w:hAnsi="宋体" w:cs="宋体"/>
          <w:iCs/>
          <w:kern w:val="0"/>
          <w:sz w:val="32"/>
          <w:szCs w:val="32"/>
        </w:rPr>
      </w:pPr>
      <w:r>
        <w:rPr>
          <w:rFonts w:ascii="仿宋_GB2312" w:hAnsi="宋体" w:cs="宋体" w:hint="eastAsia"/>
          <w:iCs/>
          <w:kern w:val="0"/>
          <w:sz w:val="32"/>
          <w:szCs w:val="32"/>
        </w:rPr>
        <w:t>（</w:t>
      </w:r>
      <w:r>
        <w:rPr>
          <w:rFonts w:ascii="仿宋_GB2312" w:hAnsi="宋体" w:cs="宋体" w:hint="eastAsia"/>
          <w:iCs/>
          <w:kern w:val="0"/>
          <w:sz w:val="32"/>
          <w:szCs w:val="32"/>
        </w:rPr>
        <w:t>1</w:t>
      </w:r>
      <w:r>
        <w:rPr>
          <w:rFonts w:ascii="仿宋_GB2312" w:hAnsi="宋体" w:cs="宋体" w:hint="eastAsia"/>
          <w:iCs/>
          <w:kern w:val="0"/>
          <w:sz w:val="32"/>
          <w:szCs w:val="32"/>
        </w:rPr>
        <w:t>）资金到位率和预算执行率</w:t>
      </w:r>
    </w:p>
    <w:p w:rsidR="00706F52" w:rsidRDefault="00DE41BA">
      <w:pPr>
        <w:adjustRightInd w:val="0"/>
        <w:snapToGrid w:val="0"/>
        <w:spacing w:line="360" w:lineRule="auto"/>
        <w:ind w:firstLineChars="200" w:firstLine="640"/>
        <w:rPr>
          <w:rFonts w:ascii="仿宋_GB2312" w:hAnsi="仿宋_GB2312" w:cs="仿宋_GB2312"/>
          <w:iCs/>
          <w:kern w:val="0"/>
          <w:sz w:val="32"/>
          <w:szCs w:val="32"/>
        </w:rPr>
      </w:pPr>
      <w:r>
        <w:rPr>
          <w:rFonts w:ascii="仿宋_GB2312" w:hAnsi="仿宋_GB2312" w:cs="仿宋_GB2312" w:hint="eastAsia"/>
          <w:iCs/>
          <w:kern w:val="0"/>
          <w:sz w:val="32"/>
          <w:szCs w:val="32"/>
        </w:rPr>
        <w:t>2023</w:t>
      </w:r>
      <w:r>
        <w:rPr>
          <w:rFonts w:ascii="仿宋_GB2312" w:hAnsi="仿宋_GB2312" w:cs="仿宋_GB2312" w:hint="eastAsia"/>
          <w:iCs/>
          <w:kern w:val="0"/>
          <w:sz w:val="32"/>
          <w:szCs w:val="32"/>
        </w:rPr>
        <w:t>年项目申请财政资金</w:t>
      </w:r>
      <w:r>
        <w:rPr>
          <w:rFonts w:ascii="仿宋_GB2312" w:hAnsi="仿宋_GB2312" w:cs="仿宋_GB2312" w:hint="eastAsia"/>
          <w:iCs/>
          <w:kern w:val="0"/>
          <w:sz w:val="32"/>
          <w:szCs w:val="32"/>
        </w:rPr>
        <w:t>465.05</w:t>
      </w:r>
      <w:r>
        <w:rPr>
          <w:rFonts w:ascii="仿宋_GB2312" w:hAnsi="仿宋_GB2312" w:cs="仿宋_GB2312" w:hint="eastAsia"/>
          <w:iCs/>
          <w:kern w:val="0"/>
          <w:sz w:val="32"/>
          <w:szCs w:val="32"/>
        </w:rPr>
        <w:t>万元，市财政局于</w:t>
      </w:r>
      <w:r>
        <w:rPr>
          <w:rFonts w:ascii="仿宋_GB2312" w:hAnsi="仿宋_GB2312" w:cs="仿宋_GB2312" w:hint="eastAsia"/>
          <w:iCs/>
          <w:kern w:val="0"/>
          <w:sz w:val="32"/>
          <w:szCs w:val="32"/>
        </w:rPr>
        <w:t>2023</w:t>
      </w:r>
      <w:r>
        <w:rPr>
          <w:rFonts w:ascii="仿宋_GB2312" w:hAnsi="仿宋_GB2312" w:cs="仿宋_GB2312" w:hint="eastAsia"/>
          <w:iCs/>
          <w:kern w:val="0"/>
          <w:sz w:val="32"/>
          <w:szCs w:val="32"/>
        </w:rPr>
        <w:t>年</w:t>
      </w:r>
      <w:r>
        <w:rPr>
          <w:rFonts w:ascii="仿宋_GB2312" w:hAnsi="仿宋_GB2312" w:cs="仿宋_GB2312" w:hint="eastAsia"/>
          <w:iCs/>
          <w:kern w:val="0"/>
          <w:sz w:val="32"/>
          <w:szCs w:val="32"/>
        </w:rPr>
        <w:t>2</w:t>
      </w:r>
      <w:r>
        <w:rPr>
          <w:rFonts w:ascii="仿宋_GB2312" w:hAnsi="仿宋_GB2312" w:cs="仿宋_GB2312" w:hint="eastAsia"/>
          <w:iCs/>
          <w:kern w:val="0"/>
          <w:sz w:val="32"/>
          <w:szCs w:val="32"/>
        </w:rPr>
        <w:t>月</w:t>
      </w:r>
      <w:r>
        <w:rPr>
          <w:rFonts w:ascii="仿宋_GB2312" w:hAnsi="仿宋_GB2312" w:cs="仿宋_GB2312" w:hint="eastAsia"/>
          <w:iCs/>
          <w:kern w:val="0"/>
          <w:sz w:val="32"/>
          <w:szCs w:val="32"/>
        </w:rPr>
        <w:t>7</w:t>
      </w:r>
      <w:r>
        <w:rPr>
          <w:rFonts w:ascii="仿宋_GB2312" w:hAnsi="仿宋_GB2312" w:cs="仿宋_GB2312" w:hint="eastAsia"/>
          <w:iCs/>
          <w:kern w:val="0"/>
          <w:sz w:val="32"/>
          <w:szCs w:val="32"/>
        </w:rPr>
        <w:t>日</w:t>
      </w:r>
      <w:r>
        <w:rPr>
          <w:rFonts w:ascii="仿宋_GB2312" w:hAnsi="仿宋_GB2312" w:cs="仿宋_GB2312" w:hint="eastAsia"/>
          <w:sz w:val="32"/>
        </w:rPr>
        <w:t>通过京财经资环指〔</w:t>
      </w:r>
      <w:r>
        <w:rPr>
          <w:rFonts w:ascii="仿宋_GB2312" w:hAnsi="仿宋_GB2312" w:cs="仿宋_GB2312" w:hint="eastAsia"/>
          <w:sz w:val="32"/>
        </w:rPr>
        <w:t>2023</w:t>
      </w:r>
      <w:r>
        <w:rPr>
          <w:rFonts w:ascii="仿宋_GB2312" w:hAnsi="仿宋_GB2312" w:cs="仿宋_GB2312" w:hint="eastAsia"/>
          <w:sz w:val="32"/>
        </w:rPr>
        <w:t>〕</w:t>
      </w:r>
      <w:r>
        <w:rPr>
          <w:rFonts w:ascii="仿宋_GB2312" w:hAnsi="仿宋_GB2312" w:cs="仿宋_GB2312" w:hint="eastAsia"/>
          <w:sz w:val="32"/>
        </w:rPr>
        <w:t>0031</w:t>
      </w:r>
      <w:r>
        <w:rPr>
          <w:rFonts w:ascii="仿宋_GB2312" w:hAnsi="仿宋_GB2312" w:cs="仿宋_GB2312" w:hint="eastAsia"/>
          <w:sz w:val="32"/>
        </w:rPr>
        <w:t>号</w:t>
      </w:r>
      <w:r>
        <w:rPr>
          <w:rFonts w:ascii="仿宋_GB2312" w:hAnsi="仿宋_GB2312" w:cs="仿宋_GB2312" w:hint="eastAsia"/>
          <w:iCs/>
          <w:kern w:val="0"/>
          <w:sz w:val="32"/>
          <w:szCs w:val="32"/>
        </w:rPr>
        <w:t>批复项目资金</w:t>
      </w:r>
      <w:r>
        <w:rPr>
          <w:rFonts w:ascii="仿宋_GB2312" w:hAnsi="仿宋_GB2312" w:cs="仿宋_GB2312" w:hint="eastAsia"/>
          <w:iCs/>
          <w:kern w:val="0"/>
          <w:sz w:val="32"/>
          <w:szCs w:val="32"/>
        </w:rPr>
        <w:t>465.05</w:t>
      </w:r>
      <w:r>
        <w:rPr>
          <w:rFonts w:ascii="仿宋_GB2312" w:hAnsi="仿宋_GB2312" w:cs="仿宋_GB2312" w:hint="eastAsia"/>
          <w:iCs/>
          <w:kern w:val="0"/>
          <w:sz w:val="32"/>
          <w:szCs w:val="32"/>
        </w:rPr>
        <w:t>万元，</w:t>
      </w:r>
      <w:r>
        <w:rPr>
          <w:rFonts w:ascii="仿宋_GB2312" w:hAnsi="仿宋_GB2312" w:cs="仿宋_GB2312" w:hint="eastAsia"/>
          <w:sz w:val="32"/>
        </w:rPr>
        <w:t>资金到位率</w:t>
      </w:r>
      <w:r>
        <w:rPr>
          <w:rFonts w:ascii="仿宋_GB2312" w:hAnsi="仿宋_GB2312" w:cs="仿宋_GB2312" w:hint="eastAsia"/>
          <w:sz w:val="32"/>
        </w:rPr>
        <w:t>100%</w:t>
      </w:r>
      <w:r>
        <w:rPr>
          <w:rFonts w:ascii="仿宋_GB2312" w:hAnsi="仿宋_GB2312" w:cs="仿宋_GB2312" w:hint="eastAsia"/>
          <w:sz w:val="32"/>
        </w:rPr>
        <w:t>。</w:t>
      </w:r>
      <w:r>
        <w:rPr>
          <w:rFonts w:hint="eastAsia"/>
          <w:sz w:val="32"/>
        </w:rPr>
        <w:t>预算资金到位后，市生态环境局按照合同约定，及时将合同款拨付至项目承接单位，保证了项目的顺利实施。</w:t>
      </w:r>
    </w:p>
    <w:p w:rsidR="00706F52" w:rsidRDefault="00DE41BA">
      <w:pPr>
        <w:adjustRightInd w:val="0"/>
        <w:snapToGrid w:val="0"/>
        <w:spacing w:line="360" w:lineRule="auto"/>
        <w:ind w:firstLineChars="200" w:firstLine="640"/>
        <w:rPr>
          <w:rFonts w:ascii="仿宋_GB2312" w:hAnsi="仿宋_GB2312" w:cs="仿宋_GB2312"/>
          <w:kern w:val="0"/>
          <w:sz w:val="32"/>
          <w:szCs w:val="32"/>
        </w:rPr>
      </w:pPr>
      <w:r>
        <w:rPr>
          <w:rFonts w:ascii="仿宋_GB2312" w:hAnsi="仿宋_GB2312" w:cs="仿宋_GB2312" w:hint="eastAsia"/>
          <w:iCs/>
          <w:kern w:val="0"/>
          <w:sz w:val="32"/>
          <w:szCs w:val="32"/>
        </w:rPr>
        <w:t>截至</w:t>
      </w:r>
      <w:r>
        <w:rPr>
          <w:rFonts w:ascii="仿宋_GB2312" w:hAnsi="仿宋_GB2312" w:cs="仿宋_GB2312" w:hint="eastAsia"/>
          <w:iCs/>
          <w:kern w:val="0"/>
          <w:sz w:val="32"/>
          <w:szCs w:val="32"/>
        </w:rPr>
        <w:t>2023</w:t>
      </w:r>
      <w:r>
        <w:rPr>
          <w:rFonts w:ascii="仿宋_GB2312" w:hAnsi="仿宋_GB2312" w:cs="仿宋_GB2312" w:hint="eastAsia"/>
          <w:iCs/>
          <w:kern w:val="0"/>
          <w:sz w:val="32"/>
          <w:szCs w:val="32"/>
        </w:rPr>
        <w:t>年</w:t>
      </w:r>
      <w:r>
        <w:rPr>
          <w:rFonts w:ascii="仿宋_GB2312" w:hAnsi="仿宋_GB2312" w:cs="仿宋_GB2312" w:hint="eastAsia"/>
          <w:iCs/>
          <w:kern w:val="0"/>
          <w:sz w:val="32"/>
          <w:szCs w:val="32"/>
        </w:rPr>
        <w:t>12</w:t>
      </w:r>
      <w:r>
        <w:rPr>
          <w:rFonts w:ascii="仿宋_GB2312" w:hAnsi="仿宋_GB2312" w:cs="仿宋_GB2312" w:hint="eastAsia"/>
          <w:iCs/>
          <w:kern w:val="0"/>
          <w:sz w:val="32"/>
          <w:szCs w:val="32"/>
        </w:rPr>
        <w:t>月</w:t>
      </w:r>
      <w:r>
        <w:rPr>
          <w:rFonts w:ascii="仿宋_GB2312" w:hAnsi="仿宋_GB2312" w:cs="仿宋_GB2312" w:hint="eastAsia"/>
          <w:iCs/>
          <w:kern w:val="0"/>
          <w:sz w:val="32"/>
          <w:szCs w:val="32"/>
        </w:rPr>
        <w:t>31</w:t>
      </w:r>
      <w:r>
        <w:rPr>
          <w:rFonts w:ascii="仿宋_GB2312" w:hAnsi="仿宋_GB2312" w:cs="仿宋_GB2312" w:hint="eastAsia"/>
          <w:iCs/>
          <w:kern w:val="0"/>
          <w:sz w:val="32"/>
          <w:szCs w:val="32"/>
        </w:rPr>
        <w:t>日，项目实际支出资金</w:t>
      </w:r>
      <w:r>
        <w:rPr>
          <w:rFonts w:ascii="仿宋_GB2312" w:hAnsi="仿宋_GB2312" w:cs="仿宋_GB2312" w:hint="eastAsia"/>
          <w:iCs/>
          <w:kern w:val="0"/>
          <w:sz w:val="32"/>
          <w:szCs w:val="32"/>
        </w:rPr>
        <w:t>463.6</w:t>
      </w:r>
      <w:r>
        <w:rPr>
          <w:rFonts w:ascii="仿宋_GB2312" w:hAnsi="仿宋_GB2312" w:cs="仿宋_GB2312" w:hint="eastAsia"/>
          <w:iCs/>
          <w:kern w:val="0"/>
          <w:sz w:val="32"/>
          <w:szCs w:val="32"/>
        </w:rPr>
        <w:t>0</w:t>
      </w:r>
      <w:r>
        <w:rPr>
          <w:rFonts w:ascii="仿宋_GB2312" w:hAnsi="仿宋_GB2312" w:cs="仿宋_GB2312" w:hint="eastAsia"/>
          <w:iCs/>
          <w:kern w:val="0"/>
          <w:sz w:val="32"/>
          <w:szCs w:val="32"/>
        </w:rPr>
        <w:t>万元，</w:t>
      </w:r>
      <w:r>
        <w:rPr>
          <w:rFonts w:ascii="仿宋_GB2312" w:hAnsi="仿宋_GB2312" w:cs="仿宋_GB2312" w:hint="eastAsia"/>
          <w:sz w:val="32"/>
        </w:rPr>
        <w:t>结余资金</w:t>
      </w:r>
      <w:r>
        <w:rPr>
          <w:rFonts w:ascii="仿宋_GB2312" w:hAnsi="仿宋_GB2312" w:cs="仿宋_GB2312" w:hint="eastAsia"/>
          <w:sz w:val="32"/>
        </w:rPr>
        <w:t>1.45</w:t>
      </w:r>
      <w:r>
        <w:rPr>
          <w:rFonts w:ascii="仿宋_GB2312" w:hAnsi="仿宋_GB2312" w:cs="仿宋_GB2312" w:hint="eastAsia"/>
          <w:sz w:val="32"/>
        </w:rPr>
        <w:t>万元，预算执行率</w:t>
      </w:r>
      <w:r>
        <w:rPr>
          <w:rFonts w:ascii="仿宋_GB2312" w:hAnsi="仿宋_GB2312" w:cs="仿宋_GB2312" w:hint="eastAsia"/>
          <w:sz w:val="32"/>
        </w:rPr>
        <w:t>99.69%</w:t>
      </w:r>
      <w:r>
        <w:rPr>
          <w:rFonts w:ascii="仿宋_GB2312" w:hAnsi="仿宋_GB2312" w:cs="仿宋_GB2312" w:hint="eastAsia"/>
          <w:sz w:val="32"/>
        </w:rPr>
        <w:t>。</w:t>
      </w:r>
    </w:p>
    <w:p w:rsidR="00706F52" w:rsidRDefault="00DE41BA">
      <w:pPr>
        <w:adjustRightInd w:val="0"/>
        <w:snapToGrid w:val="0"/>
        <w:spacing w:line="360" w:lineRule="auto"/>
        <w:ind w:firstLineChars="200" w:firstLine="640"/>
        <w:rPr>
          <w:rFonts w:ascii="仿宋_GB2312" w:hAnsi="宋体" w:cs="宋体"/>
          <w:kern w:val="0"/>
          <w:sz w:val="32"/>
          <w:szCs w:val="32"/>
        </w:rPr>
      </w:pPr>
      <w:r>
        <w:rPr>
          <w:rFonts w:ascii="仿宋_GB2312" w:hAnsi="宋体" w:cs="宋体" w:hint="eastAsia"/>
          <w:kern w:val="0"/>
          <w:sz w:val="32"/>
          <w:szCs w:val="32"/>
        </w:rPr>
        <w:t>（</w:t>
      </w:r>
      <w:r>
        <w:rPr>
          <w:rFonts w:ascii="仿宋_GB2312" w:hAnsi="宋体" w:cs="宋体" w:hint="eastAsia"/>
          <w:kern w:val="0"/>
          <w:sz w:val="32"/>
          <w:szCs w:val="32"/>
        </w:rPr>
        <w:t>2</w:t>
      </w:r>
      <w:r>
        <w:rPr>
          <w:rFonts w:ascii="仿宋_GB2312" w:hAnsi="宋体" w:cs="宋体" w:hint="eastAsia"/>
          <w:kern w:val="0"/>
          <w:sz w:val="32"/>
          <w:szCs w:val="32"/>
        </w:rPr>
        <w:t>）资金使用合</w:t>
      </w:r>
      <w:proofErr w:type="gramStart"/>
      <w:r>
        <w:rPr>
          <w:rFonts w:ascii="仿宋_GB2312" w:hAnsi="宋体" w:cs="宋体" w:hint="eastAsia"/>
          <w:kern w:val="0"/>
          <w:sz w:val="32"/>
          <w:szCs w:val="32"/>
        </w:rPr>
        <w:t>规</w:t>
      </w:r>
      <w:proofErr w:type="gramEnd"/>
      <w:r>
        <w:rPr>
          <w:rFonts w:ascii="仿宋_GB2312" w:hAnsi="宋体" w:cs="宋体" w:hint="eastAsia"/>
          <w:kern w:val="0"/>
          <w:sz w:val="32"/>
          <w:szCs w:val="32"/>
        </w:rPr>
        <w:t>性</w:t>
      </w:r>
    </w:p>
    <w:p w:rsidR="00706F52" w:rsidRDefault="00DE41BA">
      <w:pPr>
        <w:suppressAutoHyphens/>
        <w:adjustRightInd w:val="0"/>
        <w:snapToGrid w:val="0"/>
        <w:spacing w:line="360" w:lineRule="auto"/>
        <w:ind w:firstLineChars="200" w:firstLine="640"/>
        <w:rPr>
          <w:rFonts w:ascii="仿宋_GB2312" w:hAnsi="宋体" w:cs="宋体"/>
          <w:color w:val="000000"/>
          <w:kern w:val="0"/>
          <w:sz w:val="32"/>
          <w:szCs w:val="32"/>
        </w:rPr>
      </w:pPr>
      <w:bookmarkStart w:id="59" w:name="_Toc35588416"/>
      <w:r>
        <w:rPr>
          <w:rFonts w:hint="eastAsia"/>
          <w:sz w:val="32"/>
          <w:szCs w:val="32"/>
        </w:rPr>
        <w:t>项目执行过程中，项目单位能够按照</w:t>
      </w:r>
      <w:r>
        <w:rPr>
          <w:sz w:val="32"/>
          <w:szCs w:val="32"/>
        </w:rPr>
        <w:t>市财政局</w:t>
      </w:r>
      <w:r>
        <w:rPr>
          <w:rFonts w:hint="eastAsia"/>
          <w:sz w:val="32"/>
          <w:szCs w:val="32"/>
        </w:rPr>
        <w:t>、市生态环境局的</w:t>
      </w:r>
      <w:r>
        <w:rPr>
          <w:sz w:val="32"/>
          <w:szCs w:val="32"/>
        </w:rPr>
        <w:t>相关</w:t>
      </w:r>
      <w:r>
        <w:rPr>
          <w:rFonts w:hint="eastAsia"/>
          <w:sz w:val="32"/>
          <w:szCs w:val="32"/>
        </w:rPr>
        <w:t>财务管理</w:t>
      </w:r>
      <w:r>
        <w:rPr>
          <w:sz w:val="32"/>
          <w:szCs w:val="32"/>
        </w:rPr>
        <w:t>制度要求</w:t>
      </w:r>
      <w:r>
        <w:rPr>
          <w:rFonts w:hint="eastAsia"/>
          <w:sz w:val="32"/>
          <w:szCs w:val="32"/>
        </w:rPr>
        <w:t>进行资金使用和财务管控，</w:t>
      </w:r>
      <w:r>
        <w:rPr>
          <w:rFonts w:hint="eastAsia"/>
          <w:color w:val="000000"/>
          <w:sz w:val="32"/>
          <w:szCs w:val="32"/>
        </w:rPr>
        <w:t>严格履行</w:t>
      </w:r>
      <w:r>
        <w:rPr>
          <w:rFonts w:hint="eastAsia"/>
          <w:color w:val="000000"/>
          <w:sz w:val="32"/>
          <w:szCs w:val="32"/>
        </w:rPr>
        <w:lastRenderedPageBreak/>
        <w:t>政府采购流程，通过公开招标方式确定项目承接单位，合同款支付严格按照市生态环境局内部审批流程执行，项目资金进行了独立核算，未发现挤占、挪用、虚列支出等现象。</w:t>
      </w:r>
    </w:p>
    <w:p w:rsidR="00706F52" w:rsidRDefault="00DE41BA">
      <w:pPr>
        <w:autoSpaceDE w:val="0"/>
        <w:autoSpaceDN w:val="0"/>
        <w:adjustRightInd w:val="0"/>
        <w:snapToGrid w:val="0"/>
        <w:spacing w:line="360" w:lineRule="auto"/>
        <w:ind w:firstLineChars="200" w:firstLine="640"/>
        <w:outlineLvl w:val="2"/>
        <w:rPr>
          <w:rFonts w:ascii="仿宋_GB2312" w:hAnsi="宋体" w:cs="宋体"/>
          <w:color w:val="000000"/>
          <w:kern w:val="0"/>
          <w:sz w:val="32"/>
          <w:szCs w:val="32"/>
        </w:rPr>
      </w:pPr>
      <w:r>
        <w:rPr>
          <w:rFonts w:ascii="仿宋_GB2312" w:hAnsi="宋体" w:cs="宋体" w:hint="eastAsia"/>
          <w:color w:val="000000"/>
          <w:kern w:val="0"/>
          <w:sz w:val="32"/>
          <w:szCs w:val="32"/>
        </w:rPr>
        <w:t>2.</w:t>
      </w:r>
      <w:r>
        <w:rPr>
          <w:rFonts w:ascii="仿宋_GB2312" w:hAnsi="宋体" w:cs="宋体" w:hint="eastAsia"/>
          <w:color w:val="000000"/>
          <w:kern w:val="0"/>
          <w:sz w:val="32"/>
          <w:szCs w:val="32"/>
        </w:rPr>
        <w:t>组织实施</w:t>
      </w:r>
      <w:bookmarkEnd w:id="59"/>
    </w:p>
    <w:p w:rsidR="00706F52" w:rsidRDefault="00DE41BA">
      <w:pPr>
        <w:adjustRightInd w:val="0"/>
        <w:snapToGrid w:val="0"/>
        <w:spacing w:line="360" w:lineRule="auto"/>
        <w:ind w:firstLineChars="200" w:firstLine="640"/>
        <w:rPr>
          <w:rFonts w:ascii="仿宋_GB2312" w:hAnsi="宋体" w:cs="宋体"/>
          <w:iCs/>
          <w:kern w:val="0"/>
          <w:sz w:val="32"/>
          <w:szCs w:val="32"/>
        </w:rPr>
      </w:pPr>
      <w:r>
        <w:rPr>
          <w:rFonts w:ascii="仿宋_GB2312" w:hAnsi="宋体" w:cs="宋体" w:hint="eastAsia"/>
          <w:iCs/>
          <w:kern w:val="0"/>
          <w:sz w:val="32"/>
          <w:szCs w:val="32"/>
        </w:rPr>
        <w:t>（</w:t>
      </w:r>
      <w:r>
        <w:rPr>
          <w:rFonts w:ascii="仿宋_GB2312" w:hAnsi="宋体" w:cs="宋体" w:hint="eastAsia"/>
          <w:iCs/>
          <w:kern w:val="0"/>
          <w:sz w:val="32"/>
          <w:szCs w:val="32"/>
        </w:rPr>
        <w:t>1</w:t>
      </w:r>
      <w:r>
        <w:rPr>
          <w:rFonts w:ascii="仿宋_GB2312" w:hAnsi="宋体" w:cs="宋体" w:hint="eastAsia"/>
          <w:iCs/>
          <w:kern w:val="0"/>
          <w:sz w:val="32"/>
          <w:szCs w:val="32"/>
        </w:rPr>
        <w:t>）管理制度健全性</w:t>
      </w:r>
    </w:p>
    <w:p w:rsidR="00706F52" w:rsidRDefault="00DE41BA">
      <w:pPr>
        <w:suppressAutoHyphens/>
        <w:adjustRightInd w:val="0"/>
        <w:snapToGrid w:val="0"/>
        <w:spacing w:line="360" w:lineRule="auto"/>
        <w:ind w:firstLineChars="200" w:firstLine="643"/>
      </w:pPr>
      <w:r>
        <w:rPr>
          <w:rFonts w:hint="eastAsia"/>
          <w:b/>
          <w:bCs/>
          <w:sz w:val="32"/>
          <w:szCs w:val="32"/>
        </w:rPr>
        <w:t>财务管理制度方面</w:t>
      </w:r>
      <w:r>
        <w:rPr>
          <w:rFonts w:hint="eastAsia"/>
          <w:sz w:val="32"/>
          <w:szCs w:val="32"/>
        </w:rPr>
        <w:t>，为推进财务管理的规范化、制度化，市生态环境局制定了《北京市生态环境局财务安全管理办法》《北京市生态环境局会议费管理办法》《北京市生态环境局培训会管理办法》等制度文件，对财务安全管理、会议费报销、培训会审批与管理等内容进行了明确规定。</w:t>
      </w:r>
      <w:r>
        <w:rPr>
          <w:rFonts w:hint="eastAsia"/>
          <w:b/>
          <w:bCs/>
          <w:sz w:val="32"/>
          <w:szCs w:val="32"/>
        </w:rPr>
        <w:t>业务管理制度方面</w:t>
      </w:r>
      <w:r>
        <w:rPr>
          <w:rFonts w:hint="eastAsia"/>
          <w:sz w:val="32"/>
          <w:szCs w:val="32"/>
        </w:rPr>
        <w:t>，市生态环境局制定了《北京市生态环境局项目管理办法》《北京市生态环境局政府采购管理办法》《北京市生态环境局洽商谈判采购管理办法》《北京市生态环境局合同管理办法》《</w:t>
      </w:r>
      <w:r>
        <w:rPr>
          <w:rFonts w:hint="eastAsia"/>
          <w:color w:val="000000"/>
          <w:sz w:val="32"/>
          <w:szCs w:val="32"/>
        </w:rPr>
        <w:t>北京市生态环境局财政支出绩效评价管理办法》等制度，对项目申报、项目验收、项目合同签订内容及合同签订程序、政府采购等内容进行了规定。整体上，已有的管理制度为项目执行提供了一定的制度保障和依据。</w:t>
      </w:r>
    </w:p>
    <w:p w:rsidR="00706F52" w:rsidRDefault="00DE41BA">
      <w:pPr>
        <w:adjustRightInd w:val="0"/>
        <w:snapToGrid w:val="0"/>
        <w:spacing w:line="360" w:lineRule="auto"/>
        <w:ind w:firstLineChars="200" w:firstLine="640"/>
      </w:pPr>
      <w:r>
        <w:rPr>
          <w:rFonts w:ascii="仿宋_GB2312" w:hAnsi="宋体" w:cs="宋体" w:hint="eastAsia"/>
          <w:kern w:val="0"/>
          <w:sz w:val="32"/>
          <w:szCs w:val="32"/>
        </w:rPr>
        <w:t>（</w:t>
      </w:r>
      <w:r>
        <w:rPr>
          <w:rFonts w:ascii="仿宋_GB2312" w:hAnsi="宋体" w:cs="宋体" w:hint="eastAsia"/>
          <w:kern w:val="0"/>
          <w:sz w:val="32"/>
          <w:szCs w:val="32"/>
        </w:rPr>
        <w:t>2</w:t>
      </w:r>
      <w:r>
        <w:rPr>
          <w:rFonts w:ascii="仿宋_GB2312" w:hAnsi="宋体" w:cs="宋体" w:hint="eastAsia"/>
          <w:kern w:val="0"/>
          <w:sz w:val="32"/>
          <w:szCs w:val="32"/>
        </w:rPr>
        <w:t>）制度执行有效性</w:t>
      </w:r>
    </w:p>
    <w:p w:rsidR="00706F52" w:rsidRDefault="00DE41BA">
      <w:pPr>
        <w:pStyle w:val="2"/>
        <w:adjustRightInd w:val="0"/>
        <w:snapToGrid w:val="0"/>
        <w:spacing w:after="0" w:line="360" w:lineRule="auto"/>
        <w:ind w:leftChars="0" w:left="0" w:firstLine="643"/>
        <w:rPr>
          <w:rFonts w:ascii="仿宋_GB2312" w:hAnsi="宋体" w:cs="宋体"/>
          <w:kern w:val="0"/>
          <w:sz w:val="32"/>
          <w:szCs w:val="32"/>
        </w:rPr>
      </w:pPr>
      <w:r>
        <w:rPr>
          <w:rFonts w:ascii="仿宋_GB2312" w:hAnsi="宋体" w:cs="宋体" w:hint="eastAsia"/>
          <w:b/>
          <w:kern w:val="0"/>
          <w:sz w:val="32"/>
          <w:szCs w:val="32"/>
        </w:rPr>
        <w:t>项目采购组织实施方面</w:t>
      </w:r>
      <w:r>
        <w:rPr>
          <w:rFonts w:ascii="仿宋_GB2312" w:hAnsi="宋体" w:cs="宋体" w:hint="eastAsia"/>
          <w:kern w:val="0"/>
          <w:sz w:val="32"/>
          <w:szCs w:val="32"/>
        </w:rPr>
        <w:t>：项目预算资金到位后，项目单位根据预算批复及工作实际需求，委托招标代理机构对</w:t>
      </w:r>
      <w:r>
        <w:rPr>
          <w:rFonts w:ascii="仿宋_GB2312" w:hAnsi="宋体" w:cs="宋体" w:hint="eastAsia"/>
          <w:kern w:val="0"/>
          <w:sz w:val="32"/>
          <w:szCs w:val="32"/>
        </w:rPr>
        <w:t>3</w:t>
      </w:r>
      <w:r>
        <w:rPr>
          <w:rFonts w:ascii="仿宋_GB2312" w:hAnsi="宋体" w:cs="宋体" w:hint="eastAsia"/>
          <w:kern w:val="0"/>
          <w:sz w:val="32"/>
          <w:szCs w:val="32"/>
        </w:rPr>
        <w:t>个子项内容</w:t>
      </w:r>
      <w:r>
        <w:rPr>
          <w:rFonts w:ascii="仿宋_GB2312" w:hAnsi="宋体" w:cs="宋体" w:hint="eastAsia"/>
          <w:kern w:val="0"/>
          <w:sz w:val="32"/>
          <w:szCs w:val="32"/>
        </w:rPr>
        <w:lastRenderedPageBreak/>
        <w:t>进行公开招标</w:t>
      </w:r>
      <w:r>
        <w:rPr>
          <w:rFonts w:ascii="仿宋_GB2312" w:hAnsi="宋体" w:cs="宋体" w:hint="eastAsia"/>
          <w:kern w:val="0"/>
          <w:sz w:val="32"/>
          <w:szCs w:val="32"/>
        </w:rPr>
        <w:t>，由招标代理机构在规定的网站上发布招标公告，并组织专家对投标文件进行评审。评标结束后，招标代理机构发布中标公告，并按相关规定向中标单位发放《中标通知书》。招投标完成后，市生态环境局按照采购结果并在履行合同审批管理程序后，与项目承接单位签订服务合同。项目招投标情况及结果见表</w:t>
      </w:r>
      <w:r>
        <w:rPr>
          <w:rFonts w:ascii="仿宋_GB2312" w:hAnsi="宋体" w:cs="宋体" w:hint="eastAsia"/>
          <w:kern w:val="0"/>
          <w:sz w:val="32"/>
          <w:szCs w:val="32"/>
        </w:rPr>
        <w:t>3</w:t>
      </w:r>
      <w:r>
        <w:rPr>
          <w:rFonts w:ascii="仿宋_GB2312" w:hAnsi="宋体" w:cs="宋体" w:hint="eastAsia"/>
          <w:kern w:val="0"/>
          <w:sz w:val="32"/>
          <w:szCs w:val="32"/>
        </w:rPr>
        <w:t>。</w:t>
      </w:r>
    </w:p>
    <w:p w:rsidR="00706F52" w:rsidRDefault="00DE41BA">
      <w:pPr>
        <w:pStyle w:val="2"/>
        <w:adjustRightInd w:val="0"/>
        <w:snapToGrid w:val="0"/>
        <w:spacing w:after="0" w:line="360" w:lineRule="auto"/>
        <w:ind w:leftChars="0" w:left="0" w:firstLineChars="0" w:firstLine="0"/>
        <w:jc w:val="center"/>
        <w:rPr>
          <w:rFonts w:ascii="黑体" w:eastAsia="黑体" w:hAnsi="黑体"/>
          <w:sz w:val="28"/>
          <w:szCs w:val="28"/>
        </w:rPr>
      </w:pPr>
      <w:r>
        <w:rPr>
          <w:rFonts w:ascii="黑体" w:eastAsia="黑体" w:hAnsi="黑体" w:cs="黑体" w:hint="eastAsia"/>
          <w:sz w:val="28"/>
          <w:szCs w:val="28"/>
        </w:rPr>
        <w:t>表</w:t>
      </w:r>
      <w:r>
        <w:rPr>
          <w:rFonts w:ascii="黑体" w:eastAsia="黑体" w:hAnsi="黑体" w:cs="黑体"/>
          <w:sz w:val="28"/>
          <w:szCs w:val="28"/>
        </w:rPr>
        <w:t>3</w:t>
      </w:r>
      <w:r>
        <w:rPr>
          <w:rFonts w:ascii="黑体" w:eastAsia="黑体" w:hAnsi="黑体" w:cs="黑体" w:hint="eastAsia"/>
          <w:sz w:val="28"/>
          <w:szCs w:val="28"/>
        </w:rPr>
        <w:t>：项目招投标结果一览表</w:t>
      </w:r>
    </w:p>
    <w:tbl>
      <w:tblPr>
        <w:tblW w:w="9055" w:type="dxa"/>
        <w:jc w:val="center"/>
        <w:tblLayout w:type="fixed"/>
        <w:tblLook w:val="04A0" w:firstRow="1" w:lastRow="0" w:firstColumn="1" w:lastColumn="0" w:noHBand="0" w:noVBand="1"/>
      </w:tblPr>
      <w:tblGrid>
        <w:gridCol w:w="588"/>
        <w:gridCol w:w="1719"/>
        <w:gridCol w:w="2072"/>
        <w:gridCol w:w="3562"/>
        <w:gridCol w:w="1114"/>
      </w:tblGrid>
      <w:tr w:rsidR="00706F52">
        <w:trPr>
          <w:trHeight w:val="567"/>
          <w:tblHeader/>
          <w:jc w:val="center"/>
        </w:trPr>
        <w:tc>
          <w:tcPr>
            <w:tcW w:w="588" w:type="dxa"/>
            <w:tcBorders>
              <w:top w:val="single" w:sz="4" w:space="0" w:color="auto"/>
              <w:left w:val="single" w:sz="4" w:space="0" w:color="auto"/>
              <w:bottom w:val="single" w:sz="4" w:space="0" w:color="auto"/>
              <w:right w:val="single" w:sz="4" w:space="0" w:color="auto"/>
            </w:tcBorders>
            <w:vAlign w:val="center"/>
          </w:tcPr>
          <w:p w:rsidR="00706F52" w:rsidRDefault="00DE41BA">
            <w:pPr>
              <w:widowControl/>
              <w:adjustRightInd w:val="0"/>
              <w:snapToGrid w:val="0"/>
              <w:jc w:val="center"/>
              <w:rPr>
                <w:rFonts w:ascii="宋体" w:eastAsia="宋体" w:hAnsi="宋体" w:cs="宋体"/>
                <w:b/>
                <w:bCs/>
                <w:kern w:val="0"/>
                <w:sz w:val="20"/>
                <w:szCs w:val="20"/>
              </w:rPr>
            </w:pPr>
            <w:r>
              <w:rPr>
                <w:rFonts w:ascii="宋体" w:eastAsia="宋体" w:hAnsi="宋体" w:cs="宋体" w:hint="eastAsia"/>
                <w:b/>
                <w:bCs/>
                <w:kern w:val="0"/>
                <w:sz w:val="20"/>
                <w:szCs w:val="20"/>
              </w:rPr>
              <w:t>序号</w:t>
            </w:r>
          </w:p>
        </w:tc>
        <w:tc>
          <w:tcPr>
            <w:tcW w:w="1719" w:type="dxa"/>
            <w:tcBorders>
              <w:top w:val="single" w:sz="4" w:space="0" w:color="auto"/>
              <w:left w:val="single" w:sz="4" w:space="0" w:color="auto"/>
              <w:bottom w:val="single" w:sz="4" w:space="0" w:color="auto"/>
              <w:right w:val="single" w:sz="4" w:space="0" w:color="auto"/>
            </w:tcBorders>
            <w:vAlign w:val="center"/>
          </w:tcPr>
          <w:p w:rsidR="00706F52" w:rsidRDefault="00DE41BA">
            <w:pPr>
              <w:widowControl/>
              <w:adjustRightInd w:val="0"/>
              <w:snapToGrid w:val="0"/>
              <w:jc w:val="center"/>
              <w:rPr>
                <w:rFonts w:ascii="宋体" w:eastAsia="宋体" w:hAnsi="宋体" w:cs="宋体"/>
                <w:b/>
                <w:bCs/>
                <w:kern w:val="0"/>
                <w:sz w:val="20"/>
                <w:szCs w:val="20"/>
              </w:rPr>
            </w:pPr>
            <w:r>
              <w:rPr>
                <w:rFonts w:ascii="宋体" w:eastAsia="宋体" w:hAnsi="宋体" w:cs="宋体" w:hint="eastAsia"/>
                <w:b/>
                <w:bCs/>
                <w:kern w:val="0"/>
                <w:sz w:val="20"/>
                <w:szCs w:val="20"/>
              </w:rPr>
              <w:t>子项</w:t>
            </w:r>
          </w:p>
        </w:tc>
        <w:tc>
          <w:tcPr>
            <w:tcW w:w="2072" w:type="dxa"/>
            <w:tcBorders>
              <w:top w:val="single" w:sz="4" w:space="0" w:color="auto"/>
              <w:left w:val="single" w:sz="4" w:space="0" w:color="auto"/>
              <w:bottom w:val="single" w:sz="4" w:space="0" w:color="auto"/>
              <w:right w:val="single" w:sz="4" w:space="0" w:color="auto"/>
            </w:tcBorders>
            <w:vAlign w:val="center"/>
          </w:tcPr>
          <w:p w:rsidR="00706F52" w:rsidRDefault="00DE41BA">
            <w:pPr>
              <w:widowControl/>
              <w:adjustRightInd w:val="0"/>
              <w:snapToGrid w:val="0"/>
              <w:jc w:val="center"/>
              <w:rPr>
                <w:rFonts w:ascii="宋体" w:eastAsia="宋体" w:hAnsi="宋体" w:cs="宋体"/>
                <w:b/>
                <w:bCs/>
                <w:kern w:val="0"/>
                <w:sz w:val="20"/>
                <w:szCs w:val="20"/>
              </w:rPr>
            </w:pPr>
            <w:r>
              <w:rPr>
                <w:rFonts w:ascii="宋体" w:eastAsia="宋体" w:hAnsi="宋体" w:cs="宋体" w:hint="eastAsia"/>
                <w:b/>
                <w:bCs/>
                <w:kern w:val="0"/>
                <w:sz w:val="20"/>
                <w:szCs w:val="20"/>
              </w:rPr>
              <w:t>中标单位</w:t>
            </w:r>
          </w:p>
        </w:tc>
        <w:tc>
          <w:tcPr>
            <w:tcW w:w="3562" w:type="dxa"/>
            <w:tcBorders>
              <w:top w:val="single" w:sz="4" w:space="0" w:color="auto"/>
              <w:left w:val="single" w:sz="4" w:space="0" w:color="auto"/>
              <w:bottom w:val="single" w:sz="4" w:space="0" w:color="auto"/>
              <w:right w:val="single" w:sz="4" w:space="0" w:color="auto"/>
            </w:tcBorders>
            <w:vAlign w:val="center"/>
          </w:tcPr>
          <w:p w:rsidR="00706F52" w:rsidRDefault="00DE41BA">
            <w:pPr>
              <w:widowControl/>
              <w:adjustRightInd w:val="0"/>
              <w:snapToGrid w:val="0"/>
              <w:jc w:val="center"/>
              <w:rPr>
                <w:rFonts w:ascii="宋体" w:eastAsia="宋体" w:hAnsi="宋体" w:cs="宋体"/>
                <w:b/>
                <w:bCs/>
                <w:kern w:val="0"/>
                <w:sz w:val="20"/>
                <w:szCs w:val="20"/>
              </w:rPr>
            </w:pPr>
            <w:r>
              <w:rPr>
                <w:rFonts w:ascii="宋体" w:eastAsia="宋体" w:hAnsi="宋体" w:cs="宋体" w:hint="eastAsia"/>
                <w:b/>
                <w:bCs/>
                <w:kern w:val="0"/>
                <w:sz w:val="20"/>
                <w:szCs w:val="20"/>
              </w:rPr>
              <w:t>服务内容</w:t>
            </w:r>
          </w:p>
        </w:tc>
        <w:tc>
          <w:tcPr>
            <w:tcW w:w="1114" w:type="dxa"/>
            <w:tcBorders>
              <w:top w:val="single" w:sz="4" w:space="0" w:color="auto"/>
              <w:left w:val="single" w:sz="4" w:space="0" w:color="auto"/>
              <w:bottom w:val="single" w:sz="4" w:space="0" w:color="auto"/>
              <w:right w:val="single" w:sz="4" w:space="0" w:color="auto"/>
            </w:tcBorders>
            <w:vAlign w:val="center"/>
          </w:tcPr>
          <w:p w:rsidR="00706F52" w:rsidRDefault="00DE41BA">
            <w:pPr>
              <w:widowControl/>
              <w:adjustRightInd w:val="0"/>
              <w:snapToGrid w:val="0"/>
              <w:jc w:val="center"/>
              <w:rPr>
                <w:rFonts w:ascii="宋体" w:eastAsia="宋体" w:hAnsi="宋体" w:cs="宋体"/>
                <w:b/>
                <w:bCs/>
                <w:kern w:val="0"/>
                <w:sz w:val="20"/>
                <w:szCs w:val="20"/>
              </w:rPr>
            </w:pPr>
            <w:r>
              <w:rPr>
                <w:rFonts w:ascii="宋体" w:eastAsia="宋体" w:hAnsi="宋体" w:cs="宋体" w:hint="eastAsia"/>
                <w:b/>
                <w:bCs/>
                <w:kern w:val="0"/>
                <w:sz w:val="20"/>
                <w:szCs w:val="20"/>
              </w:rPr>
              <w:t>中标金额</w:t>
            </w:r>
          </w:p>
          <w:p w:rsidR="00706F52" w:rsidRDefault="00DE41BA">
            <w:pPr>
              <w:widowControl/>
              <w:adjustRightInd w:val="0"/>
              <w:snapToGrid w:val="0"/>
              <w:jc w:val="center"/>
              <w:rPr>
                <w:rFonts w:ascii="宋体" w:eastAsia="宋体" w:hAnsi="宋体" w:cs="宋体"/>
                <w:b/>
                <w:bCs/>
                <w:kern w:val="0"/>
                <w:sz w:val="20"/>
                <w:szCs w:val="20"/>
              </w:rPr>
            </w:pPr>
            <w:r>
              <w:rPr>
                <w:rFonts w:ascii="宋体" w:eastAsia="宋体" w:hAnsi="宋体" w:cs="宋体" w:hint="eastAsia"/>
                <w:b/>
                <w:bCs/>
                <w:kern w:val="0"/>
                <w:sz w:val="20"/>
                <w:szCs w:val="20"/>
              </w:rPr>
              <w:t>（万元）</w:t>
            </w:r>
          </w:p>
        </w:tc>
      </w:tr>
      <w:tr w:rsidR="00706F52">
        <w:trPr>
          <w:trHeight w:val="1991"/>
          <w:jc w:val="center"/>
        </w:trPr>
        <w:tc>
          <w:tcPr>
            <w:tcW w:w="588" w:type="dxa"/>
            <w:tcBorders>
              <w:top w:val="single" w:sz="4" w:space="0" w:color="auto"/>
              <w:left w:val="single" w:sz="4" w:space="0" w:color="auto"/>
              <w:bottom w:val="single" w:sz="4" w:space="0" w:color="auto"/>
              <w:right w:val="single" w:sz="4" w:space="0" w:color="auto"/>
            </w:tcBorders>
            <w:vAlign w:val="center"/>
          </w:tcPr>
          <w:p w:rsidR="00706F52" w:rsidRDefault="00DE41BA">
            <w:pPr>
              <w:widowControl/>
              <w:adjustRightInd w:val="0"/>
              <w:snapToGrid w:val="0"/>
              <w:jc w:val="center"/>
              <w:rPr>
                <w:rFonts w:ascii="宋体" w:eastAsia="宋体" w:hAnsi="宋体" w:cs="宋体"/>
                <w:kern w:val="0"/>
                <w:sz w:val="20"/>
                <w:szCs w:val="20"/>
              </w:rPr>
            </w:pPr>
            <w:r>
              <w:rPr>
                <w:rFonts w:ascii="宋体" w:eastAsia="宋体" w:hAnsi="宋体" w:cs="宋体" w:hint="eastAsia"/>
                <w:kern w:val="0"/>
                <w:sz w:val="20"/>
                <w:szCs w:val="20"/>
              </w:rPr>
              <w:t>1</w:t>
            </w:r>
          </w:p>
        </w:tc>
        <w:tc>
          <w:tcPr>
            <w:tcW w:w="1719" w:type="dxa"/>
            <w:tcBorders>
              <w:top w:val="single" w:sz="4" w:space="0" w:color="auto"/>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饮用水水源地环境管理技术支撑</w:t>
            </w:r>
          </w:p>
        </w:tc>
        <w:tc>
          <w:tcPr>
            <w:tcW w:w="2072" w:type="dxa"/>
            <w:tcBorders>
              <w:top w:val="single" w:sz="4" w:space="0" w:color="auto"/>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北京市生态环境保护科学研究院、北京新视典广告有限公司</w:t>
            </w:r>
          </w:p>
        </w:tc>
        <w:tc>
          <w:tcPr>
            <w:tcW w:w="3562" w:type="dxa"/>
            <w:tcBorders>
              <w:top w:val="single" w:sz="4" w:space="0" w:color="auto"/>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1.</w:t>
            </w:r>
            <w:r>
              <w:rPr>
                <w:rFonts w:ascii="宋体" w:eastAsia="宋体" w:hAnsi="宋体" w:cs="宋体" w:hint="eastAsia"/>
                <w:kern w:val="0"/>
                <w:sz w:val="20"/>
                <w:szCs w:val="20"/>
              </w:rPr>
              <w:t>北京市饮用水水源地保护技术支持；</w:t>
            </w:r>
          </w:p>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2.</w:t>
            </w:r>
            <w:r>
              <w:rPr>
                <w:rFonts w:ascii="宋体" w:eastAsia="宋体" w:hAnsi="宋体" w:cs="宋体" w:hint="eastAsia"/>
                <w:kern w:val="0"/>
                <w:sz w:val="20"/>
                <w:szCs w:val="20"/>
              </w:rPr>
              <w:t>补充完善保护区标志牌设置；</w:t>
            </w:r>
          </w:p>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3.</w:t>
            </w:r>
            <w:r>
              <w:rPr>
                <w:rFonts w:ascii="宋体" w:eastAsia="宋体" w:hAnsi="宋体" w:cs="宋体" w:hint="eastAsia"/>
                <w:kern w:val="0"/>
                <w:sz w:val="20"/>
                <w:szCs w:val="20"/>
              </w:rPr>
              <w:t>北京市实施《潮河流域生态环境保护综合规划</w:t>
            </w:r>
            <w:r>
              <w:rPr>
                <w:rFonts w:ascii="宋体" w:eastAsia="宋体" w:hAnsi="宋体" w:cs="宋体" w:hint="eastAsia"/>
                <w:kern w:val="0"/>
                <w:sz w:val="20"/>
                <w:szCs w:val="20"/>
              </w:rPr>
              <w:t>(2019-2025</w:t>
            </w:r>
            <w:r>
              <w:rPr>
                <w:rFonts w:ascii="宋体" w:eastAsia="宋体" w:hAnsi="宋体" w:cs="宋体" w:hint="eastAsia"/>
                <w:kern w:val="0"/>
                <w:sz w:val="20"/>
                <w:szCs w:val="20"/>
              </w:rPr>
              <w:t>年</w:t>
            </w:r>
            <w:r>
              <w:rPr>
                <w:rFonts w:ascii="宋体" w:eastAsia="宋体" w:hAnsi="宋体" w:cs="宋体" w:hint="eastAsia"/>
                <w:kern w:val="0"/>
                <w:sz w:val="20"/>
                <w:szCs w:val="20"/>
              </w:rPr>
              <w:t>)</w:t>
            </w:r>
            <w:r>
              <w:rPr>
                <w:rFonts w:ascii="宋体" w:eastAsia="宋体" w:hAnsi="宋体" w:cs="宋体" w:hint="eastAsia"/>
                <w:kern w:val="0"/>
                <w:sz w:val="20"/>
                <w:szCs w:val="20"/>
              </w:rPr>
              <w:t>》情况技术支持；</w:t>
            </w:r>
          </w:p>
          <w:p w:rsidR="00706F52" w:rsidRDefault="00DE41BA">
            <w:pPr>
              <w:widowControl/>
              <w:adjustRightInd w:val="0"/>
              <w:snapToGrid w:val="0"/>
              <w:jc w:val="left"/>
              <w:rPr>
                <w:rFonts w:ascii="宋体" w:eastAsia="宋体" w:hAnsi="宋体" w:cs="宋体"/>
                <w:kern w:val="0"/>
                <w:sz w:val="20"/>
                <w:szCs w:val="20"/>
                <w:highlight w:val="yellow"/>
              </w:rPr>
            </w:pPr>
            <w:r>
              <w:rPr>
                <w:rFonts w:ascii="宋体" w:eastAsia="宋体" w:hAnsi="宋体" w:cs="宋体" w:hint="eastAsia"/>
                <w:kern w:val="0"/>
                <w:sz w:val="20"/>
                <w:szCs w:val="20"/>
              </w:rPr>
              <w:t>4.</w:t>
            </w:r>
            <w:r>
              <w:rPr>
                <w:rFonts w:ascii="宋体" w:eastAsia="宋体" w:hAnsi="宋体" w:cs="宋体" w:hint="eastAsia"/>
                <w:kern w:val="0"/>
                <w:sz w:val="20"/>
                <w:szCs w:val="20"/>
              </w:rPr>
              <w:t>饮用水与地下水管理政策技术支持。</w:t>
            </w:r>
          </w:p>
        </w:tc>
        <w:tc>
          <w:tcPr>
            <w:tcW w:w="1114" w:type="dxa"/>
            <w:tcBorders>
              <w:top w:val="single" w:sz="4" w:space="0" w:color="auto"/>
              <w:left w:val="nil"/>
              <w:bottom w:val="single" w:sz="4" w:space="0" w:color="auto"/>
              <w:right w:val="single" w:sz="4" w:space="0" w:color="auto"/>
            </w:tcBorders>
            <w:vAlign w:val="center"/>
          </w:tcPr>
          <w:p w:rsidR="00706F52" w:rsidRDefault="00DE41BA">
            <w:pPr>
              <w:widowControl/>
              <w:adjustRightInd w:val="0"/>
              <w:snapToGrid w:val="0"/>
              <w:jc w:val="right"/>
              <w:rPr>
                <w:rFonts w:ascii="宋体" w:eastAsia="宋体" w:hAnsi="宋体" w:cs="宋体"/>
                <w:kern w:val="0"/>
                <w:sz w:val="20"/>
                <w:szCs w:val="20"/>
                <w:highlight w:val="yellow"/>
              </w:rPr>
            </w:pPr>
            <w:r>
              <w:rPr>
                <w:rFonts w:ascii="宋体" w:eastAsia="宋体" w:hAnsi="宋体" w:cs="宋体" w:hint="eastAsia"/>
                <w:kern w:val="0"/>
                <w:sz w:val="20"/>
                <w:szCs w:val="20"/>
              </w:rPr>
              <w:t>193.00</w:t>
            </w:r>
          </w:p>
        </w:tc>
      </w:tr>
      <w:tr w:rsidR="00706F52">
        <w:trPr>
          <w:trHeight w:val="1273"/>
          <w:jc w:val="center"/>
        </w:trPr>
        <w:tc>
          <w:tcPr>
            <w:tcW w:w="588" w:type="dxa"/>
            <w:tcBorders>
              <w:top w:val="nil"/>
              <w:left w:val="single" w:sz="4" w:space="0" w:color="auto"/>
              <w:bottom w:val="single" w:sz="4" w:space="0" w:color="auto"/>
              <w:right w:val="single" w:sz="4" w:space="0" w:color="auto"/>
            </w:tcBorders>
            <w:vAlign w:val="center"/>
          </w:tcPr>
          <w:p w:rsidR="00706F52" w:rsidRDefault="00DE41BA">
            <w:pPr>
              <w:widowControl/>
              <w:adjustRightInd w:val="0"/>
              <w:snapToGrid w:val="0"/>
              <w:jc w:val="center"/>
              <w:rPr>
                <w:rFonts w:ascii="宋体" w:eastAsia="宋体" w:hAnsi="宋体" w:cs="宋体"/>
                <w:kern w:val="0"/>
                <w:sz w:val="20"/>
                <w:szCs w:val="20"/>
              </w:rPr>
            </w:pPr>
            <w:r>
              <w:rPr>
                <w:rFonts w:ascii="宋体" w:eastAsia="宋体" w:hAnsi="宋体" w:cs="宋体" w:hint="eastAsia"/>
                <w:kern w:val="0"/>
                <w:sz w:val="20"/>
                <w:szCs w:val="20"/>
              </w:rPr>
              <w:t>2</w:t>
            </w:r>
          </w:p>
        </w:tc>
        <w:tc>
          <w:tcPr>
            <w:tcW w:w="1719" w:type="dxa"/>
            <w:tcBorders>
              <w:top w:val="nil"/>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劣</w:t>
            </w:r>
            <w:r>
              <w:rPr>
                <w:rFonts w:ascii="宋体" w:eastAsia="宋体" w:hAnsi="宋体" w:cs="宋体" w:hint="eastAsia"/>
                <w:kern w:val="0"/>
                <w:sz w:val="20"/>
                <w:szCs w:val="20"/>
              </w:rPr>
              <w:t>Ⅴ</w:t>
            </w:r>
            <w:r>
              <w:rPr>
                <w:rFonts w:ascii="宋体" w:eastAsia="宋体" w:hAnsi="宋体" w:cs="宋体" w:hint="eastAsia"/>
                <w:kern w:val="0"/>
                <w:sz w:val="20"/>
                <w:szCs w:val="20"/>
              </w:rPr>
              <w:t>类及水生态环境保护重点问题第三方核查</w:t>
            </w:r>
          </w:p>
        </w:tc>
        <w:tc>
          <w:tcPr>
            <w:tcW w:w="2072" w:type="dxa"/>
            <w:tcBorders>
              <w:top w:val="nil"/>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宏</w:t>
            </w:r>
            <w:proofErr w:type="gramStart"/>
            <w:r>
              <w:rPr>
                <w:rFonts w:ascii="宋体" w:eastAsia="宋体" w:hAnsi="宋体" w:cs="宋体" w:hint="eastAsia"/>
                <w:kern w:val="0"/>
                <w:sz w:val="20"/>
                <w:szCs w:val="20"/>
              </w:rPr>
              <w:t>调信息</w:t>
            </w:r>
            <w:proofErr w:type="gramEnd"/>
            <w:r>
              <w:rPr>
                <w:rFonts w:ascii="宋体" w:eastAsia="宋体" w:hAnsi="宋体" w:cs="宋体" w:hint="eastAsia"/>
                <w:kern w:val="0"/>
                <w:sz w:val="20"/>
                <w:szCs w:val="20"/>
              </w:rPr>
              <w:t>咨询（北京）有限公司</w:t>
            </w:r>
          </w:p>
        </w:tc>
        <w:tc>
          <w:tcPr>
            <w:tcW w:w="3562" w:type="dxa"/>
            <w:tcBorders>
              <w:top w:val="nil"/>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highlight w:val="yellow"/>
              </w:rPr>
            </w:pPr>
            <w:r>
              <w:rPr>
                <w:rFonts w:ascii="宋体" w:eastAsia="宋体" w:hAnsi="宋体" w:cs="宋体" w:hint="eastAsia"/>
                <w:kern w:val="0"/>
                <w:sz w:val="20"/>
                <w:szCs w:val="20"/>
              </w:rPr>
              <w:t>开展对饮用水水源保护情况、农村污水处理设施运行情况、入河排污口监管情况、劣</w:t>
            </w:r>
            <w:r>
              <w:rPr>
                <w:rFonts w:ascii="宋体" w:eastAsia="宋体" w:hAnsi="宋体" w:cs="宋体" w:hint="eastAsia"/>
                <w:kern w:val="0"/>
                <w:sz w:val="20"/>
                <w:szCs w:val="20"/>
              </w:rPr>
              <w:t>Ⅴ</w:t>
            </w:r>
            <w:r>
              <w:rPr>
                <w:rFonts w:ascii="宋体" w:eastAsia="宋体" w:hAnsi="宋体" w:cs="宋体" w:hint="eastAsia"/>
                <w:kern w:val="0"/>
                <w:sz w:val="20"/>
                <w:szCs w:val="20"/>
              </w:rPr>
              <w:t>类及黑臭水体消除情况的现场核查。</w:t>
            </w:r>
          </w:p>
        </w:tc>
        <w:tc>
          <w:tcPr>
            <w:tcW w:w="1114" w:type="dxa"/>
            <w:tcBorders>
              <w:top w:val="nil"/>
              <w:left w:val="nil"/>
              <w:bottom w:val="single" w:sz="4" w:space="0" w:color="auto"/>
              <w:right w:val="single" w:sz="4" w:space="0" w:color="auto"/>
            </w:tcBorders>
            <w:vAlign w:val="center"/>
          </w:tcPr>
          <w:p w:rsidR="00706F52" w:rsidRDefault="00DE41BA">
            <w:pPr>
              <w:widowControl/>
              <w:adjustRightInd w:val="0"/>
              <w:snapToGrid w:val="0"/>
              <w:jc w:val="right"/>
              <w:rPr>
                <w:rFonts w:ascii="宋体" w:eastAsia="宋体" w:hAnsi="宋体" w:cs="宋体"/>
                <w:kern w:val="0"/>
                <w:sz w:val="20"/>
                <w:szCs w:val="20"/>
              </w:rPr>
            </w:pPr>
            <w:r>
              <w:rPr>
                <w:rFonts w:ascii="宋体" w:eastAsia="宋体" w:hAnsi="宋体" w:cs="宋体" w:hint="eastAsia"/>
                <w:kern w:val="0"/>
                <w:sz w:val="20"/>
                <w:szCs w:val="20"/>
              </w:rPr>
              <w:t>103.10</w:t>
            </w:r>
          </w:p>
        </w:tc>
      </w:tr>
      <w:tr w:rsidR="00706F52">
        <w:trPr>
          <w:trHeight w:val="1415"/>
          <w:jc w:val="center"/>
        </w:trPr>
        <w:tc>
          <w:tcPr>
            <w:tcW w:w="588" w:type="dxa"/>
            <w:tcBorders>
              <w:top w:val="nil"/>
              <w:left w:val="single" w:sz="4" w:space="0" w:color="auto"/>
              <w:bottom w:val="single" w:sz="4" w:space="0" w:color="auto"/>
              <w:right w:val="single" w:sz="4" w:space="0" w:color="auto"/>
            </w:tcBorders>
            <w:vAlign w:val="center"/>
          </w:tcPr>
          <w:p w:rsidR="00706F52" w:rsidRDefault="00DE41BA">
            <w:pPr>
              <w:widowControl/>
              <w:adjustRightInd w:val="0"/>
              <w:snapToGrid w:val="0"/>
              <w:jc w:val="center"/>
              <w:rPr>
                <w:rFonts w:ascii="宋体" w:eastAsia="宋体" w:hAnsi="宋体" w:cs="宋体"/>
                <w:kern w:val="0"/>
                <w:sz w:val="20"/>
                <w:szCs w:val="20"/>
              </w:rPr>
            </w:pPr>
            <w:r>
              <w:rPr>
                <w:rFonts w:ascii="宋体" w:eastAsia="宋体" w:hAnsi="宋体" w:cs="宋体" w:hint="eastAsia"/>
                <w:kern w:val="0"/>
                <w:sz w:val="20"/>
                <w:szCs w:val="20"/>
              </w:rPr>
              <w:t>3</w:t>
            </w:r>
          </w:p>
        </w:tc>
        <w:tc>
          <w:tcPr>
            <w:tcW w:w="1719" w:type="dxa"/>
            <w:tcBorders>
              <w:top w:val="nil"/>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北京市重点水体水功能区优化提升技术支撑</w:t>
            </w:r>
          </w:p>
        </w:tc>
        <w:tc>
          <w:tcPr>
            <w:tcW w:w="2072" w:type="dxa"/>
            <w:tcBorders>
              <w:top w:val="nil"/>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rPr>
            </w:pPr>
            <w:r>
              <w:rPr>
                <w:rFonts w:ascii="宋体" w:eastAsia="宋体" w:hAnsi="宋体" w:cs="宋体" w:hint="eastAsia"/>
                <w:kern w:val="0"/>
                <w:sz w:val="20"/>
                <w:szCs w:val="20"/>
              </w:rPr>
              <w:t>北京大学、北京化工大学、中国科学院生态环境研究中心</w:t>
            </w:r>
          </w:p>
        </w:tc>
        <w:tc>
          <w:tcPr>
            <w:tcW w:w="3562" w:type="dxa"/>
            <w:tcBorders>
              <w:top w:val="nil"/>
              <w:left w:val="nil"/>
              <w:bottom w:val="single" w:sz="4" w:space="0" w:color="auto"/>
              <w:right w:val="single" w:sz="4" w:space="0" w:color="auto"/>
            </w:tcBorders>
            <w:vAlign w:val="center"/>
          </w:tcPr>
          <w:p w:rsidR="00706F52" w:rsidRDefault="00DE41BA">
            <w:pPr>
              <w:widowControl/>
              <w:adjustRightInd w:val="0"/>
              <w:snapToGrid w:val="0"/>
              <w:jc w:val="left"/>
              <w:rPr>
                <w:rFonts w:ascii="宋体" w:eastAsia="宋体" w:hAnsi="宋体" w:cs="宋体"/>
                <w:kern w:val="0"/>
                <w:sz w:val="20"/>
                <w:szCs w:val="20"/>
                <w:highlight w:val="yellow"/>
              </w:rPr>
            </w:pPr>
            <w:r>
              <w:rPr>
                <w:rFonts w:ascii="宋体" w:eastAsia="宋体" w:hAnsi="宋体" w:cs="宋体" w:hint="eastAsia"/>
                <w:kern w:val="0"/>
                <w:sz w:val="20"/>
                <w:szCs w:val="20"/>
              </w:rPr>
              <w:t>对北京市重点水体水功能区“三水”开展总体评估，对水功能区水生态优化提升技术研究，并</w:t>
            </w:r>
            <w:proofErr w:type="gramStart"/>
            <w:r>
              <w:rPr>
                <w:rFonts w:ascii="宋体" w:eastAsia="宋体" w:hAnsi="宋体" w:cs="宋体" w:hint="eastAsia"/>
                <w:kern w:val="0"/>
                <w:sz w:val="20"/>
                <w:szCs w:val="20"/>
              </w:rPr>
              <w:t>探索水</w:t>
            </w:r>
            <w:proofErr w:type="gramEnd"/>
            <w:r>
              <w:rPr>
                <w:rFonts w:ascii="宋体" w:eastAsia="宋体" w:hAnsi="宋体" w:cs="宋体" w:hint="eastAsia"/>
                <w:kern w:val="0"/>
                <w:sz w:val="20"/>
                <w:szCs w:val="20"/>
              </w:rPr>
              <w:t>生态功能分区生态功能拓展应用。</w:t>
            </w:r>
          </w:p>
        </w:tc>
        <w:tc>
          <w:tcPr>
            <w:tcW w:w="1114" w:type="dxa"/>
            <w:tcBorders>
              <w:top w:val="nil"/>
              <w:left w:val="nil"/>
              <w:bottom w:val="single" w:sz="4" w:space="0" w:color="auto"/>
              <w:right w:val="single" w:sz="4" w:space="0" w:color="auto"/>
            </w:tcBorders>
            <w:vAlign w:val="center"/>
          </w:tcPr>
          <w:p w:rsidR="00706F52" w:rsidRDefault="00DE41BA">
            <w:pPr>
              <w:widowControl/>
              <w:adjustRightInd w:val="0"/>
              <w:snapToGrid w:val="0"/>
              <w:jc w:val="right"/>
              <w:rPr>
                <w:rFonts w:ascii="宋体" w:eastAsia="宋体" w:hAnsi="宋体" w:cs="宋体"/>
                <w:kern w:val="0"/>
                <w:sz w:val="20"/>
                <w:szCs w:val="20"/>
                <w:highlight w:val="yellow"/>
              </w:rPr>
            </w:pPr>
            <w:r>
              <w:rPr>
                <w:rFonts w:ascii="宋体" w:eastAsia="宋体" w:hAnsi="宋体" w:cs="宋体" w:hint="eastAsia"/>
                <w:kern w:val="0"/>
                <w:sz w:val="20"/>
                <w:szCs w:val="20"/>
              </w:rPr>
              <w:t>167.50</w:t>
            </w:r>
          </w:p>
        </w:tc>
      </w:tr>
    </w:tbl>
    <w:p w:rsidR="00706F52" w:rsidRDefault="00706F52">
      <w:pPr>
        <w:pStyle w:val="my"/>
        <w:suppressAutoHyphens/>
        <w:wordWrap/>
        <w:adjustRightInd w:val="0"/>
        <w:snapToGrid w:val="0"/>
        <w:ind w:firstLine="643"/>
        <w:rPr>
          <w:b/>
          <w:sz w:val="32"/>
          <w:szCs w:val="28"/>
        </w:rPr>
      </w:pPr>
    </w:p>
    <w:p w:rsidR="00706F52" w:rsidRDefault="00DE41BA">
      <w:pPr>
        <w:pStyle w:val="my"/>
        <w:suppressAutoHyphens/>
        <w:wordWrap/>
        <w:adjustRightInd w:val="0"/>
        <w:snapToGrid w:val="0"/>
        <w:ind w:firstLine="643"/>
        <w:rPr>
          <w:sz w:val="32"/>
          <w:highlight w:val="yellow"/>
          <w:shd w:val="clear" w:color="auto" w:fill="FFFFFF"/>
        </w:rPr>
      </w:pPr>
      <w:r>
        <w:rPr>
          <w:rFonts w:hint="eastAsia"/>
          <w:b/>
          <w:sz w:val="32"/>
          <w:szCs w:val="28"/>
        </w:rPr>
        <w:t>保障条件落实情况方面</w:t>
      </w:r>
      <w:r>
        <w:rPr>
          <w:rFonts w:hint="eastAsia"/>
          <w:bCs/>
          <w:sz w:val="32"/>
          <w:szCs w:val="28"/>
        </w:rPr>
        <w:t>：</w:t>
      </w:r>
      <w:r>
        <w:rPr>
          <w:rFonts w:hint="eastAsia"/>
          <w:sz w:val="32"/>
          <w:shd w:val="clear" w:color="auto" w:fill="FFFFFF"/>
        </w:rPr>
        <w:t>为确保项目的顺利实施，</w:t>
      </w:r>
      <w:r>
        <w:rPr>
          <w:rFonts w:hAnsi="微软雅黑" w:cs="宋体" w:hint="eastAsia"/>
          <w:kern w:val="0"/>
          <w:sz w:val="32"/>
          <w:szCs w:val="32"/>
        </w:rPr>
        <w:t>水生态环境处</w:t>
      </w:r>
      <w:r>
        <w:rPr>
          <w:rFonts w:hint="eastAsia"/>
          <w:sz w:val="32"/>
          <w:shd w:val="clear" w:color="auto" w:fill="FFFFFF"/>
        </w:rPr>
        <w:t>成立了工作小组，处长负责统筹，主管副处长负责技术需求工作，相关工作人员负责具体工作落实。</w:t>
      </w:r>
    </w:p>
    <w:p w:rsidR="00706F52" w:rsidRDefault="00DE41BA">
      <w:pPr>
        <w:pStyle w:val="my"/>
        <w:suppressAutoHyphens/>
        <w:wordWrap/>
        <w:adjustRightInd w:val="0"/>
        <w:snapToGrid w:val="0"/>
        <w:ind w:firstLine="643"/>
        <w:rPr>
          <w:sz w:val="32"/>
          <w:highlight w:val="yellow"/>
          <w:shd w:val="clear" w:color="auto" w:fill="FFFFFF"/>
        </w:rPr>
      </w:pPr>
      <w:r>
        <w:rPr>
          <w:rFonts w:hint="eastAsia"/>
          <w:b/>
          <w:bCs/>
          <w:sz w:val="32"/>
          <w:shd w:val="clear" w:color="auto" w:fill="FFFFFF"/>
        </w:rPr>
        <w:t>项目过程</w:t>
      </w:r>
      <w:proofErr w:type="gramStart"/>
      <w:r>
        <w:rPr>
          <w:rFonts w:hint="eastAsia"/>
          <w:b/>
          <w:bCs/>
          <w:sz w:val="32"/>
          <w:shd w:val="clear" w:color="auto" w:fill="FFFFFF"/>
        </w:rPr>
        <w:t>管控及验收</w:t>
      </w:r>
      <w:proofErr w:type="gramEnd"/>
      <w:r>
        <w:rPr>
          <w:rFonts w:hint="eastAsia"/>
          <w:b/>
          <w:bCs/>
          <w:sz w:val="32"/>
          <w:shd w:val="clear" w:color="auto" w:fill="FFFFFF"/>
        </w:rPr>
        <w:t>方面</w:t>
      </w:r>
      <w:r>
        <w:rPr>
          <w:rFonts w:hint="eastAsia"/>
          <w:sz w:val="32"/>
          <w:shd w:val="clear" w:color="auto" w:fill="FFFFFF"/>
        </w:rPr>
        <w:t>：在项目实施过程中，</w:t>
      </w:r>
      <w:r>
        <w:rPr>
          <w:rFonts w:hAnsi="微软雅黑" w:cs="宋体" w:hint="eastAsia"/>
          <w:kern w:val="0"/>
          <w:sz w:val="32"/>
          <w:szCs w:val="32"/>
        </w:rPr>
        <w:t>水生态环境</w:t>
      </w:r>
      <w:r>
        <w:rPr>
          <w:rFonts w:hAnsi="微软雅黑" w:cs="宋体" w:hint="eastAsia"/>
          <w:kern w:val="0"/>
          <w:sz w:val="32"/>
          <w:szCs w:val="32"/>
        </w:rPr>
        <w:lastRenderedPageBreak/>
        <w:t>处</w:t>
      </w:r>
      <w:r>
        <w:rPr>
          <w:rFonts w:hint="eastAsia"/>
          <w:sz w:val="32"/>
          <w:shd w:val="clear" w:color="auto" w:fill="FFFFFF"/>
        </w:rPr>
        <w:t>与项目承接单位建立沟通机制，相关工作人员不定期与承接单位对接。项目成果形成后，通过</w:t>
      </w:r>
      <w:proofErr w:type="gramStart"/>
      <w:r>
        <w:rPr>
          <w:rFonts w:hint="eastAsia"/>
          <w:sz w:val="32"/>
          <w:shd w:val="clear" w:color="auto" w:fill="FFFFFF"/>
        </w:rPr>
        <w:t>采取结项验收</w:t>
      </w:r>
      <w:proofErr w:type="gramEnd"/>
      <w:r>
        <w:rPr>
          <w:rFonts w:hint="eastAsia"/>
          <w:sz w:val="32"/>
          <w:shd w:val="clear" w:color="auto" w:fill="FFFFFF"/>
        </w:rPr>
        <w:t>的方式对项目进行内部检查验收。</w:t>
      </w:r>
    </w:p>
    <w:p w:rsidR="00706F52" w:rsidRDefault="00DE41BA">
      <w:pPr>
        <w:pStyle w:val="2"/>
        <w:adjustRightInd w:val="0"/>
        <w:snapToGrid w:val="0"/>
        <w:spacing w:after="0" w:line="360" w:lineRule="auto"/>
        <w:ind w:leftChars="0" w:left="0" w:firstLine="640"/>
        <w:rPr>
          <w:rFonts w:ascii="仿宋_GB2312" w:hAnsi="仿宋_GB2312" w:cs="仿宋_GB2312"/>
          <w:sz w:val="32"/>
          <w:szCs w:val="32"/>
          <w:highlight w:val="yellow"/>
        </w:rPr>
      </w:pPr>
      <w:r>
        <w:rPr>
          <w:rFonts w:hint="eastAsia"/>
          <w:sz w:val="32"/>
          <w:szCs w:val="32"/>
        </w:rPr>
        <w:t>总体上，项目组织机构基本健全，责任</w:t>
      </w:r>
      <w:proofErr w:type="gramStart"/>
      <w:r>
        <w:rPr>
          <w:rFonts w:hint="eastAsia"/>
          <w:sz w:val="32"/>
          <w:szCs w:val="32"/>
        </w:rPr>
        <w:t>分工较</w:t>
      </w:r>
      <w:proofErr w:type="gramEnd"/>
      <w:r>
        <w:rPr>
          <w:rFonts w:hint="eastAsia"/>
          <w:sz w:val="32"/>
          <w:szCs w:val="32"/>
        </w:rPr>
        <w:t>明确，项目采购等工作能够按照相关制度和要求执行，但</w:t>
      </w:r>
      <w:bookmarkStart w:id="60" w:name="_GoBack"/>
      <w:bookmarkEnd w:id="60"/>
      <w:r>
        <w:rPr>
          <w:rFonts w:hint="eastAsia"/>
          <w:sz w:val="32"/>
          <w:shd w:val="clear" w:color="auto" w:fill="FFFFFF"/>
        </w:rPr>
        <w:t>项目验收</w:t>
      </w:r>
      <w:r>
        <w:rPr>
          <w:rFonts w:ascii="仿宋_GB2312" w:hAnsi="仿宋_GB2312" w:cs="仿宋_GB2312" w:hint="eastAsia"/>
          <w:sz w:val="32"/>
          <w:szCs w:val="32"/>
        </w:rPr>
        <w:t>评价还需进一步深化</w:t>
      </w:r>
      <w:r>
        <w:rPr>
          <w:rFonts w:hint="eastAsia"/>
          <w:sz w:val="32"/>
          <w:shd w:val="clear" w:color="auto" w:fill="FFFFFF"/>
        </w:rPr>
        <w:t>，</w:t>
      </w:r>
      <w:r>
        <w:rPr>
          <w:rFonts w:hint="eastAsia"/>
          <w:sz w:val="32"/>
          <w:szCs w:val="32"/>
        </w:rPr>
        <w:t>需加强对购买服务承接方的履约</w:t>
      </w:r>
      <w:r>
        <w:rPr>
          <w:rFonts w:hint="eastAsia"/>
          <w:sz w:val="32"/>
          <w:szCs w:val="32"/>
        </w:rPr>
        <w:t>质量</w:t>
      </w:r>
      <w:r>
        <w:rPr>
          <w:rFonts w:hint="eastAsia"/>
          <w:sz w:val="32"/>
          <w:szCs w:val="32"/>
        </w:rPr>
        <w:t>监管</w:t>
      </w:r>
      <w:r>
        <w:rPr>
          <w:rFonts w:hint="eastAsia"/>
          <w:sz w:val="32"/>
          <w:shd w:val="clear" w:color="auto" w:fill="FFFFFF"/>
        </w:rPr>
        <w:t>。</w:t>
      </w:r>
    </w:p>
    <w:p w:rsidR="00706F52" w:rsidRDefault="00DE41BA">
      <w:pPr>
        <w:autoSpaceDE w:val="0"/>
        <w:autoSpaceDN w:val="0"/>
        <w:adjustRightInd w:val="0"/>
        <w:snapToGrid w:val="0"/>
        <w:spacing w:line="360" w:lineRule="auto"/>
        <w:ind w:firstLineChars="200" w:firstLine="640"/>
        <w:outlineLvl w:val="1"/>
        <w:rPr>
          <w:rFonts w:ascii="楷体_GB2312" w:eastAsia="楷体_GB2312" w:hAnsi="宋体" w:cs="宋体"/>
          <w:color w:val="000000"/>
          <w:kern w:val="0"/>
          <w:sz w:val="32"/>
          <w:szCs w:val="32"/>
        </w:rPr>
      </w:pPr>
      <w:bookmarkStart w:id="61" w:name="_Toc6431"/>
      <w:bookmarkStart w:id="62" w:name="_Toc35588417"/>
      <w:bookmarkStart w:id="63" w:name="_Toc11222"/>
      <w:bookmarkStart w:id="64" w:name="_Toc280"/>
      <w:r>
        <w:rPr>
          <w:rFonts w:ascii="楷体_GB2312" w:eastAsia="楷体_GB2312" w:hAnsi="宋体" w:cs="宋体" w:hint="eastAsia"/>
          <w:color w:val="000000"/>
          <w:kern w:val="0"/>
          <w:sz w:val="32"/>
          <w:szCs w:val="32"/>
        </w:rPr>
        <w:t>（三）项目产出情况</w:t>
      </w:r>
      <w:bookmarkEnd w:id="61"/>
      <w:bookmarkEnd w:id="62"/>
      <w:bookmarkEnd w:id="63"/>
      <w:bookmarkEnd w:id="64"/>
    </w:p>
    <w:p w:rsidR="00706F52" w:rsidRDefault="00DE41BA">
      <w:pPr>
        <w:adjustRightInd w:val="0"/>
        <w:snapToGrid w:val="0"/>
        <w:spacing w:line="360" w:lineRule="auto"/>
        <w:ind w:firstLineChars="200" w:firstLine="640"/>
        <w:outlineLvl w:val="2"/>
        <w:rPr>
          <w:rFonts w:ascii="仿宋_GB2312"/>
          <w:sz w:val="32"/>
          <w:szCs w:val="32"/>
        </w:rPr>
      </w:pPr>
      <w:bookmarkStart w:id="65" w:name="_Toc35588418"/>
      <w:r>
        <w:rPr>
          <w:rFonts w:ascii="仿宋_GB2312" w:hint="eastAsia"/>
          <w:sz w:val="32"/>
          <w:szCs w:val="32"/>
        </w:rPr>
        <w:t>1.</w:t>
      </w:r>
      <w:r>
        <w:rPr>
          <w:rFonts w:ascii="仿宋_GB2312" w:hint="eastAsia"/>
          <w:sz w:val="32"/>
          <w:szCs w:val="32"/>
        </w:rPr>
        <w:t>产出数量</w:t>
      </w:r>
      <w:bookmarkEnd w:id="65"/>
      <w:r>
        <w:rPr>
          <w:rFonts w:ascii="仿宋_GB2312" w:hint="eastAsia"/>
          <w:sz w:val="32"/>
          <w:szCs w:val="32"/>
        </w:rPr>
        <w:t>及产出时效</w:t>
      </w:r>
    </w:p>
    <w:p w:rsidR="00706F52" w:rsidRDefault="00DE41BA">
      <w:pPr>
        <w:adjustRightInd w:val="0"/>
        <w:snapToGrid w:val="0"/>
        <w:spacing w:line="360" w:lineRule="auto"/>
        <w:ind w:firstLineChars="200" w:firstLine="640"/>
        <w:rPr>
          <w:rFonts w:ascii="仿宋_GB2312"/>
          <w:sz w:val="32"/>
          <w:szCs w:val="32"/>
        </w:rPr>
      </w:pPr>
      <w:r>
        <w:rPr>
          <w:rFonts w:ascii="仿宋_GB2312" w:hAnsi="宋体" w:hint="eastAsia"/>
          <w:iCs/>
          <w:sz w:val="32"/>
          <w:szCs w:val="28"/>
        </w:rPr>
        <w:t>项目跨年实施，</w:t>
      </w:r>
      <w:r>
        <w:rPr>
          <w:rFonts w:ascii="仿宋_GB2312" w:hAnsi="宋体" w:hint="eastAsia"/>
          <w:iCs/>
          <w:sz w:val="32"/>
          <w:szCs w:val="28"/>
        </w:rPr>
        <w:t>截至</w:t>
      </w:r>
      <w:r>
        <w:rPr>
          <w:rFonts w:ascii="仿宋_GB2312" w:hAnsi="宋体" w:hint="eastAsia"/>
          <w:iCs/>
          <w:sz w:val="32"/>
          <w:szCs w:val="28"/>
        </w:rPr>
        <w:t>2023</w:t>
      </w:r>
      <w:r>
        <w:rPr>
          <w:rFonts w:ascii="仿宋_GB2312" w:hAnsi="宋体" w:hint="eastAsia"/>
          <w:iCs/>
          <w:sz w:val="32"/>
          <w:szCs w:val="28"/>
        </w:rPr>
        <w:t>年</w:t>
      </w:r>
      <w:r>
        <w:rPr>
          <w:rFonts w:ascii="仿宋_GB2312" w:hAnsi="宋体" w:hint="eastAsia"/>
          <w:iCs/>
          <w:sz w:val="32"/>
          <w:szCs w:val="28"/>
        </w:rPr>
        <w:t>12</w:t>
      </w:r>
      <w:r>
        <w:rPr>
          <w:rFonts w:ascii="仿宋_GB2312" w:hAnsi="宋体" w:hint="eastAsia"/>
          <w:iCs/>
          <w:sz w:val="32"/>
          <w:szCs w:val="28"/>
        </w:rPr>
        <w:t>月</w:t>
      </w:r>
      <w:r>
        <w:rPr>
          <w:rFonts w:ascii="仿宋_GB2312" w:hAnsi="宋体" w:hint="eastAsia"/>
          <w:iCs/>
          <w:sz w:val="32"/>
          <w:szCs w:val="28"/>
        </w:rPr>
        <w:t>31</w:t>
      </w:r>
      <w:r>
        <w:rPr>
          <w:rFonts w:ascii="仿宋_GB2312" w:hAnsi="宋体" w:hint="eastAsia"/>
          <w:iCs/>
          <w:sz w:val="32"/>
          <w:szCs w:val="28"/>
        </w:rPr>
        <w:t>日，尚未完成项目工作内容。但根据项目合同，</w:t>
      </w:r>
      <w:r>
        <w:rPr>
          <w:rFonts w:ascii="仿宋_GB2312"/>
          <w:sz w:val="32"/>
          <w:szCs w:val="32"/>
        </w:rPr>
        <w:t>饮用水水源地环境管理技术支撑</w:t>
      </w:r>
      <w:r>
        <w:rPr>
          <w:rFonts w:ascii="仿宋_GB2312" w:hint="eastAsia"/>
          <w:sz w:val="32"/>
          <w:szCs w:val="32"/>
        </w:rPr>
        <w:t>、劣</w:t>
      </w:r>
      <w:r>
        <w:rPr>
          <w:rFonts w:ascii="仿宋_GB2312" w:hint="eastAsia"/>
          <w:sz w:val="32"/>
          <w:szCs w:val="32"/>
        </w:rPr>
        <w:t>Ⅴ</w:t>
      </w:r>
      <w:r>
        <w:rPr>
          <w:rFonts w:ascii="仿宋_GB2312" w:hint="eastAsia"/>
          <w:sz w:val="32"/>
          <w:szCs w:val="32"/>
        </w:rPr>
        <w:t>类及水生态环境保护工作第三方核查、北京市水功能区划调整技术支撑等三个子项内容</w:t>
      </w:r>
      <w:r>
        <w:rPr>
          <w:rFonts w:ascii="仿宋_GB2312" w:hint="eastAsia"/>
          <w:sz w:val="32"/>
          <w:szCs w:val="32"/>
        </w:rPr>
        <w:t>，</w:t>
      </w:r>
      <w:r>
        <w:rPr>
          <w:rFonts w:ascii="仿宋_GB2312" w:hint="eastAsia"/>
          <w:sz w:val="32"/>
          <w:szCs w:val="32"/>
        </w:rPr>
        <w:t>均</w:t>
      </w:r>
      <w:r>
        <w:rPr>
          <w:rFonts w:ascii="仿宋_GB2312" w:hint="eastAsia"/>
          <w:sz w:val="32"/>
          <w:szCs w:val="32"/>
        </w:rPr>
        <w:t>在合同约定时间</w:t>
      </w:r>
      <w:r>
        <w:rPr>
          <w:rFonts w:ascii="仿宋_GB2312" w:hint="eastAsia"/>
          <w:sz w:val="32"/>
          <w:szCs w:val="32"/>
        </w:rPr>
        <w:t>2024</w:t>
      </w:r>
      <w:r>
        <w:rPr>
          <w:rFonts w:ascii="仿宋_GB2312" w:hint="eastAsia"/>
          <w:sz w:val="32"/>
          <w:szCs w:val="32"/>
        </w:rPr>
        <w:t>年</w:t>
      </w:r>
      <w:r>
        <w:rPr>
          <w:rFonts w:ascii="仿宋_GB2312" w:hint="eastAsia"/>
          <w:sz w:val="32"/>
          <w:szCs w:val="32"/>
        </w:rPr>
        <w:t>3</w:t>
      </w:r>
      <w:r>
        <w:rPr>
          <w:rFonts w:ascii="仿宋_GB2312" w:hint="eastAsia"/>
          <w:sz w:val="32"/>
          <w:szCs w:val="32"/>
        </w:rPr>
        <w:t>月</w:t>
      </w:r>
      <w:r>
        <w:rPr>
          <w:rFonts w:ascii="仿宋_GB2312" w:hint="eastAsia"/>
          <w:sz w:val="32"/>
          <w:szCs w:val="32"/>
        </w:rPr>
        <w:t>31</w:t>
      </w:r>
      <w:r>
        <w:rPr>
          <w:rFonts w:ascii="仿宋_GB2312" w:hint="eastAsia"/>
          <w:sz w:val="32"/>
          <w:szCs w:val="32"/>
        </w:rPr>
        <w:t>日前</w:t>
      </w:r>
      <w:r>
        <w:rPr>
          <w:rFonts w:ascii="仿宋_GB2312" w:hint="eastAsia"/>
          <w:sz w:val="32"/>
          <w:szCs w:val="32"/>
        </w:rPr>
        <w:t>形成了成果报告，实现了预期的产出目标。</w:t>
      </w:r>
    </w:p>
    <w:p w:rsidR="00706F52" w:rsidRDefault="00DE41BA">
      <w:pPr>
        <w:autoSpaceDE w:val="0"/>
        <w:autoSpaceDN w:val="0"/>
        <w:adjustRightInd w:val="0"/>
        <w:snapToGrid w:val="0"/>
        <w:spacing w:line="360" w:lineRule="auto"/>
        <w:ind w:firstLineChars="200" w:firstLine="640"/>
        <w:rPr>
          <w:rFonts w:ascii="仿宋_GB2312" w:hAnsi="仿宋_GB2312" w:cs="仿宋_GB2312"/>
          <w:kern w:val="0"/>
          <w:sz w:val="32"/>
          <w:szCs w:val="32"/>
        </w:rPr>
      </w:pPr>
      <w:r>
        <w:rPr>
          <w:rFonts w:ascii="仿宋_GB2312" w:hAnsi="仿宋_GB2312" w:cs="仿宋_GB2312" w:hint="eastAsia"/>
          <w:kern w:val="0"/>
          <w:sz w:val="32"/>
          <w:szCs w:val="32"/>
        </w:rPr>
        <w:t>（</w:t>
      </w:r>
      <w:r>
        <w:rPr>
          <w:rFonts w:ascii="仿宋_GB2312" w:hAnsi="仿宋_GB2312" w:cs="仿宋_GB2312" w:hint="eastAsia"/>
          <w:kern w:val="0"/>
          <w:sz w:val="32"/>
          <w:szCs w:val="32"/>
        </w:rPr>
        <w:t>1</w:t>
      </w:r>
      <w:r>
        <w:rPr>
          <w:rFonts w:ascii="仿宋_GB2312" w:hAnsi="仿宋_GB2312" w:cs="仿宋_GB2312" w:hint="eastAsia"/>
          <w:kern w:val="0"/>
          <w:sz w:val="32"/>
          <w:szCs w:val="32"/>
        </w:rPr>
        <w:t>）</w:t>
      </w:r>
      <w:r>
        <w:rPr>
          <w:rFonts w:ascii="仿宋_GB2312"/>
          <w:sz w:val="32"/>
          <w:szCs w:val="32"/>
        </w:rPr>
        <w:t>饮用水水源地环境管理技术支撑</w:t>
      </w:r>
      <w:r>
        <w:rPr>
          <w:rFonts w:ascii="仿宋_GB2312" w:hAnsi="仿宋_GB2312" w:cs="仿宋_GB2312" w:hint="eastAsia"/>
          <w:kern w:val="0"/>
          <w:sz w:val="32"/>
          <w:szCs w:val="32"/>
        </w:rPr>
        <w:t>：一是</w:t>
      </w:r>
      <w:r>
        <w:rPr>
          <w:rFonts w:ascii="仿宋_GB2312" w:hAnsi="宋体" w:cs="仿宋_GB2312" w:hint="eastAsia"/>
          <w:color w:val="000000"/>
          <w:kern w:val="0"/>
          <w:sz w:val="32"/>
          <w:szCs w:val="32"/>
          <w:lang w:bidi="ar"/>
        </w:rPr>
        <w:t>组织开展了</w:t>
      </w:r>
      <w:r>
        <w:rPr>
          <w:rFonts w:ascii="仿宋_GB2312" w:hAnsi="仿宋_GB2312" w:cs="仿宋_GB2312" w:hint="eastAsia"/>
          <w:kern w:val="0"/>
          <w:sz w:val="32"/>
          <w:szCs w:val="32"/>
        </w:rPr>
        <w:t>17</w:t>
      </w:r>
      <w:r>
        <w:rPr>
          <w:rFonts w:ascii="仿宋_GB2312" w:hAnsi="仿宋_GB2312" w:cs="仿宋_GB2312" w:hint="eastAsia"/>
          <w:kern w:val="0"/>
          <w:sz w:val="32"/>
          <w:szCs w:val="32"/>
        </w:rPr>
        <w:t>个市级集中式饮用水水源地</w:t>
      </w:r>
      <w:r>
        <w:rPr>
          <w:rFonts w:ascii="仿宋_GB2312" w:hAnsi="宋体" w:cs="仿宋_GB2312" w:hint="eastAsia"/>
          <w:color w:val="000000"/>
          <w:kern w:val="0"/>
          <w:sz w:val="32"/>
          <w:szCs w:val="32"/>
          <w:lang w:bidi="ar"/>
        </w:rPr>
        <w:t>环境状况调查评估工作，具体包括</w:t>
      </w:r>
      <w:r>
        <w:rPr>
          <w:rFonts w:ascii="仿宋_GB2312" w:hAnsi="仿宋_GB2312" w:cs="仿宋_GB2312" w:hint="eastAsia"/>
          <w:kern w:val="0"/>
          <w:sz w:val="32"/>
          <w:szCs w:val="32"/>
        </w:rPr>
        <w:t>7</w:t>
      </w:r>
      <w:r>
        <w:rPr>
          <w:rFonts w:ascii="仿宋_GB2312" w:hAnsi="仿宋_GB2312" w:cs="仿宋_GB2312" w:hint="eastAsia"/>
          <w:kern w:val="0"/>
          <w:sz w:val="32"/>
          <w:szCs w:val="32"/>
        </w:rPr>
        <w:t>个市级地下水水源地（第一水厂、第二水厂、第三水厂、第四水厂、第五水厂、第七水厂和第八水厂水源地）、</w:t>
      </w:r>
      <w:r>
        <w:rPr>
          <w:rFonts w:ascii="仿宋_GB2312" w:hAnsi="仿宋_GB2312" w:cs="仿宋_GB2312" w:hint="eastAsia"/>
          <w:kern w:val="0"/>
          <w:sz w:val="32"/>
          <w:szCs w:val="32"/>
        </w:rPr>
        <w:t>7</w:t>
      </w:r>
      <w:r>
        <w:rPr>
          <w:rFonts w:ascii="仿宋_GB2312" w:hAnsi="仿宋_GB2312" w:cs="仿宋_GB2312" w:hint="eastAsia"/>
          <w:kern w:val="0"/>
          <w:sz w:val="32"/>
          <w:szCs w:val="32"/>
        </w:rPr>
        <w:t>个地表水水源地（密云水库、怀柔水库、官厅水库、永定河山峡段、大宁水库、团城湖和京密引水渠）以及</w:t>
      </w:r>
      <w:r>
        <w:rPr>
          <w:rFonts w:ascii="仿宋_GB2312" w:hAnsi="仿宋_GB2312" w:cs="仿宋_GB2312" w:hint="eastAsia"/>
          <w:kern w:val="0"/>
          <w:sz w:val="32"/>
          <w:szCs w:val="32"/>
        </w:rPr>
        <w:t>3</w:t>
      </w:r>
      <w:r>
        <w:rPr>
          <w:rFonts w:ascii="仿宋_GB2312" w:hAnsi="仿宋_GB2312" w:cs="仿宋_GB2312" w:hint="eastAsia"/>
          <w:kern w:val="0"/>
          <w:sz w:val="32"/>
          <w:szCs w:val="32"/>
        </w:rPr>
        <w:t>个市级应急水源地（平谷应急水源地、怀柔应急水源地和潮白河应急水源地），</w:t>
      </w:r>
      <w:r>
        <w:rPr>
          <w:rFonts w:ascii="仿宋_GB2312" w:hAnsi="宋体" w:cs="仿宋_GB2312" w:hint="eastAsia"/>
          <w:color w:val="000000"/>
          <w:kern w:val="0"/>
          <w:sz w:val="32"/>
          <w:szCs w:val="32"/>
          <w:lang w:bidi="ar"/>
        </w:rPr>
        <w:t>动态掌握饮用水水</w:t>
      </w:r>
      <w:r>
        <w:rPr>
          <w:rFonts w:ascii="仿宋_GB2312" w:hAnsi="宋体" w:cs="仿宋_GB2312" w:hint="eastAsia"/>
          <w:color w:val="000000"/>
          <w:kern w:val="0"/>
          <w:sz w:val="32"/>
          <w:szCs w:val="32"/>
          <w:lang w:bidi="ar"/>
        </w:rPr>
        <w:lastRenderedPageBreak/>
        <w:t>源保护区内的环境状况、水质状况和管理状况等信息，编制形成年度报告</w:t>
      </w:r>
      <w:r>
        <w:rPr>
          <w:rFonts w:ascii="仿宋_GB2312" w:hAnsi="仿宋_GB2312" w:cs="仿宋_GB2312" w:hint="eastAsia"/>
          <w:kern w:val="0"/>
          <w:sz w:val="32"/>
          <w:szCs w:val="32"/>
        </w:rPr>
        <w:t>。二是</w:t>
      </w:r>
      <w:r>
        <w:rPr>
          <w:rFonts w:ascii="仿宋_GB2312" w:hAnsi="宋体" w:cs="仿宋_GB2312" w:hint="eastAsia"/>
          <w:color w:val="000000"/>
          <w:kern w:val="0"/>
          <w:sz w:val="32"/>
          <w:szCs w:val="32"/>
          <w:lang w:bidi="ar"/>
        </w:rPr>
        <w:t>对各区的饮用水水源地调查评估、国家水源地数据系统填报等工作进行技术指导和审核。三是对各区的区级、乡镇级及以下饮用水水源地年度调查评估情况进行汇总分析，了解各区</w:t>
      </w:r>
      <w:r>
        <w:rPr>
          <w:rFonts w:ascii="仿宋_GB2312" w:hAnsi="宋体" w:cs="仿宋_GB2312" w:hint="eastAsia"/>
          <w:color w:val="000000"/>
          <w:kern w:val="0"/>
          <w:sz w:val="32"/>
          <w:szCs w:val="32"/>
          <w:lang w:bidi="ar"/>
        </w:rPr>
        <w:t>饮用水水源地环境保护工作情况。四是完成保护区</w:t>
      </w:r>
      <w:r>
        <w:rPr>
          <w:rFonts w:ascii="仿宋_GB2312" w:hAnsi="宋体" w:cs="仿宋_GB2312" w:hint="eastAsia"/>
          <w:color w:val="000000"/>
          <w:kern w:val="0"/>
          <w:sz w:val="32"/>
          <w:szCs w:val="32"/>
          <w:lang w:bidi="ar"/>
        </w:rPr>
        <w:t>66</w:t>
      </w:r>
      <w:r>
        <w:rPr>
          <w:rFonts w:ascii="仿宋_GB2312" w:hAnsi="宋体" w:cs="仿宋_GB2312" w:hint="eastAsia"/>
          <w:color w:val="000000"/>
          <w:kern w:val="0"/>
          <w:sz w:val="32"/>
          <w:szCs w:val="32"/>
          <w:lang w:bidi="ar"/>
        </w:rPr>
        <w:t>套标志牌的设置，并完成标识</w:t>
      </w:r>
      <w:proofErr w:type="gramStart"/>
      <w:r>
        <w:rPr>
          <w:rFonts w:ascii="仿宋_GB2312" w:hAnsi="宋体" w:cs="仿宋_GB2312" w:hint="eastAsia"/>
          <w:color w:val="000000"/>
          <w:kern w:val="0"/>
          <w:sz w:val="32"/>
          <w:szCs w:val="32"/>
          <w:lang w:bidi="ar"/>
        </w:rPr>
        <w:t>牌换膜</w:t>
      </w:r>
      <w:r>
        <w:rPr>
          <w:rFonts w:ascii="仿宋_GB2312" w:hAnsi="宋体" w:cs="仿宋_GB2312" w:hint="eastAsia"/>
          <w:color w:val="000000"/>
          <w:kern w:val="0"/>
          <w:sz w:val="32"/>
          <w:szCs w:val="32"/>
          <w:lang w:bidi="ar"/>
        </w:rPr>
        <w:t>7</w:t>
      </w:r>
      <w:r>
        <w:rPr>
          <w:rFonts w:ascii="仿宋_GB2312" w:hAnsi="宋体" w:cs="仿宋_GB2312" w:hint="eastAsia"/>
          <w:color w:val="000000"/>
          <w:kern w:val="0"/>
          <w:sz w:val="32"/>
          <w:szCs w:val="32"/>
          <w:lang w:bidi="ar"/>
        </w:rPr>
        <w:t>套</w:t>
      </w:r>
      <w:proofErr w:type="gramEnd"/>
      <w:r>
        <w:rPr>
          <w:rFonts w:ascii="仿宋_GB2312" w:hAnsi="宋体" w:cs="仿宋_GB2312" w:hint="eastAsia"/>
          <w:color w:val="000000"/>
          <w:kern w:val="0"/>
          <w:sz w:val="32"/>
          <w:szCs w:val="32"/>
          <w:lang w:bidi="ar"/>
        </w:rPr>
        <w:t>。</w:t>
      </w:r>
    </w:p>
    <w:p w:rsidR="00706F52" w:rsidRDefault="00DE41BA">
      <w:pPr>
        <w:autoSpaceDE w:val="0"/>
        <w:autoSpaceDN w:val="0"/>
        <w:adjustRightInd w:val="0"/>
        <w:snapToGrid w:val="0"/>
        <w:spacing w:line="360" w:lineRule="auto"/>
        <w:ind w:firstLineChars="200" w:firstLine="640"/>
        <w:rPr>
          <w:rFonts w:ascii="仿宋_GB2312"/>
          <w:sz w:val="32"/>
          <w:szCs w:val="32"/>
        </w:rPr>
      </w:pPr>
      <w:r>
        <w:rPr>
          <w:rFonts w:ascii="仿宋_GB2312" w:hAnsi="仿宋_GB2312" w:cs="仿宋_GB2312" w:hint="eastAsia"/>
          <w:kern w:val="0"/>
          <w:sz w:val="32"/>
          <w:szCs w:val="32"/>
        </w:rPr>
        <w:t>（</w:t>
      </w:r>
      <w:r>
        <w:rPr>
          <w:rFonts w:ascii="仿宋_GB2312" w:hAnsi="仿宋_GB2312" w:cs="仿宋_GB2312" w:hint="eastAsia"/>
          <w:kern w:val="0"/>
          <w:sz w:val="32"/>
          <w:szCs w:val="32"/>
        </w:rPr>
        <w:t>2</w:t>
      </w:r>
      <w:r>
        <w:rPr>
          <w:rFonts w:ascii="仿宋_GB2312" w:hAnsi="仿宋_GB2312" w:cs="仿宋_GB2312" w:hint="eastAsia"/>
          <w:kern w:val="0"/>
          <w:sz w:val="32"/>
          <w:szCs w:val="32"/>
        </w:rPr>
        <w:t>）</w:t>
      </w:r>
      <w:r>
        <w:rPr>
          <w:rFonts w:ascii="仿宋_GB2312" w:hint="eastAsia"/>
          <w:sz w:val="32"/>
          <w:szCs w:val="32"/>
        </w:rPr>
        <w:t>劣</w:t>
      </w:r>
      <w:r>
        <w:rPr>
          <w:rFonts w:ascii="仿宋_GB2312" w:hint="eastAsia"/>
          <w:sz w:val="32"/>
          <w:szCs w:val="32"/>
        </w:rPr>
        <w:t>Ⅴ</w:t>
      </w:r>
      <w:r>
        <w:rPr>
          <w:rFonts w:ascii="仿宋_GB2312" w:hint="eastAsia"/>
          <w:sz w:val="32"/>
          <w:szCs w:val="32"/>
        </w:rPr>
        <w:t>类及水生态环境保护工作第三方核查</w:t>
      </w:r>
      <w:r>
        <w:rPr>
          <w:rFonts w:ascii="仿宋_GB2312" w:hAnsi="仿宋_GB2312" w:cs="仿宋_GB2312" w:hint="eastAsia"/>
          <w:kern w:val="0"/>
          <w:sz w:val="32"/>
          <w:szCs w:val="32"/>
        </w:rPr>
        <w:t>：一是对全市约</w:t>
      </w:r>
      <w:r>
        <w:rPr>
          <w:rFonts w:ascii="仿宋_GB2312" w:hAnsi="仿宋_GB2312" w:cs="仿宋_GB2312" w:hint="eastAsia"/>
          <w:kern w:val="0"/>
          <w:sz w:val="32"/>
          <w:szCs w:val="32"/>
        </w:rPr>
        <w:t>30%</w:t>
      </w:r>
      <w:r>
        <w:rPr>
          <w:rFonts w:ascii="仿宋_GB2312" w:hAnsi="仿宋_GB2312" w:cs="仿宋_GB2312" w:hint="eastAsia"/>
          <w:kern w:val="0"/>
          <w:sz w:val="32"/>
          <w:szCs w:val="32"/>
        </w:rPr>
        <w:t>农村的污水处理设施情况进行了调研</w:t>
      </w:r>
      <w:r>
        <w:rPr>
          <w:rFonts w:ascii="仿宋_GB2312" w:hAnsi="仿宋_GB2312" w:cs="仿宋_GB2312" w:hint="eastAsia"/>
          <w:kern w:val="0"/>
          <w:sz w:val="32"/>
          <w:szCs w:val="32"/>
        </w:rPr>
        <w:t>(</w:t>
      </w:r>
      <w:r>
        <w:rPr>
          <w:rFonts w:ascii="仿宋_GB2312" w:hAnsi="仿宋_GB2312" w:cs="仿宋_GB2312" w:hint="eastAsia"/>
          <w:kern w:val="0"/>
          <w:sz w:val="32"/>
          <w:szCs w:val="32"/>
        </w:rPr>
        <w:t>约</w:t>
      </w:r>
      <w:r>
        <w:rPr>
          <w:rFonts w:ascii="仿宋_GB2312" w:hAnsi="仿宋_GB2312" w:cs="仿宋_GB2312" w:hint="eastAsia"/>
          <w:kern w:val="0"/>
          <w:sz w:val="32"/>
          <w:szCs w:val="32"/>
        </w:rPr>
        <w:t>1200</w:t>
      </w:r>
      <w:r>
        <w:rPr>
          <w:rFonts w:ascii="仿宋_GB2312" w:hAnsi="仿宋_GB2312" w:cs="仿宋_GB2312" w:hint="eastAsia"/>
          <w:kern w:val="0"/>
          <w:sz w:val="32"/>
          <w:szCs w:val="32"/>
        </w:rPr>
        <w:t>个村</w:t>
      </w:r>
      <w:r>
        <w:rPr>
          <w:rFonts w:ascii="仿宋_GB2312" w:hAnsi="仿宋_GB2312" w:cs="仿宋_GB2312" w:hint="eastAsia"/>
          <w:kern w:val="0"/>
          <w:sz w:val="32"/>
          <w:szCs w:val="32"/>
        </w:rPr>
        <w:t>)</w:t>
      </w:r>
      <w:r>
        <w:rPr>
          <w:rFonts w:ascii="仿宋_GB2312" w:hAnsi="仿宋_GB2312" w:cs="仿宋_GB2312" w:hint="eastAsia"/>
          <w:kern w:val="0"/>
          <w:sz w:val="32"/>
          <w:szCs w:val="32"/>
        </w:rPr>
        <w:t>，滚动</w:t>
      </w:r>
      <w:proofErr w:type="gramStart"/>
      <w:r>
        <w:rPr>
          <w:rFonts w:ascii="仿宋_GB2312" w:hAnsi="仿宋_GB2312" w:cs="仿宋_GB2312" w:hint="eastAsia"/>
          <w:kern w:val="0"/>
          <w:sz w:val="32"/>
          <w:szCs w:val="32"/>
        </w:rPr>
        <w:t>更新台</w:t>
      </w:r>
      <w:proofErr w:type="gramEnd"/>
      <w:r>
        <w:rPr>
          <w:rFonts w:ascii="仿宋_GB2312" w:hAnsi="仿宋_GB2312" w:cs="仿宋_GB2312" w:hint="eastAsia"/>
          <w:kern w:val="0"/>
          <w:sz w:val="32"/>
          <w:szCs w:val="32"/>
        </w:rPr>
        <w:t>账清单。以</w:t>
      </w:r>
      <w:proofErr w:type="gramStart"/>
      <w:r>
        <w:rPr>
          <w:rFonts w:ascii="仿宋_GB2312" w:hAnsi="仿宋_GB2312" w:cs="仿宋_GB2312" w:hint="eastAsia"/>
          <w:kern w:val="0"/>
          <w:sz w:val="32"/>
          <w:szCs w:val="32"/>
        </w:rPr>
        <w:t>国市考断面</w:t>
      </w:r>
      <w:proofErr w:type="gramEnd"/>
      <w:r>
        <w:rPr>
          <w:rFonts w:ascii="仿宋_GB2312" w:hAnsi="仿宋_GB2312" w:cs="仿宋_GB2312" w:hint="eastAsia"/>
          <w:kern w:val="0"/>
          <w:sz w:val="32"/>
          <w:szCs w:val="32"/>
        </w:rPr>
        <w:t>周边的设施为重点，结合</w:t>
      </w:r>
      <w:r>
        <w:rPr>
          <w:rFonts w:ascii="仿宋_GB2312" w:hAnsi="仿宋_GB2312" w:cs="仿宋_GB2312" w:hint="eastAsia"/>
          <w:kern w:val="0"/>
          <w:sz w:val="32"/>
          <w:szCs w:val="32"/>
        </w:rPr>
        <w:t>2023</w:t>
      </w:r>
      <w:r>
        <w:rPr>
          <w:rFonts w:ascii="仿宋_GB2312" w:hAnsi="仿宋_GB2312" w:cs="仿宋_GB2312" w:hint="eastAsia"/>
          <w:kern w:val="0"/>
          <w:sz w:val="32"/>
          <w:szCs w:val="32"/>
        </w:rPr>
        <w:t>年的监测、执法情况，注明设施运行状况，建立完善重点设施清单并落在地图上。二是各区水源地方面，以农村水源地为主，对</w:t>
      </w:r>
      <w:r>
        <w:rPr>
          <w:rFonts w:ascii="仿宋_GB2312" w:hAnsi="仿宋_GB2312" w:cs="仿宋_GB2312" w:hint="eastAsia"/>
          <w:kern w:val="0"/>
          <w:sz w:val="32"/>
          <w:szCs w:val="32"/>
        </w:rPr>
        <w:t>2022</w:t>
      </w:r>
      <w:r>
        <w:rPr>
          <w:rFonts w:ascii="仿宋_GB2312" w:hAnsi="仿宋_GB2312" w:cs="仿宋_GB2312" w:hint="eastAsia"/>
          <w:kern w:val="0"/>
          <w:sz w:val="32"/>
          <w:szCs w:val="32"/>
        </w:rPr>
        <w:t>年发现的</w:t>
      </w:r>
      <w:r>
        <w:rPr>
          <w:rFonts w:ascii="仿宋_GB2312" w:hAnsi="仿宋_GB2312" w:cs="仿宋_GB2312" w:hint="eastAsia"/>
          <w:kern w:val="0"/>
          <w:sz w:val="32"/>
          <w:szCs w:val="32"/>
        </w:rPr>
        <w:t>99</w:t>
      </w:r>
      <w:r>
        <w:rPr>
          <w:rFonts w:ascii="仿宋_GB2312" w:hAnsi="仿宋_GB2312" w:cs="仿宋_GB2312" w:hint="eastAsia"/>
          <w:kern w:val="0"/>
          <w:sz w:val="32"/>
          <w:szCs w:val="32"/>
        </w:rPr>
        <w:t>个问题点位整改情况进行了跟踪核查</w:t>
      </w:r>
      <w:r>
        <w:rPr>
          <w:rFonts w:ascii="仿宋_GB2312" w:hAnsi="仿宋_GB2312" w:cs="仿宋_GB2312" w:hint="eastAsia"/>
          <w:kern w:val="0"/>
          <w:sz w:val="32"/>
          <w:szCs w:val="32"/>
        </w:rPr>
        <w:t>,</w:t>
      </w:r>
      <w:r>
        <w:rPr>
          <w:rFonts w:ascii="仿宋_GB2312" w:hAnsi="仿宋_GB2312" w:cs="仿宋_GB2312" w:hint="eastAsia"/>
          <w:kern w:val="0"/>
          <w:sz w:val="32"/>
          <w:szCs w:val="32"/>
        </w:rPr>
        <w:t>随机抽查了</w:t>
      </w:r>
      <w:r>
        <w:rPr>
          <w:rFonts w:ascii="仿宋_GB2312" w:hAnsi="仿宋_GB2312" w:cs="仿宋_GB2312" w:hint="eastAsia"/>
          <w:kern w:val="0"/>
          <w:sz w:val="32"/>
          <w:szCs w:val="32"/>
        </w:rPr>
        <w:t>141</w:t>
      </w:r>
      <w:r>
        <w:rPr>
          <w:rFonts w:ascii="仿宋_GB2312" w:hAnsi="仿宋_GB2312" w:cs="仿宋_GB2312" w:hint="eastAsia"/>
          <w:kern w:val="0"/>
          <w:sz w:val="32"/>
          <w:szCs w:val="32"/>
        </w:rPr>
        <w:t>个水源保护区环境保护情况。三是排污口整治情况核查，对</w:t>
      </w:r>
      <w:proofErr w:type="gramStart"/>
      <w:r>
        <w:rPr>
          <w:rFonts w:ascii="仿宋_GB2312" w:hAnsi="仿宋_GB2312" w:cs="仿宋_GB2312" w:hint="eastAsia"/>
          <w:kern w:val="0"/>
          <w:sz w:val="32"/>
          <w:szCs w:val="32"/>
        </w:rPr>
        <w:t>列入台</w:t>
      </w:r>
      <w:proofErr w:type="gramEnd"/>
      <w:r>
        <w:rPr>
          <w:rFonts w:ascii="仿宋_GB2312" w:hAnsi="仿宋_GB2312" w:cs="仿宋_GB2312" w:hint="eastAsia"/>
          <w:kern w:val="0"/>
          <w:sz w:val="32"/>
          <w:szCs w:val="32"/>
        </w:rPr>
        <w:t>账的</w:t>
      </w:r>
      <w:r>
        <w:rPr>
          <w:rFonts w:ascii="仿宋_GB2312" w:hAnsi="仿宋_GB2312" w:cs="仿宋_GB2312" w:hint="eastAsia"/>
          <w:kern w:val="0"/>
          <w:sz w:val="32"/>
          <w:szCs w:val="32"/>
        </w:rPr>
        <w:t>218</w:t>
      </w:r>
      <w:r>
        <w:rPr>
          <w:rFonts w:ascii="仿宋_GB2312" w:hAnsi="仿宋_GB2312" w:cs="仿宋_GB2312" w:hint="eastAsia"/>
          <w:kern w:val="0"/>
          <w:sz w:val="32"/>
          <w:szCs w:val="32"/>
        </w:rPr>
        <w:t>个排口整治情况进行了核查。四是对</w:t>
      </w:r>
      <w:r>
        <w:rPr>
          <w:rFonts w:ascii="仿宋_GB2312" w:hAnsi="仿宋_GB2312" w:cs="仿宋_GB2312" w:hint="eastAsia"/>
          <w:kern w:val="0"/>
          <w:sz w:val="32"/>
          <w:szCs w:val="32"/>
        </w:rPr>
        <w:t>142</w:t>
      </w:r>
      <w:r>
        <w:rPr>
          <w:rFonts w:ascii="仿宋_GB2312" w:hAnsi="仿宋_GB2312" w:cs="仿宋_GB2312" w:hint="eastAsia"/>
          <w:kern w:val="0"/>
          <w:sz w:val="32"/>
          <w:szCs w:val="32"/>
        </w:rPr>
        <w:t>条段黑臭水体起点、中间点、终点进行检查，对问题黑臭水体进行溯源，检查点位总量为</w:t>
      </w:r>
      <w:r>
        <w:rPr>
          <w:rFonts w:ascii="仿宋_GB2312" w:hAnsi="仿宋_GB2312" w:cs="仿宋_GB2312" w:hint="eastAsia"/>
          <w:kern w:val="0"/>
          <w:sz w:val="32"/>
          <w:szCs w:val="32"/>
        </w:rPr>
        <w:t>1455</w:t>
      </w:r>
      <w:r>
        <w:rPr>
          <w:rFonts w:ascii="仿宋_GB2312" w:hAnsi="仿宋_GB2312" w:cs="仿宋_GB2312" w:hint="eastAsia"/>
          <w:kern w:val="0"/>
          <w:sz w:val="32"/>
          <w:szCs w:val="32"/>
        </w:rPr>
        <w:t>条数据；对</w:t>
      </w:r>
      <w:r>
        <w:rPr>
          <w:rFonts w:ascii="仿宋_GB2312" w:hAnsi="仿宋_GB2312" w:cs="仿宋_GB2312" w:hint="eastAsia"/>
          <w:kern w:val="0"/>
          <w:sz w:val="32"/>
          <w:szCs w:val="32"/>
        </w:rPr>
        <w:t>56</w:t>
      </w:r>
      <w:r>
        <w:rPr>
          <w:rFonts w:ascii="仿宋_GB2312" w:hAnsi="仿宋_GB2312" w:cs="仿宋_GB2312" w:hint="eastAsia"/>
          <w:kern w:val="0"/>
          <w:sz w:val="32"/>
          <w:szCs w:val="32"/>
        </w:rPr>
        <w:t>个劣</w:t>
      </w:r>
      <w:r>
        <w:rPr>
          <w:rFonts w:ascii="仿宋_GB2312" w:hint="eastAsia"/>
          <w:sz w:val="32"/>
          <w:szCs w:val="32"/>
        </w:rPr>
        <w:t>Ⅴ</w:t>
      </w:r>
      <w:r>
        <w:rPr>
          <w:rFonts w:ascii="仿宋_GB2312" w:hAnsi="仿宋_GB2312" w:cs="仿宋_GB2312" w:hint="eastAsia"/>
          <w:kern w:val="0"/>
          <w:sz w:val="32"/>
          <w:szCs w:val="32"/>
        </w:rPr>
        <w:t>类水体点位进行检查，累计共收集数据</w:t>
      </w:r>
      <w:r>
        <w:rPr>
          <w:rFonts w:ascii="仿宋_GB2312" w:hAnsi="仿宋_GB2312" w:cs="仿宋_GB2312" w:hint="eastAsia"/>
          <w:kern w:val="0"/>
          <w:sz w:val="32"/>
          <w:szCs w:val="32"/>
        </w:rPr>
        <w:t>75</w:t>
      </w:r>
      <w:r>
        <w:rPr>
          <w:rFonts w:ascii="仿宋_GB2312" w:hAnsi="仿宋_GB2312" w:cs="仿宋_GB2312" w:hint="eastAsia"/>
          <w:kern w:val="0"/>
          <w:sz w:val="32"/>
          <w:szCs w:val="32"/>
        </w:rPr>
        <w:t>条；抽查了</w:t>
      </w:r>
      <w:r>
        <w:rPr>
          <w:rFonts w:ascii="仿宋_GB2312" w:hAnsi="仿宋_GB2312" w:cs="仿宋_GB2312" w:hint="eastAsia"/>
          <w:kern w:val="0"/>
          <w:sz w:val="32"/>
          <w:szCs w:val="32"/>
        </w:rPr>
        <w:t>349</w:t>
      </w:r>
      <w:r>
        <w:rPr>
          <w:rFonts w:ascii="仿宋_GB2312" w:hAnsi="仿宋_GB2312" w:cs="仿宋_GB2312" w:hint="eastAsia"/>
          <w:kern w:val="0"/>
          <w:sz w:val="32"/>
          <w:szCs w:val="32"/>
        </w:rPr>
        <w:t>处河</w:t>
      </w:r>
      <w:r>
        <w:rPr>
          <w:rFonts w:ascii="仿宋_GB2312" w:hAnsi="仿宋_GB2312" w:cs="仿宋_GB2312" w:hint="eastAsia"/>
          <w:kern w:val="0"/>
          <w:sz w:val="32"/>
          <w:szCs w:val="32"/>
        </w:rPr>
        <w:t>流水域下游的重点小微水体。</w:t>
      </w:r>
    </w:p>
    <w:p w:rsidR="00706F52" w:rsidRDefault="00DE41BA">
      <w:pPr>
        <w:autoSpaceDE w:val="0"/>
        <w:autoSpaceDN w:val="0"/>
        <w:adjustRightInd w:val="0"/>
        <w:snapToGrid w:val="0"/>
        <w:spacing w:line="360" w:lineRule="auto"/>
        <w:ind w:firstLineChars="200" w:firstLine="640"/>
        <w:rPr>
          <w:rFonts w:ascii="仿宋_GB2312"/>
          <w:sz w:val="32"/>
          <w:szCs w:val="32"/>
        </w:rPr>
      </w:pPr>
      <w:r>
        <w:rPr>
          <w:rFonts w:ascii="仿宋_GB2312" w:hint="eastAsia"/>
          <w:sz w:val="32"/>
          <w:szCs w:val="32"/>
        </w:rPr>
        <w:t>（</w:t>
      </w:r>
      <w:r>
        <w:rPr>
          <w:rFonts w:ascii="仿宋_GB2312" w:hint="eastAsia"/>
          <w:sz w:val="32"/>
          <w:szCs w:val="32"/>
        </w:rPr>
        <w:t>3</w:t>
      </w:r>
      <w:r>
        <w:rPr>
          <w:rFonts w:ascii="仿宋_GB2312" w:hint="eastAsia"/>
          <w:sz w:val="32"/>
          <w:szCs w:val="32"/>
        </w:rPr>
        <w:t>）北京市水功能区划调整技术支撑工作：一是开展了</w:t>
      </w:r>
      <w:r>
        <w:rPr>
          <w:rFonts w:ascii="仿宋_GB2312"/>
          <w:sz w:val="32"/>
          <w:szCs w:val="32"/>
        </w:rPr>
        <w:t>重点水体水功能区</w:t>
      </w:r>
      <w:r>
        <w:rPr>
          <w:rFonts w:ascii="仿宋_GB2312" w:hint="eastAsia"/>
          <w:sz w:val="32"/>
          <w:szCs w:val="32"/>
        </w:rPr>
        <w:t>“</w:t>
      </w:r>
      <w:r>
        <w:rPr>
          <w:rFonts w:ascii="仿宋_GB2312"/>
          <w:sz w:val="32"/>
          <w:szCs w:val="32"/>
        </w:rPr>
        <w:t>三水</w:t>
      </w:r>
      <w:r>
        <w:rPr>
          <w:rFonts w:ascii="仿宋_GB2312" w:hint="eastAsia"/>
          <w:sz w:val="32"/>
          <w:szCs w:val="32"/>
        </w:rPr>
        <w:t>”</w:t>
      </w:r>
      <w:r>
        <w:rPr>
          <w:rFonts w:ascii="仿宋_GB2312"/>
          <w:sz w:val="32"/>
          <w:szCs w:val="32"/>
        </w:rPr>
        <w:t>总体评估工作</w:t>
      </w:r>
      <w:r>
        <w:rPr>
          <w:rFonts w:ascii="仿宋_GB2312" w:hint="eastAsia"/>
          <w:sz w:val="32"/>
          <w:szCs w:val="32"/>
        </w:rPr>
        <w:t>。</w:t>
      </w:r>
      <w:r>
        <w:rPr>
          <w:rFonts w:ascii="仿宋_GB2312"/>
          <w:sz w:val="32"/>
          <w:szCs w:val="32"/>
        </w:rPr>
        <w:t>梳理相关法规要求和实</w:t>
      </w:r>
      <w:r>
        <w:rPr>
          <w:rFonts w:ascii="仿宋_GB2312"/>
          <w:sz w:val="32"/>
          <w:szCs w:val="32"/>
        </w:rPr>
        <w:lastRenderedPageBreak/>
        <w:t>施情况，评估实施效果和存在问题，评价重点水体水功能区水资源、水生态和水环境总体状况。结合流域社会经济、水质、水资源、水生态、污染排放、风险源等数据分析结果，梳理流域生态环境及绿色发展面临的主要问题，</w:t>
      </w:r>
      <w:proofErr w:type="gramStart"/>
      <w:r>
        <w:rPr>
          <w:rFonts w:ascii="仿宋_GB2312"/>
          <w:sz w:val="32"/>
          <w:szCs w:val="32"/>
        </w:rPr>
        <w:t>研</w:t>
      </w:r>
      <w:proofErr w:type="gramEnd"/>
      <w:r>
        <w:rPr>
          <w:rFonts w:ascii="仿宋_GB2312"/>
          <w:sz w:val="32"/>
          <w:szCs w:val="32"/>
        </w:rPr>
        <w:t>判成因等</w:t>
      </w:r>
      <w:r>
        <w:rPr>
          <w:rFonts w:ascii="仿宋_GB2312" w:hint="eastAsia"/>
          <w:sz w:val="32"/>
          <w:szCs w:val="32"/>
        </w:rPr>
        <w:t>。二是开展水功能区水生态优化提升技术研究，分析国内外大型城市水生态管理经验，对北京市水生态管理模式开展横、纵向对比并提炼可借鉴的经验做法。三是提出水生态功能分区生态功能拓展应用中</w:t>
      </w:r>
      <w:r>
        <w:rPr>
          <w:rFonts w:ascii="仿宋_GB2312" w:hint="eastAsia"/>
          <w:sz w:val="32"/>
          <w:szCs w:val="32"/>
        </w:rPr>
        <w:t>，</w:t>
      </w:r>
      <w:r>
        <w:rPr>
          <w:rFonts w:ascii="仿宋_GB2312" w:hint="eastAsia"/>
          <w:sz w:val="32"/>
          <w:szCs w:val="32"/>
        </w:rPr>
        <w:t>关于北京市典型区域再生水循环利用方案建议。以重点水体为试点，开展区域再生水循环利用试点研究。调研区域内主</w:t>
      </w:r>
      <w:r>
        <w:rPr>
          <w:rFonts w:ascii="仿宋_GB2312" w:hint="eastAsia"/>
          <w:sz w:val="32"/>
          <w:szCs w:val="32"/>
        </w:rPr>
        <w:t>要入河排水口</w:t>
      </w:r>
      <w:r>
        <w:rPr>
          <w:rFonts w:ascii="仿宋_GB2312" w:hint="eastAsia"/>
          <w:sz w:val="32"/>
          <w:szCs w:val="32"/>
        </w:rPr>
        <w:t>,</w:t>
      </w:r>
      <w:r>
        <w:rPr>
          <w:rFonts w:ascii="仿宋_GB2312" w:hint="eastAsia"/>
          <w:sz w:val="32"/>
          <w:szCs w:val="32"/>
        </w:rPr>
        <w:t>勘查退水进人工湿地可行性</w:t>
      </w:r>
      <w:r>
        <w:rPr>
          <w:rFonts w:ascii="仿宋_GB2312" w:hint="eastAsia"/>
          <w:sz w:val="32"/>
          <w:szCs w:val="32"/>
        </w:rPr>
        <w:t>,</w:t>
      </w:r>
      <w:r>
        <w:rPr>
          <w:rFonts w:ascii="仿宋_GB2312" w:hint="eastAsia"/>
          <w:sz w:val="32"/>
          <w:szCs w:val="32"/>
        </w:rPr>
        <w:t>结合国内外项目实践经验提出建设人工湿地方案建议。四是开展</w:t>
      </w:r>
      <w:r>
        <w:rPr>
          <w:rFonts w:ascii="仿宋_GB2312"/>
          <w:sz w:val="32"/>
          <w:szCs w:val="32"/>
        </w:rPr>
        <w:t>水生态功能分区生态功能拓展应用中关于重点流域生态价值研究</w:t>
      </w:r>
      <w:r>
        <w:rPr>
          <w:rFonts w:ascii="仿宋_GB2312" w:hint="eastAsia"/>
          <w:sz w:val="32"/>
          <w:szCs w:val="32"/>
        </w:rPr>
        <w:t>，</w:t>
      </w:r>
      <w:r>
        <w:rPr>
          <w:rFonts w:ascii="仿宋_GB2312"/>
          <w:sz w:val="32"/>
          <w:szCs w:val="32"/>
        </w:rPr>
        <w:t>以密云水库流域为试点，试算、评估流域生态价值总量，</w:t>
      </w:r>
      <w:proofErr w:type="gramStart"/>
      <w:r>
        <w:rPr>
          <w:rFonts w:ascii="仿宋_GB2312"/>
          <w:sz w:val="32"/>
          <w:szCs w:val="32"/>
        </w:rPr>
        <w:t>对比近</w:t>
      </w:r>
      <w:proofErr w:type="gramEnd"/>
      <w:r>
        <w:rPr>
          <w:rFonts w:ascii="仿宋_GB2312"/>
          <w:sz w:val="32"/>
          <w:szCs w:val="32"/>
        </w:rPr>
        <w:t>五年流域生态价值变化情况，核算生态系统调节服务价值。结合流域特点，细化核算指标，并开展参数本地化研究</w:t>
      </w:r>
      <w:r>
        <w:rPr>
          <w:rFonts w:ascii="仿宋_GB2312" w:hint="eastAsia"/>
          <w:sz w:val="32"/>
          <w:szCs w:val="32"/>
        </w:rPr>
        <w:t>，</w:t>
      </w:r>
      <w:r>
        <w:rPr>
          <w:rFonts w:ascii="仿宋_GB2312"/>
          <w:sz w:val="32"/>
          <w:szCs w:val="32"/>
        </w:rPr>
        <w:t>探索相关生态价值在生态保护补偿、</w:t>
      </w:r>
      <w:r>
        <w:rPr>
          <w:rFonts w:ascii="仿宋_GB2312"/>
          <w:sz w:val="32"/>
          <w:szCs w:val="32"/>
        </w:rPr>
        <w:t>EOD</w:t>
      </w:r>
      <w:r>
        <w:rPr>
          <w:rFonts w:ascii="仿宋_GB2312"/>
          <w:sz w:val="32"/>
          <w:szCs w:val="32"/>
        </w:rPr>
        <w:t>等绿色金融领域的支撑应用，丰富水生态环境管理经济手段。</w:t>
      </w:r>
    </w:p>
    <w:p w:rsidR="00706F52" w:rsidRDefault="00DE41BA">
      <w:pPr>
        <w:adjustRightInd w:val="0"/>
        <w:snapToGrid w:val="0"/>
        <w:spacing w:line="360" w:lineRule="auto"/>
        <w:ind w:firstLineChars="200" w:firstLine="640"/>
        <w:outlineLvl w:val="2"/>
        <w:rPr>
          <w:rFonts w:ascii="仿宋_GB2312" w:hAnsi="宋体" w:cs="宋体"/>
          <w:color w:val="000000"/>
          <w:kern w:val="0"/>
          <w:sz w:val="32"/>
          <w:szCs w:val="32"/>
        </w:rPr>
      </w:pPr>
      <w:bookmarkStart w:id="66" w:name="_Toc35588419"/>
      <w:r>
        <w:rPr>
          <w:rFonts w:ascii="仿宋_GB2312" w:hint="eastAsia"/>
          <w:sz w:val="32"/>
          <w:szCs w:val="32"/>
        </w:rPr>
        <w:t>2.</w:t>
      </w:r>
      <w:r>
        <w:rPr>
          <w:rFonts w:ascii="仿宋_GB2312" w:hint="eastAsia"/>
          <w:sz w:val="32"/>
          <w:szCs w:val="32"/>
        </w:rPr>
        <w:t>产出质量</w:t>
      </w:r>
      <w:bookmarkEnd w:id="66"/>
    </w:p>
    <w:p w:rsidR="00706F52" w:rsidRDefault="00DE41BA">
      <w:pPr>
        <w:autoSpaceDE w:val="0"/>
        <w:autoSpaceDN w:val="0"/>
        <w:adjustRightInd w:val="0"/>
        <w:snapToGrid w:val="0"/>
        <w:spacing w:line="360" w:lineRule="auto"/>
        <w:ind w:firstLineChars="200" w:firstLine="640"/>
        <w:rPr>
          <w:rFonts w:ascii="仿宋_GB2312" w:hAnsi="仿宋_GB2312" w:cs="仿宋_GB2312"/>
          <w:iCs/>
          <w:color w:val="000000"/>
          <w:kern w:val="0"/>
          <w:sz w:val="32"/>
          <w:szCs w:val="32"/>
        </w:rPr>
      </w:pPr>
      <w:r>
        <w:rPr>
          <w:rFonts w:ascii="仿宋_GB2312" w:hAnsi="仿宋_GB2312" w:cs="仿宋_GB2312" w:hint="eastAsia"/>
          <w:sz w:val="32"/>
          <w:szCs w:val="32"/>
        </w:rPr>
        <w:t>水生态环境处分别于</w:t>
      </w:r>
      <w:r>
        <w:rPr>
          <w:rFonts w:ascii="仿宋_GB2312" w:hAnsi="仿宋_GB2312" w:cs="仿宋_GB2312" w:hint="eastAsia"/>
          <w:sz w:val="32"/>
          <w:szCs w:val="32"/>
        </w:rPr>
        <w:t>2024</w:t>
      </w:r>
      <w:r>
        <w:rPr>
          <w:rFonts w:ascii="仿宋_GB2312" w:hAnsi="仿宋_GB2312" w:cs="仿宋_GB2312" w:hint="eastAsia"/>
          <w:sz w:val="32"/>
          <w:szCs w:val="32"/>
        </w:rPr>
        <w:t>年</w:t>
      </w:r>
      <w:r>
        <w:rPr>
          <w:rFonts w:ascii="仿宋_GB2312" w:hAnsi="仿宋_GB2312" w:cs="仿宋_GB2312" w:hint="eastAsia"/>
          <w:sz w:val="32"/>
          <w:szCs w:val="32"/>
        </w:rPr>
        <w:t>4</w:t>
      </w:r>
      <w:r>
        <w:rPr>
          <w:rFonts w:ascii="仿宋_GB2312" w:hAnsi="仿宋_GB2312" w:cs="仿宋_GB2312" w:hint="eastAsia"/>
          <w:sz w:val="32"/>
          <w:szCs w:val="32"/>
        </w:rPr>
        <w:t>月</w:t>
      </w:r>
      <w:r>
        <w:rPr>
          <w:rFonts w:ascii="仿宋_GB2312" w:hAnsi="仿宋_GB2312" w:cs="仿宋_GB2312" w:hint="eastAsia"/>
          <w:sz w:val="32"/>
          <w:szCs w:val="32"/>
        </w:rPr>
        <w:t>7</w:t>
      </w:r>
      <w:r>
        <w:rPr>
          <w:rFonts w:ascii="仿宋_GB2312" w:hAnsi="仿宋_GB2312" w:cs="仿宋_GB2312" w:hint="eastAsia"/>
          <w:sz w:val="32"/>
          <w:szCs w:val="32"/>
        </w:rPr>
        <w:t>日组织完成饮用水水源地环境管理技术支撑专家验收，</w:t>
      </w:r>
      <w:r>
        <w:rPr>
          <w:rFonts w:ascii="仿宋_GB2312" w:hAnsi="仿宋_GB2312" w:cs="仿宋_GB2312" w:hint="eastAsia"/>
          <w:sz w:val="32"/>
          <w:szCs w:val="32"/>
        </w:rPr>
        <w:t>4</w:t>
      </w:r>
      <w:r>
        <w:rPr>
          <w:rFonts w:ascii="仿宋_GB2312" w:hAnsi="仿宋_GB2312" w:cs="仿宋_GB2312" w:hint="eastAsia"/>
          <w:sz w:val="32"/>
          <w:szCs w:val="32"/>
        </w:rPr>
        <w:t>月</w:t>
      </w:r>
      <w:r>
        <w:rPr>
          <w:rFonts w:ascii="仿宋_GB2312" w:hAnsi="仿宋_GB2312" w:cs="仿宋_GB2312" w:hint="eastAsia"/>
          <w:sz w:val="32"/>
          <w:szCs w:val="32"/>
        </w:rPr>
        <w:t>17</w:t>
      </w:r>
      <w:r>
        <w:rPr>
          <w:rFonts w:ascii="仿宋_GB2312" w:hAnsi="仿宋_GB2312" w:cs="仿宋_GB2312" w:hint="eastAsia"/>
          <w:sz w:val="32"/>
          <w:szCs w:val="32"/>
        </w:rPr>
        <w:t>日</w:t>
      </w:r>
      <w:r>
        <w:rPr>
          <w:rFonts w:ascii="仿宋_GB2312" w:hAnsi="仿宋_GB2312" w:cs="仿宋_GB2312" w:hint="eastAsia"/>
          <w:sz w:val="32"/>
          <w:szCs w:val="32"/>
        </w:rPr>
        <w:t>组织完成北京市重点水体水功能区优化提升技术支撑专家验收，</w:t>
      </w:r>
      <w:r>
        <w:rPr>
          <w:rFonts w:ascii="仿宋_GB2312" w:hAnsi="仿宋_GB2312" w:cs="仿宋_GB2312" w:hint="eastAsia"/>
          <w:sz w:val="32"/>
          <w:szCs w:val="32"/>
        </w:rPr>
        <w:t>4</w:t>
      </w:r>
      <w:r>
        <w:rPr>
          <w:rFonts w:ascii="仿宋_GB2312" w:hAnsi="仿宋_GB2312" w:cs="仿宋_GB2312" w:hint="eastAsia"/>
          <w:sz w:val="32"/>
          <w:szCs w:val="32"/>
        </w:rPr>
        <w:t>月</w:t>
      </w:r>
      <w:r>
        <w:rPr>
          <w:rFonts w:ascii="仿宋_GB2312" w:hAnsi="仿宋_GB2312" w:cs="仿宋_GB2312" w:hint="eastAsia"/>
          <w:sz w:val="32"/>
          <w:szCs w:val="32"/>
        </w:rPr>
        <w:t>28</w:t>
      </w:r>
      <w:r>
        <w:rPr>
          <w:rFonts w:ascii="仿宋_GB2312" w:hAnsi="仿宋_GB2312" w:cs="仿宋_GB2312" w:hint="eastAsia"/>
          <w:sz w:val="32"/>
          <w:szCs w:val="32"/>
        </w:rPr>
        <w:t>日组织完成</w:t>
      </w:r>
      <w:r>
        <w:rPr>
          <w:rFonts w:ascii="仿宋_GB2312" w:hAnsi="仿宋_GB2312" w:cs="仿宋_GB2312" w:hint="eastAsia"/>
          <w:sz w:val="32"/>
          <w:szCs w:val="32"/>
        </w:rPr>
        <w:t>劣Ⅴ</w:t>
      </w:r>
      <w:r>
        <w:rPr>
          <w:rFonts w:ascii="仿宋_GB2312" w:hAnsi="仿宋_GB2312" w:cs="仿宋_GB2312" w:hint="eastAsia"/>
          <w:sz w:val="32"/>
          <w:szCs w:val="32"/>
        </w:rPr>
        <w:t>类</w:t>
      </w:r>
      <w:r>
        <w:rPr>
          <w:rFonts w:ascii="仿宋_GB2312" w:hAnsi="仿宋_GB2312" w:cs="仿宋_GB2312" w:hint="eastAsia"/>
          <w:sz w:val="32"/>
          <w:szCs w:val="32"/>
        </w:rPr>
        <w:lastRenderedPageBreak/>
        <w:t>及水生态环境保护重点问题第三方核查专家验收，三部分工作均验收合格。实现了“报告评审或验收合格率</w:t>
      </w:r>
      <w:r>
        <w:rPr>
          <w:rFonts w:ascii="仿宋_GB2312" w:hAnsi="仿宋_GB2312" w:cs="仿宋_GB2312" w:hint="eastAsia"/>
          <w:sz w:val="32"/>
          <w:szCs w:val="32"/>
        </w:rPr>
        <w:t>=100%</w:t>
      </w:r>
      <w:r>
        <w:rPr>
          <w:rFonts w:ascii="仿宋_GB2312" w:hAnsi="仿宋_GB2312" w:cs="仿宋_GB2312" w:hint="eastAsia"/>
          <w:sz w:val="32"/>
          <w:szCs w:val="32"/>
        </w:rPr>
        <w:t>”的目标。</w:t>
      </w:r>
    </w:p>
    <w:p w:rsidR="00706F52" w:rsidRDefault="00DE41BA">
      <w:pPr>
        <w:adjustRightInd w:val="0"/>
        <w:snapToGrid w:val="0"/>
        <w:spacing w:line="360" w:lineRule="auto"/>
        <w:ind w:firstLineChars="200" w:firstLine="640"/>
        <w:outlineLvl w:val="2"/>
        <w:rPr>
          <w:rFonts w:ascii="仿宋_GB2312"/>
          <w:sz w:val="32"/>
          <w:szCs w:val="32"/>
        </w:rPr>
      </w:pPr>
      <w:bookmarkStart w:id="67" w:name="_Toc35588421"/>
      <w:r>
        <w:rPr>
          <w:rFonts w:ascii="仿宋_GB2312" w:hint="eastAsia"/>
          <w:sz w:val="32"/>
          <w:szCs w:val="32"/>
        </w:rPr>
        <w:t>3.</w:t>
      </w:r>
      <w:r>
        <w:rPr>
          <w:rFonts w:ascii="仿宋_GB2312" w:hint="eastAsia"/>
          <w:sz w:val="32"/>
          <w:szCs w:val="32"/>
        </w:rPr>
        <w:t>产出成本</w:t>
      </w:r>
      <w:bookmarkEnd w:id="67"/>
    </w:p>
    <w:p w:rsidR="00706F52" w:rsidRDefault="00DE41BA">
      <w:pPr>
        <w:suppressAutoHyphens/>
        <w:adjustRightInd w:val="0"/>
        <w:snapToGrid w:val="0"/>
        <w:spacing w:line="360" w:lineRule="auto"/>
        <w:ind w:firstLineChars="200" w:firstLine="640"/>
        <w:rPr>
          <w:rFonts w:cs="仿宋_GB2312"/>
          <w:sz w:val="32"/>
          <w:szCs w:val="32"/>
          <w:highlight w:val="yellow"/>
        </w:rPr>
      </w:pPr>
      <w:r>
        <w:rPr>
          <w:rFonts w:ascii="仿宋_GB2312" w:hAnsi="仿宋_GB2312" w:cs="仿宋_GB2312" w:hint="eastAsia"/>
          <w:sz w:val="32"/>
          <w:szCs w:val="32"/>
        </w:rPr>
        <w:t>2023</w:t>
      </w:r>
      <w:r>
        <w:rPr>
          <w:rFonts w:ascii="仿宋_GB2312" w:hAnsi="仿宋_GB2312" w:cs="仿宋_GB2312" w:hint="eastAsia"/>
          <w:sz w:val="32"/>
          <w:szCs w:val="32"/>
        </w:rPr>
        <w:t>年度项目总预算</w:t>
      </w:r>
      <w:r>
        <w:rPr>
          <w:rFonts w:ascii="仿宋_GB2312" w:hAnsi="仿宋_GB2312" w:cs="仿宋_GB2312" w:hint="eastAsia"/>
          <w:sz w:val="32"/>
          <w:szCs w:val="32"/>
        </w:rPr>
        <w:t>465.05</w:t>
      </w:r>
      <w:r>
        <w:rPr>
          <w:rFonts w:ascii="仿宋_GB2312" w:hAnsi="仿宋_GB2312" w:cs="仿宋_GB2312" w:hint="eastAsia"/>
          <w:sz w:val="32"/>
          <w:szCs w:val="32"/>
        </w:rPr>
        <w:t>万元，三个子项均通过公开招标的方式确定项目承接单位，招标结余</w:t>
      </w:r>
      <w:r>
        <w:rPr>
          <w:rFonts w:ascii="仿宋_GB2312" w:hAnsi="仿宋_GB2312" w:cs="仿宋_GB2312" w:hint="eastAsia"/>
          <w:sz w:val="32"/>
          <w:szCs w:val="32"/>
        </w:rPr>
        <w:t>1.45</w:t>
      </w:r>
      <w:r>
        <w:rPr>
          <w:rFonts w:ascii="仿宋_GB2312" w:hAnsi="仿宋_GB2312" w:cs="仿宋_GB2312" w:hint="eastAsia"/>
          <w:sz w:val="32"/>
          <w:szCs w:val="32"/>
        </w:rPr>
        <w:t>万元，项目整体资金支出控制在预算范围内，总体成本控制情况较好。</w:t>
      </w:r>
    </w:p>
    <w:p w:rsidR="00706F52" w:rsidRDefault="00DE41BA">
      <w:pPr>
        <w:autoSpaceDE w:val="0"/>
        <w:autoSpaceDN w:val="0"/>
        <w:adjustRightInd w:val="0"/>
        <w:snapToGrid w:val="0"/>
        <w:spacing w:line="360" w:lineRule="auto"/>
        <w:ind w:firstLineChars="200" w:firstLine="640"/>
        <w:outlineLvl w:val="1"/>
        <w:rPr>
          <w:rFonts w:ascii="楷体_GB2312" w:eastAsia="楷体_GB2312" w:hAnsi="宋体" w:cs="宋体"/>
          <w:color w:val="000000"/>
          <w:kern w:val="0"/>
          <w:sz w:val="32"/>
          <w:szCs w:val="32"/>
        </w:rPr>
      </w:pPr>
      <w:bookmarkStart w:id="68" w:name="_Toc15883"/>
      <w:bookmarkStart w:id="69" w:name="_Toc10052"/>
      <w:bookmarkStart w:id="70" w:name="_Toc35588422"/>
      <w:bookmarkStart w:id="71" w:name="_Toc23693"/>
      <w:r>
        <w:rPr>
          <w:rFonts w:ascii="楷体_GB2312" w:eastAsia="楷体_GB2312" w:hAnsi="宋体" w:cs="宋体" w:hint="eastAsia"/>
          <w:color w:val="000000"/>
          <w:kern w:val="0"/>
          <w:sz w:val="32"/>
          <w:szCs w:val="32"/>
        </w:rPr>
        <w:t>（四）项目效益情况</w:t>
      </w:r>
      <w:bookmarkEnd w:id="68"/>
      <w:bookmarkEnd w:id="69"/>
      <w:bookmarkEnd w:id="70"/>
      <w:bookmarkEnd w:id="71"/>
    </w:p>
    <w:p w:rsidR="00706F52" w:rsidRDefault="00DE41BA">
      <w:pPr>
        <w:autoSpaceDE w:val="0"/>
        <w:autoSpaceDN w:val="0"/>
        <w:adjustRightInd w:val="0"/>
        <w:snapToGrid w:val="0"/>
        <w:spacing w:line="360" w:lineRule="auto"/>
        <w:ind w:firstLineChars="200" w:firstLine="640"/>
        <w:outlineLvl w:val="2"/>
        <w:rPr>
          <w:rFonts w:ascii="仿宋_GB2312" w:hAnsi="宋体" w:cs="宋体"/>
          <w:color w:val="000000"/>
          <w:kern w:val="0"/>
          <w:sz w:val="32"/>
          <w:szCs w:val="32"/>
        </w:rPr>
      </w:pPr>
      <w:bookmarkStart w:id="72" w:name="_Toc35588423"/>
      <w:r>
        <w:rPr>
          <w:rFonts w:ascii="仿宋_GB2312" w:hAnsi="宋体" w:cs="宋体" w:hint="eastAsia"/>
          <w:color w:val="000000"/>
          <w:kern w:val="0"/>
          <w:sz w:val="32"/>
          <w:szCs w:val="32"/>
        </w:rPr>
        <w:t>1.</w:t>
      </w:r>
      <w:r>
        <w:rPr>
          <w:rFonts w:ascii="仿宋_GB2312" w:hAnsi="宋体" w:cs="宋体" w:hint="eastAsia"/>
          <w:color w:val="000000"/>
          <w:kern w:val="0"/>
          <w:sz w:val="32"/>
          <w:szCs w:val="32"/>
        </w:rPr>
        <w:t>实施效益</w:t>
      </w:r>
      <w:bookmarkEnd w:id="72"/>
    </w:p>
    <w:p w:rsidR="00706F52" w:rsidRDefault="00DE41BA">
      <w:pPr>
        <w:autoSpaceDE w:val="0"/>
        <w:autoSpaceDN w:val="0"/>
        <w:adjustRightInd w:val="0"/>
        <w:snapToGrid w:val="0"/>
        <w:spacing w:line="360" w:lineRule="auto"/>
        <w:ind w:firstLineChars="200" w:firstLine="640"/>
        <w:rPr>
          <w:rFonts w:ascii="仿宋_GB2312" w:hAnsi="宋体" w:cs="宋体"/>
          <w:iCs/>
          <w:color w:val="000000"/>
          <w:kern w:val="0"/>
          <w:sz w:val="32"/>
          <w:szCs w:val="32"/>
        </w:rPr>
      </w:pPr>
      <w:r>
        <w:rPr>
          <w:rFonts w:ascii="仿宋_GB2312" w:hAnsi="宋体" w:cs="宋体" w:hint="eastAsia"/>
          <w:iCs/>
          <w:color w:val="000000"/>
          <w:kern w:val="0"/>
          <w:sz w:val="32"/>
          <w:szCs w:val="32"/>
        </w:rPr>
        <w:t>项目</w:t>
      </w:r>
      <w:r>
        <w:rPr>
          <w:rFonts w:ascii="仿宋_GB2312" w:hAnsi="宋体" w:cs="宋体" w:hint="eastAsia"/>
          <w:iCs/>
          <w:color w:val="000000"/>
          <w:kern w:val="0"/>
          <w:sz w:val="32"/>
          <w:szCs w:val="32"/>
        </w:rPr>
        <w:t>的实施</w:t>
      </w:r>
      <w:r>
        <w:rPr>
          <w:rFonts w:ascii="仿宋_GB2312" w:hAnsi="宋体" w:cs="宋体" w:hint="eastAsia"/>
          <w:iCs/>
          <w:color w:val="000000"/>
          <w:kern w:val="0"/>
          <w:sz w:val="32"/>
          <w:szCs w:val="32"/>
        </w:rPr>
        <w:t>一定程度上为北京市水生态环境管理提供了数据支撑，促进了北京市的饮用水安全保障能力的提升，促进水环境质量全面改善，水生态环境高质量发展。</w:t>
      </w:r>
    </w:p>
    <w:p w:rsidR="00706F52" w:rsidRDefault="00DE41BA">
      <w:pPr>
        <w:autoSpaceDE w:val="0"/>
        <w:autoSpaceDN w:val="0"/>
        <w:adjustRightInd w:val="0"/>
        <w:snapToGrid w:val="0"/>
        <w:spacing w:line="360" w:lineRule="auto"/>
        <w:ind w:firstLineChars="200" w:firstLine="640"/>
        <w:rPr>
          <w:rFonts w:ascii="仿宋_GB2312" w:hAnsi="宋体" w:cs="宋体"/>
          <w:iCs/>
          <w:color w:val="000000"/>
          <w:kern w:val="0"/>
          <w:sz w:val="32"/>
          <w:szCs w:val="32"/>
          <w:highlight w:val="yellow"/>
        </w:rPr>
      </w:pPr>
      <w:r>
        <w:rPr>
          <w:rFonts w:ascii="仿宋_GB2312" w:hAnsi="宋体" w:cs="宋体" w:hint="eastAsia"/>
          <w:iCs/>
          <w:color w:val="000000"/>
          <w:kern w:val="0"/>
          <w:sz w:val="32"/>
          <w:szCs w:val="32"/>
        </w:rPr>
        <w:t>一是通过实施饮用水水源地环境管理技术支撑项目，动态掌握饮用水水源保护区内的环境状况、水质状况和管理状况等信息，并按照生态环境部要求填报了国家水源地调查评估系统年度数据</w:t>
      </w:r>
      <w:r>
        <w:rPr>
          <w:rFonts w:ascii="仿宋_GB2312" w:hAnsi="宋体" w:cs="宋体" w:hint="eastAsia"/>
          <w:iCs/>
          <w:color w:val="000000"/>
          <w:kern w:val="0"/>
          <w:sz w:val="32"/>
          <w:szCs w:val="32"/>
        </w:rPr>
        <w:t>；</w:t>
      </w:r>
      <w:r>
        <w:rPr>
          <w:rFonts w:ascii="仿宋_GB2312" w:hAnsi="宋体" w:cs="宋体" w:hint="eastAsia"/>
          <w:iCs/>
          <w:color w:val="000000"/>
          <w:kern w:val="0"/>
          <w:sz w:val="32"/>
          <w:szCs w:val="32"/>
        </w:rPr>
        <w:t>对</w:t>
      </w:r>
      <w:r>
        <w:rPr>
          <w:rFonts w:ascii="仿宋_GB2312" w:hAnsi="宋体" w:cs="宋体" w:hint="eastAsia"/>
          <w:iCs/>
          <w:color w:val="000000"/>
          <w:kern w:val="0"/>
          <w:sz w:val="32"/>
          <w:szCs w:val="32"/>
        </w:rPr>
        <w:t>2023</w:t>
      </w:r>
      <w:r>
        <w:rPr>
          <w:rFonts w:ascii="仿宋_GB2312" w:hAnsi="宋体" w:cs="宋体" w:hint="eastAsia"/>
          <w:iCs/>
          <w:color w:val="000000"/>
          <w:kern w:val="0"/>
          <w:sz w:val="32"/>
          <w:szCs w:val="32"/>
        </w:rPr>
        <w:t>年《规划》实施情况进行</w:t>
      </w:r>
      <w:r>
        <w:rPr>
          <w:rFonts w:ascii="仿宋_GB2312" w:hAnsi="宋体" w:cs="宋体" w:hint="eastAsia"/>
          <w:iCs/>
          <w:color w:val="000000"/>
          <w:kern w:val="0"/>
          <w:sz w:val="32"/>
          <w:szCs w:val="32"/>
        </w:rPr>
        <w:t>了</w:t>
      </w:r>
      <w:r>
        <w:rPr>
          <w:rFonts w:ascii="仿宋_GB2312" w:hAnsi="宋体" w:cs="宋体" w:hint="eastAsia"/>
          <w:iCs/>
          <w:color w:val="000000"/>
          <w:kern w:val="0"/>
          <w:sz w:val="32"/>
          <w:szCs w:val="32"/>
        </w:rPr>
        <w:t>全面梳理总结，</w:t>
      </w:r>
      <w:r>
        <w:rPr>
          <w:rFonts w:ascii="仿宋_GB2312" w:hAnsi="宋体" w:cs="宋体" w:hint="eastAsia"/>
          <w:iCs/>
          <w:color w:val="000000"/>
          <w:kern w:val="0"/>
          <w:sz w:val="32"/>
          <w:szCs w:val="32"/>
        </w:rPr>
        <w:t>针对</w:t>
      </w:r>
      <w:r>
        <w:rPr>
          <w:rFonts w:ascii="仿宋_GB2312" w:hAnsi="宋体" w:cs="宋体" w:hint="eastAsia"/>
          <w:iCs/>
          <w:color w:val="000000"/>
          <w:kern w:val="0"/>
          <w:sz w:val="32"/>
          <w:szCs w:val="32"/>
        </w:rPr>
        <w:t>开展潮河流域生态环境保护重点任务工作、推进重点项目建设</w:t>
      </w:r>
      <w:r>
        <w:rPr>
          <w:rFonts w:ascii="仿宋_GB2312" w:hAnsi="宋体" w:cs="宋体" w:hint="eastAsia"/>
          <w:iCs/>
          <w:color w:val="000000"/>
          <w:kern w:val="0"/>
          <w:sz w:val="32"/>
          <w:szCs w:val="32"/>
        </w:rPr>
        <w:t>工作提出了“细化做实规划主要任务”“坚持关键问题导向”等</w:t>
      </w:r>
      <w:r>
        <w:rPr>
          <w:rFonts w:ascii="仿宋_GB2312" w:hAnsi="宋体" w:cs="宋体" w:hint="eastAsia"/>
          <w:iCs/>
          <w:color w:val="000000"/>
          <w:kern w:val="0"/>
          <w:sz w:val="32"/>
          <w:szCs w:val="32"/>
        </w:rPr>
        <w:t>7</w:t>
      </w:r>
      <w:r>
        <w:rPr>
          <w:rFonts w:ascii="仿宋_GB2312" w:hAnsi="宋体" w:cs="宋体" w:hint="eastAsia"/>
          <w:iCs/>
          <w:color w:val="000000"/>
          <w:kern w:val="0"/>
          <w:sz w:val="32"/>
          <w:szCs w:val="32"/>
        </w:rPr>
        <w:t>条工作建议。</w:t>
      </w:r>
    </w:p>
    <w:p w:rsidR="00706F52" w:rsidRDefault="00DE41BA">
      <w:pPr>
        <w:autoSpaceDE w:val="0"/>
        <w:autoSpaceDN w:val="0"/>
        <w:adjustRightInd w:val="0"/>
        <w:snapToGrid w:val="0"/>
        <w:spacing w:line="360" w:lineRule="auto"/>
        <w:ind w:firstLineChars="200" w:firstLine="640"/>
        <w:rPr>
          <w:rFonts w:ascii="仿宋_GB2312" w:hAnsi="宋体" w:cs="仿宋_GB2312"/>
          <w:color w:val="000000"/>
          <w:kern w:val="0"/>
          <w:sz w:val="32"/>
          <w:szCs w:val="32"/>
          <w:lang w:bidi="ar"/>
        </w:rPr>
      </w:pPr>
      <w:r>
        <w:rPr>
          <w:rFonts w:ascii="仿宋_GB2312" w:hAnsi="宋体" w:cs="仿宋_GB2312" w:hint="eastAsia"/>
          <w:color w:val="000000"/>
          <w:kern w:val="0"/>
          <w:sz w:val="32"/>
          <w:szCs w:val="32"/>
          <w:lang w:bidi="ar"/>
        </w:rPr>
        <w:t>二是</w:t>
      </w:r>
      <w:r>
        <w:rPr>
          <w:rFonts w:ascii="仿宋_GB2312" w:hAnsi="宋体" w:cs="仿宋_GB2312" w:hint="eastAsia"/>
          <w:color w:val="000000"/>
          <w:kern w:val="0"/>
          <w:sz w:val="32"/>
          <w:szCs w:val="32"/>
          <w:lang w:bidi="ar"/>
        </w:rPr>
        <w:t>通过实施劣</w:t>
      </w:r>
      <w:r>
        <w:rPr>
          <w:rFonts w:ascii="仿宋_GB2312" w:hAnsi="宋体" w:cs="仿宋_GB2312" w:hint="eastAsia"/>
          <w:color w:val="000000"/>
          <w:kern w:val="0"/>
          <w:sz w:val="32"/>
          <w:szCs w:val="32"/>
          <w:lang w:bidi="ar"/>
        </w:rPr>
        <w:t>Ⅴ</w:t>
      </w:r>
      <w:r>
        <w:rPr>
          <w:rFonts w:ascii="仿宋_GB2312" w:hAnsi="宋体" w:cs="仿宋_GB2312" w:hint="eastAsia"/>
          <w:color w:val="000000"/>
          <w:kern w:val="0"/>
          <w:sz w:val="32"/>
          <w:szCs w:val="32"/>
          <w:lang w:bidi="ar"/>
        </w:rPr>
        <w:t>类及水生态环境保护重点问题第三方核查项目，为全市水生态环境精细化监管提供了支持。形成农村污</w:t>
      </w:r>
      <w:r>
        <w:rPr>
          <w:rFonts w:ascii="仿宋_GB2312" w:hAnsi="宋体" w:cs="仿宋_GB2312" w:hint="eastAsia"/>
          <w:color w:val="000000"/>
          <w:kern w:val="0"/>
          <w:sz w:val="32"/>
          <w:szCs w:val="32"/>
          <w:lang w:bidi="ar"/>
        </w:rPr>
        <w:lastRenderedPageBreak/>
        <w:t>水</w:t>
      </w:r>
      <w:proofErr w:type="gramStart"/>
      <w:r>
        <w:rPr>
          <w:rFonts w:ascii="仿宋_GB2312" w:hAnsi="宋体" w:cs="仿宋_GB2312" w:hint="eastAsia"/>
          <w:color w:val="000000"/>
          <w:kern w:val="0"/>
          <w:sz w:val="32"/>
          <w:szCs w:val="32"/>
          <w:lang w:bidi="ar"/>
        </w:rPr>
        <w:t>治理台</w:t>
      </w:r>
      <w:proofErr w:type="gramEnd"/>
      <w:r>
        <w:rPr>
          <w:rFonts w:ascii="仿宋_GB2312" w:hAnsi="宋体" w:cs="仿宋_GB2312" w:hint="eastAsia"/>
          <w:color w:val="000000"/>
          <w:kern w:val="0"/>
          <w:sz w:val="32"/>
          <w:szCs w:val="32"/>
          <w:lang w:bidi="ar"/>
        </w:rPr>
        <w:t>账、污水处理设施台账和示意图，为全市水生态环境监管工作提供基础数据支撑</w:t>
      </w:r>
      <w:r>
        <w:rPr>
          <w:rFonts w:ascii="仿宋_GB2312" w:hAnsi="宋体" w:cs="仿宋_GB2312" w:hint="eastAsia"/>
          <w:color w:val="000000"/>
          <w:kern w:val="0"/>
          <w:sz w:val="32"/>
          <w:szCs w:val="32"/>
          <w:lang w:bidi="ar"/>
        </w:rPr>
        <w:t>；</w:t>
      </w:r>
      <w:r>
        <w:rPr>
          <w:rFonts w:ascii="仿宋_GB2312" w:hAnsi="宋体" w:cs="仿宋_GB2312" w:hint="eastAsia"/>
          <w:color w:val="000000"/>
          <w:kern w:val="0"/>
          <w:sz w:val="32"/>
          <w:szCs w:val="32"/>
          <w:lang w:bidi="ar"/>
        </w:rPr>
        <w:t>对各区及部分市级水源地饮用水水源保护区环境状况、劣</w:t>
      </w:r>
      <w:r>
        <w:rPr>
          <w:rFonts w:ascii="仿宋_GB2312" w:hAnsi="宋体" w:cs="仿宋_GB2312" w:hint="eastAsia"/>
          <w:color w:val="000000"/>
          <w:kern w:val="0"/>
          <w:sz w:val="32"/>
          <w:szCs w:val="32"/>
          <w:lang w:bidi="ar"/>
        </w:rPr>
        <w:t>Ⅴ</w:t>
      </w:r>
      <w:r>
        <w:rPr>
          <w:rFonts w:ascii="仿宋_GB2312" w:hAnsi="宋体" w:cs="仿宋_GB2312" w:hint="eastAsia"/>
          <w:color w:val="000000"/>
          <w:kern w:val="0"/>
          <w:sz w:val="32"/>
          <w:szCs w:val="32"/>
          <w:lang w:bidi="ar"/>
        </w:rPr>
        <w:t>、黑臭水体等进行现场核查，梳理形成现场核查的环境问题</w:t>
      </w:r>
      <w:proofErr w:type="gramStart"/>
      <w:r>
        <w:rPr>
          <w:rFonts w:ascii="仿宋_GB2312" w:hAnsi="宋体" w:cs="仿宋_GB2312" w:hint="eastAsia"/>
          <w:color w:val="000000"/>
          <w:kern w:val="0"/>
          <w:sz w:val="32"/>
          <w:szCs w:val="32"/>
          <w:lang w:bidi="ar"/>
        </w:rPr>
        <w:t>线索台</w:t>
      </w:r>
      <w:proofErr w:type="gramEnd"/>
      <w:r>
        <w:rPr>
          <w:rFonts w:ascii="仿宋_GB2312" w:hAnsi="宋体" w:cs="仿宋_GB2312" w:hint="eastAsia"/>
          <w:color w:val="000000"/>
          <w:kern w:val="0"/>
          <w:sz w:val="32"/>
          <w:szCs w:val="32"/>
          <w:lang w:bidi="ar"/>
        </w:rPr>
        <w:t>账和照片</w:t>
      </w:r>
      <w:r>
        <w:rPr>
          <w:rFonts w:ascii="仿宋_GB2312" w:hAnsi="宋体" w:cs="仿宋_GB2312" w:hint="eastAsia"/>
          <w:color w:val="000000"/>
          <w:kern w:val="0"/>
          <w:sz w:val="32"/>
          <w:szCs w:val="32"/>
          <w:lang w:bidi="ar"/>
        </w:rPr>
        <w:t>。</w:t>
      </w:r>
      <w:r>
        <w:rPr>
          <w:rFonts w:ascii="仿宋_GB2312" w:hAnsi="宋体" w:cs="仿宋_GB2312" w:hint="eastAsia"/>
          <w:color w:val="000000"/>
          <w:kern w:val="0"/>
          <w:sz w:val="32"/>
          <w:szCs w:val="32"/>
          <w:lang w:bidi="ar"/>
        </w:rPr>
        <w:t>问题线索</w:t>
      </w:r>
      <w:r>
        <w:rPr>
          <w:rFonts w:ascii="仿宋_GB2312" w:hAnsi="宋体" w:cs="仿宋_GB2312" w:hint="eastAsia"/>
          <w:color w:val="000000"/>
          <w:kern w:val="0"/>
          <w:sz w:val="32"/>
          <w:szCs w:val="32"/>
          <w:lang w:bidi="ar"/>
        </w:rPr>
        <w:t>由水生态环境处</w:t>
      </w:r>
      <w:r>
        <w:rPr>
          <w:rFonts w:ascii="仿宋_GB2312" w:hAnsi="宋体" w:cs="仿宋_GB2312" w:hint="eastAsia"/>
          <w:color w:val="000000"/>
          <w:kern w:val="0"/>
          <w:sz w:val="32"/>
          <w:szCs w:val="32"/>
          <w:lang w:bidi="ar"/>
        </w:rPr>
        <w:t>反馈相关区</w:t>
      </w:r>
      <w:r>
        <w:rPr>
          <w:rFonts w:ascii="仿宋_GB2312" w:hAnsi="宋体" w:cs="仿宋_GB2312" w:hint="eastAsia"/>
          <w:color w:val="000000"/>
          <w:kern w:val="0"/>
          <w:sz w:val="32"/>
          <w:szCs w:val="32"/>
          <w:lang w:bidi="ar"/>
        </w:rPr>
        <w:t>生态环境部门</w:t>
      </w:r>
      <w:r>
        <w:rPr>
          <w:rFonts w:ascii="仿宋_GB2312" w:hAnsi="宋体" w:cs="仿宋_GB2312" w:hint="eastAsia"/>
          <w:color w:val="000000"/>
          <w:kern w:val="0"/>
          <w:sz w:val="32"/>
          <w:szCs w:val="32"/>
          <w:lang w:bidi="ar"/>
        </w:rPr>
        <w:t>，督促立行立改。</w:t>
      </w:r>
    </w:p>
    <w:p w:rsidR="00706F52" w:rsidRDefault="00DE41BA" w:rsidP="00FC760D">
      <w:pPr>
        <w:autoSpaceDE w:val="0"/>
        <w:autoSpaceDN w:val="0"/>
        <w:adjustRightInd w:val="0"/>
        <w:snapToGrid w:val="0"/>
        <w:spacing w:line="360" w:lineRule="auto"/>
        <w:ind w:firstLineChars="200" w:firstLine="640"/>
        <w:rPr>
          <w:rFonts w:ascii="仿宋_GB2312" w:hAnsi="宋体" w:cs="仿宋_GB2312"/>
          <w:color w:val="000000"/>
          <w:kern w:val="0"/>
          <w:sz w:val="32"/>
          <w:szCs w:val="32"/>
          <w:lang w:bidi="ar"/>
        </w:rPr>
      </w:pPr>
      <w:r>
        <w:rPr>
          <w:rFonts w:ascii="仿宋_GB2312" w:hAnsi="宋体" w:cs="仿宋_GB2312" w:hint="eastAsia"/>
          <w:color w:val="000000"/>
          <w:kern w:val="0"/>
          <w:sz w:val="32"/>
          <w:szCs w:val="32"/>
          <w:lang w:bidi="ar"/>
        </w:rPr>
        <w:t>三是通过实施北京市重点水体水功能区优化提升技术支撑</w:t>
      </w:r>
      <w:r>
        <w:rPr>
          <w:rFonts w:ascii="仿宋_GB2312" w:hAnsi="宋体" w:cs="仿宋_GB2312"/>
          <w:color w:val="000000"/>
          <w:kern w:val="0"/>
          <w:sz w:val="32"/>
          <w:szCs w:val="32"/>
          <w:lang w:bidi="ar"/>
        </w:rPr>
        <w:t>项目</w:t>
      </w:r>
      <w:r>
        <w:rPr>
          <w:rFonts w:ascii="仿宋_GB2312" w:hAnsi="宋体" w:cs="仿宋_GB2312" w:hint="eastAsia"/>
          <w:color w:val="000000"/>
          <w:kern w:val="0"/>
          <w:sz w:val="32"/>
          <w:szCs w:val="32"/>
          <w:lang w:bidi="ar"/>
        </w:rPr>
        <w:t>，</w:t>
      </w:r>
      <w:r>
        <w:rPr>
          <w:rFonts w:ascii="仿宋_GB2312" w:hAnsi="宋体" w:cs="仿宋_GB2312" w:hint="eastAsia"/>
          <w:color w:val="000000"/>
          <w:kern w:val="0"/>
          <w:sz w:val="32"/>
          <w:szCs w:val="32"/>
          <w:lang w:bidi="ar"/>
        </w:rPr>
        <w:t>对北京市水环境、水资源、水环境现状进行了分析，对国内外水生态分区进展和概况进行了收集整理，形成了</w:t>
      </w:r>
      <w:r>
        <w:rPr>
          <w:rFonts w:ascii="仿宋_GB2312" w:hAnsi="宋体" w:cs="仿宋_GB2312" w:hint="eastAsia"/>
          <w:color w:val="000000"/>
          <w:kern w:val="0"/>
          <w:sz w:val="32"/>
          <w:szCs w:val="32"/>
          <w:lang w:bidi="ar"/>
        </w:rPr>
        <w:t>丰台区域</w:t>
      </w:r>
      <w:r>
        <w:rPr>
          <w:rFonts w:ascii="仿宋_GB2312" w:hAnsi="宋体" w:cs="仿宋_GB2312" w:hint="eastAsia"/>
          <w:color w:val="000000"/>
          <w:kern w:val="0"/>
          <w:sz w:val="32"/>
          <w:szCs w:val="32"/>
          <w:lang w:bidi="ar"/>
        </w:rPr>
        <w:t>、</w:t>
      </w:r>
      <w:r>
        <w:rPr>
          <w:rFonts w:ascii="仿宋_GB2312" w:hAnsi="宋体" w:cs="仿宋_GB2312" w:hint="eastAsia"/>
          <w:color w:val="000000"/>
          <w:kern w:val="0"/>
          <w:sz w:val="32"/>
          <w:szCs w:val="32"/>
          <w:lang w:bidi="ar"/>
        </w:rPr>
        <w:t>大兴区域再生水循环利用案例</w:t>
      </w:r>
      <w:r>
        <w:rPr>
          <w:rFonts w:ascii="仿宋_GB2312" w:hAnsi="宋体" w:cs="仿宋_GB2312" w:hint="eastAsia"/>
          <w:color w:val="000000"/>
          <w:kern w:val="0"/>
          <w:sz w:val="32"/>
          <w:szCs w:val="32"/>
          <w:lang w:bidi="ar"/>
        </w:rPr>
        <w:t>(</w:t>
      </w:r>
      <w:r>
        <w:rPr>
          <w:rFonts w:ascii="仿宋_GB2312" w:hAnsi="宋体" w:cs="仿宋_GB2312" w:hint="eastAsia"/>
          <w:color w:val="000000"/>
          <w:kern w:val="0"/>
          <w:sz w:val="32"/>
          <w:szCs w:val="32"/>
          <w:lang w:bidi="ar"/>
        </w:rPr>
        <w:t>规划</w:t>
      </w:r>
      <w:r>
        <w:rPr>
          <w:rFonts w:ascii="仿宋_GB2312" w:hAnsi="宋体" w:cs="仿宋_GB2312" w:hint="eastAsia"/>
          <w:color w:val="000000"/>
          <w:kern w:val="0"/>
          <w:sz w:val="32"/>
          <w:szCs w:val="32"/>
          <w:lang w:bidi="ar"/>
        </w:rPr>
        <w:t>)</w:t>
      </w:r>
      <w:r>
        <w:rPr>
          <w:rFonts w:ascii="仿宋_GB2312" w:hAnsi="宋体" w:cs="仿宋_GB2312" w:hint="eastAsia"/>
          <w:color w:val="000000"/>
          <w:kern w:val="0"/>
          <w:sz w:val="32"/>
          <w:szCs w:val="32"/>
          <w:lang w:bidi="ar"/>
        </w:rPr>
        <w:t>及建议</w:t>
      </w:r>
      <w:r>
        <w:rPr>
          <w:rFonts w:ascii="仿宋_GB2312" w:hAnsi="宋体" w:cs="仿宋_GB2312" w:hint="eastAsia"/>
          <w:color w:val="000000"/>
          <w:kern w:val="0"/>
          <w:sz w:val="32"/>
          <w:szCs w:val="32"/>
          <w:lang w:bidi="ar"/>
        </w:rPr>
        <w:t>，</w:t>
      </w:r>
      <w:r>
        <w:rPr>
          <w:rFonts w:ascii="仿宋_GB2312" w:hAnsi="宋体" w:cs="仿宋_GB2312" w:hint="eastAsia"/>
          <w:color w:val="000000"/>
          <w:kern w:val="0"/>
          <w:sz w:val="32"/>
          <w:szCs w:val="32"/>
          <w:lang w:bidi="ar"/>
        </w:rPr>
        <w:t>为</w:t>
      </w:r>
      <w:r>
        <w:rPr>
          <w:rFonts w:ascii="仿宋_GB2312" w:hAnsi="宋体" w:cs="仿宋_GB2312" w:hint="eastAsia"/>
          <w:color w:val="000000"/>
          <w:kern w:val="0"/>
          <w:sz w:val="32"/>
          <w:szCs w:val="32"/>
          <w:lang w:bidi="ar"/>
        </w:rPr>
        <w:t>北京市</w:t>
      </w:r>
      <w:r>
        <w:rPr>
          <w:rFonts w:ascii="仿宋_GB2312" w:hAnsi="宋体" w:cs="仿宋_GB2312" w:hint="eastAsia"/>
          <w:color w:val="000000"/>
          <w:kern w:val="0"/>
          <w:sz w:val="32"/>
          <w:szCs w:val="32"/>
          <w:lang w:bidi="ar"/>
        </w:rPr>
        <w:t>水生态功能分区提供</w:t>
      </w:r>
      <w:r>
        <w:rPr>
          <w:rFonts w:ascii="仿宋_GB2312" w:hAnsi="宋体" w:cs="仿宋_GB2312"/>
          <w:color w:val="000000"/>
          <w:kern w:val="0"/>
          <w:sz w:val="32"/>
          <w:szCs w:val="32"/>
          <w:lang w:bidi="ar"/>
        </w:rPr>
        <w:t>了</w:t>
      </w:r>
      <w:r>
        <w:rPr>
          <w:rFonts w:ascii="仿宋_GB2312" w:hAnsi="宋体" w:cs="仿宋_GB2312" w:hint="eastAsia"/>
          <w:color w:val="000000"/>
          <w:kern w:val="0"/>
          <w:sz w:val="32"/>
          <w:szCs w:val="32"/>
          <w:lang w:bidi="ar"/>
        </w:rPr>
        <w:t>技术支撑方案</w:t>
      </w:r>
      <w:r>
        <w:rPr>
          <w:rFonts w:ascii="仿宋_GB2312" w:hAnsi="宋体" w:cs="仿宋_GB2312"/>
          <w:color w:val="000000"/>
          <w:kern w:val="0"/>
          <w:sz w:val="32"/>
          <w:szCs w:val="32"/>
          <w:lang w:bidi="ar"/>
        </w:rPr>
        <w:t>，研究成果已部分用于支撑当前水生态环境管理工作，</w:t>
      </w:r>
      <w:proofErr w:type="gramStart"/>
      <w:r>
        <w:rPr>
          <w:rFonts w:ascii="仿宋_GB2312" w:hAnsi="宋体" w:cs="仿宋_GB2312"/>
          <w:color w:val="000000"/>
          <w:kern w:val="0"/>
          <w:sz w:val="32"/>
          <w:szCs w:val="32"/>
          <w:lang w:bidi="ar"/>
        </w:rPr>
        <w:t>特别</w:t>
      </w:r>
      <w:proofErr w:type="gramEnd"/>
      <w:r>
        <w:rPr>
          <w:rFonts w:ascii="仿宋_GB2312" w:hAnsi="宋体" w:cs="仿宋_GB2312"/>
          <w:color w:val="000000"/>
          <w:kern w:val="0"/>
          <w:sz w:val="32"/>
          <w:szCs w:val="32"/>
          <w:lang w:bidi="ar"/>
        </w:rPr>
        <w:t>对于落实</w:t>
      </w:r>
      <w:r>
        <w:rPr>
          <w:rFonts w:ascii="仿宋_GB2312" w:hAnsi="宋体" w:cs="仿宋_GB2312"/>
          <w:color w:val="000000"/>
          <w:kern w:val="0"/>
          <w:sz w:val="32"/>
          <w:szCs w:val="32"/>
          <w:lang w:bidi="ar"/>
        </w:rPr>
        <w:t>2024</w:t>
      </w:r>
      <w:r>
        <w:rPr>
          <w:rFonts w:ascii="仿宋_GB2312" w:hAnsi="宋体" w:cs="仿宋_GB2312"/>
          <w:color w:val="000000"/>
          <w:kern w:val="0"/>
          <w:sz w:val="32"/>
          <w:szCs w:val="32"/>
          <w:lang w:bidi="ar"/>
        </w:rPr>
        <w:t>年</w:t>
      </w:r>
      <w:r>
        <w:rPr>
          <w:rFonts w:ascii="仿宋_GB2312" w:hAnsi="宋体" w:cs="仿宋_GB2312"/>
          <w:color w:val="000000"/>
          <w:kern w:val="0"/>
          <w:sz w:val="32"/>
          <w:szCs w:val="32"/>
          <w:lang w:bidi="ar"/>
        </w:rPr>
        <w:t>3</w:t>
      </w:r>
      <w:r>
        <w:rPr>
          <w:rFonts w:ascii="仿宋_GB2312" w:hAnsi="宋体" w:cs="仿宋_GB2312"/>
          <w:color w:val="000000"/>
          <w:kern w:val="0"/>
          <w:sz w:val="32"/>
          <w:szCs w:val="32"/>
          <w:lang w:bidi="ar"/>
        </w:rPr>
        <w:t>月印发的《中共中央办公厅</w:t>
      </w:r>
      <w:r>
        <w:rPr>
          <w:rFonts w:ascii="仿宋_GB2312" w:hAnsi="宋体" w:cs="仿宋_GB2312"/>
          <w:color w:val="000000"/>
          <w:kern w:val="0"/>
          <w:sz w:val="32"/>
          <w:szCs w:val="32"/>
          <w:lang w:bidi="ar"/>
        </w:rPr>
        <w:t xml:space="preserve"> </w:t>
      </w:r>
      <w:r>
        <w:rPr>
          <w:rFonts w:ascii="仿宋_GB2312" w:hAnsi="宋体" w:cs="仿宋_GB2312"/>
          <w:color w:val="000000"/>
          <w:kern w:val="0"/>
          <w:sz w:val="32"/>
          <w:szCs w:val="32"/>
          <w:lang w:bidi="ar"/>
        </w:rPr>
        <w:t>国务院办公厅关于加强生态环境分区管控的意见》发挥了一定作用。同时水生态功能分区建议将为下一阶段年度重点工作、规划提供支撑。</w:t>
      </w:r>
      <w:r>
        <w:rPr>
          <w:rFonts w:ascii="仿宋_GB2312" w:hAnsi="宋体" w:cs="仿宋_GB2312" w:hint="eastAsia"/>
          <w:color w:val="000000"/>
          <w:kern w:val="0"/>
          <w:sz w:val="32"/>
          <w:szCs w:val="32"/>
          <w:lang w:bidi="ar"/>
        </w:rPr>
        <w:t>项目单位仍需继续推进北京市重点水体水功能区优化提升技术支撑项目的成果应用工作，确保财政资金使用效益的发挥。</w:t>
      </w:r>
    </w:p>
    <w:p w:rsidR="00706F52" w:rsidRDefault="00DE41BA">
      <w:pPr>
        <w:autoSpaceDE w:val="0"/>
        <w:autoSpaceDN w:val="0"/>
        <w:adjustRightInd w:val="0"/>
        <w:snapToGrid w:val="0"/>
        <w:spacing w:line="360" w:lineRule="auto"/>
        <w:ind w:firstLineChars="200" w:firstLine="640"/>
        <w:outlineLvl w:val="2"/>
        <w:rPr>
          <w:rFonts w:ascii="仿宋_GB2312" w:hAnsi="宋体" w:cs="宋体"/>
          <w:color w:val="000000"/>
          <w:kern w:val="0"/>
          <w:sz w:val="32"/>
          <w:szCs w:val="32"/>
        </w:rPr>
      </w:pPr>
      <w:r>
        <w:rPr>
          <w:rFonts w:ascii="仿宋_GB2312" w:hAnsi="宋体" w:cs="宋体" w:hint="eastAsia"/>
          <w:color w:val="000000"/>
          <w:kern w:val="0"/>
          <w:sz w:val="32"/>
          <w:szCs w:val="32"/>
        </w:rPr>
        <w:t>2.</w:t>
      </w:r>
      <w:r>
        <w:rPr>
          <w:rFonts w:ascii="仿宋_GB2312" w:hAnsi="宋体" w:cs="宋体" w:hint="eastAsia"/>
          <w:color w:val="000000"/>
          <w:kern w:val="0"/>
          <w:sz w:val="32"/>
          <w:szCs w:val="32"/>
        </w:rPr>
        <w:t>服务对象满意度</w:t>
      </w:r>
    </w:p>
    <w:p w:rsidR="00706F52" w:rsidRDefault="00DE41BA">
      <w:pPr>
        <w:autoSpaceDE w:val="0"/>
        <w:autoSpaceDN w:val="0"/>
        <w:adjustRightInd w:val="0"/>
        <w:snapToGrid w:val="0"/>
        <w:spacing w:line="360" w:lineRule="auto"/>
        <w:ind w:firstLineChars="200" w:firstLine="640"/>
        <w:rPr>
          <w:rFonts w:ascii="仿宋_GB2312" w:hAnsi="宋体" w:cs="宋体"/>
          <w:color w:val="000000"/>
          <w:kern w:val="0"/>
          <w:sz w:val="32"/>
          <w:szCs w:val="32"/>
          <w:highlight w:val="yellow"/>
        </w:rPr>
      </w:pPr>
      <w:r>
        <w:rPr>
          <w:rFonts w:ascii="仿宋_GB2312" w:hAnsi="宋体" w:cs="宋体" w:hint="eastAsia"/>
          <w:iCs/>
          <w:color w:val="000000"/>
          <w:kern w:val="0"/>
          <w:sz w:val="32"/>
          <w:szCs w:val="32"/>
        </w:rPr>
        <w:t>项目的实施能够为</w:t>
      </w:r>
      <w:r>
        <w:rPr>
          <w:rFonts w:ascii="仿宋_GB2312" w:hAnsi="宋体" w:cs="宋体" w:hint="eastAsia"/>
          <w:iCs/>
          <w:color w:val="000000"/>
          <w:kern w:val="0"/>
          <w:sz w:val="32"/>
          <w:szCs w:val="32"/>
        </w:rPr>
        <w:t>北京市</w:t>
      </w:r>
      <w:r>
        <w:rPr>
          <w:rFonts w:ascii="仿宋_GB2312" w:hAnsi="宋体" w:cs="仿宋_GB2312" w:hint="eastAsia"/>
          <w:color w:val="000000"/>
          <w:kern w:val="0"/>
          <w:sz w:val="32"/>
          <w:szCs w:val="32"/>
          <w:lang w:bidi="ar"/>
        </w:rPr>
        <w:t>水生态功能分区、再生水循环利用</w:t>
      </w:r>
      <w:r>
        <w:rPr>
          <w:rFonts w:ascii="仿宋_GB2312" w:hAnsi="宋体" w:cs="宋体" w:hint="eastAsia"/>
          <w:iCs/>
          <w:color w:val="000000"/>
          <w:kern w:val="0"/>
          <w:sz w:val="32"/>
          <w:szCs w:val="32"/>
        </w:rPr>
        <w:t>等工作</w:t>
      </w:r>
      <w:r>
        <w:rPr>
          <w:rFonts w:ascii="仿宋_GB2312" w:hAnsi="宋体" w:cs="宋体" w:hint="eastAsia"/>
          <w:iCs/>
          <w:color w:val="000000"/>
          <w:kern w:val="0"/>
          <w:sz w:val="32"/>
          <w:szCs w:val="32"/>
        </w:rPr>
        <w:t>提供决策支撑，通过</w:t>
      </w:r>
      <w:r>
        <w:rPr>
          <w:rFonts w:ascii="仿宋_GB2312" w:hAnsi="宋体" w:cs="仿宋_GB2312" w:hint="eastAsia"/>
          <w:color w:val="000000"/>
          <w:kern w:val="0"/>
          <w:sz w:val="32"/>
          <w:szCs w:val="32"/>
          <w:lang w:bidi="ar"/>
        </w:rPr>
        <w:t>饮用水水源</w:t>
      </w:r>
      <w:r>
        <w:rPr>
          <w:rFonts w:ascii="仿宋_GB2312" w:hAnsi="宋体" w:cs="仿宋_GB2312" w:hint="eastAsia"/>
          <w:color w:val="000000"/>
          <w:kern w:val="0"/>
          <w:sz w:val="32"/>
          <w:szCs w:val="32"/>
          <w:lang w:bidi="ar"/>
        </w:rPr>
        <w:t>地</w:t>
      </w:r>
      <w:r>
        <w:rPr>
          <w:rFonts w:ascii="仿宋_GB2312" w:hAnsi="宋体" w:cs="仿宋_GB2312" w:hint="eastAsia"/>
          <w:color w:val="000000"/>
          <w:kern w:val="0"/>
          <w:sz w:val="32"/>
          <w:szCs w:val="32"/>
          <w:lang w:bidi="ar"/>
        </w:rPr>
        <w:t>、劣</w:t>
      </w:r>
      <w:r>
        <w:rPr>
          <w:rFonts w:ascii="仿宋_GB2312" w:hAnsi="宋体" w:cs="仿宋_GB2312" w:hint="eastAsia"/>
          <w:color w:val="000000"/>
          <w:kern w:val="0"/>
          <w:sz w:val="32"/>
          <w:szCs w:val="32"/>
          <w:lang w:bidi="ar"/>
        </w:rPr>
        <w:t>Ⅴ类</w:t>
      </w:r>
      <w:r>
        <w:rPr>
          <w:rFonts w:ascii="仿宋_GB2312" w:hAnsi="宋体" w:cs="仿宋_GB2312" w:hint="eastAsia"/>
          <w:color w:val="000000"/>
          <w:kern w:val="0"/>
          <w:sz w:val="32"/>
          <w:szCs w:val="32"/>
          <w:lang w:bidi="ar"/>
        </w:rPr>
        <w:t>、黑臭水体</w:t>
      </w:r>
      <w:r>
        <w:rPr>
          <w:rFonts w:ascii="仿宋_GB2312" w:hAnsi="宋体" w:cs="仿宋_GB2312" w:hint="eastAsia"/>
          <w:color w:val="000000"/>
          <w:kern w:val="0"/>
          <w:sz w:val="32"/>
          <w:szCs w:val="32"/>
          <w:lang w:bidi="ar"/>
        </w:rPr>
        <w:t>现场核查等工作，一定程度上保障了</w:t>
      </w:r>
      <w:r>
        <w:rPr>
          <w:rFonts w:ascii="仿宋_GB2312" w:hAnsi="宋体" w:cs="宋体" w:hint="eastAsia"/>
          <w:iCs/>
          <w:color w:val="000000"/>
          <w:kern w:val="0"/>
          <w:sz w:val="32"/>
          <w:szCs w:val="32"/>
        </w:rPr>
        <w:t>北京市</w:t>
      </w:r>
      <w:r>
        <w:rPr>
          <w:rFonts w:ascii="仿宋_GB2312" w:hAnsi="宋体" w:cs="宋体" w:hint="eastAsia"/>
          <w:iCs/>
          <w:color w:val="000000"/>
          <w:kern w:val="0"/>
          <w:sz w:val="32"/>
          <w:szCs w:val="32"/>
        </w:rPr>
        <w:t>民</w:t>
      </w:r>
      <w:r>
        <w:rPr>
          <w:rFonts w:ascii="仿宋_GB2312" w:hAnsi="宋体" w:cs="宋体" w:hint="eastAsia"/>
          <w:iCs/>
          <w:color w:val="000000"/>
          <w:kern w:val="0"/>
          <w:sz w:val="32"/>
          <w:szCs w:val="32"/>
        </w:rPr>
        <w:t>的饮用水安全，改善</w:t>
      </w:r>
      <w:r>
        <w:rPr>
          <w:rFonts w:ascii="仿宋_GB2312" w:hAnsi="宋体" w:cs="宋体" w:hint="eastAsia"/>
          <w:iCs/>
          <w:color w:val="000000"/>
          <w:kern w:val="0"/>
          <w:sz w:val="32"/>
          <w:szCs w:val="32"/>
        </w:rPr>
        <w:lastRenderedPageBreak/>
        <w:t>水</w:t>
      </w:r>
      <w:r>
        <w:rPr>
          <w:rFonts w:ascii="仿宋_GB2312" w:hAnsi="宋体" w:cs="宋体" w:hint="eastAsia"/>
          <w:iCs/>
          <w:color w:val="000000"/>
          <w:kern w:val="0"/>
          <w:sz w:val="32"/>
          <w:szCs w:val="32"/>
        </w:rPr>
        <w:t>生态</w:t>
      </w:r>
      <w:r>
        <w:rPr>
          <w:rFonts w:ascii="仿宋_GB2312" w:hAnsi="宋体" w:cs="宋体" w:hint="eastAsia"/>
          <w:iCs/>
          <w:color w:val="000000"/>
          <w:kern w:val="0"/>
          <w:sz w:val="32"/>
          <w:szCs w:val="32"/>
        </w:rPr>
        <w:t>环境质量</w:t>
      </w:r>
      <w:r>
        <w:rPr>
          <w:rFonts w:ascii="仿宋_GB2312" w:hAnsi="宋体" w:cs="宋体" w:hint="eastAsia"/>
          <w:iCs/>
          <w:color w:val="000000"/>
          <w:kern w:val="0"/>
          <w:sz w:val="32"/>
          <w:szCs w:val="32"/>
        </w:rPr>
        <w:t>。</w:t>
      </w:r>
      <w:r>
        <w:rPr>
          <w:rFonts w:ascii="仿宋_GB2312" w:hAnsi="宋体" w:cs="宋体" w:hint="eastAsia"/>
          <w:iCs/>
          <w:color w:val="000000"/>
          <w:kern w:val="0"/>
          <w:sz w:val="32"/>
          <w:szCs w:val="32"/>
        </w:rPr>
        <w:t>项目</w:t>
      </w:r>
      <w:r>
        <w:rPr>
          <w:rFonts w:ascii="仿宋_GB2312" w:hAnsi="宋体" w:cs="宋体" w:hint="eastAsia"/>
          <w:iCs/>
          <w:color w:val="000000"/>
          <w:kern w:val="0"/>
          <w:sz w:val="32"/>
          <w:szCs w:val="32"/>
        </w:rPr>
        <w:t>服务对象应为主管部门或社会公众，但项目单位未对相关服务对象开展满意度调查工作，服务对象满意度支撑材料不够充分。</w:t>
      </w:r>
    </w:p>
    <w:p w:rsidR="00706F52" w:rsidRDefault="00DE41BA">
      <w:pPr>
        <w:adjustRightInd w:val="0"/>
        <w:snapToGrid w:val="0"/>
        <w:spacing w:line="360" w:lineRule="auto"/>
        <w:ind w:firstLineChars="200" w:firstLine="640"/>
        <w:outlineLvl w:val="0"/>
        <w:rPr>
          <w:rFonts w:ascii="黑体" w:eastAsia="黑体"/>
          <w:sz w:val="32"/>
          <w:szCs w:val="32"/>
        </w:rPr>
      </w:pPr>
      <w:bookmarkStart w:id="73" w:name="_Toc17355"/>
      <w:bookmarkStart w:id="74" w:name="_Toc32214"/>
      <w:bookmarkStart w:id="75" w:name="_Toc35588424"/>
      <w:bookmarkStart w:id="76" w:name="_Toc18425"/>
      <w:r>
        <w:rPr>
          <w:rFonts w:ascii="黑体" w:eastAsia="黑体" w:hint="eastAsia"/>
          <w:sz w:val="32"/>
          <w:szCs w:val="32"/>
        </w:rPr>
        <w:t>五、主要经验及做法、存在的问题及原因分析</w:t>
      </w:r>
      <w:bookmarkEnd w:id="73"/>
      <w:bookmarkEnd w:id="74"/>
      <w:bookmarkEnd w:id="75"/>
      <w:bookmarkEnd w:id="76"/>
    </w:p>
    <w:p w:rsidR="00706F52" w:rsidRDefault="00DE41BA">
      <w:pPr>
        <w:adjustRightInd w:val="0"/>
        <w:snapToGrid w:val="0"/>
        <w:spacing w:line="360" w:lineRule="auto"/>
        <w:ind w:firstLineChars="200" w:firstLine="640"/>
        <w:outlineLvl w:val="1"/>
        <w:rPr>
          <w:rFonts w:ascii="楷体_GB2312" w:eastAsia="楷体_GB2312"/>
          <w:sz w:val="32"/>
          <w:szCs w:val="32"/>
        </w:rPr>
      </w:pPr>
      <w:bookmarkStart w:id="77" w:name="_Toc35588784"/>
      <w:bookmarkStart w:id="78" w:name="_Toc35588426"/>
      <w:bookmarkStart w:id="79" w:name="_Toc31790"/>
      <w:bookmarkStart w:id="80" w:name="_Toc14352"/>
      <w:bookmarkStart w:id="81" w:name="_Toc21169"/>
      <w:r>
        <w:rPr>
          <w:rFonts w:ascii="楷体_GB2312" w:eastAsia="楷体_GB2312" w:hint="eastAsia"/>
          <w:sz w:val="32"/>
          <w:szCs w:val="32"/>
        </w:rPr>
        <w:t>（一）</w:t>
      </w:r>
      <w:bookmarkEnd w:id="77"/>
      <w:bookmarkEnd w:id="78"/>
      <w:r>
        <w:rPr>
          <w:rFonts w:ascii="楷体_GB2312" w:eastAsia="楷体_GB2312" w:hint="eastAsia"/>
          <w:sz w:val="32"/>
          <w:szCs w:val="32"/>
        </w:rPr>
        <w:t>主要经验做法</w:t>
      </w:r>
      <w:bookmarkEnd w:id="79"/>
      <w:bookmarkEnd w:id="80"/>
    </w:p>
    <w:p w:rsidR="00706F52" w:rsidRDefault="00DE41BA">
      <w:pPr>
        <w:adjustRightInd w:val="0"/>
        <w:snapToGrid w:val="0"/>
        <w:spacing w:line="360" w:lineRule="auto"/>
        <w:ind w:firstLineChars="200" w:firstLine="643"/>
        <w:rPr>
          <w:rFonts w:ascii="仿宋_GB2312" w:hAnsi="仿宋_GB2312" w:cs="仿宋_GB2312"/>
          <w:b/>
          <w:bCs/>
          <w:sz w:val="32"/>
          <w:szCs w:val="32"/>
        </w:rPr>
      </w:pPr>
      <w:r>
        <w:rPr>
          <w:rFonts w:ascii="仿宋_GB2312" w:hAnsi="仿宋_GB2312" w:cs="仿宋_GB2312" w:hint="eastAsia"/>
          <w:b/>
          <w:bCs/>
          <w:sz w:val="32"/>
          <w:szCs w:val="32"/>
        </w:rPr>
        <w:t>1.</w:t>
      </w:r>
      <w:r>
        <w:rPr>
          <w:rFonts w:ascii="仿宋_GB2312" w:hAnsi="仿宋_GB2312" w:cs="仿宋_GB2312" w:hint="eastAsia"/>
          <w:b/>
          <w:bCs/>
          <w:sz w:val="32"/>
          <w:szCs w:val="32"/>
        </w:rPr>
        <w:t>完善调度机制，加强过程监管</w:t>
      </w:r>
    </w:p>
    <w:p w:rsidR="00706F52" w:rsidRDefault="00DE41BA">
      <w:pPr>
        <w:adjustRightInd w:val="0"/>
        <w:snapToGrid w:val="0"/>
        <w:spacing w:line="360" w:lineRule="auto"/>
        <w:ind w:firstLineChars="200" w:firstLine="640"/>
        <w:rPr>
          <w:rFonts w:ascii="仿宋_GB2312" w:hAnsi="仿宋_GB2312" w:cs="仿宋_GB2312"/>
          <w:sz w:val="32"/>
          <w:szCs w:val="32"/>
        </w:rPr>
      </w:pPr>
      <w:r>
        <w:rPr>
          <w:rFonts w:ascii="仿宋_GB2312" w:hAnsi="仿宋_GB2312" w:cs="仿宋_GB2312" w:hint="eastAsia"/>
          <w:sz w:val="32"/>
          <w:szCs w:val="32"/>
        </w:rPr>
        <w:t>3</w:t>
      </w:r>
      <w:r>
        <w:rPr>
          <w:rFonts w:ascii="仿宋_GB2312" w:hAnsi="仿宋_GB2312" w:cs="仿宋_GB2312" w:hint="eastAsia"/>
          <w:sz w:val="32"/>
          <w:szCs w:val="32"/>
        </w:rPr>
        <w:t>个子项目均设有相应的负责人，与项目实施单位全过程对接，通过会议、调研、座谈等方式对项目进行调度，及时了解项目进展。其中，北京市重点水体水功能区优化提升技术支撑项目，项目承接单位每周报</w:t>
      </w:r>
      <w:proofErr w:type="gramStart"/>
      <w:r>
        <w:rPr>
          <w:rFonts w:ascii="仿宋_GB2312" w:hAnsi="仿宋_GB2312" w:cs="仿宋_GB2312" w:hint="eastAsia"/>
          <w:sz w:val="32"/>
          <w:szCs w:val="32"/>
        </w:rPr>
        <w:t>送实施</w:t>
      </w:r>
      <w:proofErr w:type="gramEnd"/>
      <w:r>
        <w:rPr>
          <w:rFonts w:ascii="仿宋_GB2312" w:hAnsi="仿宋_GB2312" w:cs="仿宋_GB2312" w:hint="eastAsia"/>
          <w:sz w:val="32"/>
          <w:szCs w:val="32"/>
        </w:rPr>
        <w:t>进展，水生态环境处与承接单位每月梳理项目阶段性成果，分析可能存在的问题，明确下一阶段的工作任务和目标，确保项目实施最终能够完成预期目标。饮用水水源地环境管理技术支撑项目成果数据上报生态环境部，水生态环境处针对数据成果与项目承接单位逐一确认。此外，</w:t>
      </w:r>
      <w:r>
        <w:rPr>
          <w:rFonts w:ascii="仿宋_GB2312" w:hAnsi="仿宋_GB2312" w:cs="仿宋_GB2312" w:hint="eastAsia"/>
          <w:sz w:val="32"/>
          <w:szCs w:val="32"/>
        </w:rPr>
        <w:t>3</w:t>
      </w:r>
      <w:r>
        <w:rPr>
          <w:rFonts w:ascii="仿宋_GB2312" w:hAnsi="仿宋_GB2312" w:cs="仿宋_GB2312" w:hint="eastAsia"/>
          <w:sz w:val="32"/>
          <w:szCs w:val="32"/>
        </w:rPr>
        <w:t>个子项目分别组织专家会</w:t>
      </w:r>
      <w:proofErr w:type="gramStart"/>
      <w:r>
        <w:rPr>
          <w:rFonts w:ascii="仿宋_GB2312" w:hAnsi="仿宋_GB2312" w:cs="仿宋_GB2312" w:hint="eastAsia"/>
          <w:sz w:val="32"/>
          <w:szCs w:val="32"/>
        </w:rPr>
        <w:t>进行结项验收</w:t>
      </w:r>
      <w:proofErr w:type="gramEnd"/>
      <w:r>
        <w:rPr>
          <w:rFonts w:ascii="仿宋_GB2312" w:hAnsi="仿宋_GB2312" w:cs="仿宋_GB2312" w:hint="eastAsia"/>
          <w:sz w:val="32"/>
          <w:szCs w:val="32"/>
        </w:rPr>
        <w:t>，对项目最终成果进行检查验收。</w:t>
      </w:r>
    </w:p>
    <w:p w:rsidR="00706F52" w:rsidRDefault="00DE41BA">
      <w:pPr>
        <w:adjustRightInd w:val="0"/>
        <w:snapToGrid w:val="0"/>
        <w:spacing w:line="360" w:lineRule="auto"/>
        <w:ind w:firstLineChars="200" w:firstLine="643"/>
        <w:rPr>
          <w:rFonts w:ascii="仿宋_GB2312" w:hAnsi="仿宋_GB2312" w:cs="仿宋_GB2312"/>
          <w:b/>
          <w:bCs/>
          <w:sz w:val="32"/>
          <w:szCs w:val="32"/>
        </w:rPr>
      </w:pPr>
      <w:r>
        <w:rPr>
          <w:rFonts w:ascii="仿宋_GB2312" w:hAnsi="仿宋_GB2312" w:cs="仿宋_GB2312" w:hint="eastAsia"/>
          <w:b/>
          <w:bCs/>
          <w:sz w:val="32"/>
          <w:szCs w:val="32"/>
        </w:rPr>
        <w:t>2.</w:t>
      </w:r>
      <w:r>
        <w:rPr>
          <w:rFonts w:ascii="仿宋_GB2312" w:hAnsi="仿宋_GB2312" w:cs="仿宋_GB2312" w:hint="eastAsia"/>
          <w:b/>
          <w:bCs/>
          <w:sz w:val="32"/>
          <w:szCs w:val="32"/>
        </w:rPr>
        <w:t>建立</w:t>
      </w:r>
      <w:r>
        <w:rPr>
          <w:rFonts w:ascii="仿宋_GB2312" w:hAnsi="仿宋_GB2312" w:cs="仿宋_GB2312" w:hint="eastAsia"/>
          <w:b/>
          <w:bCs/>
          <w:sz w:val="32"/>
          <w:szCs w:val="32"/>
        </w:rPr>
        <w:t>双向反馈机制，保证数据质量</w:t>
      </w:r>
    </w:p>
    <w:p w:rsidR="00706F52" w:rsidRDefault="00DE41BA">
      <w:pPr>
        <w:adjustRightInd w:val="0"/>
        <w:snapToGrid w:val="0"/>
        <w:spacing w:line="360" w:lineRule="auto"/>
        <w:ind w:firstLineChars="200" w:firstLine="640"/>
        <w:rPr>
          <w:rFonts w:ascii="仿宋_GB2312" w:hAnsi="仿宋_GB2312" w:cs="仿宋_GB2312"/>
          <w:sz w:val="32"/>
          <w:szCs w:val="32"/>
        </w:rPr>
      </w:pPr>
      <w:r>
        <w:rPr>
          <w:rFonts w:ascii="仿宋_GB2312" w:hAnsi="仿宋_GB2312" w:cs="仿宋_GB2312" w:hint="eastAsia"/>
          <w:sz w:val="32"/>
          <w:szCs w:val="32"/>
        </w:rPr>
        <w:t>建立市区之间的双反馈机制，调查或核查过程中发现的问题及时通报相关区生态环境部门，相关区根据反馈问题进一步核实，找到辖区水生态环境质量问题的关键，及时整改或进一步沟通核实，确保数据质量。</w:t>
      </w:r>
    </w:p>
    <w:p w:rsidR="00706F52" w:rsidRDefault="00DE41BA">
      <w:pPr>
        <w:adjustRightInd w:val="0"/>
        <w:snapToGrid w:val="0"/>
        <w:spacing w:line="360" w:lineRule="auto"/>
        <w:ind w:firstLineChars="200" w:firstLine="643"/>
        <w:rPr>
          <w:rFonts w:ascii="仿宋_GB2312" w:hAnsi="仿宋_GB2312" w:cs="仿宋_GB2312"/>
          <w:b/>
          <w:bCs/>
          <w:sz w:val="32"/>
          <w:szCs w:val="32"/>
        </w:rPr>
      </w:pPr>
      <w:r>
        <w:rPr>
          <w:rFonts w:ascii="仿宋_GB2312" w:hAnsi="仿宋_GB2312" w:cs="仿宋_GB2312" w:hint="eastAsia"/>
          <w:b/>
          <w:bCs/>
          <w:sz w:val="32"/>
          <w:szCs w:val="32"/>
        </w:rPr>
        <w:lastRenderedPageBreak/>
        <w:t>3.</w:t>
      </w:r>
      <w:r>
        <w:rPr>
          <w:rFonts w:ascii="仿宋_GB2312" w:hAnsi="仿宋_GB2312" w:cs="仿宋_GB2312" w:hint="eastAsia"/>
          <w:b/>
          <w:bCs/>
          <w:sz w:val="32"/>
          <w:szCs w:val="32"/>
        </w:rPr>
        <w:t>加强过程参与，实现对各区的指导和帮扶</w:t>
      </w:r>
    </w:p>
    <w:p w:rsidR="00706F52" w:rsidRDefault="00DE41BA">
      <w:pPr>
        <w:adjustRightInd w:val="0"/>
        <w:snapToGrid w:val="0"/>
        <w:spacing w:line="360" w:lineRule="auto"/>
        <w:ind w:firstLineChars="200" w:firstLine="640"/>
        <w:rPr>
          <w:rFonts w:ascii="仿宋_GB2312" w:hAnsi="仿宋_GB2312" w:cs="仿宋_GB2312"/>
          <w:sz w:val="32"/>
          <w:szCs w:val="32"/>
        </w:rPr>
      </w:pPr>
      <w:r>
        <w:rPr>
          <w:rFonts w:ascii="仿宋_GB2312" w:hAnsi="仿宋_GB2312" w:cs="仿宋_GB2312" w:hint="eastAsia"/>
          <w:sz w:val="32"/>
          <w:szCs w:val="32"/>
        </w:rPr>
        <w:t>不定期和项目承接单位共同到各区进行现场调研，并对存在问题和需要技术帮助的区进行现场技术指导和帮扶。助力相关区饮用水安全保障能力的提升。现场核查发现的问题制作成视频，在全市工作会议上向各区播放，发挥推动和督促各区重视水环境问题、及时整改问题的作用。</w:t>
      </w:r>
    </w:p>
    <w:p w:rsidR="00706F52" w:rsidRDefault="00DE41BA">
      <w:pPr>
        <w:adjustRightInd w:val="0"/>
        <w:snapToGrid w:val="0"/>
        <w:spacing w:line="360" w:lineRule="auto"/>
        <w:ind w:firstLineChars="200" w:firstLine="640"/>
        <w:outlineLvl w:val="1"/>
        <w:rPr>
          <w:rFonts w:ascii="楷体_GB2312" w:eastAsia="楷体_GB2312"/>
          <w:sz w:val="32"/>
          <w:szCs w:val="32"/>
        </w:rPr>
      </w:pPr>
      <w:bookmarkStart w:id="82" w:name="_Toc28305"/>
      <w:bookmarkStart w:id="83" w:name="_Toc17403"/>
      <w:r>
        <w:rPr>
          <w:rFonts w:ascii="楷体_GB2312" w:eastAsia="楷体_GB2312" w:hint="eastAsia"/>
          <w:sz w:val="32"/>
          <w:szCs w:val="32"/>
        </w:rPr>
        <w:t>（</w:t>
      </w:r>
      <w:r>
        <w:rPr>
          <w:rFonts w:ascii="楷体_GB2312" w:eastAsia="楷体_GB2312" w:hint="eastAsia"/>
          <w:sz w:val="32"/>
          <w:szCs w:val="32"/>
        </w:rPr>
        <w:t>二）</w:t>
      </w:r>
      <w:bookmarkStart w:id="84" w:name="_Toc136872316"/>
      <w:r>
        <w:rPr>
          <w:rFonts w:ascii="楷体_GB2312" w:eastAsia="楷体_GB2312" w:hint="eastAsia"/>
          <w:sz w:val="32"/>
          <w:szCs w:val="32"/>
        </w:rPr>
        <w:t>存</w:t>
      </w:r>
      <w:r>
        <w:rPr>
          <w:rFonts w:ascii="楷体_GB2312" w:eastAsia="楷体_GB2312" w:hint="eastAsia"/>
          <w:sz w:val="32"/>
          <w:szCs w:val="32"/>
        </w:rPr>
        <w:t>在的问题及原因分析</w:t>
      </w:r>
      <w:bookmarkEnd w:id="82"/>
      <w:bookmarkEnd w:id="83"/>
      <w:bookmarkEnd w:id="84"/>
    </w:p>
    <w:p w:rsidR="00706F52" w:rsidRDefault="00DE41BA">
      <w:pPr>
        <w:adjustRightInd w:val="0"/>
        <w:snapToGrid w:val="0"/>
        <w:spacing w:line="360" w:lineRule="auto"/>
        <w:ind w:firstLineChars="200" w:firstLine="640"/>
        <w:rPr>
          <w:rFonts w:ascii="仿宋_GB2312" w:hAnsi="仿宋_GB2312" w:cs="仿宋_GB2312"/>
          <w:sz w:val="32"/>
          <w:szCs w:val="32"/>
          <w:highlight w:val="yellow"/>
        </w:rPr>
      </w:pPr>
      <w:r>
        <w:rPr>
          <w:rFonts w:ascii="仿宋_GB2312" w:hAnsi="仿宋_GB2312" w:cs="仿宋_GB2312" w:hint="eastAsia"/>
          <w:sz w:val="32"/>
          <w:szCs w:val="32"/>
        </w:rPr>
        <w:t>1.</w:t>
      </w:r>
      <w:r>
        <w:rPr>
          <w:rFonts w:ascii="仿宋_GB2312" w:hAnsi="仿宋_GB2312" w:cs="仿宋_GB2312" w:hint="eastAsia"/>
          <w:sz w:val="32"/>
          <w:szCs w:val="32"/>
        </w:rPr>
        <w:t>项目绩效目标仍需</w:t>
      </w:r>
      <w:r>
        <w:rPr>
          <w:rFonts w:ascii="仿宋_GB2312" w:hAnsi="仿宋_GB2312" w:cs="仿宋_GB2312" w:hint="eastAsia"/>
          <w:sz w:val="32"/>
          <w:szCs w:val="32"/>
        </w:rPr>
        <w:t>进一步</w:t>
      </w:r>
      <w:bookmarkEnd w:id="81"/>
      <w:r>
        <w:rPr>
          <w:rFonts w:ascii="仿宋_GB2312" w:hAnsi="仿宋_GB2312" w:cs="仿宋_GB2312" w:hint="eastAsia"/>
          <w:sz w:val="32"/>
          <w:szCs w:val="32"/>
        </w:rPr>
        <w:t>提炼</w:t>
      </w:r>
    </w:p>
    <w:p w:rsidR="00706F52" w:rsidRDefault="00DE41BA">
      <w:pPr>
        <w:adjustRightInd w:val="0"/>
        <w:snapToGrid w:val="0"/>
        <w:spacing w:line="360" w:lineRule="auto"/>
        <w:ind w:firstLineChars="200" w:firstLine="640"/>
        <w:rPr>
          <w:rFonts w:ascii="仿宋_GB2312" w:hAnsi="仿宋_GB2312" w:cs="仿宋_GB2312"/>
          <w:sz w:val="32"/>
          <w:szCs w:val="32"/>
          <w:highlight w:val="yellow"/>
        </w:rPr>
      </w:pPr>
      <w:r>
        <w:rPr>
          <w:rFonts w:ascii="仿宋_GB2312" w:hAnsi="仿宋_GB2312" w:cs="仿宋_GB2312" w:hint="eastAsia"/>
          <w:sz w:val="32"/>
          <w:szCs w:val="32"/>
        </w:rPr>
        <w:t>绩效目标设置不够全面、精准，现有目标主要是对项目实施内容的分条罗列，未对项目预计产生的效益及影响内容进行提炼，目标设置不够全面。</w:t>
      </w:r>
    </w:p>
    <w:p w:rsidR="00706F52" w:rsidRDefault="00DE41BA">
      <w:pPr>
        <w:adjustRightInd w:val="0"/>
        <w:snapToGrid w:val="0"/>
        <w:spacing w:line="360" w:lineRule="auto"/>
        <w:ind w:firstLineChars="200" w:firstLine="643"/>
        <w:rPr>
          <w:rFonts w:ascii="仿宋_GB2312" w:hAnsi="仿宋_GB2312" w:cs="仿宋_GB2312"/>
          <w:sz w:val="32"/>
        </w:rPr>
      </w:pPr>
      <w:r>
        <w:rPr>
          <w:rFonts w:ascii="仿宋_GB2312" w:hAnsi="仿宋_GB2312" w:cs="仿宋_GB2312" w:hint="eastAsia"/>
          <w:b/>
          <w:bCs/>
          <w:sz w:val="32"/>
        </w:rPr>
        <w:t>原因分析</w:t>
      </w:r>
      <w:r>
        <w:rPr>
          <w:rFonts w:ascii="仿宋_GB2312" w:hAnsi="仿宋_GB2312" w:cs="仿宋_GB2312" w:hint="eastAsia"/>
          <w:sz w:val="32"/>
        </w:rPr>
        <w:t>：受延续项目</w:t>
      </w:r>
      <w:proofErr w:type="gramStart"/>
      <w:r>
        <w:rPr>
          <w:rFonts w:ascii="仿宋_GB2312" w:hAnsi="仿宋_GB2312" w:cs="仿宋_GB2312" w:hint="eastAsia"/>
          <w:sz w:val="32"/>
        </w:rPr>
        <w:t>既有做法</w:t>
      </w:r>
      <w:proofErr w:type="gramEnd"/>
      <w:r>
        <w:rPr>
          <w:rFonts w:ascii="仿宋_GB2312" w:hAnsi="仿宋_GB2312" w:cs="仿宋_GB2312" w:hint="eastAsia"/>
          <w:sz w:val="32"/>
        </w:rPr>
        <w:t>的禁锢，</w:t>
      </w:r>
      <w:r>
        <w:rPr>
          <w:rFonts w:ascii="仿宋_GB2312" w:hAnsi="仿宋_GB2312" w:cs="仿宋_GB2312" w:hint="eastAsia"/>
          <w:sz w:val="32"/>
        </w:rPr>
        <w:t>对绩效目标的提炼工作待进一步加强</w:t>
      </w:r>
      <w:r>
        <w:rPr>
          <w:rFonts w:ascii="仿宋_GB2312" w:hAnsi="仿宋_GB2312" w:cs="仿宋_GB2312" w:hint="eastAsia"/>
          <w:sz w:val="32"/>
        </w:rPr>
        <w:t>。</w:t>
      </w:r>
    </w:p>
    <w:p w:rsidR="00706F52" w:rsidRDefault="00DE41BA">
      <w:pPr>
        <w:adjustRightInd w:val="0"/>
        <w:snapToGrid w:val="0"/>
        <w:spacing w:line="360" w:lineRule="auto"/>
        <w:ind w:firstLineChars="200" w:firstLine="640"/>
        <w:rPr>
          <w:rFonts w:ascii="仿宋_GB2312" w:hAnsi="仿宋_GB2312" w:cs="仿宋_GB2312"/>
          <w:sz w:val="32"/>
          <w:shd w:val="clear" w:color="auto" w:fill="FFFFFF"/>
        </w:rPr>
      </w:pPr>
      <w:bookmarkStart w:id="85" w:name="_Toc3198"/>
      <w:r>
        <w:rPr>
          <w:rFonts w:ascii="仿宋_GB2312" w:hAnsi="仿宋_GB2312" w:cs="仿宋_GB2312" w:hint="eastAsia"/>
          <w:sz w:val="32"/>
          <w:szCs w:val="32"/>
        </w:rPr>
        <w:t>2.</w:t>
      </w:r>
      <w:r>
        <w:rPr>
          <w:rFonts w:ascii="仿宋_GB2312" w:hAnsi="仿宋_GB2312" w:cs="仿宋_GB2312" w:hint="eastAsia"/>
          <w:sz w:val="32"/>
          <w:szCs w:val="32"/>
          <w:lang w:bidi="ar"/>
        </w:rPr>
        <w:t>验收管理水平有待进一步提升</w:t>
      </w:r>
      <w:bookmarkEnd w:id="85"/>
    </w:p>
    <w:p w:rsidR="00706F52" w:rsidRDefault="00DE41BA">
      <w:pPr>
        <w:adjustRightInd w:val="0"/>
        <w:snapToGrid w:val="0"/>
        <w:spacing w:line="360" w:lineRule="auto"/>
        <w:ind w:firstLine="640"/>
        <w:rPr>
          <w:rFonts w:ascii="仿宋_GB2312" w:hAnsi="仿宋_GB2312" w:cs="仿宋_GB2312"/>
          <w:sz w:val="32"/>
          <w:szCs w:val="32"/>
        </w:rPr>
      </w:pPr>
      <w:r>
        <w:rPr>
          <w:rFonts w:ascii="仿宋_GB2312" w:hAnsi="仿宋_GB2312" w:cs="仿宋_GB2312" w:hint="eastAsia"/>
          <w:sz w:val="32"/>
          <w:szCs w:val="32"/>
        </w:rPr>
        <w:t>项目验收意见不够详实，成果报告质量</w:t>
      </w:r>
      <w:r>
        <w:rPr>
          <w:rFonts w:ascii="仿宋_GB2312" w:hAnsi="仿宋_GB2312" w:cs="仿宋_GB2312" w:hint="eastAsia"/>
          <w:sz w:val="32"/>
          <w:szCs w:val="32"/>
        </w:rPr>
        <w:t>评价还需进一步深化</w:t>
      </w:r>
      <w:r>
        <w:rPr>
          <w:rFonts w:ascii="仿宋_GB2312" w:hAnsi="仿宋_GB2312" w:cs="仿宋_GB2312" w:hint="eastAsia"/>
          <w:sz w:val="32"/>
          <w:szCs w:val="32"/>
        </w:rPr>
        <w:t>，</w:t>
      </w:r>
      <w:r>
        <w:rPr>
          <w:rFonts w:ascii="仿宋_GB2312" w:hAnsi="仿宋_GB2312" w:cs="仿宋_GB2312" w:hint="eastAsia"/>
          <w:sz w:val="32"/>
          <w:szCs w:val="32"/>
        </w:rPr>
        <w:t>项目单位</w:t>
      </w:r>
      <w:r>
        <w:rPr>
          <w:rFonts w:ascii="仿宋_GB2312" w:hAnsi="仿宋_GB2312" w:cs="仿宋_GB2312" w:hint="eastAsia"/>
          <w:sz w:val="32"/>
          <w:szCs w:val="32"/>
        </w:rPr>
        <w:t>需加强对购买服务承接方的履约质量监管。</w:t>
      </w:r>
    </w:p>
    <w:p w:rsidR="00706F52" w:rsidRDefault="00DE41BA">
      <w:pPr>
        <w:adjustRightInd w:val="0"/>
        <w:snapToGrid w:val="0"/>
        <w:spacing w:line="360" w:lineRule="auto"/>
        <w:ind w:firstLineChars="200" w:firstLine="643"/>
        <w:rPr>
          <w:rFonts w:hAnsi="宋体" w:cs="仿宋_GB2312"/>
          <w:bCs/>
          <w:sz w:val="32"/>
          <w:szCs w:val="28"/>
          <w:lang w:bidi="ar"/>
        </w:rPr>
      </w:pPr>
      <w:r>
        <w:rPr>
          <w:rFonts w:hAnsi="宋体" w:cs="仿宋_GB2312" w:hint="eastAsia"/>
          <w:b/>
          <w:sz w:val="32"/>
          <w:szCs w:val="28"/>
          <w:lang w:bidi="ar"/>
        </w:rPr>
        <w:t>原因分析</w:t>
      </w:r>
      <w:r>
        <w:rPr>
          <w:rFonts w:hAnsi="宋体" w:cs="仿宋_GB2312" w:hint="eastAsia"/>
          <w:bCs/>
          <w:sz w:val="32"/>
          <w:szCs w:val="28"/>
          <w:lang w:bidi="ar"/>
        </w:rPr>
        <w:t>：项目单位</w:t>
      </w:r>
      <w:r>
        <w:rPr>
          <w:rFonts w:hAnsi="宋体" w:cs="仿宋_GB2312"/>
          <w:bCs/>
          <w:sz w:val="32"/>
          <w:szCs w:val="28"/>
          <w:lang w:bidi="ar"/>
        </w:rPr>
        <w:t>风险防控</w:t>
      </w:r>
      <w:r>
        <w:rPr>
          <w:rFonts w:hAnsi="宋体" w:cs="仿宋_GB2312" w:hint="eastAsia"/>
          <w:bCs/>
          <w:sz w:val="32"/>
          <w:szCs w:val="28"/>
          <w:lang w:bidi="ar"/>
        </w:rPr>
        <w:t>意识有待加强，</w:t>
      </w:r>
      <w:r>
        <w:rPr>
          <w:rFonts w:hAnsi="宋体" w:cs="仿宋_GB2312"/>
          <w:bCs/>
          <w:sz w:val="32"/>
          <w:szCs w:val="28"/>
          <w:lang w:bidi="ar"/>
        </w:rPr>
        <w:t>需</w:t>
      </w:r>
      <w:r w:rsidRPr="00DE41BA">
        <w:rPr>
          <w:rFonts w:hAnsi="宋体" w:cs="仿宋_GB2312" w:hint="eastAsia"/>
          <w:bCs/>
          <w:sz w:val="32"/>
          <w:szCs w:val="28"/>
          <w:lang w:bidi="ar"/>
        </w:rPr>
        <w:t>进一步</w:t>
      </w:r>
      <w:r>
        <w:rPr>
          <w:rFonts w:hAnsi="宋体" w:cs="仿宋_GB2312" w:hint="eastAsia"/>
          <w:bCs/>
          <w:sz w:val="32"/>
          <w:szCs w:val="28"/>
          <w:lang w:bidi="ar"/>
        </w:rPr>
        <w:t>加强验收管理</w:t>
      </w:r>
      <w:r>
        <w:rPr>
          <w:rFonts w:hAnsi="宋体" w:cs="仿宋_GB2312" w:hint="eastAsia"/>
          <w:bCs/>
          <w:sz w:val="32"/>
          <w:szCs w:val="28"/>
          <w:lang w:bidi="ar"/>
        </w:rPr>
        <w:t>。</w:t>
      </w:r>
    </w:p>
    <w:p w:rsidR="00706F52" w:rsidRDefault="00DE41BA">
      <w:pPr>
        <w:adjustRightInd w:val="0"/>
        <w:snapToGrid w:val="0"/>
        <w:spacing w:line="360" w:lineRule="auto"/>
        <w:ind w:firstLineChars="200" w:firstLine="640"/>
        <w:rPr>
          <w:rFonts w:ascii="仿宋_GB2312" w:hAnsi="仿宋_GB2312" w:cs="仿宋_GB2312"/>
          <w:sz w:val="32"/>
          <w:szCs w:val="32"/>
        </w:rPr>
      </w:pPr>
      <w:bookmarkStart w:id="86" w:name="_Toc5828"/>
      <w:r>
        <w:rPr>
          <w:rFonts w:ascii="仿宋_GB2312" w:hAnsi="仿宋_GB2312" w:cs="仿宋_GB2312" w:hint="eastAsia"/>
          <w:sz w:val="32"/>
          <w:szCs w:val="32"/>
        </w:rPr>
        <w:t>3.</w:t>
      </w:r>
      <w:r>
        <w:rPr>
          <w:rFonts w:ascii="仿宋_GB2312" w:hAnsi="仿宋_GB2312" w:cs="仿宋_GB2312" w:hint="eastAsia"/>
          <w:sz w:val="32"/>
          <w:szCs w:val="32"/>
        </w:rPr>
        <w:t>项目成果应用情况需进一步梳理</w:t>
      </w:r>
      <w:bookmarkEnd w:id="86"/>
    </w:p>
    <w:p w:rsidR="00706F52" w:rsidRDefault="00DE41BA">
      <w:pPr>
        <w:adjustRightInd w:val="0"/>
        <w:snapToGrid w:val="0"/>
        <w:spacing w:line="360" w:lineRule="auto"/>
        <w:ind w:firstLineChars="200" w:firstLine="640"/>
        <w:rPr>
          <w:sz w:val="32"/>
          <w:szCs w:val="32"/>
        </w:rPr>
      </w:pPr>
      <w:r>
        <w:rPr>
          <w:rFonts w:ascii="仿宋_GB2312" w:hAnsi="仿宋_GB2312" w:cs="仿宋_GB2312" w:hint="eastAsia"/>
          <w:sz w:val="32"/>
          <w:szCs w:val="32"/>
        </w:rPr>
        <w:t>项目通</w:t>
      </w:r>
      <w:r>
        <w:rPr>
          <w:rFonts w:hint="eastAsia"/>
          <w:sz w:val="32"/>
          <w:szCs w:val="32"/>
        </w:rPr>
        <w:t>过现场核查、查阅资料、汇总分析等工作，动态掌握</w:t>
      </w:r>
      <w:r>
        <w:rPr>
          <w:rFonts w:hint="eastAsia"/>
          <w:sz w:val="32"/>
          <w:szCs w:val="32"/>
        </w:rPr>
        <w:lastRenderedPageBreak/>
        <w:t>饮用水水源保护区内的环境状况、水质状况和管理状况等信息，形成</w:t>
      </w:r>
      <w:r>
        <w:rPr>
          <w:rFonts w:hint="eastAsia"/>
          <w:sz w:val="32"/>
          <w:szCs w:val="32"/>
        </w:rPr>
        <w:t>了</w:t>
      </w:r>
      <w:r>
        <w:rPr>
          <w:rFonts w:hint="eastAsia"/>
          <w:sz w:val="32"/>
          <w:szCs w:val="32"/>
        </w:rPr>
        <w:t>农村污水</w:t>
      </w:r>
      <w:proofErr w:type="gramStart"/>
      <w:r>
        <w:rPr>
          <w:rFonts w:hint="eastAsia"/>
          <w:sz w:val="32"/>
          <w:szCs w:val="32"/>
        </w:rPr>
        <w:t>治理台</w:t>
      </w:r>
      <w:proofErr w:type="gramEnd"/>
      <w:r>
        <w:rPr>
          <w:rFonts w:hint="eastAsia"/>
          <w:sz w:val="32"/>
          <w:szCs w:val="32"/>
        </w:rPr>
        <w:t>账、污水处理设施台账和示意图，饮用水水源保护区环境状况、劣Ⅴ、黑臭水体现场核查的环境问题</w:t>
      </w:r>
      <w:proofErr w:type="gramStart"/>
      <w:r>
        <w:rPr>
          <w:rFonts w:hint="eastAsia"/>
          <w:sz w:val="32"/>
          <w:szCs w:val="32"/>
        </w:rPr>
        <w:t>线索台</w:t>
      </w:r>
      <w:proofErr w:type="gramEnd"/>
      <w:r>
        <w:rPr>
          <w:rFonts w:hint="eastAsia"/>
          <w:sz w:val="32"/>
          <w:szCs w:val="32"/>
        </w:rPr>
        <w:t>账和照片</w:t>
      </w:r>
      <w:r>
        <w:rPr>
          <w:rFonts w:hint="eastAsia"/>
          <w:sz w:val="32"/>
          <w:szCs w:val="32"/>
        </w:rPr>
        <w:t>，</w:t>
      </w:r>
      <w:r>
        <w:rPr>
          <w:rFonts w:ascii="仿宋_GB2312" w:hint="eastAsia"/>
          <w:sz w:val="32"/>
          <w:szCs w:val="32"/>
        </w:rPr>
        <w:t>为</w:t>
      </w:r>
      <w:r>
        <w:rPr>
          <w:rFonts w:ascii="仿宋_GB2312" w:hint="eastAsia"/>
          <w:sz w:val="32"/>
          <w:szCs w:val="32"/>
        </w:rPr>
        <w:t>北京市水生态管理</w:t>
      </w:r>
      <w:r>
        <w:rPr>
          <w:rFonts w:ascii="仿宋_GB2312" w:hint="eastAsia"/>
          <w:sz w:val="32"/>
          <w:szCs w:val="32"/>
        </w:rPr>
        <w:t>工作提供了数据支</w:t>
      </w:r>
      <w:r>
        <w:rPr>
          <w:rFonts w:ascii="仿宋_GB2312" w:hint="eastAsia"/>
          <w:sz w:val="32"/>
          <w:szCs w:val="32"/>
        </w:rPr>
        <w:t>撑</w:t>
      </w:r>
      <w:r>
        <w:rPr>
          <w:rFonts w:ascii="仿宋_GB2312" w:hint="eastAsia"/>
          <w:sz w:val="32"/>
          <w:szCs w:val="32"/>
        </w:rPr>
        <w:t>。</w:t>
      </w:r>
      <w:r>
        <w:rPr>
          <w:rFonts w:ascii="仿宋_GB2312" w:hAnsi="仿宋_GB2312" w:cs="仿宋_GB2312" w:hint="eastAsia"/>
          <w:sz w:val="32"/>
          <w:szCs w:val="32"/>
        </w:rPr>
        <w:t>水生态功能分区方案、再生水循环利用建议等项目研究的成果已部分用于支撑当前水生态环境管理工作，</w:t>
      </w:r>
      <w:proofErr w:type="gramStart"/>
      <w:r>
        <w:rPr>
          <w:rFonts w:ascii="仿宋_GB2312" w:hAnsi="仿宋_GB2312" w:cs="仿宋_GB2312" w:hint="eastAsia"/>
          <w:sz w:val="32"/>
          <w:szCs w:val="32"/>
        </w:rPr>
        <w:t>特别</w:t>
      </w:r>
      <w:proofErr w:type="gramEnd"/>
      <w:r>
        <w:rPr>
          <w:rFonts w:ascii="仿宋_GB2312" w:hAnsi="仿宋_GB2312" w:cs="仿宋_GB2312" w:hint="eastAsia"/>
          <w:sz w:val="32"/>
          <w:szCs w:val="32"/>
        </w:rPr>
        <w:t>对于落实</w:t>
      </w:r>
      <w:r>
        <w:rPr>
          <w:rFonts w:ascii="仿宋_GB2312" w:hAnsi="仿宋_GB2312" w:cs="仿宋_GB2312" w:hint="eastAsia"/>
          <w:sz w:val="32"/>
          <w:szCs w:val="32"/>
        </w:rPr>
        <w:t>2024</w:t>
      </w:r>
      <w:r>
        <w:rPr>
          <w:rFonts w:ascii="仿宋_GB2312" w:hAnsi="仿宋_GB2312" w:cs="仿宋_GB2312" w:hint="eastAsia"/>
          <w:sz w:val="32"/>
          <w:szCs w:val="32"/>
        </w:rPr>
        <w:t>年</w:t>
      </w:r>
      <w:r>
        <w:rPr>
          <w:rFonts w:ascii="仿宋_GB2312" w:hAnsi="仿宋_GB2312" w:cs="仿宋_GB2312" w:hint="eastAsia"/>
          <w:sz w:val="32"/>
          <w:szCs w:val="32"/>
        </w:rPr>
        <w:t>3</w:t>
      </w:r>
      <w:r>
        <w:rPr>
          <w:rFonts w:ascii="仿宋_GB2312" w:hAnsi="仿宋_GB2312" w:cs="仿宋_GB2312" w:hint="eastAsia"/>
          <w:sz w:val="32"/>
          <w:szCs w:val="32"/>
        </w:rPr>
        <w:t>月印发的《中共中央办公厅</w:t>
      </w:r>
      <w:r>
        <w:rPr>
          <w:rFonts w:ascii="仿宋_GB2312" w:hAnsi="仿宋_GB2312" w:cs="仿宋_GB2312" w:hint="eastAsia"/>
          <w:sz w:val="32"/>
          <w:szCs w:val="32"/>
        </w:rPr>
        <w:t xml:space="preserve"> </w:t>
      </w:r>
      <w:r>
        <w:rPr>
          <w:rFonts w:ascii="仿宋_GB2312" w:hAnsi="仿宋_GB2312" w:cs="仿宋_GB2312" w:hint="eastAsia"/>
          <w:sz w:val="32"/>
          <w:szCs w:val="32"/>
        </w:rPr>
        <w:t>国务院办公厅关于加强生态环境分区管控的意见》发挥了</w:t>
      </w:r>
      <w:r>
        <w:rPr>
          <w:rFonts w:ascii="仿宋_GB2312" w:hAnsi="仿宋_GB2312" w:cs="仿宋_GB2312" w:hint="eastAsia"/>
          <w:sz w:val="32"/>
          <w:szCs w:val="32"/>
        </w:rPr>
        <w:t>一定</w:t>
      </w:r>
      <w:r>
        <w:rPr>
          <w:rFonts w:ascii="仿宋_GB2312" w:hAnsi="仿宋_GB2312" w:cs="仿宋_GB2312" w:hint="eastAsia"/>
          <w:sz w:val="32"/>
          <w:szCs w:val="32"/>
        </w:rPr>
        <w:t>作用。同时水生态功能分区建议将为下一阶段年度重点工作、规划提供支撑，</w:t>
      </w:r>
      <w:r>
        <w:rPr>
          <w:rFonts w:ascii="仿宋_GB2312" w:hAnsi="仿宋_GB2312" w:cs="仿宋_GB2312" w:hint="eastAsia"/>
          <w:sz w:val="32"/>
          <w:szCs w:val="32"/>
        </w:rPr>
        <w:t>项目单位</w:t>
      </w:r>
      <w:r>
        <w:rPr>
          <w:rFonts w:ascii="仿宋_GB2312" w:hAnsi="仿宋_GB2312" w:cs="仿宋_GB2312" w:hint="eastAsia"/>
          <w:sz w:val="32"/>
          <w:szCs w:val="32"/>
        </w:rPr>
        <w:t>仍</w:t>
      </w:r>
      <w:r>
        <w:rPr>
          <w:rFonts w:ascii="仿宋_GB2312" w:hAnsi="仿宋_GB2312" w:cs="仿宋_GB2312" w:hint="eastAsia"/>
          <w:sz w:val="32"/>
          <w:szCs w:val="32"/>
        </w:rPr>
        <w:t>需继续推进北京市重点水体水功能区优化提升技术支撑项目的成果应用工作，确保财政资金使用效益的发挥。</w:t>
      </w:r>
      <w:r>
        <w:rPr>
          <w:rFonts w:hint="eastAsia"/>
          <w:sz w:val="32"/>
          <w:szCs w:val="32"/>
        </w:rPr>
        <w:t>同时，项目单位未对</w:t>
      </w:r>
      <w:r>
        <w:rPr>
          <w:rFonts w:hint="eastAsia"/>
          <w:sz w:val="32"/>
          <w:szCs w:val="32"/>
        </w:rPr>
        <w:t>服务对象开展满意度调查，难以考核服务对象满意度。</w:t>
      </w:r>
    </w:p>
    <w:p w:rsidR="00706F52" w:rsidRDefault="00DE41BA">
      <w:pPr>
        <w:adjustRightInd w:val="0"/>
        <w:snapToGrid w:val="0"/>
        <w:spacing w:line="360" w:lineRule="auto"/>
        <w:ind w:firstLineChars="200" w:firstLine="643"/>
        <w:rPr>
          <w:rFonts w:ascii="仿宋_GB2312" w:hAnsi="仿宋"/>
          <w:sz w:val="32"/>
          <w:szCs w:val="32"/>
        </w:rPr>
      </w:pPr>
      <w:r>
        <w:rPr>
          <w:rFonts w:hAnsi="宋体" w:cs="仿宋_GB2312" w:hint="eastAsia"/>
          <w:b/>
          <w:sz w:val="32"/>
          <w:szCs w:val="28"/>
          <w:lang w:bidi="ar"/>
        </w:rPr>
        <w:t>原因分析</w:t>
      </w:r>
      <w:r>
        <w:rPr>
          <w:rFonts w:hAnsi="宋体" w:cs="仿宋_GB2312" w:hint="eastAsia"/>
          <w:bCs/>
          <w:sz w:val="32"/>
          <w:szCs w:val="28"/>
          <w:lang w:bidi="ar"/>
        </w:rPr>
        <w:t>：</w:t>
      </w:r>
      <w:r>
        <w:rPr>
          <w:rFonts w:cs="仿宋_GB2312" w:hint="eastAsia"/>
          <w:sz w:val="32"/>
          <w:szCs w:val="32"/>
          <w:lang w:bidi="ar"/>
        </w:rPr>
        <w:t>项目单位针对项目实施</w:t>
      </w:r>
      <w:r>
        <w:rPr>
          <w:rFonts w:cs="仿宋_GB2312" w:hint="eastAsia"/>
          <w:sz w:val="32"/>
          <w:szCs w:val="32"/>
          <w:lang w:bidi="ar"/>
        </w:rPr>
        <w:t>成果应用</w:t>
      </w:r>
      <w:r>
        <w:rPr>
          <w:rFonts w:cs="仿宋_GB2312" w:hint="eastAsia"/>
          <w:sz w:val="32"/>
          <w:szCs w:val="32"/>
          <w:lang w:bidi="ar"/>
        </w:rPr>
        <w:t>的绩效管理意识，以及对满意度调查的重视程度需进一步加强。</w:t>
      </w:r>
    </w:p>
    <w:p w:rsidR="00706F52" w:rsidRDefault="00DE41BA">
      <w:pPr>
        <w:adjustRightInd w:val="0"/>
        <w:snapToGrid w:val="0"/>
        <w:spacing w:line="360" w:lineRule="auto"/>
        <w:ind w:firstLineChars="200" w:firstLine="640"/>
        <w:outlineLvl w:val="0"/>
        <w:rPr>
          <w:rFonts w:ascii="黑体" w:eastAsia="黑体"/>
          <w:sz w:val="32"/>
          <w:szCs w:val="32"/>
        </w:rPr>
      </w:pPr>
      <w:bookmarkStart w:id="87" w:name="_Toc21280"/>
      <w:bookmarkStart w:id="88" w:name="_Toc35588427"/>
      <w:bookmarkStart w:id="89" w:name="_Toc21265"/>
      <w:bookmarkStart w:id="90" w:name="_Toc20316"/>
      <w:r>
        <w:rPr>
          <w:rFonts w:ascii="黑体" w:eastAsia="黑体" w:hint="eastAsia"/>
          <w:sz w:val="32"/>
          <w:szCs w:val="32"/>
        </w:rPr>
        <w:t>六、有关建议</w:t>
      </w:r>
      <w:bookmarkEnd w:id="87"/>
      <w:bookmarkEnd w:id="88"/>
      <w:bookmarkEnd w:id="89"/>
      <w:bookmarkEnd w:id="90"/>
    </w:p>
    <w:p w:rsidR="00706F52" w:rsidRDefault="00DE41BA">
      <w:pPr>
        <w:adjustRightInd w:val="0"/>
        <w:snapToGrid w:val="0"/>
        <w:spacing w:line="360" w:lineRule="auto"/>
        <w:ind w:firstLineChars="200" w:firstLine="640"/>
        <w:jc w:val="left"/>
        <w:outlineLvl w:val="1"/>
        <w:rPr>
          <w:rFonts w:eastAsia="楷体_GB2312"/>
          <w:color w:val="000000"/>
          <w:sz w:val="32"/>
          <w:lang w:bidi="ar"/>
        </w:rPr>
      </w:pPr>
      <w:bookmarkStart w:id="91" w:name="_Toc30855"/>
      <w:bookmarkStart w:id="92" w:name="_Toc9457"/>
      <w:bookmarkStart w:id="93" w:name="_Toc25610"/>
      <w:bookmarkStart w:id="94" w:name="_Toc9412"/>
      <w:bookmarkStart w:id="95" w:name="_Toc336506911"/>
      <w:bookmarkStart w:id="96" w:name="_Toc30652"/>
      <w:bookmarkStart w:id="97" w:name="_Toc336506977"/>
      <w:bookmarkStart w:id="98" w:name="_Toc206"/>
      <w:bookmarkStart w:id="99" w:name="_Toc22398"/>
      <w:r>
        <w:rPr>
          <w:rFonts w:eastAsia="楷体_GB2312"/>
          <w:color w:val="000000"/>
          <w:sz w:val="32"/>
          <w:lang w:bidi="ar"/>
        </w:rPr>
        <w:t>（</w:t>
      </w:r>
      <w:r>
        <w:rPr>
          <w:rFonts w:eastAsia="楷体_GB2312" w:hint="eastAsia"/>
          <w:color w:val="000000"/>
          <w:sz w:val="32"/>
          <w:lang w:bidi="ar"/>
        </w:rPr>
        <w:t>一</w:t>
      </w:r>
      <w:r>
        <w:rPr>
          <w:rFonts w:eastAsia="楷体_GB2312"/>
          <w:color w:val="000000"/>
          <w:sz w:val="32"/>
          <w:lang w:bidi="ar"/>
        </w:rPr>
        <w:t>）</w:t>
      </w:r>
      <w:r>
        <w:rPr>
          <w:rFonts w:eastAsia="楷体_GB2312" w:hint="eastAsia"/>
          <w:color w:val="000000"/>
          <w:sz w:val="32"/>
          <w:lang w:bidi="ar"/>
        </w:rPr>
        <w:t>强化预算绩效管理意识</w:t>
      </w:r>
      <w:r>
        <w:rPr>
          <w:rFonts w:eastAsia="楷体_GB2312" w:hint="eastAsia"/>
          <w:color w:val="000000"/>
          <w:sz w:val="32"/>
          <w:lang w:bidi="ar"/>
        </w:rPr>
        <w:t>，</w:t>
      </w:r>
      <w:r>
        <w:rPr>
          <w:rFonts w:eastAsia="楷体_GB2312" w:hint="eastAsia"/>
          <w:color w:val="000000"/>
          <w:sz w:val="32"/>
          <w:lang w:bidi="ar"/>
        </w:rPr>
        <w:t>提高绩效目标编制质量</w:t>
      </w:r>
      <w:bookmarkEnd w:id="91"/>
      <w:bookmarkEnd w:id="92"/>
      <w:bookmarkEnd w:id="93"/>
    </w:p>
    <w:p w:rsidR="00706F52" w:rsidRDefault="00DE41BA">
      <w:pPr>
        <w:adjustRightInd w:val="0"/>
        <w:snapToGrid w:val="0"/>
        <w:spacing w:line="360" w:lineRule="auto"/>
        <w:ind w:firstLineChars="200" w:firstLine="640"/>
        <w:rPr>
          <w:rFonts w:cs="仿宋_GB2312"/>
          <w:sz w:val="32"/>
          <w:szCs w:val="28"/>
          <w:lang w:bidi="ar"/>
        </w:rPr>
      </w:pPr>
      <w:r>
        <w:rPr>
          <w:rFonts w:cs="仿宋_GB2312" w:hint="eastAsia"/>
          <w:sz w:val="32"/>
          <w:szCs w:val="32"/>
          <w:lang w:bidi="ar"/>
        </w:rPr>
        <w:t>建议项目单位进一步树立和强化预算绩效管理意识，提高对绩效目标填报工作的重视程度</w:t>
      </w:r>
      <w:r>
        <w:rPr>
          <w:rFonts w:cs="仿宋_GB2312" w:hint="eastAsia"/>
          <w:sz w:val="32"/>
          <w:szCs w:val="32"/>
          <w:lang w:bidi="ar"/>
        </w:rPr>
        <w:t>，</w:t>
      </w:r>
      <w:r>
        <w:rPr>
          <w:rFonts w:cs="仿宋_GB2312" w:hint="eastAsia"/>
          <w:sz w:val="32"/>
          <w:szCs w:val="32"/>
          <w:lang w:bidi="ar"/>
        </w:rPr>
        <w:t>结合项目实际情况，制定具体、可衡量、可实现的绩效目标，明确项目拟解决的核心问题以及预期绩效等内容</w:t>
      </w:r>
      <w:r>
        <w:rPr>
          <w:rFonts w:cs="仿宋_GB2312" w:hint="eastAsia"/>
          <w:sz w:val="32"/>
          <w:szCs w:val="32"/>
          <w:lang w:bidi="ar"/>
        </w:rPr>
        <w:t>。</w:t>
      </w:r>
    </w:p>
    <w:p w:rsidR="00706F52" w:rsidRDefault="00DE41BA">
      <w:pPr>
        <w:adjustRightInd w:val="0"/>
        <w:snapToGrid w:val="0"/>
        <w:spacing w:line="360" w:lineRule="auto"/>
        <w:ind w:firstLineChars="200" w:firstLine="640"/>
        <w:jc w:val="left"/>
        <w:outlineLvl w:val="1"/>
        <w:rPr>
          <w:rFonts w:eastAsia="楷体_GB2312"/>
          <w:color w:val="000000"/>
          <w:sz w:val="32"/>
          <w:lang w:bidi="ar"/>
        </w:rPr>
      </w:pPr>
      <w:bookmarkStart w:id="100" w:name="_Toc18069"/>
      <w:bookmarkStart w:id="101" w:name="_Toc15731"/>
      <w:bookmarkStart w:id="102" w:name="_Toc26609"/>
      <w:bookmarkStart w:id="103" w:name="_Toc23700"/>
      <w:bookmarkStart w:id="104" w:name="_Toc10735"/>
      <w:r>
        <w:rPr>
          <w:rFonts w:eastAsia="楷体_GB2312" w:hint="eastAsia"/>
          <w:color w:val="000000"/>
          <w:sz w:val="32"/>
          <w:lang w:bidi="ar"/>
        </w:rPr>
        <w:lastRenderedPageBreak/>
        <w:t>（二）</w:t>
      </w:r>
      <w:bookmarkEnd w:id="100"/>
      <w:r>
        <w:rPr>
          <w:rFonts w:eastAsia="楷体_GB2312" w:hint="eastAsia"/>
          <w:color w:val="000000"/>
          <w:sz w:val="32"/>
          <w:lang w:bidi="ar"/>
        </w:rPr>
        <w:t>加强风险防控意识，进一步</w:t>
      </w:r>
      <w:r>
        <w:rPr>
          <w:rFonts w:eastAsia="楷体_GB2312" w:hint="eastAsia"/>
          <w:color w:val="000000"/>
          <w:sz w:val="32"/>
          <w:lang w:bidi="ar"/>
        </w:rPr>
        <w:t>加强</w:t>
      </w:r>
      <w:r>
        <w:rPr>
          <w:rFonts w:eastAsia="楷体_GB2312" w:hint="eastAsia"/>
          <w:color w:val="000000"/>
          <w:sz w:val="32"/>
          <w:lang w:bidi="ar"/>
        </w:rPr>
        <w:t>验收管理</w:t>
      </w:r>
      <w:bookmarkEnd w:id="101"/>
      <w:bookmarkEnd w:id="102"/>
      <w:bookmarkEnd w:id="103"/>
      <w:bookmarkEnd w:id="104"/>
    </w:p>
    <w:p w:rsidR="00706F52" w:rsidRDefault="00DE41BA">
      <w:pPr>
        <w:adjustRightInd w:val="0"/>
        <w:snapToGrid w:val="0"/>
        <w:spacing w:line="360" w:lineRule="auto"/>
        <w:ind w:firstLineChars="200" w:firstLine="640"/>
        <w:rPr>
          <w:rFonts w:cs="仿宋_GB2312"/>
          <w:sz w:val="32"/>
          <w:szCs w:val="28"/>
          <w:lang w:bidi="ar"/>
        </w:rPr>
      </w:pPr>
      <w:r>
        <w:rPr>
          <w:rFonts w:cs="仿宋_GB2312" w:hint="eastAsia"/>
          <w:sz w:val="32"/>
          <w:szCs w:val="28"/>
          <w:lang w:bidi="ar"/>
        </w:rPr>
        <w:t>建议项目单位</w:t>
      </w:r>
      <w:bookmarkEnd w:id="94"/>
      <w:bookmarkEnd w:id="95"/>
      <w:bookmarkEnd w:id="96"/>
      <w:bookmarkEnd w:id="97"/>
      <w:r>
        <w:rPr>
          <w:rFonts w:cs="仿宋_GB2312" w:hint="eastAsia"/>
          <w:sz w:val="32"/>
          <w:szCs w:val="28"/>
          <w:lang w:bidi="ar"/>
        </w:rPr>
        <w:t>提升验收管理水平，</w:t>
      </w:r>
      <w:r>
        <w:rPr>
          <w:rFonts w:cs="仿宋_GB2312" w:hint="eastAsia"/>
          <w:sz w:val="32"/>
          <w:szCs w:val="28"/>
          <w:lang w:bidi="ar"/>
        </w:rPr>
        <w:t>在对</w:t>
      </w:r>
      <w:r>
        <w:rPr>
          <w:rFonts w:cs="仿宋_GB2312" w:hint="eastAsia"/>
          <w:sz w:val="32"/>
          <w:szCs w:val="28"/>
          <w:lang w:bidi="ar"/>
        </w:rPr>
        <w:t>项目成果</w:t>
      </w:r>
      <w:r>
        <w:rPr>
          <w:rFonts w:cs="仿宋_GB2312" w:hint="eastAsia"/>
          <w:sz w:val="32"/>
          <w:szCs w:val="28"/>
          <w:lang w:bidi="ar"/>
        </w:rPr>
        <w:t>完成数量进行考核的基础上，</w:t>
      </w:r>
      <w:r>
        <w:rPr>
          <w:rFonts w:cs="仿宋_GB2312" w:hint="eastAsia"/>
          <w:sz w:val="32"/>
          <w:szCs w:val="28"/>
          <w:lang w:bidi="ar"/>
        </w:rPr>
        <w:t>兼顾项目成果质量</w:t>
      </w:r>
      <w:r>
        <w:rPr>
          <w:rFonts w:cs="仿宋_GB2312" w:hint="eastAsia"/>
          <w:sz w:val="32"/>
          <w:szCs w:val="28"/>
          <w:lang w:bidi="ar"/>
        </w:rPr>
        <w:t>的评价，进一步</w:t>
      </w:r>
      <w:r>
        <w:rPr>
          <w:rFonts w:hint="eastAsia"/>
          <w:sz w:val="32"/>
          <w:szCs w:val="32"/>
        </w:rPr>
        <w:t>加强对购买服务承接方的履约</w:t>
      </w:r>
      <w:r>
        <w:rPr>
          <w:rFonts w:hint="eastAsia"/>
          <w:sz w:val="32"/>
          <w:szCs w:val="32"/>
        </w:rPr>
        <w:t>质量的</w:t>
      </w:r>
      <w:r>
        <w:rPr>
          <w:rFonts w:hint="eastAsia"/>
          <w:sz w:val="32"/>
          <w:szCs w:val="32"/>
        </w:rPr>
        <w:t>监管</w:t>
      </w:r>
      <w:r>
        <w:rPr>
          <w:rFonts w:cs="仿宋_GB2312" w:hint="eastAsia"/>
          <w:sz w:val="32"/>
          <w:szCs w:val="28"/>
          <w:lang w:bidi="ar"/>
        </w:rPr>
        <w:t>。</w:t>
      </w:r>
    </w:p>
    <w:p w:rsidR="00706F52" w:rsidRDefault="00DE41BA">
      <w:pPr>
        <w:adjustRightInd w:val="0"/>
        <w:snapToGrid w:val="0"/>
        <w:spacing w:line="360" w:lineRule="auto"/>
        <w:ind w:firstLineChars="200" w:firstLine="640"/>
        <w:jc w:val="left"/>
        <w:outlineLvl w:val="1"/>
        <w:rPr>
          <w:rFonts w:eastAsia="楷体_GB2312"/>
          <w:color w:val="000000"/>
          <w:sz w:val="32"/>
          <w:szCs w:val="30"/>
          <w:lang w:bidi="ar"/>
        </w:rPr>
      </w:pPr>
      <w:bookmarkStart w:id="105" w:name="_Toc790"/>
      <w:bookmarkStart w:id="106" w:name="_Toc22016"/>
      <w:bookmarkStart w:id="107" w:name="_Toc1077"/>
      <w:bookmarkStart w:id="108" w:name="_Toc14695"/>
      <w:r>
        <w:rPr>
          <w:rFonts w:eastAsia="楷体_GB2312" w:hint="eastAsia"/>
          <w:color w:val="000000"/>
          <w:sz w:val="32"/>
          <w:szCs w:val="30"/>
          <w:lang w:bidi="ar"/>
        </w:rPr>
        <w:t>（三）</w:t>
      </w:r>
      <w:r>
        <w:rPr>
          <w:rFonts w:eastAsia="楷体_GB2312" w:hint="eastAsia"/>
          <w:color w:val="000000"/>
          <w:sz w:val="32"/>
          <w:szCs w:val="30"/>
          <w:lang w:bidi="ar"/>
        </w:rPr>
        <w:t>持续推进项目成果应用工作</w:t>
      </w:r>
      <w:r>
        <w:rPr>
          <w:rFonts w:eastAsia="楷体_GB2312" w:hint="eastAsia"/>
          <w:color w:val="000000"/>
          <w:sz w:val="32"/>
          <w:szCs w:val="30"/>
          <w:lang w:bidi="ar"/>
        </w:rPr>
        <w:t>，充分体现财政资金使用效益</w:t>
      </w:r>
      <w:bookmarkEnd w:id="105"/>
      <w:bookmarkEnd w:id="106"/>
      <w:bookmarkEnd w:id="107"/>
      <w:bookmarkEnd w:id="108"/>
    </w:p>
    <w:p w:rsidR="00706F52" w:rsidRDefault="00DE41BA">
      <w:pPr>
        <w:adjustRightInd w:val="0"/>
        <w:snapToGrid w:val="0"/>
        <w:spacing w:line="360" w:lineRule="auto"/>
        <w:ind w:firstLineChars="200" w:firstLine="640"/>
        <w:jc w:val="left"/>
      </w:pPr>
      <w:r>
        <w:rPr>
          <w:rFonts w:cs="仿宋_GB2312" w:hint="eastAsia"/>
          <w:sz w:val="32"/>
          <w:szCs w:val="28"/>
          <w:lang w:bidi="ar"/>
        </w:rPr>
        <w:t>建议项目单位进一步加强对项目成果应用转化、效益实现情况的系统梳理，做好项目整体效益总结分析。</w:t>
      </w:r>
      <w:r>
        <w:rPr>
          <w:rFonts w:cs="仿宋_GB2312" w:hint="eastAsia"/>
          <w:sz w:val="32"/>
          <w:szCs w:val="28"/>
          <w:lang w:bidi="ar"/>
        </w:rPr>
        <w:t>对于项目形成的相关数据成果，明确其应用方向；对于现场核查过程中发现的问题，明确反馈整改机制；对于成果报告中梳理形成的可借鉴的经验做法，明确其转化路径。对于尚未应用的项目成果，持续关注，确保及时应用于北京市水生态管理工作，发挥</w:t>
      </w:r>
      <w:r>
        <w:rPr>
          <w:rFonts w:ascii="仿宋_GB2312" w:hAnsi="宋体" w:cs="仿宋_GB2312" w:hint="eastAsia"/>
          <w:color w:val="000000"/>
          <w:kern w:val="0"/>
          <w:sz w:val="32"/>
          <w:szCs w:val="32"/>
          <w:lang w:bidi="ar"/>
        </w:rPr>
        <w:t>财政资金使用效益。</w:t>
      </w:r>
      <w:r>
        <w:rPr>
          <w:rFonts w:cs="仿宋_GB2312" w:hint="eastAsia"/>
          <w:sz w:val="32"/>
          <w:szCs w:val="28"/>
          <w:lang w:bidi="ar"/>
        </w:rPr>
        <w:t>同时，积极开展服务对象满意度调查工作，充分了解和收集服务对象的意见建议，发现工作改进空间和方向，为后续</w:t>
      </w:r>
      <w:r>
        <w:rPr>
          <w:rFonts w:ascii="仿宋_GB2312" w:hAnsi="宋体" w:hint="eastAsia"/>
          <w:bCs/>
          <w:kern w:val="0"/>
          <w:sz w:val="32"/>
          <w:szCs w:val="32"/>
        </w:rPr>
        <w:t>工作</w:t>
      </w:r>
      <w:r>
        <w:rPr>
          <w:rFonts w:hAnsi="宋体" w:hint="eastAsia"/>
          <w:bCs/>
          <w:kern w:val="0"/>
          <w:sz w:val="32"/>
          <w:szCs w:val="32"/>
        </w:rPr>
        <w:t>开展和持续优化管理方式提供参考</w:t>
      </w:r>
      <w:r>
        <w:rPr>
          <w:rFonts w:ascii="仿宋_GB2312" w:hAnsi="宋体" w:hint="eastAsia"/>
          <w:bCs/>
          <w:kern w:val="0"/>
          <w:sz w:val="32"/>
          <w:szCs w:val="32"/>
        </w:rPr>
        <w:t>。</w:t>
      </w:r>
      <w:bookmarkEnd w:id="98"/>
      <w:bookmarkEnd w:id="99"/>
    </w:p>
    <w:sectPr w:rsidR="00706F52">
      <w:footerReference w:type="default" r:id="rId10"/>
      <w:pgSz w:w="11906" w:h="16838"/>
      <w:pgMar w:top="2098" w:right="1531" w:bottom="1985" w:left="1531" w:header="851" w:footer="992" w:gutter="0"/>
      <w:pgNumType w:start="1"/>
      <w:cols w:space="720"/>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E41BA">
      <w:r>
        <w:separator/>
      </w:r>
    </w:p>
  </w:endnote>
  <w:endnote w:type="continuationSeparator" w:id="0">
    <w:p w:rsidR="00000000" w:rsidRDefault="00DE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F52" w:rsidRDefault="00DE41BA">
    <w:pPr>
      <w:pStyle w:val="aa"/>
      <w:jc w:val="center"/>
      <w:rPr>
        <w:sz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06F52" w:rsidRDefault="00DE41BA">
                          <w:pPr>
                            <w:pStyle w:val="aa"/>
                          </w:pPr>
                          <w:r>
                            <w:fldChar w:fldCharType="begin"/>
                          </w:r>
                          <w:r>
                            <w:instrText xml:space="preserve"> PAGE  \* MERGEFORMAT </w:instrText>
                          </w:r>
                          <w:r>
                            <w:fldChar w:fldCharType="separate"/>
                          </w:r>
                          <w:r>
                            <w:rPr>
                              <w:noProof/>
                            </w:rP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706F52" w:rsidRDefault="00DE41BA">
                    <w:pPr>
                      <w:pStyle w:val="aa"/>
                    </w:pPr>
                    <w:r>
                      <w:fldChar w:fldCharType="begin"/>
                    </w:r>
                    <w:r>
                      <w:instrText xml:space="preserve"> PAGE  \* MERGEFORMAT </w:instrText>
                    </w:r>
                    <w:r>
                      <w:fldChar w:fldCharType="separate"/>
                    </w:r>
                    <w:r>
                      <w:rPr>
                        <w:noProof/>
                      </w:rPr>
                      <w:t>15</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E41BA">
      <w:r>
        <w:separator/>
      </w:r>
    </w:p>
  </w:footnote>
  <w:footnote w:type="continuationSeparator" w:id="0">
    <w:p w:rsidR="00000000" w:rsidRDefault="00DE41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EB17FF"/>
    <w:multiLevelType w:val="singleLevel"/>
    <w:tmpl w:val="91EB17FF"/>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0"/>
  <w:drawingGridVerticalSpacing w:val="204"/>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mMmQzYzI2NWZmMjBiMGFhOTg4YzMzZTEzMjkwNzgifQ=="/>
  </w:docVars>
  <w:rsids>
    <w:rsidRoot w:val="00F57F82"/>
    <w:rsid w:val="9785F034"/>
    <w:rsid w:val="AFEBC1C3"/>
    <w:rsid w:val="BFB1180E"/>
    <w:rsid w:val="D3FB6385"/>
    <w:rsid w:val="D7FB1763"/>
    <w:rsid w:val="E97FF90D"/>
    <w:rsid w:val="FDF12D42"/>
    <w:rsid w:val="FDFFFD6B"/>
    <w:rsid w:val="FFBB4D06"/>
    <w:rsid w:val="FFFEC287"/>
    <w:rsid w:val="0000081C"/>
    <w:rsid w:val="0000098C"/>
    <w:rsid w:val="00001685"/>
    <w:rsid w:val="00001D0F"/>
    <w:rsid w:val="00002C5A"/>
    <w:rsid w:val="00002CC0"/>
    <w:rsid w:val="00003574"/>
    <w:rsid w:val="00005B90"/>
    <w:rsid w:val="00006622"/>
    <w:rsid w:val="000072FC"/>
    <w:rsid w:val="000101E1"/>
    <w:rsid w:val="00013124"/>
    <w:rsid w:val="0001370A"/>
    <w:rsid w:val="00013F58"/>
    <w:rsid w:val="0001492F"/>
    <w:rsid w:val="00016D27"/>
    <w:rsid w:val="00021ED0"/>
    <w:rsid w:val="00023F0A"/>
    <w:rsid w:val="000242B0"/>
    <w:rsid w:val="00024F81"/>
    <w:rsid w:val="000270EB"/>
    <w:rsid w:val="0002730A"/>
    <w:rsid w:val="00027C84"/>
    <w:rsid w:val="00030FB0"/>
    <w:rsid w:val="00035EDA"/>
    <w:rsid w:val="00037010"/>
    <w:rsid w:val="00042B8E"/>
    <w:rsid w:val="000519CA"/>
    <w:rsid w:val="00055C52"/>
    <w:rsid w:val="00062E1B"/>
    <w:rsid w:val="00065850"/>
    <w:rsid w:val="0007065B"/>
    <w:rsid w:val="000723DA"/>
    <w:rsid w:val="000727C6"/>
    <w:rsid w:val="0007527B"/>
    <w:rsid w:val="000808E8"/>
    <w:rsid w:val="000821DD"/>
    <w:rsid w:val="000822D8"/>
    <w:rsid w:val="00082839"/>
    <w:rsid w:val="000852F0"/>
    <w:rsid w:val="00085EDC"/>
    <w:rsid w:val="00086A59"/>
    <w:rsid w:val="0008763A"/>
    <w:rsid w:val="000905C5"/>
    <w:rsid w:val="0009145A"/>
    <w:rsid w:val="00091D75"/>
    <w:rsid w:val="00092357"/>
    <w:rsid w:val="000971A3"/>
    <w:rsid w:val="00097B95"/>
    <w:rsid w:val="000A0108"/>
    <w:rsid w:val="000A1EFB"/>
    <w:rsid w:val="000A6177"/>
    <w:rsid w:val="000B0673"/>
    <w:rsid w:val="000B1B2D"/>
    <w:rsid w:val="000B1D16"/>
    <w:rsid w:val="000B1E3F"/>
    <w:rsid w:val="000B1E65"/>
    <w:rsid w:val="000B2E20"/>
    <w:rsid w:val="000B3751"/>
    <w:rsid w:val="000B7F12"/>
    <w:rsid w:val="000C276F"/>
    <w:rsid w:val="000C2824"/>
    <w:rsid w:val="000C3C52"/>
    <w:rsid w:val="000C7F6C"/>
    <w:rsid w:val="000D05ED"/>
    <w:rsid w:val="000D0AFB"/>
    <w:rsid w:val="000D0F03"/>
    <w:rsid w:val="000D24DE"/>
    <w:rsid w:val="000E0CCC"/>
    <w:rsid w:val="000E0D61"/>
    <w:rsid w:val="000E638C"/>
    <w:rsid w:val="000F12F8"/>
    <w:rsid w:val="000F1CFA"/>
    <w:rsid w:val="000F289D"/>
    <w:rsid w:val="000F585B"/>
    <w:rsid w:val="000F6975"/>
    <w:rsid w:val="001002B5"/>
    <w:rsid w:val="00100349"/>
    <w:rsid w:val="001003B7"/>
    <w:rsid w:val="00100979"/>
    <w:rsid w:val="00101A76"/>
    <w:rsid w:val="00102429"/>
    <w:rsid w:val="0010259D"/>
    <w:rsid w:val="00102A23"/>
    <w:rsid w:val="00103815"/>
    <w:rsid w:val="00104634"/>
    <w:rsid w:val="001047E0"/>
    <w:rsid w:val="00106531"/>
    <w:rsid w:val="001073CE"/>
    <w:rsid w:val="001111F9"/>
    <w:rsid w:val="00111C5D"/>
    <w:rsid w:val="00113A3E"/>
    <w:rsid w:val="00115148"/>
    <w:rsid w:val="0011518B"/>
    <w:rsid w:val="00115220"/>
    <w:rsid w:val="00115CF4"/>
    <w:rsid w:val="00115F30"/>
    <w:rsid w:val="0011618B"/>
    <w:rsid w:val="001201FE"/>
    <w:rsid w:val="00123E26"/>
    <w:rsid w:val="00124090"/>
    <w:rsid w:val="00125CAF"/>
    <w:rsid w:val="00126129"/>
    <w:rsid w:val="00131A76"/>
    <w:rsid w:val="001354FF"/>
    <w:rsid w:val="001361AF"/>
    <w:rsid w:val="001363F1"/>
    <w:rsid w:val="00141726"/>
    <w:rsid w:val="00145FDE"/>
    <w:rsid w:val="0014617D"/>
    <w:rsid w:val="0014692E"/>
    <w:rsid w:val="00147809"/>
    <w:rsid w:val="00151066"/>
    <w:rsid w:val="001527C4"/>
    <w:rsid w:val="0015345B"/>
    <w:rsid w:val="0015642C"/>
    <w:rsid w:val="00160B5D"/>
    <w:rsid w:val="00160E57"/>
    <w:rsid w:val="00162694"/>
    <w:rsid w:val="00164992"/>
    <w:rsid w:val="001667CE"/>
    <w:rsid w:val="00172BBC"/>
    <w:rsid w:val="0017377A"/>
    <w:rsid w:val="0017546F"/>
    <w:rsid w:val="00176617"/>
    <w:rsid w:val="00176961"/>
    <w:rsid w:val="00182A2C"/>
    <w:rsid w:val="00182DE9"/>
    <w:rsid w:val="0018352F"/>
    <w:rsid w:val="001878CD"/>
    <w:rsid w:val="00191052"/>
    <w:rsid w:val="00192276"/>
    <w:rsid w:val="0019254C"/>
    <w:rsid w:val="00194BD7"/>
    <w:rsid w:val="00196157"/>
    <w:rsid w:val="00196AD7"/>
    <w:rsid w:val="001A0223"/>
    <w:rsid w:val="001A05BC"/>
    <w:rsid w:val="001A22A0"/>
    <w:rsid w:val="001A26E7"/>
    <w:rsid w:val="001A42EB"/>
    <w:rsid w:val="001B555C"/>
    <w:rsid w:val="001B74A9"/>
    <w:rsid w:val="001C0B2C"/>
    <w:rsid w:val="001C2862"/>
    <w:rsid w:val="001C5DBC"/>
    <w:rsid w:val="001C71C5"/>
    <w:rsid w:val="001C7909"/>
    <w:rsid w:val="001D068A"/>
    <w:rsid w:val="001D103F"/>
    <w:rsid w:val="001D4FED"/>
    <w:rsid w:val="001D601D"/>
    <w:rsid w:val="001E3653"/>
    <w:rsid w:val="001E37AB"/>
    <w:rsid w:val="001E4396"/>
    <w:rsid w:val="001E5E51"/>
    <w:rsid w:val="001E7C50"/>
    <w:rsid w:val="001F1A35"/>
    <w:rsid w:val="001F356B"/>
    <w:rsid w:val="002007D8"/>
    <w:rsid w:val="0020286F"/>
    <w:rsid w:val="0021003B"/>
    <w:rsid w:val="00210055"/>
    <w:rsid w:val="00210A15"/>
    <w:rsid w:val="002124C1"/>
    <w:rsid w:val="00212636"/>
    <w:rsid w:val="00223625"/>
    <w:rsid w:val="0022412D"/>
    <w:rsid w:val="00226FB8"/>
    <w:rsid w:val="002278FD"/>
    <w:rsid w:val="00230FA6"/>
    <w:rsid w:val="002323CE"/>
    <w:rsid w:val="002328B0"/>
    <w:rsid w:val="00233E4B"/>
    <w:rsid w:val="0023522F"/>
    <w:rsid w:val="002363EC"/>
    <w:rsid w:val="002366F0"/>
    <w:rsid w:val="00245143"/>
    <w:rsid w:val="00247B0F"/>
    <w:rsid w:val="0025066C"/>
    <w:rsid w:val="0025226A"/>
    <w:rsid w:val="0025370D"/>
    <w:rsid w:val="00254270"/>
    <w:rsid w:val="00254E45"/>
    <w:rsid w:val="00256E14"/>
    <w:rsid w:val="0026014C"/>
    <w:rsid w:val="00261A93"/>
    <w:rsid w:val="00262D13"/>
    <w:rsid w:val="002700B9"/>
    <w:rsid w:val="00273432"/>
    <w:rsid w:val="002756A8"/>
    <w:rsid w:val="00275B67"/>
    <w:rsid w:val="0027670C"/>
    <w:rsid w:val="00280015"/>
    <w:rsid w:val="002805AE"/>
    <w:rsid w:val="00280A74"/>
    <w:rsid w:val="00281550"/>
    <w:rsid w:val="00281E23"/>
    <w:rsid w:val="00282E8F"/>
    <w:rsid w:val="00285A07"/>
    <w:rsid w:val="00287B75"/>
    <w:rsid w:val="0029035B"/>
    <w:rsid w:val="00293139"/>
    <w:rsid w:val="002951BE"/>
    <w:rsid w:val="0029796B"/>
    <w:rsid w:val="002979B3"/>
    <w:rsid w:val="002A2328"/>
    <w:rsid w:val="002A3048"/>
    <w:rsid w:val="002A6240"/>
    <w:rsid w:val="002B68C4"/>
    <w:rsid w:val="002C6220"/>
    <w:rsid w:val="002C7186"/>
    <w:rsid w:val="002D26C2"/>
    <w:rsid w:val="002E2E8D"/>
    <w:rsid w:val="002E36DD"/>
    <w:rsid w:val="002F179F"/>
    <w:rsid w:val="002F43ED"/>
    <w:rsid w:val="002F440A"/>
    <w:rsid w:val="002F5374"/>
    <w:rsid w:val="002F6464"/>
    <w:rsid w:val="003032D4"/>
    <w:rsid w:val="00305057"/>
    <w:rsid w:val="00307AF9"/>
    <w:rsid w:val="00312391"/>
    <w:rsid w:val="00312C8A"/>
    <w:rsid w:val="00314833"/>
    <w:rsid w:val="00315443"/>
    <w:rsid w:val="003161FC"/>
    <w:rsid w:val="00321BF4"/>
    <w:rsid w:val="00322514"/>
    <w:rsid w:val="003240C7"/>
    <w:rsid w:val="00325F64"/>
    <w:rsid w:val="00326463"/>
    <w:rsid w:val="003314A2"/>
    <w:rsid w:val="00332D8F"/>
    <w:rsid w:val="00333AB8"/>
    <w:rsid w:val="003361F4"/>
    <w:rsid w:val="00336A93"/>
    <w:rsid w:val="0033749A"/>
    <w:rsid w:val="003413E0"/>
    <w:rsid w:val="00346EAC"/>
    <w:rsid w:val="00351A33"/>
    <w:rsid w:val="00354130"/>
    <w:rsid w:val="0035457D"/>
    <w:rsid w:val="003619FE"/>
    <w:rsid w:val="00370CDD"/>
    <w:rsid w:val="00376DF5"/>
    <w:rsid w:val="003779D1"/>
    <w:rsid w:val="003816FC"/>
    <w:rsid w:val="00381E7B"/>
    <w:rsid w:val="003822EB"/>
    <w:rsid w:val="0039321A"/>
    <w:rsid w:val="00393BAB"/>
    <w:rsid w:val="003942A7"/>
    <w:rsid w:val="0039518E"/>
    <w:rsid w:val="0039551F"/>
    <w:rsid w:val="0039560B"/>
    <w:rsid w:val="00395C83"/>
    <w:rsid w:val="003A319C"/>
    <w:rsid w:val="003A445A"/>
    <w:rsid w:val="003A5778"/>
    <w:rsid w:val="003A5AE0"/>
    <w:rsid w:val="003A5D89"/>
    <w:rsid w:val="003A7540"/>
    <w:rsid w:val="003B18BF"/>
    <w:rsid w:val="003B3270"/>
    <w:rsid w:val="003B32BD"/>
    <w:rsid w:val="003B467D"/>
    <w:rsid w:val="003C0A99"/>
    <w:rsid w:val="003C154B"/>
    <w:rsid w:val="003C1A4F"/>
    <w:rsid w:val="003C2A79"/>
    <w:rsid w:val="003C38CE"/>
    <w:rsid w:val="003D0203"/>
    <w:rsid w:val="003D0B3A"/>
    <w:rsid w:val="003D0EA5"/>
    <w:rsid w:val="003D1A2C"/>
    <w:rsid w:val="003D485B"/>
    <w:rsid w:val="003E0464"/>
    <w:rsid w:val="003E1822"/>
    <w:rsid w:val="003E27F1"/>
    <w:rsid w:val="003E7DFD"/>
    <w:rsid w:val="003F2D95"/>
    <w:rsid w:val="003F3565"/>
    <w:rsid w:val="003F6358"/>
    <w:rsid w:val="004025E6"/>
    <w:rsid w:val="00403345"/>
    <w:rsid w:val="004050E0"/>
    <w:rsid w:val="00406A9E"/>
    <w:rsid w:val="0041097F"/>
    <w:rsid w:val="004115F0"/>
    <w:rsid w:val="0041789F"/>
    <w:rsid w:val="00417FC8"/>
    <w:rsid w:val="0042020B"/>
    <w:rsid w:val="00423EE3"/>
    <w:rsid w:val="00433D3A"/>
    <w:rsid w:val="00433F10"/>
    <w:rsid w:val="00433FB4"/>
    <w:rsid w:val="00435AA5"/>
    <w:rsid w:val="0043745A"/>
    <w:rsid w:val="0044321D"/>
    <w:rsid w:val="00443DAB"/>
    <w:rsid w:val="00445ACC"/>
    <w:rsid w:val="0044692D"/>
    <w:rsid w:val="00446AE3"/>
    <w:rsid w:val="00454812"/>
    <w:rsid w:val="00457BD5"/>
    <w:rsid w:val="00462F4C"/>
    <w:rsid w:val="004637D3"/>
    <w:rsid w:val="00467DE7"/>
    <w:rsid w:val="00467FAD"/>
    <w:rsid w:val="00470E70"/>
    <w:rsid w:val="00473BB1"/>
    <w:rsid w:val="004814E9"/>
    <w:rsid w:val="00483D18"/>
    <w:rsid w:val="004847F4"/>
    <w:rsid w:val="00485D6D"/>
    <w:rsid w:val="004879FC"/>
    <w:rsid w:val="00494FBD"/>
    <w:rsid w:val="004A0F37"/>
    <w:rsid w:val="004A1ABC"/>
    <w:rsid w:val="004A1E97"/>
    <w:rsid w:val="004A45B0"/>
    <w:rsid w:val="004B1586"/>
    <w:rsid w:val="004B25B7"/>
    <w:rsid w:val="004B2EE9"/>
    <w:rsid w:val="004B4FBA"/>
    <w:rsid w:val="004B6E95"/>
    <w:rsid w:val="004C0072"/>
    <w:rsid w:val="004C0A81"/>
    <w:rsid w:val="004C115E"/>
    <w:rsid w:val="004C1242"/>
    <w:rsid w:val="004C340D"/>
    <w:rsid w:val="004C3790"/>
    <w:rsid w:val="004C6980"/>
    <w:rsid w:val="004C6CD6"/>
    <w:rsid w:val="004D0648"/>
    <w:rsid w:val="004D231A"/>
    <w:rsid w:val="004D36F9"/>
    <w:rsid w:val="004D3D46"/>
    <w:rsid w:val="004D6784"/>
    <w:rsid w:val="004D6801"/>
    <w:rsid w:val="004D7D2B"/>
    <w:rsid w:val="004E17B8"/>
    <w:rsid w:val="004E30BD"/>
    <w:rsid w:val="004E420C"/>
    <w:rsid w:val="004E5E19"/>
    <w:rsid w:val="004F1770"/>
    <w:rsid w:val="004F3E80"/>
    <w:rsid w:val="004F460B"/>
    <w:rsid w:val="004F7940"/>
    <w:rsid w:val="00500623"/>
    <w:rsid w:val="00501CB8"/>
    <w:rsid w:val="00507649"/>
    <w:rsid w:val="00511412"/>
    <w:rsid w:val="00517A6A"/>
    <w:rsid w:val="005225E7"/>
    <w:rsid w:val="005316E7"/>
    <w:rsid w:val="005325B6"/>
    <w:rsid w:val="00532C1C"/>
    <w:rsid w:val="00534AE6"/>
    <w:rsid w:val="0053541C"/>
    <w:rsid w:val="00536628"/>
    <w:rsid w:val="005413C8"/>
    <w:rsid w:val="00545D99"/>
    <w:rsid w:val="00546EA5"/>
    <w:rsid w:val="005473ED"/>
    <w:rsid w:val="00547EFF"/>
    <w:rsid w:val="005524D3"/>
    <w:rsid w:val="0055339F"/>
    <w:rsid w:val="005535AE"/>
    <w:rsid w:val="005536DD"/>
    <w:rsid w:val="005556E5"/>
    <w:rsid w:val="00556A91"/>
    <w:rsid w:val="00560219"/>
    <w:rsid w:val="005625B6"/>
    <w:rsid w:val="0056339F"/>
    <w:rsid w:val="00565CEA"/>
    <w:rsid w:val="00566905"/>
    <w:rsid w:val="005670F4"/>
    <w:rsid w:val="00570FE6"/>
    <w:rsid w:val="005710FF"/>
    <w:rsid w:val="00573BC3"/>
    <w:rsid w:val="005744DE"/>
    <w:rsid w:val="005824FB"/>
    <w:rsid w:val="005858E9"/>
    <w:rsid w:val="0059108C"/>
    <w:rsid w:val="00591A62"/>
    <w:rsid w:val="0059257A"/>
    <w:rsid w:val="005950D4"/>
    <w:rsid w:val="005967CB"/>
    <w:rsid w:val="0059795A"/>
    <w:rsid w:val="005A1C2D"/>
    <w:rsid w:val="005A44E1"/>
    <w:rsid w:val="005A4AA0"/>
    <w:rsid w:val="005A51D8"/>
    <w:rsid w:val="005B2C1A"/>
    <w:rsid w:val="005B3574"/>
    <w:rsid w:val="005B4180"/>
    <w:rsid w:val="005B44FC"/>
    <w:rsid w:val="005B491E"/>
    <w:rsid w:val="005B4DEA"/>
    <w:rsid w:val="005B4DF7"/>
    <w:rsid w:val="005B573B"/>
    <w:rsid w:val="005B5A88"/>
    <w:rsid w:val="005C2489"/>
    <w:rsid w:val="005C2622"/>
    <w:rsid w:val="005C3A40"/>
    <w:rsid w:val="005C51EC"/>
    <w:rsid w:val="005C5256"/>
    <w:rsid w:val="005C7381"/>
    <w:rsid w:val="005C7D97"/>
    <w:rsid w:val="005D0419"/>
    <w:rsid w:val="005D45BF"/>
    <w:rsid w:val="005D59D7"/>
    <w:rsid w:val="005D5F3D"/>
    <w:rsid w:val="005E250D"/>
    <w:rsid w:val="005E28C9"/>
    <w:rsid w:val="005E33C2"/>
    <w:rsid w:val="005E7717"/>
    <w:rsid w:val="005F455E"/>
    <w:rsid w:val="005F6F5F"/>
    <w:rsid w:val="005F6F8F"/>
    <w:rsid w:val="00604BA7"/>
    <w:rsid w:val="00605316"/>
    <w:rsid w:val="0060577D"/>
    <w:rsid w:val="00607DD9"/>
    <w:rsid w:val="006100BE"/>
    <w:rsid w:val="006134C2"/>
    <w:rsid w:val="00615411"/>
    <w:rsid w:val="0062019F"/>
    <w:rsid w:val="00620B86"/>
    <w:rsid w:val="00621059"/>
    <w:rsid w:val="00621BBB"/>
    <w:rsid w:val="00621BF0"/>
    <w:rsid w:val="006239E4"/>
    <w:rsid w:val="00625C47"/>
    <w:rsid w:val="00625EC0"/>
    <w:rsid w:val="00626374"/>
    <w:rsid w:val="00627298"/>
    <w:rsid w:val="00627B91"/>
    <w:rsid w:val="00627FD5"/>
    <w:rsid w:val="006314DF"/>
    <w:rsid w:val="00632F49"/>
    <w:rsid w:val="00633BD1"/>
    <w:rsid w:val="00634EE1"/>
    <w:rsid w:val="006351DA"/>
    <w:rsid w:val="00635CCC"/>
    <w:rsid w:val="006376BC"/>
    <w:rsid w:val="00640656"/>
    <w:rsid w:val="00644B1E"/>
    <w:rsid w:val="006475F8"/>
    <w:rsid w:val="00651B70"/>
    <w:rsid w:val="00660A41"/>
    <w:rsid w:val="006623DA"/>
    <w:rsid w:val="0066273E"/>
    <w:rsid w:val="0066371A"/>
    <w:rsid w:val="00664B3A"/>
    <w:rsid w:val="00664D90"/>
    <w:rsid w:val="00670FF5"/>
    <w:rsid w:val="00671A6B"/>
    <w:rsid w:val="00677019"/>
    <w:rsid w:val="00680AF8"/>
    <w:rsid w:val="0068146D"/>
    <w:rsid w:val="00683413"/>
    <w:rsid w:val="00684249"/>
    <w:rsid w:val="00684C08"/>
    <w:rsid w:val="00690478"/>
    <w:rsid w:val="00690C66"/>
    <w:rsid w:val="006924E2"/>
    <w:rsid w:val="00692AB1"/>
    <w:rsid w:val="00696B1E"/>
    <w:rsid w:val="006A0B24"/>
    <w:rsid w:val="006A2699"/>
    <w:rsid w:val="006B0D29"/>
    <w:rsid w:val="006B214E"/>
    <w:rsid w:val="006B3600"/>
    <w:rsid w:val="006C2E3B"/>
    <w:rsid w:val="006C321B"/>
    <w:rsid w:val="006C65AA"/>
    <w:rsid w:val="006C6D73"/>
    <w:rsid w:val="006C73CC"/>
    <w:rsid w:val="006C7D5A"/>
    <w:rsid w:val="006D16FF"/>
    <w:rsid w:val="006D2B5B"/>
    <w:rsid w:val="006D3206"/>
    <w:rsid w:val="006E25A7"/>
    <w:rsid w:val="006E2786"/>
    <w:rsid w:val="006E44DA"/>
    <w:rsid w:val="006F0538"/>
    <w:rsid w:val="006F3721"/>
    <w:rsid w:val="006F5DF1"/>
    <w:rsid w:val="006F5EFC"/>
    <w:rsid w:val="00700A5B"/>
    <w:rsid w:val="00700EAB"/>
    <w:rsid w:val="00701EAD"/>
    <w:rsid w:val="00703B43"/>
    <w:rsid w:val="00706F52"/>
    <w:rsid w:val="00711ECE"/>
    <w:rsid w:val="007123C7"/>
    <w:rsid w:val="00716E2D"/>
    <w:rsid w:val="00717752"/>
    <w:rsid w:val="007203D9"/>
    <w:rsid w:val="00720FC3"/>
    <w:rsid w:val="00721F8D"/>
    <w:rsid w:val="00722793"/>
    <w:rsid w:val="00725787"/>
    <w:rsid w:val="00727554"/>
    <w:rsid w:val="007278B2"/>
    <w:rsid w:val="00731A1A"/>
    <w:rsid w:val="00731B5F"/>
    <w:rsid w:val="00734830"/>
    <w:rsid w:val="00735CC7"/>
    <w:rsid w:val="007365AB"/>
    <w:rsid w:val="00740E50"/>
    <w:rsid w:val="007418B2"/>
    <w:rsid w:val="00742A08"/>
    <w:rsid w:val="007466A2"/>
    <w:rsid w:val="00746BAC"/>
    <w:rsid w:val="00747188"/>
    <w:rsid w:val="00747E0D"/>
    <w:rsid w:val="00750E6B"/>
    <w:rsid w:val="00750F88"/>
    <w:rsid w:val="00751C2B"/>
    <w:rsid w:val="00752161"/>
    <w:rsid w:val="007521B2"/>
    <w:rsid w:val="007533A0"/>
    <w:rsid w:val="007546A6"/>
    <w:rsid w:val="00754824"/>
    <w:rsid w:val="00756773"/>
    <w:rsid w:val="00760047"/>
    <w:rsid w:val="007629AC"/>
    <w:rsid w:val="00762B5C"/>
    <w:rsid w:val="00765CBC"/>
    <w:rsid w:val="007664DE"/>
    <w:rsid w:val="00766845"/>
    <w:rsid w:val="007734F7"/>
    <w:rsid w:val="00773EFF"/>
    <w:rsid w:val="00775EFA"/>
    <w:rsid w:val="0078166B"/>
    <w:rsid w:val="0078335F"/>
    <w:rsid w:val="0078337B"/>
    <w:rsid w:val="007860FC"/>
    <w:rsid w:val="0078799C"/>
    <w:rsid w:val="00791098"/>
    <w:rsid w:val="00791BFD"/>
    <w:rsid w:val="00791DD3"/>
    <w:rsid w:val="0079471C"/>
    <w:rsid w:val="00796E05"/>
    <w:rsid w:val="00797252"/>
    <w:rsid w:val="007A0348"/>
    <w:rsid w:val="007A24B8"/>
    <w:rsid w:val="007A4A8C"/>
    <w:rsid w:val="007A4ED2"/>
    <w:rsid w:val="007A612B"/>
    <w:rsid w:val="007A7887"/>
    <w:rsid w:val="007B1AC0"/>
    <w:rsid w:val="007B7195"/>
    <w:rsid w:val="007B7DEA"/>
    <w:rsid w:val="007C0C50"/>
    <w:rsid w:val="007C168D"/>
    <w:rsid w:val="007C31F9"/>
    <w:rsid w:val="007C350A"/>
    <w:rsid w:val="007C5198"/>
    <w:rsid w:val="007D20A7"/>
    <w:rsid w:val="007D476F"/>
    <w:rsid w:val="007E2661"/>
    <w:rsid w:val="007E2A8F"/>
    <w:rsid w:val="007E2DEC"/>
    <w:rsid w:val="007E33DE"/>
    <w:rsid w:val="007E50B7"/>
    <w:rsid w:val="007F17FE"/>
    <w:rsid w:val="007F27CB"/>
    <w:rsid w:val="007F30F2"/>
    <w:rsid w:val="007F4CEF"/>
    <w:rsid w:val="007F6C3F"/>
    <w:rsid w:val="007F7CB9"/>
    <w:rsid w:val="0080022A"/>
    <w:rsid w:val="008003B5"/>
    <w:rsid w:val="00801D50"/>
    <w:rsid w:val="00801E6F"/>
    <w:rsid w:val="00802AE7"/>
    <w:rsid w:val="00803F3B"/>
    <w:rsid w:val="00804347"/>
    <w:rsid w:val="00804AF7"/>
    <w:rsid w:val="0080563C"/>
    <w:rsid w:val="00806234"/>
    <w:rsid w:val="00806298"/>
    <w:rsid w:val="00806644"/>
    <w:rsid w:val="00807BC2"/>
    <w:rsid w:val="00807E61"/>
    <w:rsid w:val="00812A36"/>
    <w:rsid w:val="00813DBE"/>
    <w:rsid w:val="008140CD"/>
    <w:rsid w:val="0081433C"/>
    <w:rsid w:val="008171BC"/>
    <w:rsid w:val="00824E59"/>
    <w:rsid w:val="008271F9"/>
    <w:rsid w:val="00827F7D"/>
    <w:rsid w:val="00834076"/>
    <w:rsid w:val="008358AD"/>
    <w:rsid w:val="00836BE2"/>
    <w:rsid w:val="00840374"/>
    <w:rsid w:val="00840DA8"/>
    <w:rsid w:val="008410DE"/>
    <w:rsid w:val="00842AC4"/>
    <w:rsid w:val="00844315"/>
    <w:rsid w:val="008459C0"/>
    <w:rsid w:val="00845ADE"/>
    <w:rsid w:val="00850040"/>
    <w:rsid w:val="0085028A"/>
    <w:rsid w:val="00850E2F"/>
    <w:rsid w:val="0085156B"/>
    <w:rsid w:val="00855A93"/>
    <w:rsid w:val="00856055"/>
    <w:rsid w:val="00860B57"/>
    <w:rsid w:val="00860B7F"/>
    <w:rsid w:val="00863FCE"/>
    <w:rsid w:val="008660D7"/>
    <w:rsid w:val="00867AC2"/>
    <w:rsid w:val="00871460"/>
    <w:rsid w:val="008728BD"/>
    <w:rsid w:val="0087336C"/>
    <w:rsid w:val="008735FE"/>
    <w:rsid w:val="00873BDC"/>
    <w:rsid w:val="00873DB7"/>
    <w:rsid w:val="00875750"/>
    <w:rsid w:val="00876ED3"/>
    <w:rsid w:val="008772CC"/>
    <w:rsid w:val="00883316"/>
    <w:rsid w:val="00884F3C"/>
    <w:rsid w:val="00887215"/>
    <w:rsid w:val="008872B2"/>
    <w:rsid w:val="0088751F"/>
    <w:rsid w:val="008944DB"/>
    <w:rsid w:val="00896E35"/>
    <w:rsid w:val="00897836"/>
    <w:rsid w:val="008A3D55"/>
    <w:rsid w:val="008A48AF"/>
    <w:rsid w:val="008A5C0A"/>
    <w:rsid w:val="008A6924"/>
    <w:rsid w:val="008A7421"/>
    <w:rsid w:val="008A7656"/>
    <w:rsid w:val="008B0DC4"/>
    <w:rsid w:val="008B37DB"/>
    <w:rsid w:val="008B3970"/>
    <w:rsid w:val="008B3F78"/>
    <w:rsid w:val="008B43D6"/>
    <w:rsid w:val="008B4D74"/>
    <w:rsid w:val="008B55FF"/>
    <w:rsid w:val="008B7721"/>
    <w:rsid w:val="008C2B56"/>
    <w:rsid w:val="008C2F7E"/>
    <w:rsid w:val="008C6103"/>
    <w:rsid w:val="008D10D4"/>
    <w:rsid w:val="008D243A"/>
    <w:rsid w:val="008D30C6"/>
    <w:rsid w:val="008D6546"/>
    <w:rsid w:val="008E2D07"/>
    <w:rsid w:val="008E766C"/>
    <w:rsid w:val="008E76DA"/>
    <w:rsid w:val="008F0796"/>
    <w:rsid w:val="008F3EBF"/>
    <w:rsid w:val="008F60C2"/>
    <w:rsid w:val="008F66F7"/>
    <w:rsid w:val="00901D6B"/>
    <w:rsid w:val="0090451C"/>
    <w:rsid w:val="00907806"/>
    <w:rsid w:val="0091153F"/>
    <w:rsid w:val="00912341"/>
    <w:rsid w:val="0091333F"/>
    <w:rsid w:val="0091335B"/>
    <w:rsid w:val="00926350"/>
    <w:rsid w:val="00932767"/>
    <w:rsid w:val="00935626"/>
    <w:rsid w:val="0094175A"/>
    <w:rsid w:val="00943FC4"/>
    <w:rsid w:val="00944345"/>
    <w:rsid w:val="009443F1"/>
    <w:rsid w:val="009461C8"/>
    <w:rsid w:val="009464FD"/>
    <w:rsid w:val="00947681"/>
    <w:rsid w:val="009528C8"/>
    <w:rsid w:val="0095344E"/>
    <w:rsid w:val="0095527E"/>
    <w:rsid w:val="009608D9"/>
    <w:rsid w:val="00960AA1"/>
    <w:rsid w:val="0096288B"/>
    <w:rsid w:val="00963002"/>
    <w:rsid w:val="009631CA"/>
    <w:rsid w:val="0096327C"/>
    <w:rsid w:val="0096366C"/>
    <w:rsid w:val="009657F4"/>
    <w:rsid w:val="00965823"/>
    <w:rsid w:val="00967679"/>
    <w:rsid w:val="00967872"/>
    <w:rsid w:val="00967C8E"/>
    <w:rsid w:val="00971997"/>
    <w:rsid w:val="00971BA8"/>
    <w:rsid w:val="00974550"/>
    <w:rsid w:val="00974DBA"/>
    <w:rsid w:val="00977A10"/>
    <w:rsid w:val="009810B5"/>
    <w:rsid w:val="00981AED"/>
    <w:rsid w:val="00984BFA"/>
    <w:rsid w:val="00990A5D"/>
    <w:rsid w:val="009951DC"/>
    <w:rsid w:val="0099635A"/>
    <w:rsid w:val="00996450"/>
    <w:rsid w:val="009A1FCE"/>
    <w:rsid w:val="009A209A"/>
    <w:rsid w:val="009A25E6"/>
    <w:rsid w:val="009A4287"/>
    <w:rsid w:val="009A43A4"/>
    <w:rsid w:val="009A5158"/>
    <w:rsid w:val="009A6C7E"/>
    <w:rsid w:val="009B0498"/>
    <w:rsid w:val="009B0921"/>
    <w:rsid w:val="009B0D77"/>
    <w:rsid w:val="009B16FB"/>
    <w:rsid w:val="009B1A12"/>
    <w:rsid w:val="009B5D4E"/>
    <w:rsid w:val="009C00D0"/>
    <w:rsid w:val="009C214A"/>
    <w:rsid w:val="009C254A"/>
    <w:rsid w:val="009C456E"/>
    <w:rsid w:val="009D00F8"/>
    <w:rsid w:val="009D1DDC"/>
    <w:rsid w:val="009D1F27"/>
    <w:rsid w:val="009D37F7"/>
    <w:rsid w:val="009D38E7"/>
    <w:rsid w:val="009D66E9"/>
    <w:rsid w:val="009D68EF"/>
    <w:rsid w:val="009D71F4"/>
    <w:rsid w:val="009D75A4"/>
    <w:rsid w:val="009E157E"/>
    <w:rsid w:val="009E201E"/>
    <w:rsid w:val="009E24A3"/>
    <w:rsid w:val="009E29BD"/>
    <w:rsid w:val="009E3BB0"/>
    <w:rsid w:val="009E4C37"/>
    <w:rsid w:val="009E5EA9"/>
    <w:rsid w:val="009E7A4C"/>
    <w:rsid w:val="009F0F96"/>
    <w:rsid w:val="009F3B5F"/>
    <w:rsid w:val="009F49C1"/>
    <w:rsid w:val="009F558C"/>
    <w:rsid w:val="00A00D2B"/>
    <w:rsid w:val="00A03355"/>
    <w:rsid w:val="00A03DBA"/>
    <w:rsid w:val="00A14418"/>
    <w:rsid w:val="00A14FE3"/>
    <w:rsid w:val="00A2065B"/>
    <w:rsid w:val="00A217F6"/>
    <w:rsid w:val="00A219FE"/>
    <w:rsid w:val="00A2415E"/>
    <w:rsid w:val="00A24E81"/>
    <w:rsid w:val="00A337B8"/>
    <w:rsid w:val="00A37052"/>
    <w:rsid w:val="00A42A19"/>
    <w:rsid w:val="00A42C5E"/>
    <w:rsid w:val="00A467CE"/>
    <w:rsid w:val="00A46D20"/>
    <w:rsid w:val="00A54F81"/>
    <w:rsid w:val="00A5600B"/>
    <w:rsid w:val="00A56A6A"/>
    <w:rsid w:val="00A60CC7"/>
    <w:rsid w:val="00A63053"/>
    <w:rsid w:val="00A63E38"/>
    <w:rsid w:val="00A6466C"/>
    <w:rsid w:val="00A664D0"/>
    <w:rsid w:val="00A676A4"/>
    <w:rsid w:val="00A74AC4"/>
    <w:rsid w:val="00A74B34"/>
    <w:rsid w:val="00A77F99"/>
    <w:rsid w:val="00A84478"/>
    <w:rsid w:val="00A845AE"/>
    <w:rsid w:val="00A846ED"/>
    <w:rsid w:val="00A87505"/>
    <w:rsid w:val="00A90898"/>
    <w:rsid w:val="00A9158D"/>
    <w:rsid w:val="00A93097"/>
    <w:rsid w:val="00AA3DB8"/>
    <w:rsid w:val="00AB2B04"/>
    <w:rsid w:val="00AB5A9E"/>
    <w:rsid w:val="00AB65F2"/>
    <w:rsid w:val="00AB742C"/>
    <w:rsid w:val="00AC2EBF"/>
    <w:rsid w:val="00AC45D7"/>
    <w:rsid w:val="00AC4EA5"/>
    <w:rsid w:val="00AC67CC"/>
    <w:rsid w:val="00AC6E9B"/>
    <w:rsid w:val="00AD2438"/>
    <w:rsid w:val="00AD2657"/>
    <w:rsid w:val="00AD48FC"/>
    <w:rsid w:val="00AD5347"/>
    <w:rsid w:val="00AD68BA"/>
    <w:rsid w:val="00AD6C39"/>
    <w:rsid w:val="00AD7F34"/>
    <w:rsid w:val="00AE004C"/>
    <w:rsid w:val="00AE14CF"/>
    <w:rsid w:val="00AE316F"/>
    <w:rsid w:val="00AE4992"/>
    <w:rsid w:val="00AE68D8"/>
    <w:rsid w:val="00AE6A5B"/>
    <w:rsid w:val="00AE7B1C"/>
    <w:rsid w:val="00AE7F59"/>
    <w:rsid w:val="00AF0B56"/>
    <w:rsid w:val="00AF1038"/>
    <w:rsid w:val="00AF1B9E"/>
    <w:rsid w:val="00AF4E9D"/>
    <w:rsid w:val="00AF60C2"/>
    <w:rsid w:val="00AF79B1"/>
    <w:rsid w:val="00B00331"/>
    <w:rsid w:val="00B013F0"/>
    <w:rsid w:val="00B02052"/>
    <w:rsid w:val="00B0499B"/>
    <w:rsid w:val="00B0542E"/>
    <w:rsid w:val="00B12185"/>
    <w:rsid w:val="00B14800"/>
    <w:rsid w:val="00B20896"/>
    <w:rsid w:val="00B22616"/>
    <w:rsid w:val="00B30C4D"/>
    <w:rsid w:val="00B33A6E"/>
    <w:rsid w:val="00B35A27"/>
    <w:rsid w:val="00B369B5"/>
    <w:rsid w:val="00B36FF6"/>
    <w:rsid w:val="00B375CD"/>
    <w:rsid w:val="00B4073B"/>
    <w:rsid w:val="00B40BB9"/>
    <w:rsid w:val="00B43B1B"/>
    <w:rsid w:val="00B456FA"/>
    <w:rsid w:val="00B473E6"/>
    <w:rsid w:val="00B52E08"/>
    <w:rsid w:val="00B558BA"/>
    <w:rsid w:val="00B55B2E"/>
    <w:rsid w:val="00B6125C"/>
    <w:rsid w:val="00B6378E"/>
    <w:rsid w:val="00B657BC"/>
    <w:rsid w:val="00B65BB0"/>
    <w:rsid w:val="00B735A1"/>
    <w:rsid w:val="00B760C4"/>
    <w:rsid w:val="00B815A2"/>
    <w:rsid w:val="00B8194B"/>
    <w:rsid w:val="00B83D57"/>
    <w:rsid w:val="00B86E02"/>
    <w:rsid w:val="00B9098A"/>
    <w:rsid w:val="00B90AA1"/>
    <w:rsid w:val="00B914F1"/>
    <w:rsid w:val="00B922F4"/>
    <w:rsid w:val="00B92A6D"/>
    <w:rsid w:val="00B954E1"/>
    <w:rsid w:val="00B973F0"/>
    <w:rsid w:val="00B97422"/>
    <w:rsid w:val="00B97695"/>
    <w:rsid w:val="00BA0F98"/>
    <w:rsid w:val="00BA2CF5"/>
    <w:rsid w:val="00BA5CD9"/>
    <w:rsid w:val="00BA7A96"/>
    <w:rsid w:val="00BB1896"/>
    <w:rsid w:val="00BB3E31"/>
    <w:rsid w:val="00BB5257"/>
    <w:rsid w:val="00BB6B3D"/>
    <w:rsid w:val="00BC06B0"/>
    <w:rsid w:val="00BC1FC1"/>
    <w:rsid w:val="00BC51FA"/>
    <w:rsid w:val="00BC6165"/>
    <w:rsid w:val="00BD3D40"/>
    <w:rsid w:val="00BD6288"/>
    <w:rsid w:val="00BE3944"/>
    <w:rsid w:val="00BE4FAF"/>
    <w:rsid w:val="00BE6DD3"/>
    <w:rsid w:val="00BE7239"/>
    <w:rsid w:val="00BF1772"/>
    <w:rsid w:val="00BF1F25"/>
    <w:rsid w:val="00BF2F57"/>
    <w:rsid w:val="00BF3917"/>
    <w:rsid w:val="00BF477D"/>
    <w:rsid w:val="00BF5BCB"/>
    <w:rsid w:val="00BF76ED"/>
    <w:rsid w:val="00C0138D"/>
    <w:rsid w:val="00C043D0"/>
    <w:rsid w:val="00C051C1"/>
    <w:rsid w:val="00C07D89"/>
    <w:rsid w:val="00C1189D"/>
    <w:rsid w:val="00C11EFD"/>
    <w:rsid w:val="00C127F1"/>
    <w:rsid w:val="00C153B9"/>
    <w:rsid w:val="00C15601"/>
    <w:rsid w:val="00C159E1"/>
    <w:rsid w:val="00C236CA"/>
    <w:rsid w:val="00C23DAA"/>
    <w:rsid w:val="00C23ED2"/>
    <w:rsid w:val="00C30336"/>
    <w:rsid w:val="00C31A2F"/>
    <w:rsid w:val="00C340D2"/>
    <w:rsid w:val="00C3573B"/>
    <w:rsid w:val="00C3604E"/>
    <w:rsid w:val="00C3606F"/>
    <w:rsid w:val="00C404F4"/>
    <w:rsid w:val="00C41AF7"/>
    <w:rsid w:val="00C41B3F"/>
    <w:rsid w:val="00C43D2A"/>
    <w:rsid w:val="00C44C23"/>
    <w:rsid w:val="00C46997"/>
    <w:rsid w:val="00C47C3D"/>
    <w:rsid w:val="00C5171D"/>
    <w:rsid w:val="00C52C6C"/>
    <w:rsid w:val="00C545A8"/>
    <w:rsid w:val="00C61447"/>
    <w:rsid w:val="00C617B1"/>
    <w:rsid w:val="00C63CDC"/>
    <w:rsid w:val="00C67832"/>
    <w:rsid w:val="00C70EF6"/>
    <w:rsid w:val="00C71F91"/>
    <w:rsid w:val="00C75D8B"/>
    <w:rsid w:val="00C80628"/>
    <w:rsid w:val="00C849FF"/>
    <w:rsid w:val="00C85253"/>
    <w:rsid w:val="00C869FD"/>
    <w:rsid w:val="00C90507"/>
    <w:rsid w:val="00C90D6B"/>
    <w:rsid w:val="00C97764"/>
    <w:rsid w:val="00CA0543"/>
    <w:rsid w:val="00CA6825"/>
    <w:rsid w:val="00CA77C7"/>
    <w:rsid w:val="00CA7D31"/>
    <w:rsid w:val="00CB2448"/>
    <w:rsid w:val="00CB396F"/>
    <w:rsid w:val="00CB75D2"/>
    <w:rsid w:val="00CC548A"/>
    <w:rsid w:val="00CC7DEE"/>
    <w:rsid w:val="00CD3A87"/>
    <w:rsid w:val="00CD5785"/>
    <w:rsid w:val="00CD7263"/>
    <w:rsid w:val="00CD7571"/>
    <w:rsid w:val="00CE1718"/>
    <w:rsid w:val="00CE20F5"/>
    <w:rsid w:val="00CE4AA3"/>
    <w:rsid w:val="00CE5FF4"/>
    <w:rsid w:val="00CE6289"/>
    <w:rsid w:val="00CF3B59"/>
    <w:rsid w:val="00CF3C6E"/>
    <w:rsid w:val="00CF4331"/>
    <w:rsid w:val="00CF78B6"/>
    <w:rsid w:val="00D009CC"/>
    <w:rsid w:val="00D00E91"/>
    <w:rsid w:val="00D01302"/>
    <w:rsid w:val="00D014A1"/>
    <w:rsid w:val="00D015A6"/>
    <w:rsid w:val="00D01F7E"/>
    <w:rsid w:val="00D04379"/>
    <w:rsid w:val="00D0501A"/>
    <w:rsid w:val="00D06B00"/>
    <w:rsid w:val="00D07D02"/>
    <w:rsid w:val="00D10330"/>
    <w:rsid w:val="00D107BD"/>
    <w:rsid w:val="00D11267"/>
    <w:rsid w:val="00D12059"/>
    <w:rsid w:val="00D1225B"/>
    <w:rsid w:val="00D15045"/>
    <w:rsid w:val="00D21445"/>
    <w:rsid w:val="00D21E6B"/>
    <w:rsid w:val="00D235AE"/>
    <w:rsid w:val="00D23C76"/>
    <w:rsid w:val="00D253E4"/>
    <w:rsid w:val="00D26490"/>
    <w:rsid w:val="00D31C00"/>
    <w:rsid w:val="00D3270D"/>
    <w:rsid w:val="00D33EFC"/>
    <w:rsid w:val="00D34C35"/>
    <w:rsid w:val="00D34C91"/>
    <w:rsid w:val="00D3583E"/>
    <w:rsid w:val="00D3785F"/>
    <w:rsid w:val="00D3799E"/>
    <w:rsid w:val="00D4268C"/>
    <w:rsid w:val="00D428A2"/>
    <w:rsid w:val="00D45BEF"/>
    <w:rsid w:val="00D47A42"/>
    <w:rsid w:val="00D50282"/>
    <w:rsid w:val="00D52083"/>
    <w:rsid w:val="00D52784"/>
    <w:rsid w:val="00D52AE4"/>
    <w:rsid w:val="00D553E7"/>
    <w:rsid w:val="00D615A8"/>
    <w:rsid w:val="00D622A4"/>
    <w:rsid w:val="00D64628"/>
    <w:rsid w:val="00D66B65"/>
    <w:rsid w:val="00D6758B"/>
    <w:rsid w:val="00D71919"/>
    <w:rsid w:val="00D74058"/>
    <w:rsid w:val="00D805B0"/>
    <w:rsid w:val="00D832DF"/>
    <w:rsid w:val="00D85A65"/>
    <w:rsid w:val="00D85D3C"/>
    <w:rsid w:val="00D87FC4"/>
    <w:rsid w:val="00D91E34"/>
    <w:rsid w:val="00D9347E"/>
    <w:rsid w:val="00D93B1D"/>
    <w:rsid w:val="00D9595F"/>
    <w:rsid w:val="00D96AB6"/>
    <w:rsid w:val="00D96D97"/>
    <w:rsid w:val="00D9764F"/>
    <w:rsid w:val="00D979AE"/>
    <w:rsid w:val="00D97A4C"/>
    <w:rsid w:val="00DA0C69"/>
    <w:rsid w:val="00DA1FD3"/>
    <w:rsid w:val="00DA3E45"/>
    <w:rsid w:val="00DA7DF1"/>
    <w:rsid w:val="00DB13AF"/>
    <w:rsid w:val="00DB3B6A"/>
    <w:rsid w:val="00DB5032"/>
    <w:rsid w:val="00DB5754"/>
    <w:rsid w:val="00DB59A6"/>
    <w:rsid w:val="00DB5FA8"/>
    <w:rsid w:val="00DB631D"/>
    <w:rsid w:val="00DB6523"/>
    <w:rsid w:val="00DB7565"/>
    <w:rsid w:val="00DC1005"/>
    <w:rsid w:val="00DC267D"/>
    <w:rsid w:val="00DC31FE"/>
    <w:rsid w:val="00DC55EB"/>
    <w:rsid w:val="00DC5C08"/>
    <w:rsid w:val="00DC62E1"/>
    <w:rsid w:val="00DD1777"/>
    <w:rsid w:val="00DD21C1"/>
    <w:rsid w:val="00DD4683"/>
    <w:rsid w:val="00DD5AA4"/>
    <w:rsid w:val="00DD753C"/>
    <w:rsid w:val="00DE3CAB"/>
    <w:rsid w:val="00DE41BA"/>
    <w:rsid w:val="00DE47AD"/>
    <w:rsid w:val="00DE4A6D"/>
    <w:rsid w:val="00DE4BE4"/>
    <w:rsid w:val="00DE7878"/>
    <w:rsid w:val="00DF017F"/>
    <w:rsid w:val="00DF0C16"/>
    <w:rsid w:val="00DF2A21"/>
    <w:rsid w:val="00DF4B0C"/>
    <w:rsid w:val="00DF5799"/>
    <w:rsid w:val="00DF723F"/>
    <w:rsid w:val="00DF7285"/>
    <w:rsid w:val="00E02BD6"/>
    <w:rsid w:val="00E0345C"/>
    <w:rsid w:val="00E04575"/>
    <w:rsid w:val="00E04B70"/>
    <w:rsid w:val="00E04D51"/>
    <w:rsid w:val="00E103C6"/>
    <w:rsid w:val="00E10ACF"/>
    <w:rsid w:val="00E1245E"/>
    <w:rsid w:val="00E12920"/>
    <w:rsid w:val="00E1612E"/>
    <w:rsid w:val="00E17518"/>
    <w:rsid w:val="00E1763D"/>
    <w:rsid w:val="00E20887"/>
    <w:rsid w:val="00E22AB0"/>
    <w:rsid w:val="00E26C2B"/>
    <w:rsid w:val="00E27FE4"/>
    <w:rsid w:val="00E31AB6"/>
    <w:rsid w:val="00E32375"/>
    <w:rsid w:val="00E32B8B"/>
    <w:rsid w:val="00E429D9"/>
    <w:rsid w:val="00E42F3B"/>
    <w:rsid w:val="00E4375A"/>
    <w:rsid w:val="00E466A2"/>
    <w:rsid w:val="00E50535"/>
    <w:rsid w:val="00E538F2"/>
    <w:rsid w:val="00E571D9"/>
    <w:rsid w:val="00E62157"/>
    <w:rsid w:val="00E660FB"/>
    <w:rsid w:val="00E66377"/>
    <w:rsid w:val="00E71BA7"/>
    <w:rsid w:val="00E72F93"/>
    <w:rsid w:val="00E80164"/>
    <w:rsid w:val="00E82736"/>
    <w:rsid w:val="00E83023"/>
    <w:rsid w:val="00E85953"/>
    <w:rsid w:val="00E85BA9"/>
    <w:rsid w:val="00E86C9B"/>
    <w:rsid w:val="00E87185"/>
    <w:rsid w:val="00E9139E"/>
    <w:rsid w:val="00E9218E"/>
    <w:rsid w:val="00E93265"/>
    <w:rsid w:val="00EA0586"/>
    <w:rsid w:val="00EA1277"/>
    <w:rsid w:val="00EA4404"/>
    <w:rsid w:val="00EA6F5D"/>
    <w:rsid w:val="00EB0E2F"/>
    <w:rsid w:val="00EB113E"/>
    <w:rsid w:val="00EB197A"/>
    <w:rsid w:val="00EB4154"/>
    <w:rsid w:val="00EB4762"/>
    <w:rsid w:val="00EB5565"/>
    <w:rsid w:val="00EB6612"/>
    <w:rsid w:val="00EB6B42"/>
    <w:rsid w:val="00EC0EAC"/>
    <w:rsid w:val="00EC4948"/>
    <w:rsid w:val="00EC4ED3"/>
    <w:rsid w:val="00EC5771"/>
    <w:rsid w:val="00ED0789"/>
    <w:rsid w:val="00EE1085"/>
    <w:rsid w:val="00EE1BD0"/>
    <w:rsid w:val="00EE4688"/>
    <w:rsid w:val="00EE47D3"/>
    <w:rsid w:val="00EE5AED"/>
    <w:rsid w:val="00EE7586"/>
    <w:rsid w:val="00EF0DBD"/>
    <w:rsid w:val="00EF0E64"/>
    <w:rsid w:val="00EF1359"/>
    <w:rsid w:val="00EF4274"/>
    <w:rsid w:val="00EF48CE"/>
    <w:rsid w:val="00EF651B"/>
    <w:rsid w:val="00F01109"/>
    <w:rsid w:val="00F018AA"/>
    <w:rsid w:val="00F02BF5"/>
    <w:rsid w:val="00F05A8C"/>
    <w:rsid w:val="00F11FA8"/>
    <w:rsid w:val="00F14F8D"/>
    <w:rsid w:val="00F16842"/>
    <w:rsid w:val="00F24F3B"/>
    <w:rsid w:val="00F25D4F"/>
    <w:rsid w:val="00F25EEE"/>
    <w:rsid w:val="00F26045"/>
    <w:rsid w:val="00F26454"/>
    <w:rsid w:val="00F27329"/>
    <w:rsid w:val="00F30B6F"/>
    <w:rsid w:val="00F405EA"/>
    <w:rsid w:val="00F442EE"/>
    <w:rsid w:val="00F542C8"/>
    <w:rsid w:val="00F5512A"/>
    <w:rsid w:val="00F55425"/>
    <w:rsid w:val="00F57F82"/>
    <w:rsid w:val="00F60F9B"/>
    <w:rsid w:val="00F6130D"/>
    <w:rsid w:val="00F614AF"/>
    <w:rsid w:val="00F65BC4"/>
    <w:rsid w:val="00F7011F"/>
    <w:rsid w:val="00F75FD1"/>
    <w:rsid w:val="00F76535"/>
    <w:rsid w:val="00F8045D"/>
    <w:rsid w:val="00F819FE"/>
    <w:rsid w:val="00F8255F"/>
    <w:rsid w:val="00F82A79"/>
    <w:rsid w:val="00F82DF7"/>
    <w:rsid w:val="00F87014"/>
    <w:rsid w:val="00F93CD7"/>
    <w:rsid w:val="00F969BF"/>
    <w:rsid w:val="00F972C6"/>
    <w:rsid w:val="00FA11D5"/>
    <w:rsid w:val="00FA3343"/>
    <w:rsid w:val="00FA3B2C"/>
    <w:rsid w:val="00FA5CDA"/>
    <w:rsid w:val="00FA7487"/>
    <w:rsid w:val="00FA78E0"/>
    <w:rsid w:val="00FB0350"/>
    <w:rsid w:val="00FB0550"/>
    <w:rsid w:val="00FB0962"/>
    <w:rsid w:val="00FB0B75"/>
    <w:rsid w:val="00FB0BE8"/>
    <w:rsid w:val="00FB16AC"/>
    <w:rsid w:val="00FB3D4E"/>
    <w:rsid w:val="00FB43BF"/>
    <w:rsid w:val="00FB4FF2"/>
    <w:rsid w:val="00FB78E3"/>
    <w:rsid w:val="00FB7A03"/>
    <w:rsid w:val="00FB7DA5"/>
    <w:rsid w:val="00FC312B"/>
    <w:rsid w:val="00FC38A7"/>
    <w:rsid w:val="00FC760D"/>
    <w:rsid w:val="00FD0A7A"/>
    <w:rsid w:val="00FD0ED7"/>
    <w:rsid w:val="00FD1591"/>
    <w:rsid w:val="00FD2640"/>
    <w:rsid w:val="00FD67D6"/>
    <w:rsid w:val="00FE1267"/>
    <w:rsid w:val="00FE37DC"/>
    <w:rsid w:val="00FE430C"/>
    <w:rsid w:val="00FE5B05"/>
    <w:rsid w:val="00FE7953"/>
    <w:rsid w:val="00FF0576"/>
    <w:rsid w:val="00FF1B18"/>
    <w:rsid w:val="00FF29D2"/>
    <w:rsid w:val="00FF2D9B"/>
    <w:rsid w:val="00FF3B6C"/>
    <w:rsid w:val="00FF40AB"/>
    <w:rsid w:val="00FF43F1"/>
    <w:rsid w:val="00FF6E1D"/>
    <w:rsid w:val="00FF7964"/>
    <w:rsid w:val="081F10D1"/>
    <w:rsid w:val="09A82B16"/>
    <w:rsid w:val="0B5C55AE"/>
    <w:rsid w:val="0BB93B80"/>
    <w:rsid w:val="0BC9719D"/>
    <w:rsid w:val="0F7C2CF7"/>
    <w:rsid w:val="115D4A49"/>
    <w:rsid w:val="148F12E8"/>
    <w:rsid w:val="14A7387E"/>
    <w:rsid w:val="169964D4"/>
    <w:rsid w:val="17466780"/>
    <w:rsid w:val="17D42FA4"/>
    <w:rsid w:val="1C8E268D"/>
    <w:rsid w:val="20153F68"/>
    <w:rsid w:val="22916662"/>
    <w:rsid w:val="24643D03"/>
    <w:rsid w:val="248B24A4"/>
    <w:rsid w:val="250E3C3F"/>
    <w:rsid w:val="27664EC3"/>
    <w:rsid w:val="2BEF284F"/>
    <w:rsid w:val="2DBD7978"/>
    <w:rsid w:val="2E9AD74D"/>
    <w:rsid w:val="2ECF5A22"/>
    <w:rsid w:val="33F04914"/>
    <w:rsid w:val="347A5A60"/>
    <w:rsid w:val="371031D4"/>
    <w:rsid w:val="396E2D34"/>
    <w:rsid w:val="397320C3"/>
    <w:rsid w:val="3ECA094E"/>
    <w:rsid w:val="41032081"/>
    <w:rsid w:val="4387343D"/>
    <w:rsid w:val="4715A5DD"/>
    <w:rsid w:val="49661109"/>
    <w:rsid w:val="4DD10AD5"/>
    <w:rsid w:val="4FEE1B87"/>
    <w:rsid w:val="50F6575E"/>
    <w:rsid w:val="52B029FE"/>
    <w:rsid w:val="530F6379"/>
    <w:rsid w:val="56AB0D99"/>
    <w:rsid w:val="592649D0"/>
    <w:rsid w:val="5CF27722"/>
    <w:rsid w:val="5DA86032"/>
    <w:rsid w:val="5F276C11"/>
    <w:rsid w:val="612754C0"/>
    <w:rsid w:val="665B1085"/>
    <w:rsid w:val="6B9F2FF4"/>
    <w:rsid w:val="6BC14007"/>
    <w:rsid w:val="6DD52269"/>
    <w:rsid w:val="6DE2733E"/>
    <w:rsid w:val="72C61CB5"/>
    <w:rsid w:val="72FC5C9B"/>
    <w:rsid w:val="741C1F21"/>
    <w:rsid w:val="74367A9C"/>
    <w:rsid w:val="75B73ED4"/>
    <w:rsid w:val="76A71125"/>
    <w:rsid w:val="76E145A9"/>
    <w:rsid w:val="777AFA73"/>
    <w:rsid w:val="7B346F35"/>
    <w:rsid w:val="7CD009D5"/>
    <w:rsid w:val="7D0C7F34"/>
    <w:rsid w:val="7F7A3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qFormat="1"/>
    <w:lsdException w:name="toc 3" w:uiPriority="39" w:unhideWhenUsed="1"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unhideWhenUsed="1" w:qFormat="1"/>
    <w:lsdException w:name="caption" w:semiHidden="1" w:unhideWhenUsed="1" w:qFormat="1"/>
    <w:lsdException w:name="envelope return" w:qFormat="1"/>
    <w:lsdException w:name="footnote reference" w:qFormat="1"/>
    <w:lsdException w:name="annotation reference" w:semiHidden="1" w:qFormat="1"/>
    <w:lsdException w:name="Title" w:qFormat="1"/>
    <w:lsdException w:name="Default Paragraph Font" w:semiHidden="1" w:qFormat="1"/>
    <w:lsdException w:name="Body Text" w:qFormat="1"/>
    <w:lsdException w:name="Body Text Indent" w:qFormat="1"/>
    <w:lsdException w:name="Subtitle" w:qFormat="1"/>
    <w:lsdException w:name="Body Text First Indent 2" w:uiPriority="99" w:unhideWhenUsed="1" w:qFormat="1"/>
    <w:lsdException w:name="Body Text Indent 2" w:qFormat="1"/>
    <w:lsdException w:name="Body Text Indent 3"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eastAsia="仿宋_GB2312"/>
      <w:kern w:val="2"/>
      <w:sz w:val="30"/>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0">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spacing w:before="280" w:after="290" w:line="376" w:lineRule="auto"/>
      <w:outlineLvl w:val="4"/>
    </w:pPr>
    <w:rPr>
      <w:rFonts w:eastAsia="宋体"/>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rFonts w:eastAsia="宋体"/>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style>
  <w:style w:type="paragraph" w:styleId="a3">
    <w:name w:val="Body Text Indent"/>
    <w:basedOn w:val="a"/>
    <w:next w:val="a4"/>
    <w:link w:val="Char"/>
    <w:qFormat/>
    <w:pPr>
      <w:spacing w:after="120"/>
      <w:ind w:leftChars="200" w:left="420"/>
    </w:pPr>
  </w:style>
  <w:style w:type="paragraph" w:styleId="a4">
    <w:name w:val="envelope return"/>
    <w:basedOn w:val="a"/>
    <w:qFormat/>
    <w:pPr>
      <w:snapToGrid w:val="0"/>
    </w:pPr>
    <w:rPr>
      <w:rFonts w:ascii="Arial" w:hAnsi="Arial"/>
    </w:rPr>
  </w:style>
  <w:style w:type="paragraph" w:styleId="a5">
    <w:name w:val="annotation subject"/>
    <w:basedOn w:val="a6"/>
    <w:next w:val="a6"/>
    <w:semiHidden/>
    <w:qFormat/>
    <w:rPr>
      <w:b/>
      <w:bCs/>
    </w:rPr>
  </w:style>
  <w:style w:type="paragraph" w:styleId="a6">
    <w:name w:val="annotation text"/>
    <w:basedOn w:val="a"/>
    <w:link w:val="Char0"/>
    <w:qFormat/>
    <w:pPr>
      <w:jc w:val="left"/>
    </w:pPr>
  </w:style>
  <w:style w:type="paragraph" w:styleId="70">
    <w:name w:val="toc 7"/>
    <w:basedOn w:val="a"/>
    <w:next w:val="a"/>
    <w:qFormat/>
    <w:pPr>
      <w:ind w:left="1800"/>
      <w:jc w:val="left"/>
    </w:pPr>
    <w:rPr>
      <w:rFonts w:ascii="Calibri" w:hAnsi="Calibri" w:cs="Calibri"/>
      <w:sz w:val="18"/>
      <w:szCs w:val="18"/>
    </w:rPr>
  </w:style>
  <w:style w:type="paragraph" w:styleId="a7">
    <w:name w:val="Document Map"/>
    <w:basedOn w:val="a"/>
    <w:semiHidden/>
    <w:qFormat/>
    <w:pPr>
      <w:shd w:val="clear" w:color="auto" w:fill="000080"/>
    </w:pPr>
  </w:style>
  <w:style w:type="paragraph" w:styleId="a8">
    <w:name w:val="Body Text"/>
    <w:basedOn w:val="a"/>
    <w:qFormat/>
    <w:pPr>
      <w:spacing w:after="120"/>
      <w:ind w:left="980" w:hanging="420"/>
    </w:pPr>
    <w:rPr>
      <w:rFonts w:ascii="Calibri" w:eastAsia="宋体" w:hAnsi="Calibri"/>
      <w:sz w:val="21"/>
      <w:szCs w:val="22"/>
    </w:rPr>
  </w:style>
  <w:style w:type="paragraph" w:styleId="50">
    <w:name w:val="toc 5"/>
    <w:basedOn w:val="a"/>
    <w:next w:val="a"/>
    <w:qFormat/>
    <w:pPr>
      <w:ind w:left="1200"/>
      <w:jc w:val="left"/>
    </w:pPr>
    <w:rPr>
      <w:rFonts w:ascii="Calibri" w:hAnsi="Calibri" w:cs="Calibri"/>
      <w:sz w:val="18"/>
      <w:szCs w:val="18"/>
    </w:rPr>
  </w:style>
  <w:style w:type="paragraph" w:styleId="30">
    <w:name w:val="toc 3"/>
    <w:basedOn w:val="a"/>
    <w:next w:val="a"/>
    <w:uiPriority w:val="39"/>
    <w:unhideWhenUsed/>
    <w:qFormat/>
    <w:pPr>
      <w:ind w:left="600"/>
      <w:jc w:val="left"/>
    </w:pPr>
    <w:rPr>
      <w:rFonts w:ascii="Calibri" w:hAnsi="Calibri" w:cs="Calibri"/>
      <w:i/>
      <w:iCs/>
      <w:sz w:val="20"/>
      <w:szCs w:val="20"/>
    </w:rPr>
  </w:style>
  <w:style w:type="paragraph" w:styleId="80">
    <w:name w:val="toc 8"/>
    <w:basedOn w:val="a"/>
    <w:next w:val="a"/>
    <w:qFormat/>
    <w:pPr>
      <w:ind w:left="2100"/>
      <w:jc w:val="left"/>
    </w:pPr>
    <w:rPr>
      <w:rFonts w:ascii="Calibri" w:hAnsi="Calibri" w:cs="Calibri"/>
      <w:sz w:val="18"/>
      <w:szCs w:val="18"/>
    </w:rPr>
  </w:style>
  <w:style w:type="paragraph" w:styleId="21">
    <w:name w:val="Body Text Indent 2"/>
    <w:basedOn w:val="a"/>
    <w:link w:val="2Char"/>
    <w:qFormat/>
    <w:pPr>
      <w:spacing w:after="120" w:line="480" w:lineRule="auto"/>
      <w:ind w:leftChars="200" w:left="420"/>
    </w:pPr>
    <w:rPr>
      <w:rFonts w:eastAsia="宋体"/>
      <w:sz w:val="21"/>
    </w:rPr>
  </w:style>
  <w:style w:type="paragraph" w:styleId="a9">
    <w:name w:val="Balloon Text"/>
    <w:basedOn w:val="a"/>
    <w:semiHidden/>
    <w:qFormat/>
    <w:rPr>
      <w:sz w:val="18"/>
      <w:szCs w:val="18"/>
    </w:rPr>
  </w:style>
  <w:style w:type="paragraph" w:styleId="aa">
    <w:name w:val="footer"/>
    <w:basedOn w:val="a"/>
    <w:link w:val="Char1"/>
    <w:uiPriority w:val="99"/>
    <w:unhideWhenUsed/>
    <w:qFormat/>
    <w:pPr>
      <w:tabs>
        <w:tab w:val="center" w:pos="4153"/>
        <w:tab w:val="right" w:pos="8306"/>
      </w:tabs>
      <w:snapToGrid w:val="0"/>
      <w:jc w:val="left"/>
    </w:pPr>
    <w:rPr>
      <w:rFonts w:eastAsia="宋体"/>
      <w:kern w:val="0"/>
      <w:sz w:val="18"/>
      <w:szCs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ascii="Calibri" w:hAnsi="Calibri" w:cs="Calibri"/>
      <w:b/>
      <w:bCs/>
      <w:caps/>
      <w:sz w:val="20"/>
      <w:szCs w:val="20"/>
    </w:rPr>
  </w:style>
  <w:style w:type="paragraph" w:styleId="40">
    <w:name w:val="toc 4"/>
    <w:basedOn w:val="a"/>
    <w:next w:val="a"/>
    <w:qFormat/>
    <w:pPr>
      <w:ind w:left="900"/>
      <w:jc w:val="left"/>
    </w:pPr>
    <w:rPr>
      <w:rFonts w:ascii="Calibri" w:hAnsi="Calibri" w:cs="Calibri"/>
      <w:sz w:val="18"/>
      <w:szCs w:val="18"/>
    </w:rPr>
  </w:style>
  <w:style w:type="paragraph" w:styleId="ac">
    <w:name w:val="footnote text"/>
    <w:basedOn w:val="a"/>
    <w:link w:val="Char3"/>
    <w:qFormat/>
    <w:pPr>
      <w:snapToGrid w:val="0"/>
      <w:jc w:val="left"/>
    </w:pPr>
    <w:rPr>
      <w:rFonts w:ascii="Calibri" w:eastAsia="宋体" w:hAnsi="Calibri"/>
      <w:kern w:val="0"/>
      <w:sz w:val="18"/>
      <w:szCs w:val="20"/>
    </w:rPr>
  </w:style>
  <w:style w:type="paragraph" w:styleId="60">
    <w:name w:val="toc 6"/>
    <w:basedOn w:val="a"/>
    <w:next w:val="a"/>
    <w:qFormat/>
    <w:pPr>
      <w:ind w:left="1500"/>
      <w:jc w:val="left"/>
    </w:pPr>
    <w:rPr>
      <w:rFonts w:ascii="Calibri" w:hAnsi="Calibri" w:cs="Calibri"/>
      <w:sz w:val="18"/>
      <w:szCs w:val="18"/>
    </w:rPr>
  </w:style>
  <w:style w:type="paragraph" w:styleId="31">
    <w:name w:val="Body Text Indent 3"/>
    <w:basedOn w:val="a"/>
    <w:qFormat/>
    <w:pPr>
      <w:spacing w:after="120"/>
      <w:ind w:leftChars="200" w:left="420"/>
    </w:pPr>
    <w:rPr>
      <w:sz w:val="16"/>
      <w:szCs w:val="16"/>
    </w:rPr>
  </w:style>
  <w:style w:type="paragraph" w:styleId="22">
    <w:name w:val="toc 2"/>
    <w:basedOn w:val="a"/>
    <w:next w:val="a"/>
    <w:uiPriority w:val="39"/>
    <w:qFormat/>
    <w:pPr>
      <w:ind w:left="300"/>
      <w:jc w:val="left"/>
    </w:pPr>
    <w:rPr>
      <w:rFonts w:ascii="Calibri" w:hAnsi="Calibri" w:cs="Calibri"/>
      <w:smallCaps/>
      <w:sz w:val="20"/>
      <w:szCs w:val="20"/>
    </w:rPr>
  </w:style>
  <w:style w:type="paragraph" w:styleId="90">
    <w:name w:val="toc 9"/>
    <w:basedOn w:val="a"/>
    <w:next w:val="a"/>
    <w:qFormat/>
    <w:pPr>
      <w:ind w:left="2400"/>
      <w:jc w:val="left"/>
    </w:pPr>
    <w:rPr>
      <w:rFonts w:ascii="Calibri" w:hAnsi="Calibri" w:cs="Calibri"/>
      <w:sz w:val="18"/>
      <w:szCs w:val="18"/>
    </w:rPr>
  </w:style>
  <w:style w:type="paragraph" w:styleId="ad">
    <w:name w:val="Normal (Web)"/>
    <w:basedOn w:val="a"/>
    <w:uiPriority w:val="99"/>
    <w:qFormat/>
    <w:pPr>
      <w:widowControl/>
      <w:spacing w:before="100" w:beforeAutospacing="1" w:after="100" w:afterAutospacing="1"/>
      <w:jc w:val="left"/>
    </w:pPr>
    <w:rPr>
      <w:rFonts w:ascii="Arial Unicode MS" w:eastAsia="Arial Unicode MS" w:hAnsi="Arial Unicode MS" w:cs="Arial Unicode MS" w:hint="eastAsia"/>
      <w:color w:val="000000"/>
      <w:kern w:val="0"/>
      <w:sz w:val="24"/>
    </w:rPr>
  </w:style>
  <w:style w:type="character" w:styleId="ae">
    <w:name w:val="Strong"/>
    <w:basedOn w:val="a0"/>
    <w:qFormat/>
    <w:rPr>
      <w:b/>
    </w:rPr>
  </w:style>
  <w:style w:type="character" w:styleId="af">
    <w:name w:val="Hyperlink"/>
    <w:uiPriority w:val="99"/>
    <w:qFormat/>
    <w:rPr>
      <w:color w:val="0000FF"/>
      <w:u w:val="single"/>
    </w:rPr>
  </w:style>
  <w:style w:type="character" w:styleId="af0">
    <w:name w:val="annotation reference"/>
    <w:semiHidden/>
    <w:qFormat/>
    <w:rPr>
      <w:sz w:val="21"/>
      <w:szCs w:val="21"/>
    </w:rPr>
  </w:style>
  <w:style w:type="character" w:styleId="af1">
    <w:name w:val="footnote reference"/>
    <w:qFormat/>
    <w:rPr>
      <w:rFonts w:cs="Times New Roman"/>
      <w:vertAlign w:val="superscript"/>
    </w:rPr>
  </w:style>
  <w:style w:type="table" w:styleId="af2">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rFonts w:eastAsia="仿宋_GB2312"/>
      <w:b/>
      <w:bCs/>
      <w:kern w:val="44"/>
      <w:sz w:val="44"/>
      <w:szCs w:val="44"/>
    </w:rPr>
  </w:style>
  <w:style w:type="character" w:customStyle="1" w:styleId="Char0">
    <w:name w:val="批注文字 Char"/>
    <w:link w:val="a6"/>
    <w:qFormat/>
    <w:rPr>
      <w:rFonts w:eastAsia="仿宋_GB2312"/>
      <w:kern w:val="2"/>
      <w:sz w:val="30"/>
      <w:szCs w:val="24"/>
    </w:rPr>
  </w:style>
  <w:style w:type="character" w:customStyle="1" w:styleId="2Char">
    <w:name w:val="正文文本缩进 2 Char"/>
    <w:link w:val="21"/>
    <w:qFormat/>
    <w:rPr>
      <w:rFonts w:eastAsia="宋体"/>
      <w:kern w:val="2"/>
      <w:sz w:val="21"/>
      <w:szCs w:val="24"/>
      <w:lang w:val="en-US" w:eastAsia="zh-CN" w:bidi="ar-SA"/>
    </w:rPr>
  </w:style>
  <w:style w:type="character" w:customStyle="1" w:styleId="Char1">
    <w:name w:val="页脚 Char"/>
    <w:link w:val="aa"/>
    <w:uiPriority w:val="99"/>
    <w:qFormat/>
    <w:rPr>
      <w:rFonts w:eastAsia="宋体"/>
      <w:sz w:val="18"/>
      <w:szCs w:val="18"/>
      <w:lang w:bidi="ar-SA"/>
    </w:rPr>
  </w:style>
  <w:style w:type="character" w:customStyle="1" w:styleId="Char2">
    <w:name w:val="页眉 Char"/>
    <w:link w:val="ab"/>
    <w:uiPriority w:val="99"/>
    <w:qFormat/>
    <w:rPr>
      <w:rFonts w:eastAsia="仿宋_GB2312"/>
      <w:kern w:val="2"/>
      <w:sz w:val="18"/>
      <w:szCs w:val="18"/>
    </w:rPr>
  </w:style>
  <w:style w:type="character" w:customStyle="1" w:styleId="Char3">
    <w:name w:val="脚注文本 Char"/>
    <w:link w:val="ac"/>
    <w:qFormat/>
    <w:rPr>
      <w:rFonts w:ascii="Calibri" w:hAnsi="Calibri"/>
      <w:sz w:val="18"/>
    </w:rPr>
  </w:style>
  <w:style w:type="paragraph" w:customStyle="1" w:styleId="Char20">
    <w:name w:val="Char2"/>
    <w:basedOn w:val="a"/>
    <w:qFormat/>
    <w:pPr>
      <w:widowControl/>
      <w:spacing w:after="160" w:line="240" w:lineRule="exact"/>
      <w:jc w:val="left"/>
    </w:pPr>
    <w:rPr>
      <w:rFonts w:ascii="Verdana" w:hAnsi="Verdana"/>
      <w:kern w:val="0"/>
      <w:sz w:val="24"/>
      <w:szCs w:val="20"/>
      <w:lang w:eastAsia="en-US"/>
    </w:rPr>
  </w:style>
  <w:style w:type="paragraph" w:customStyle="1" w:styleId="Char1CharCharChar">
    <w:name w:val="Char1 Char Char Char"/>
    <w:basedOn w:val="a"/>
    <w:qFormat/>
    <w:pPr>
      <w:widowControl/>
      <w:spacing w:after="160" w:line="240" w:lineRule="exact"/>
      <w:jc w:val="left"/>
    </w:pPr>
    <w:rPr>
      <w:rFonts w:ascii="Verdana" w:hAnsi="Verdana"/>
      <w:kern w:val="0"/>
      <w:szCs w:val="30"/>
      <w:lang w:eastAsia="en-US"/>
    </w:rPr>
  </w:style>
  <w:style w:type="paragraph" w:customStyle="1" w:styleId="CharCharCharChar">
    <w:name w:val="Char Char Char Char"/>
    <w:basedOn w:val="a"/>
    <w:qFormat/>
    <w:pPr>
      <w:tabs>
        <w:tab w:val="left" w:pos="3750"/>
      </w:tabs>
      <w:ind w:left="3750" w:hanging="2250"/>
    </w:pPr>
    <w:rPr>
      <w:rFonts w:eastAsia="宋体"/>
      <w:sz w:val="24"/>
    </w:rPr>
  </w:style>
  <w:style w:type="paragraph" w:customStyle="1" w:styleId="Char10">
    <w:name w:val="Char1"/>
    <w:basedOn w:val="a"/>
    <w:qFormat/>
    <w:rPr>
      <w:rFonts w:ascii="宋体" w:eastAsia="宋体" w:hAnsi="宋体" w:cs="Courier New"/>
      <w:sz w:val="32"/>
      <w:szCs w:val="32"/>
    </w:rPr>
  </w:style>
  <w:style w:type="paragraph" w:customStyle="1" w:styleId="CharCharCharCharCharCharCharCharCharCharCharChar">
    <w:name w:val="Char Char Char Char Char Char Char Char Char Char Char Char"/>
    <w:basedOn w:val="a"/>
    <w:qFormat/>
    <w:rPr>
      <w:rFonts w:ascii="宋体" w:eastAsia="宋体" w:hAnsi="宋体" w:cs="Courier New"/>
      <w:sz w:val="32"/>
      <w:szCs w:val="32"/>
    </w:rPr>
  </w:style>
  <w:style w:type="paragraph" w:customStyle="1" w:styleId="CharCharChar1CharCharCharChar">
    <w:name w:val="Char Char Char1 Char Char Char Char"/>
    <w:basedOn w:val="a"/>
    <w:qFormat/>
    <w:rPr>
      <w:rFonts w:ascii="Tahoma" w:eastAsia="宋体" w:hAnsi="Tahoma"/>
      <w:sz w:val="24"/>
      <w:szCs w:val="20"/>
    </w:rPr>
  </w:style>
  <w:style w:type="paragraph" w:customStyle="1" w:styleId="Char1CharChar">
    <w:name w:val="Char1 Char Char"/>
    <w:basedOn w:val="a"/>
    <w:qFormat/>
    <w:pPr>
      <w:widowControl/>
      <w:spacing w:after="160" w:line="240" w:lineRule="exact"/>
      <w:jc w:val="left"/>
    </w:pPr>
    <w:rPr>
      <w:rFonts w:ascii="Verdana" w:hAnsi="Verdana"/>
      <w:kern w:val="0"/>
      <w:sz w:val="24"/>
      <w:szCs w:val="20"/>
      <w:lang w:eastAsia="en-US"/>
    </w:rPr>
  </w:style>
  <w:style w:type="paragraph" w:styleId="af3">
    <w:name w:val="List Paragraph"/>
    <w:basedOn w:val="a"/>
    <w:uiPriority w:val="34"/>
    <w:qFormat/>
    <w:pPr>
      <w:ind w:firstLineChars="200" w:firstLine="420"/>
    </w:pPr>
  </w:style>
  <w:style w:type="paragraph" w:customStyle="1" w:styleId="Style53">
    <w:name w:val="_Style 53"/>
    <w:uiPriority w:val="99"/>
    <w:semiHidden/>
    <w:qFormat/>
    <w:rPr>
      <w:rFonts w:eastAsia="仿宋_GB2312"/>
      <w:kern w:val="2"/>
      <w:sz w:val="30"/>
      <w:szCs w:val="24"/>
    </w:rPr>
  </w:style>
  <w:style w:type="character" w:customStyle="1" w:styleId="1Char0">
    <w:name w:val="正文1 Char"/>
    <w:link w:val="11"/>
    <w:qFormat/>
    <w:locked/>
    <w:rPr>
      <w:rFonts w:ascii="宋体" w:eastAsia="仿宋_GB2312" w:hAnsi="宋体"/>
      <w:spacing w:val="6"/>
      <w:sz w:val="24"/>
    </w:rPr>
  </w:style>
  <w:style w:type="paragraph" w:customStyle="1" w:styleId="11">
    <w:name w:val="正文1"/>
    <w:basedOn w:val="a"/>
    <w:link w:val="1Char0"/>
    <w:qFormat/>
    <w:pPr>
      <w:autoSpaceDE w:val="0"/>
      <w:autoSpaceDN w:val="0"/>
      <w:adjustRightInd w:val="0"/>
      <w:snapToGrid w:val="0"/>
      <w:spacing w:line="600" w:lineRule="exact"/>
      <w:ind w:firstLineChars="200" w:firstLine="624"/>
    </w:pPr>
    <w:rPr>
      <w:rFonts w:ascii="宋体" w:hAnsi="宋体"/>
      <w:spacing w:val="6"/>
      <w:kern w:val="0"/>
      <w:sz w:val="24"/>
      <w:szCs w:val="20"/>
    </w:rPr>
  </w:style>
  <w:style w:type="paragraph" w:customStyle="1" w:styleId="Style56">
    <w:name w:val="_Style 56"/>
    <w:basedOn w:val="1"/>
    <w:next w:val="a"/>
    <w:uiPriority w:val="39"/>
    <w:qFormat/>
    <w:pPr>
      <w:widowControl/>
      <w:spacing w:before="480" w:after="0" w:line="276" w:lineRule="auto"/>
      <w:jc w:val="left"/>
      <w:outlineLvl w:val="9"/>
    </w:pPr>
    <w:rPr>
      <w:rFonts w:ascii="Cambria" w:eastAsia="宋体" w:hAnsi="Cambria"/>
      <w:color w:val="365F91"/>
      <w:kern w:val="0"/>
      <w:sz w:val="28"/>
      <w:szCs w:val="28"/>
    </w:rPr>
  </w:style>
  <w:style w:type="character" w:customStyle="1" w:styleId="font41">
    <w:name w:val="font41"/>
    <w:qFormat/>
    <w:rPr>
      <w:rFonts w:ascii="宋体" w:eastAsia="宋体" w:hAnsi="宋体" w:cs="宋体" w:hint="eastAsia"/>
      <w:color w:val="000000"/>
      <w:sz w:val="24"/>
      <w:szCs w:val="24"/>
      <w:u w:val="none"/>
    </w:rPr>
  </w:style>
  <w:style w:type="paragraph" w:customStyle="1" w:styleId="my">
    <w:name w:val="my正文"/>
    <w:basedOn w:val="a"/>
    <w:qFormat/>
    <w:pPr>
      <w:wordWrap w:val="0"/>
      <w:spacing w:line="360" w:lineRule="auto"/>
      <w:ind w:firstLineChars="200" w:firstLine="480"/>
    </w:pPr>
    <w:rPr>
      <w:rFonts w:ascii="仿宋_GB2312"/>
      <w:sz w:val="24"/>
      <w:szCs w:val="30"/>
    </w:rPr>
  </w:style>
  <w:style w:type="character" w:customStyle="1" w:styleId="23">
    <w:name w:val="正文文本首行缩进 2 字符"/>
    <w:basedOn w:val="Char"/>
    <w:qFormat/>
    <w:rPr>
      <w:rFonts w:ascii="仿宋_GB2312" w:eastAsia="仿宋_GB2312" w:cs="仿宋_GB2312" w:hint="eastAsia"/>
      <w:kern w:val="2"/>
      <w:sz w:val="30"/>
      <w:szCs w:val="24"/>
    </w:rPr>
  </w:style>
  <w:style w:type="character" w:customStyle="1" w:styleId="Char">
    <w:name w:val="正文文本缩进 Char"/>
    <w:basedOn w:val="a0"/>
    <w:link w:val="a3"/>
    <w:qFormat/>
    <w:rPr>
      <w:rFonts w:ascii="仿宋_GB2312" w:eastAsia="仿宋_GB2312" w:cs="仿宋_GB2312" w:hint="eastAsia"/>
      <w:kern w:val="2"/>
      <w:sz w:val="30"/>
      <w:szCs w:val="24"/>
    </w:rPr>
  </w:style>
  <w:style w:type="paragraph" w:customStyle="1" w:styleId="210">
    <w:name w:val="正文首行缩进 21"/>
    <w:basedOn w:val="a3"/>
    <w:semiHidden/>
    <w:qFormat/>
    <w:pPr>
      <w:spacing w:before="100" w:beforeAutospacing="1"/>
      <w:ind w:firstLineChars="200" w:firstLine="420"/>
    </w:pPr>
    <w:rPr>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qFormat="1"/>
    <w:lsdException w:name="toc 3" w:uiPriority="39" w:unhideWhenUsed="1"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unhideWhenUsed="1" w:qFormat="1"/>
    <w:lsdException w:name="caption" w:semiHidden="1" w:unhideWhenUsed="1" w:qFormat="1"/>
    <w:lsdException w:name="envelope return" w:qFormat="1"/>
    <w:lsdException w:name="footnote reference" w:qFormat="1"/>
    <w:lsdException w:name="annotation reference" w:semiHidden="1" w:qFormat="1"/>
    <w:lsdException w:name="Title" w:qFormat="1"/>
    <w:lsdException w:name="Default Paragraph Font" w:semiHidden="1" w:qFormat="1"/>
    <w:lsdException w:name="Body Text" w:qFormat="1"/>
    <w:lsdException w:name="Body Text Indent" w:qFormat="1"/>
    <w:lsdException w:name="Subtitle" w:qFormat="1"/>
    <w:lsdException w:name="Body Text First Indent 2" w:uiPriority="99" w:unhideWhenUsed="1" w:qFormat="1"/>
    <w:lsdException w:name="Body Text Indent 2" w:qFormat="1"/>
    <w:lsdException w:name="Body Text Indent 3"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eastAsia="仿宋_GB2312"/>
      <w:kern w:val="2"/>
      <w:sz w:val="30"/>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0">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spacing w:before="280" w:after="290" w:line="376" w:lineRule="auto"/>
      <w:outlineLvl w:val="4"/>
    </w:pPr>
    <w:rPr>
      <w:rFonts w:eastAsia="宋体"/>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rFonts w:eastAsia="宋体"/>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style>
  <w:style w:type="paragraph" w:styleId="a3">
    <w:name w:val="Body Text Indent"/>
    <w:basedOn w:val="a"/>
    <w:next w:val="a4"/>
    <w:link w:val="Char"/>
    <w:qFormat/>
    <w:pPr>
      <w:spacing w:after="120"/>
      <w:ind w:leftChars="200" w:left="420"/>
    </w:pPr>
  </w:style>
  <w:style w:type="paragraph" w:styleId="a4">
    <w:name w:val="envelope return"/>
    <w:basedOn w:val="a"/>
    <w:qFormat/>
    <w:pPr>
      <w:snapToGrid w:val="0"/>
    </w:pPr>
    <w:rPr>
      <w:rFonts w:ascii="Arial" w:hAnsi="Arial"/>
    </w:rPr>
  </w:style>
  <w:style w:type="paragraph" w:styleId="a5">
    <w:name w:val="annotation subject"/>
    <w:basedOn w:val="a6"/>
    <w:next w:val="a6"/>
    <w:semiHidden/>
    <w:qFormat/>
    <w:rPr>
      <w:b/>
      <w:bCs/>
    </w:rPr>
  </w:style>
  <w:style w:type="paragraph" w:styleId="a6">
    <w:name w:val="annotation text"/>
    <w:basedOn w:val="a"/>
    <w:link w:val="Char0"/>
    <w:qFormat/>
    <w:pPr>
      <w:jc w:val="left"/>
    </w:pPr>
  </w:style>
  <w:style w:type="paragraph" w:styleId="70">
    <w:name w:val="toc 7"/>
    <w:basedOn w:val="a"/>
    <w:next w:val="a"/>
    <w:qFormat/>
    <w:pPr>
      <w:ind w:left="1800"/>
      <w:jc w:val="left"/>
    </w:pPr>
    <w:rPr>
      <w:rFonts w:ascii="Calibri" w:hAnsi="Calibri" w:cs="Calibri"/>
      <w:sz w:val="18"/>
      <w:szCs w:val="18"/>
    </w:rPr>
  </w:style>
  <w:style w:type="paragraph" w:styleId="a7">
    <w:name w:val="Document Map"/>
    <w:basedOn w:val="a"/>
    <w:semiHidden/>
    <w:qFormat/>
    <w:pPr>
      <w:shd w:val="clear" w:color="auto" w:fill="000080"/>
    </w:pPr>
  </w:style>
  <w:style w:type="paragraph" w:styleId="a8">
    <w:name w:val="Body Text"/>
    <w:basedOn w:val="a"/>
    <w:qFormat/>
    <w:pPr>
      <w:spacing w:after="120"/>
      <w:ind w:left="980" w:hanging="420"/>
    </w:pPr>
    <w:rPr>
      <w:rFonts w:ascii="Calibri" w:eastAsia="宋体" w:hAnsi="Calibri"/>
      <w:sz w:val="21"/>
      <w:szCs w:val="22"/>
    </w:rPr>
  </w:style>
  <w:style w:type="paragraph" w:styleId="50">
    <w:name w:val="toc 5"/>
    <w:basedOn w:val="a"/>
    <w:next w:val="a"/>
    <w:qFormat/>
    <w:pPr>
      <w:ind w:left="1200"/>
      <w:jc w:val="left"/>
    </w:pPr>
    <w:rPr>
      <w:rFonts w:ascii="Calibri" w:hAnsi="Calibri" w:cs="Calibri"/>
      <w:sz w:val="18"/>
      <w:szCs w:val="18"/>
    </w:rPr>
  </w:style>
  <w:style w:type="paragraph" w:styleId="30">
    <w:name w:val="toc 3"/>
    <w:basedOn w:val="a"/>
    <w:next w:val="a"/>
    <w:uiPriority w:val="39"/>
    <w:unhideWhenUsed/>
    <w:qFormat/>
    <w:pPr>
      <w:ind w:left="600"/>
      <w:jc w:val="left"/>
    </w:pPr>
    <w:rPr>
      <w:rFonts w:ascii="Calibri" w:hAnsi="Calibri" w:cs="Calibri"/>
      <w:i/>
      <w:iCs/>
      <w:sz w:val="20"/>
      <w:szCs w:val="20"/>
    </w:rPr>
  </w:style>
  <w:style w:type="paragraph" w:styleId="80">
    <w:name w:val="toc 8"/>
    <w:basedOn w:val="a"/>
    <w:next w:val="a"/>
    <w:qFormat/>
    <w:pPr>
      <w:ind w:left="2100"/>
      <w:jc w:val="left"/>
    </w:pPr>
    <w:rPr>
      <w:rFonts w:ascii="Calibri" w:hAnsi="Calibri" w:cs="Calibri"/>
      <w:sz w:val="18"/>
      <w:szCs w:val="18"/>
    </w:rPr>
  </w:style>
  <w:style w:type="paragraph" w:styleId="21">
    <w:name w:val="Body Text Indent 2"/>
    <w:basedOn w:val="a"/>
    <w:link w:val="2Char"/>
    <w:qFormat/>
    <w:pPr>
      <w:spacing w:after="120" w:line="480" w:lineRule="auto"/>
      <w:ind w:leftChars="200" w:left="420"/>
    </w:pPr>
    <w:rPr>
      <w:rFonts w:eastAsia="宋体"/>
      <w:sz w:val="21"/>
    </w:rPr>
  </w:style>
  <w:style w:type="paragraph" w:styleId="a9">
    <w:name w:val="Balloon Text"/>
    <w:basedOn w:val="a"/>
    <w:semiHidden/>
    <w:qFormat/>
    <w:rPr>
      <w:sz w:val="18"/>
      <w:szCs w:val="18"/>
    </w:rPr>
  </w:style>
  <w:style w:type="paragraph" w:styleId="aa">
    <w:name w:val="footer"/>
    <w:basedOn w:val="a"/>
    <w:link w:val="Char1"/>
    <w:uiPriority w:val="99"/>
    <w:unhideWhenUsed/>
    <w:qFormat/>
    <w:pPr>
      <w:tabs>
        <w:tab w:val="center" w:pos="4153"/>
        <w:tab w:val="right" w:pos="8306"/>
      </w:tabs>
      <w:snapToGrid w:val="0"/>
      <w:jc w:val="left"/>
    </w:pPr>
    <w:rPr>
      <w:rFonts w:eastAsia="宋体"/>
      <w:kern w:val="0"/>
      <w:sz w:val="18"/>
      <w:szCs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ascii="Calibri" w:hAnsi="Calibri" w:cs="Calibri"/>
      <w:b/>
      <w:bCs/>
      <w:caps/>
      <w:sz w:val="20"/>
      <w:szCs w:val="20"/>
    </w:rPr>
  </w:style>
  <w:style w:type="paragraph" w:styleId="40">
    <w:name w:val="toc 4"/>
    <w:basedOn w:val="a"/>
    <w:next w:val="a"/>
    <w:qFormat/>
    <w:pPr>
      <w:ind w:left="900"/>
      <w:jc w:val="left"/>
    </w:pPr>
    <w:rPr>
      <w:rFonts w:ascii="Calibri" w:hAnsi="Calibri" w:cs="Calibri"/>
      <w:sz w:val="18"/>
      <w:szCs w:val="18"/>
    </w:rPr>
  </w:style>
  <w:style w:type="paragraph" w:styleId="ac">
    <w:name w:val="footnote text"/>
    <w:basedOn w:val="a"/>
    <w:link w:val="Char3"/>
    <w:qFormat/>
    <w:pPr>
      <w:snapToGrid w:val="0"/>
      <w:jc w:val="left"/>
    </w:pPr>
    <w:rPr>
      <w:rFonts w:ascii="Calibri" w:eastAsia="宋体" w:hAnsi="Calibri"/>
      <w:kern w:val="0"/>
      <w:sz w:val="18"/>
      <w:szCs w:val="20"/>
    </w:rPr>
  </w:style>
  <w:style w:type="paragraph" w:styleId="60">
    <w:name w:val="toc 6"/>
    <w:basedOn w:val="a"/>
    <w:next w:val="a"/>
    <w:qFormat/>
    <w:pPr>
      <w:ind w:left="1500"/>
      <w:jc w:val="left"/>
    </w:pPr>
    <w:rPr>
      <w:rFonts w:ascii="Calibri" w:hAnsi="Calibri" w:cs="Calibri"/>
      <w:sz w:val="18"/>
      <w:szCs w:val="18"/>
    </w:rPr>
  </w:style>
  <w:style w:type="paragraph" w:styleId="31">
    <w:name w:val="Body Text Indent 3"/>
    <w:basedOn w:val="a"/>
    <w:qFormat/>
    <w:pPr>
      <w:spacing w:after="120"/>
      <w:ind w:leftChars="200" w:left="420"/>
    </w:pPr>
    <w:rPr>
      <w:sz w:val="16"/>
      <w:szCs w:val="16"/>
    </w:rPr>
  </w:style>
  <w:style w:type="paragraph" w:styleId="22">
    <w:name w:val="toc 2"/>
    <w:basedOn w:val="a"/>
    <w:next w:val="a"/>
    <w:uiPriority w:val="39"/>
    <w:qFormat/>
    <w:pPr>
      <w:ind w:left="300"/>
      <w:jc w:val="left"/>
    </w:pPr>
    <w:rPr>
      <w:rFonts w:ascii="Calibri" w:hAnsi="Calibri" w:cs="Calibri"/>
      <w:smallCaps/>
      <w:sz w:val="20"/>
      <w:szCs w:val="20"/>
    </w:rPr>
  </w:style>
  <w:style w:type="paragraph" w:styleId="90">
    <w:name w:val="toc 9"/>
    <w:basedOn w:val="a"/>
    <w:next w:val="a"/>
    <w:qFormat/>
    <w:pPr>
      <w:ind w:left="2400"/>
      <w:jc w:val="left"/>
    </w:pPr>
    <w:rPr>
      <w:rFonts w:ascii="Calibri" w:hAnsi="Calibri" w:cs="Calibri"/>
      <w:sz w:val="18"/>
      <w:szCs w:val="18"/>
    </w:rPr>
  </w:style>
  <w:style w:type="paragraph" w:styleId="ad">
    <w:name w:val="Normal (Web)"/>
    <w:basedOn w:val="a"/>
    <w:uiPriority w:val="99"/>
    <w:qFormat/>
    <w:pPr>
      <w:widowControl/>
      <w:spacing w:before="100" w:beforeAutospacing="1" w:after="100" w:afterAutospacing="1"/>
      <w:jc w:val="left"/>
    </w:pPr>
    <w:rPr>
      <w:rFonts w:ascii="Arial Unicode MS" w:eastAsia="Arial Unicode MS" w:hAnsi="Arial Unicode MS" w:cs="Arial Unicode MS" w:hint="eastAsia"/>
      <w:color w:val="000000"/>
      <w:kern w:val="0"/>
      <w:sz w:val="24"/>
    </w:rPr>
  </w:style>
  <w:style w:type="character" w:styleId="ae">
    <w:name w:val="Strong"/>
    <w:basedOn w:val="a0"/>
    <w:qFormat/>
    <w:rPr>
      <w:b/>
    </w:rPr>
  </w:style>
  <w:style w:type="character" w:styleId="af">
    <w:name w:val="Hyperlink"/>
    <w:uiPriority w:val="99"/>
    <w:qFormat/>
    <w:rPr>
      <w:color w:val="0000FF"/>
      <w:u w:val="single"/>
    </w:rPr>
  </w:style>
  <w:style w:type="character" w:styleId="af0">
    <w:name w:val="annotation reference"/>
    <w:semiHidden/>
    <w:qFormat/>
    <w:rPr>
      <w:sz w:val="21"/>
      <w:szCs w:val="21"/>
    </w:rPr>
  </w:style>
  <w:style w:type="character" w:styleId="af1">
    <w:name w:val="footnote reference"/>
    <w:qFormat/>
    <w:rPr>
      <w:rFonts w:cs="Times New Roman"/>
      <w:vertAlign w:val="superscript"/>
    </w:rPr>
  </w:style>
  <w:style w:type="table" w:styleId="af2">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rFonts w:eastAsia="仿宋_GB2312"/>
      <w:b/>
      <w:bCs/>
      <w:kern w:val="44"/>
      <w:sz w:val="44"/>
      <w:szCs w:val="44"/>
    </w:rPr>
  </w:style>
  <w:style w:type="character" w:customStyle="1" w:styleId="Char0">
    <w:name w:val="批注文字 Char"/>
    <w:link w:val="a6"/>
    <w:qFormat/>
    <w:rPr>
      <w:rFonts w:eastAsia="仿宋_GB2312"/>
      <w:kern w:val="2"/>
      <w:sz w:val="30"/>
      <w:szCs w:val="24"/>
    </w:rPr>
  </w:style>
  <w:style w:type="character" w:customStyle="1" w:styleId="2Char">
    <w:name w:val="正文文本缩进 2 Char"/>
    <w:link w:val="21"/>
    <w:qFormat/>
    <w:rPr>
      <w:rFonts w:eastAsia="宋体"/>
      <w:kern w:val="2"/>
      <w:sz w:val="21"/>
      <w:szCs w:val="24"/>
      <w:lang w:val="en-US" w:eastAsia="zh-CN" w:bidi="ar-SA"/>
    </w:rPr>
  </w:style>
  <w:style w:type="character" w:customStyle="1" w:styleId="Char1">
    <w:name w:val="页脚 Char"/>
    <w:link w:val="aa"/>
    <w:uiPriority w:val="99"/>
    <w:qFormat/>
    <w:rPr>
      <w:rFonts w:eastAsia="宋体"/>
      <w:sz w:val="18"/>
      <w:szCs w:val="18"/>
      <w:lang w:bidi="ar-SA"/>
    </w:rPr>
  </w:style>
  <w:style w:type="character" w:customStyle="1" w:styleId="Char2">
    <w:name w:val="页眉 Char"/>
    <w:link w:val="ab"/>
    <w:uiPriority w:val="99"/>
    <w:qFormat/>
    <w:rPr>
      <w:rFonts w:eastAsia="仿宋_GB2312"/>
      <w:kern w:val="2"/>
      <w:sz w:val="18"/>
      <w:szCs w:val="18"/>
    </w:rPr>
  </w:style>
  <w:style w:type="character" w:customStyle="1" w:styleId="Char3">
    <w:name w:val="脚注文本 Char"/>
    <w:link w:val="ac"/>
    <w:qFormat/>
    <w:rPr>
      <w:rFonts w:ascii="Calibri" w:hAnsi="Calibri"/>
      <w:sz w:val="18"/>
    </w:rPr>
  </w:style>
  <w:style w:type="paragraph" w:customStyle="1" w:styleId="Char20">
    <w:name w:val="Char2"/>
    <w:basedOn w:val="a"/>
    <w:qFormat/>
    <w:pPr>
      <w:widowControl/>
      <w:spacing w:after="160" w:line="240" w:lineRule="exact"/>
      <w:jc w:val="left"/>
    </w:pPr>
    <w:rPr>
      <w:rFonts w:ascii="Verdana" w:hAnsi="Verdana"/>
      <w:kern w:val="0"/>
      <w:sz w:val="24"/>
      <w:szCs w:val="20"/>
      <w:lang w:eastAsia="en-US"/>
    </w:rPr>
  </w:style>
  <w:style w:type="paragraph" w:customStyle="1" w:styleId="Char1CharCharChar">
    <w:name w:val="Char1 Char Char Char"/>
    <w:basedOn w:val="a"/>
    <w:qFormat/>
    <w:pPr>
      <w:widowControl/>
      <w:spacing w:after="160" w:line="240" w:lineRule="exact"/>
      <w:jc w:val="left"/>
    </w:pPr>
    <w:rPr>
      <w:rFonts w:ascii="Verdana" w:hAnsi="Verdana"/>
      <w:kern w:val="0"/>
      <w:szCs w:val="30"/>
      <w:lang w:eastAsia="en-US"/>
    </w:rPr>
  </w:style>
  <w:style w:type="paragraph" w:customStyle="1" w:styleId="CharCharCharChar">
    <w:name w:val="Char Char Char Char"/>
    <w:basedOn w:val="a"/>
    <w:qFormat/>
    <w:pPr>
      <w:tabs>
        <w:tab w:val="left" w:pos="3750"/>
      </w:tabs>
      <w:ind w:left="3750" w:hanging="2250"/>
    </w:pPr>
    <w:rPr>
      <w:rFonts w:eastAsia="宋体"/>
      <w:sz w:val="24"/>
    </w:rPr>
  </w:style>
  <w:style w:type="paragraph" w:customStyle="1" w:styleId="Char10">
    <w:name w:val="Char1"/>
    <w:basedOn w:val="a"/>
    <w:qFormat/>
    <w:rPr>
      <w:rFonts w:ascii="宋体" w:eastAsia="宋体" w:hAnsi="宋体" w:cs="Courier New"/>
      <w:sz w:val="32"/>
      <w:szCs w:val="32"/>
    </w:rPr>
  </w:style>
  <w:style w:type="paragraph" w:customStyle="1" w:styleId="CharCharCharCharCharCharCharCharCharCharCharChar">
    <w:name w:val="Char Char Char Char Char Char Char Char Char Char Char Char"/>
    <w:basedOn w:val="a"/>
    <w:qFormat/>
    <w:rPr>
      <w:rFonts w:ascii="宋体" w:eastAsia="宋体" w:hAnsi="宋体" w:cs="Courier New"/>
      <w:sz w:val="32"/>
      <w:szCs w:val="32"/>
    </w:rPr>
  </w:style>
  <w:style w:type="paragraph" w:customStyle="1" w:styleId="CharCharChar1CharCharCharChar">
    <w:name w:val="Char Char Char1 Char Char Char Char"/>
    <w:basedOn w:val="a"/>
    <w:qFormat/>
    <w:rPr>
      <w:rFonts w:ascii="Tahoma" w:eastAsia="宋体" w:hAnsi="Tahoma"/>
      <w:sz w:val="24"/>
      <w:szCs w:val="20"/>
    </w:rPr>
  </w:style>
  <w:style w:type="paragraph" w:customStyle="1" w:styleId="Char1CharChar">
    <w:name w:val="Char1 Char Char"/>
    <w:basedOn w:val="a"/>
    <w:qFormat/>
    <w:pPr>
      <w:widowControl/>
      <w:spacing w:after="160" w:line="240" w:lineRule="exact"/>
      <w:jc w:val="left"/>
    </w:pPr>
    <w:rPr>
      <w:rFonts w:ascii="Verdana" w:hAnsi="Verdana"/>
      <w:kern w:val="0"/>
      <w:sz w:val="24"/>
      <w:szCs w:val="20"/>
      <w:lang w:eastAsia="en-US"/>
    </w:rPr>
  </w:style>
  <w:style w:type="paragraph" w:styleId="af3">
    <w:name w:val="List Paragraph"/>
    <w:basedOn w:val="a"/>
    <w:uiPriority w:val="34"/>
    <w:qFormat/>
    <w:pPr>
      <w:ind w:firstLineChars="200" w:firstLine="420"/>
    </w:pPr>
  </w:style>
  <w:style w:type="paragraph" w:customStyle="1" w:styleId="Style53">
    <w:name w:val="_Style 53"/>
    <w:uiPriority w:val="99"/>
    <w:semiHidden/>
    <w:qFormat/>
    <w:rPr>
      <w:rFonts w:eastAsia="仿宋_GB2312"/>
      <w:kern w:val="2"/>
      <w:sz w:val="30"/>
      <w:szCs w:val="24"/>
    </w:rPr>
  </w:style>
  <w:style w:type="character" w:customStyle="1" w:styleId="1Char0">
    <w:name w:val="正文1 Char"/>
    <w:link w:val="11"/>
    <w:qFormat/>
    <w:locked/>
    <w:rPr>
      <w:rFonts w:ascii="宋体" w:eastAsia="仿宋_GB2312" w:hAnsi="宋体"/>
      <w:spacing w:val="6"/>
      <w:sz w:val="24"/>
    </w:rPr>
  </w:style>
  <w:style w:type="paragraph" w:customStyle="1" w:styleId="11">
    <w:name w:val="正文1"/>
    <w:basedOn w:val="a"/>
    <w:link w:val="1Char0"/>
    <w:qFormat/>
    <w:pPr>
      <w:autoSpaceDE w:val="0"/>
      <w:autoSpaceDN w:val="0"/>
      <w:adjustRightInd w:val="0"/>
      <w:snapToGrid w:val="0"/>
      <w:spacing w:line="600" w:lineRule="exact"/>
      <w:ind w:firstLineChars="200" w:firstLine="624"/>
    </w:pPr>
    <w:rPr>
      <w:rFonts w:ascii="宋体" w:hAnsi="宋体"/>
      <w:spacing w:val="6"/>
      <w:kern w:val="0"/>
      <w:sz w:val="24"/>
      <w:szCs w:val="20"/>
    </w:rPr>
  </w:style>
  <w:style w:type="paragraph" w:customStyle="1" w:styleId="Style56">
    <w:name w:val="_Style 56"/>
    <w:basedOn w:val="1"/>
    <w:next w:val="a"/>
    <w:uiPriority w:val="39"/>
    <w:qFormat/>
    <w:pPr>
      <w:widowControl/>
      <w:spacing w:before="480" w:after="0" w:line="276" w:lineRule="auto"/>
      <w:jc w:val="left"/>
      <w:outlineLvl w:val="9"/>
    </w:pPr>
    <w:rPr>
      <w:rFonts w:ascii="Cambria" w:eastAsia="宋体" w:hAnsi="Cambria"/>
      <w:color w:val="365F91"/>
      <w:kern w:val="0"/>
      <w:sz w:val="28"/>
      <w:szCs w:val="28"/>
    </w:rPr>
  </w:style>
  <w:style w:type="character" w:customStyle="1" w:styleId="font41">
    <w:name w:val="font41"/>
    <w:qFormat/>
    <w:rPr>
      <w:rFonts w:ascii="宋体" w:eastAsia="宋体" w:hAnsi="宋体" w:cs="宋体" w:hint="eastAsia"/>
      <w:color w:val="000000"/>
      <w:sz w:val="24"/>
      <w:szCs w:val="24"/>
      <w:u w:val="none"/>
    </w:rPr>
  </w:style>
  <w:style w:type="paragraph" w:customStyle="1" w:styleId="my">
    <w:name w:val="my正文"/>
    <w:basedOn w:val="a"/>
    <w:qFormat/>
    <w:pPr>
      <w:wordWrap w:val="0"/>
      <w:spacing w:line="360" w:lineRule="auto"/>
      <w:ind w:firstLineChars="200" w:firstLine="480"/>
    </w:pPr>
    <w:rPr>
      <w:rFonts w:ascii="仿宋_GB2312"/>
      <w:sz w:val="24"/>
      <w:szCs w:val="30"/>
    </w:rPr>
  </w:style>
  <w:style w:type="character" w:customStyle="1" w:styleId="23">
    <w:name w:val="正文文本首行缩进 2 字符"/>
    <w:basedOn w:val="Char"/>
    <w:qFormat/>
    <w:rPr>
      <w:rFonts w:ascii="仿宋_GB2312" w:eastAsia="仿宋_GB2312" w:cs="仿宋_GB2312" w:hint="eastAsia"/>
      <w:kern w:val="2"/>
      <w:sz w:val="30"/>
      <w:szCs w:val="24"/>
    </w:rPr>
  </w:style>
  <w:style w:type="character" w:customStyle="1" w:styleId="Char">
    <w:name w:val="正文文本缩进 Char"/>
    <w:basedOn w:val="a0"/>
    <w:link w:val="a3"/>
    <w:qFormat/>
    <w:rPr>
      <w:rFonts w:ascii="仿宋_GB2312" w:eastAsia="仿宋_GB2312" w:cs="仿宋_GB2312" w:hint="eastAsia"/>
      <w:kern w:val="2"/>
      <w:sz w:val="30"/>
      <w:szCs w:val="24"/>
    </w:rPr>
  </w:style>
  <w:style w:type="paragraph" w:customStyle="1" w:styleId="210">
    <w:name w:val="正文首行缩进 21"/>
    <w:basedOn w:val="a3"/>
    <w:semiHidden/>
    <w:qFormat/>
    <w:pPr>
      <w:spacing w:before="100" w:beforeAutospacing="1"/>
      <w:ind w:firstLineChars="200" w:firstLine="42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4037;&#20316;\&#29983;&#24577;&#29615;&#22659;&#23616;&#37325;&#28857;&#39033;&#30446;&#35780;&#20215;\&#25253;&#21578;&#25776;&#20889;\&#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Sheet1!$A$5</c:f>
              <c:strCache>
                <c:ptCount val="1"/>
                <c:pt idx="0">
                  <c:v>分值</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Sheet1!$B$4:$E$4</c:f>
              <c:strCache>
                <c:ptCount val="4"/>
                <c:pt idx="0">
                  <c:v>决策</c:v>
                </c:pt>
                <c:pt idx="1">
                  <c:v>过程</c:v>
                </c:pt>
                <c:pt idx="2">
                  <c:v>产出</c:v>
                </c:pt>
                <c:pt idx="3">
                  <c:v>效益</c:v>
                </c:pt>
              </c:strCache>
            </c:strRef>
          </c:cat>
          <c:val>
            <c:numRef>
              <c:f>Sheet1!$B$5:$E$5</c:f>
              <c:numCache>
                <c:formatCode>General</c:formatCode>
                <c:ptCount val="4"/>
                <c:pt idx="0">
                  <c:v>10</c:v>
                </c:pt>
                <c:pt idx="1">
                  <c:v>20</c:v>
                </c:pt>
                <c:pt idx="2">
                  <c:v>40</c:v>
                </c:pt>
                <c:pt idx="3">
                  <c:v>30</c:v>
                </c:pt>
              </c:numCache>
            </c:numRef>
          </c:val>
        </c:ser>
        <c:ser>
          <c:idx val="1"/>
          <c:order val="1"/>
          <c:tx>
            <c:strRef>
              <c:f>Sheet1!$A$6</c:f>
              <c:strCache>
                <c:ptCount val="1"/>
                <c:pt idx="0">
                  <c:v>得分</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Sheet1!$B$4:$E$4</c:f>
              <c:strCache>
                <c:ptCount val="4"/>
                <c:pt idx="0">
                  <c:v>决策</c:v>
                </c:pt>
                <c:pt idx="1">
                  <c:v>过程</c:v>
                </c:pt>
                <c:pt idx="2">
                  <c:v>产出</c:v>
                </c:pt>
                <c:pt idx="3">
                  <c:v>效益</c:v>
                </c:pt>
              </c:strCache>
            </c:strRef>
          </c:cat>
          <c:val>
            <c:numRef>
              <c:f>Sheet1!$B$6:$E$6</c:f>
              <c:numCache>
                <c:formatCode>0.00_ </c:formatCode>
                <c:ptCount val="4"/>
                <c:pt idx="0">
                  <c:v>8.16</c:v>
                </c:pt>
                <c:pt idx="1">
                  <c:v>19</c:v>
                </c:pt>
                <c:pt idx="2">
                  <c:v>36.700000000000003</c:v>
                </c:pt>
                <c:pt idx="3">
                  <c:v>26.4</c:v>
                </c:pt>
              </c:numCache>
            </c:numRef>
          </c:val>
        </c:ser>
        <c:dLbls>
          <c:showLegendKey val="0"/>
          <c:showVal val="0"/>
          <c:showCatName val="0"/>
          <c:showSerName val="0"/>
          <c:showPercent val="0"/>
          <c:showBubbleSize val="0"/>
        </c:dLbls>
        <c:gapWidth val="150"/>
        <c:axId val="79334400"/>
        <c:axId val="81028608"/>
      </c:barChart>
      <c:catAx>
        <c:axId val="793344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81028608"/>
        <c:crosses val="autoZero"/>
        <c:auto val="1"/>
        <c:lblAlgn val="ctr"/>
        <c:lblOffset val="100"/>
        <c:noMultiLvlLbl val="0"/>
      </c:catAx>
      <c:valAx>
        <c:axId val="8102860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crossAx val="7933440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宋体" panose="02010600030101010101" charset="-122"/>
          <a:ea typeface="宋体" panose="02010600030101010101" charset="-122"/>
          <a:cs typeface="宋体" panose="02010600030101010101" charset="-122"/>
          <a:sym typeface="宋体" panose="02010600030101010101" charset="-122"/>
        </a:defRPr>
      </a:pPr>
      <a:endParaRPr lang="zh-CN"/>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10119</Words>
  <Characters>660</Characters>
  <Application>Microsoft Office Word</Application>
  <DocSecurity>0</DocSecurity>
  <Lines>5</Lines>
  <Paragraphs>21</Paragraphs>
  <ScaleCrop>false</ScaleCrop>
  <Company>Microsoft</Company>
  <LinksUpToDate>false</LinksUpToDate>
  <CharactersWithSpaces>10758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梁辉</cp:lastModifiedBy>
  <cp:revision>7</cp:revision>
  <cp:lastPrinted>2024-05-20T10:01:00Z</cp:lastPrinted>
  <dcterms:created xsi:type="dcterms:W3CDTF">2022-05-14T01:27:00Z</dcterms:created>
  <dcterms:modified xsi:type="dcterms:W3CDTF">2024-08-22T08:02:00Z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39B302BB485A48DAA64DB345C6A577CC_13</vt:lpwstr>
  </property>
</Properties>
</file>