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23ACE">
      <w:pPr>
        <w:adjustRightInd w:val="0"/>
        <w:snapToGrid w:val="0"/>
        <w:spacing w:line="600" w:lineRule="exact"/>
        <w:ind w:firstLine="880" w:firstLineChars="200"/>
        <w:rPr>
          <w:rFonts w:ascii="方正小标宋简体" w:hAnsi="华文中宋" w:eastAsia="方正小标宋简体"/>
          <w:bCs/>
          <w:sz w:val="44"/>
          <w:szCs w:val="44"/>
        </w:rPr>
      </w:pPr>
      <w:r>
        <w:rPr>
          <w:rFonts w:hint="eastAsia" w:ascii="方正小标宋简体" w:hAnsi="华文中宋" w:eastAsia="方正小标宋简体"/>
          <w:bCs/>
          <w:sz w:val="44"/>
          <w:szCs w:val="44"/>
        </w:rPr>
        <w:t>2024年度土壤和农业农村污染防治</w:t>
      </w:r>
    </w:p>
    <w:p w14:paraId="45BF52C6">
      <w:pPr>
        <w:adjustRightInd w:val="0"/>
        <w:snapToGrid w:val="0"/>
        <w:spacing w:line="600" w:lineRule="exact"/>
        <w:jc w:val="center"/>
        <w:rPr>
          <w:rFonts w:ascii="方正小标宋简体" w:hAnsi="华文中宋" w:eastAsia="方正小标宋简体"/>
          <w:bCs/>
          <w:sz w:val="44"/>
          <w:szCs w:val="44"/>
        </w:rPr>
      </w:pPr>
      <w:r>
        <w:rPr>
          <w:rFonts w:hint="eastAsia" w:ascii="方正小标宋简体" w:hAnsi="华文中宋" w:eastAsia="方正小标宋简体"/>
          <w:bCs/>
          <w:sz w:val="44"/>
          <w:szCs w:val="44"/>
        </w:rPr>
        <w:t>综合支撑项目绩效评价报告</w:t>
      </w:r>
    </w:p>
    <w:p w14:paraId="3AD8C9A3">
      <w:pPr>
        <w:adjustRightInd w:val="0"/>
        <w:snapToGrid w:val="0"/>
        <w:spacing w:line="360" w:lineRule="auto"/>
        <w:ind w:firstLine="600" w:firstLineChars="200"/>
        <w:jc w:val="center"/>
        <w:rPr>
          <w:rFonts w:ascii="仿宋_GB2312"/>
          <w:szCs w:val="32"/>
        </w:rPr>
      </w:pPr>
    </w:p>
    <w:p w14:paraId="2F7980A0">
      <w:pPr>
        <w:adjustRightInd w:val="0"/>
        <w:snapToGrid w:val="0"/>
        <w:spacing w:line="560" w:lineRule="exact"/>
        <w:ind w:firstLine="640" w:firstLineChars="200"/>
        <w:outlineLvl w:val="0"/>
        <w:rPr>
          <w:rFonts w:ascii="黑体" w:eastAsia="黑体"/>
          <w:sz w:val="32"/>
          <w:szCs w:val="32"/>
        </w:rPr>
      </w:pPr>
      <w:bookmarkStart w:id="0" w:name="_Toc21195"/>
      <w:bookmarkStart w:id="1" w:name="_Toc1650"/>
      <w:bookmarkStart w:id="2" w:name="_Toc35588393"/>
      <w:bookmarkStart w:id="3" w:name="_Toc13517"/>
      <w:r>
        <w:rPr>
          <w:rFonts w:hint="eastAsia" w:ascii="黑体" w:eastAsia="黑体"/>
          <w:sz w:val="32"/>
          <w:szCs w:val="32"/>
        </w:rPr>
        <w:t>一、基本情况</w:t>
      </w:r>
      <w:bookmarkEnd w:id="0"/>
      <w:bookmarkEnd w:id="1"/>
      <w:bookmarkEnd w:id="2"/>
      <w:bookmarkEnd w:id="3"/>
    </w:p>
    <w:p w14:paraId="472B2AFD">
      <w:pPr>
        <w:adjustRightInd w:val="0"/>
        <w:snapToGrid w:val="0"/>
        <w:spacing w:line="560" w:lineRule="exact"/>
        <w:ind w:firstLine="640" w:firstLineChars="200"/>
        <w:outlineLvl w:val="1"/>
        <w:rPr>
          <w:rFonts w:ascii="楷体_GB2312" w:eastAsia="楷体_GB2312"/>
          <w:sz w:val="32"/>
          <w:szCs w:val="32"/>
        </w:rPr>
      </w:pPr>
      <w:bookmarkStart w:id="4" w:name="_Toc25675"/>
      <w:bookmarkStart w:id="5" w:name="_Toc35588394"/>
      <w:bookmarkStart w:id="6" w:name="_Toc17037"/>
      <w:bookmarkStart w:id="7" w:name="_Toc15903"/>
      <w:r>
        <w:rPr>
          <w:rFonts w:hint="eastAsia" w:ascii="楷体_GB2312" w:eastAsia="楷体_GB2312"/>
          <w:sz w:val="32"/>
          <w:szCs w:val="32"/>
        </w:rPr>
        <w:t>（一）项目概况</w:t>
      </w:r>
      <w:bookmarkEnd w:id="4"/>
      <w:bookmarkEnd w:id="5"/>
      <w:bookmarkEnd w:id="6"/>
      <w:bookmarkEnd w:id="7"/>
    </w:p>
    <w:p w14:paraId="1B89ECA8">
      <w:pPr>
        <w:adjustRightInd w:val="0"/>
        <w:snapToGrid w:val="0"/>
        <w:spacing w:line="560" w:lineRule="exact"/>
        <w:ind w:firstLine="640" w:firstLineChars="200"/>
        <w:outlineLvl w:val="2"/>
        <w:rPr>
          <w:rFonts w:ascii="仿宋_GB2312" w:hAnsi="宋体" w:cs="宋体"/>
          <w:kern w:val="0"/>
          <w:sz w:val="32"/>
          <w:szCs w:val="32"/>
        </w:rPr>
      </w:pPr>
      <w:bookmarkStart w:id="8" w:name="_Toc35588395"/>
      <w:r>
        <w:rPr>
          <w:rFonts w:hint="eastAsia" w:ascii="仿宋_GB2312" w:hAnsi="宋体" w:cs="宋体"/>
          <w:kern w:val="0"/>
          <w:sz w:val="32"/>
          <w:szCs w:val="32"/>
        </w:rPr>
        <w:t>1.项目背景</w:t>
      </w:r>
      <w:bookmarkEnd w:id="8"/>
    </w:p>
    <w:p w14:paraId="0F0A8DE2">
      <w:pPr>
        <w:widowControl/>
        <w:adjustRightInd w:val="0"/>
        <w:snapToGrid w:val="0"/>
        <w:spacing w:line="560" w:lineRule="exact"/>
        <w:ind w:firstLine="640" w:firstLineChars="200"/>
        <w:rPr>
          <w:rFonts w:ascii="仿宋_GB2312" w:hAnsi="微软雅黑" w:cs="宋体"/>
          <w:kern w:val="0"/>
          <w:sz w:val="32"/>
          <w:szCs w:val="32"/>
        </w:rPr>
      </w:pPr>
      <w:r>
        <w:rPr>
          <w:rFonts w:hint="eastAsia" w:ascii="仿宋_GB2312" w:hAnsi="微软雅黑" w:cs="宋体"/>
          <w:kern w:val="0"/>
          <w:sz w:val="32"/>
          <w:szCs w:val="32"/>
        </w:rPr>
        <w:t>土壤是经济社会可持续发展的物质基础，关系人民群众身体健康，关系美丽中国建设，保护好土壤环境是推进生态文明建设和维护国家生态安全的重要内容。为切实加强土壤污染防治，逐步改善土壤环境质量，党的十八大以来，国家将土壤环境保护提高到国家生态文明建设战略地位，并出台一系列重要政策，其中《中华人民共和国土壤污染防治法》要求“地方人民政府生态环境主管部门对本行政区域土壤污染防治工作实施统一监督管理”；《土壤污染防治行动计划》提出“到2020年，全国土壤污染加重趋势得到初步遏制，土壤环境质量总体保持稳定，农用地和建设用地土壤环境安全得到基本保障，土壤环境风险得到基本管控”“开展土壤污染调查，掌握土壤环境质量状况”；《土壤污染防治行动计划实施情况评估考核规定（试行）》明确了“各省（区、市）要委托第三方机构对行政区域内各县（市、区）土壤污染治理与修复效果进行综合评估”。</w:t>
      </w:r>
      <w:bookmarkStart w:id="123" w:name="_GoBack"/>
      <w:bookmarkEnd w:id="123"/>
    </w:p>
    <w:p w14:paraId="4FF1310D">
      <w:pPr>
        <w:widowControl/>
        <w:adjustRightInd w:val="0"/>
        <w:snapToGrid w:val="0"/>
        <w:spacing w:line="560" w:lineRule="exact"/>
        <w:ind w:firstLine="640" w:firstLineChars="200"/>
        <w:rPr>
          <w:rFonts w:ascii="仿宋_GB2312" w:hAnsi="微软雅黑" w:cs="宋体"/>
          <w:kern w:val="0"/>
          <w:sz w:val="32"/>
          <w:szCs w:val="32"/>
        </w:rPr>
      </w:pPr>
      <w:r>
        <w:rPr>
          <w:rFonts w:hint="eastAsia" w:ascii="仿宋_GB2312" w:hAnsi="微软雅黑" w:cs="宋体"/>
          <w:kern w:val="0"/>
          <w:sz w:val="32"/>
          <w:szCs w:val="32"/>
        </w:rPr>
        <w:t>农业农村是实现生态文明和美丽中国建设不可或缺的重要基本单元，治理农业农村污染是深入打好污染防治攻坚战的重要任务，是实施乡村振兴战略的重要举措。国家出台一系列重要政策，对农业农村生态环境治理作出了系统安排部署，其中《农业农村污染治理攻坚战行动方案（2021—2025年）》明确了“到2025年，农村环境整治水平显著提升，农业面源污染得到初步管控，农村生态环境持续改善”“健全农村环境整治成效评估机制，对污染治理设施运行情况进行抽查。将农村黑臭水体整治情况纳入强化监督”；《农业面源污染治理与监督指导实施方案（试行）》提出了“推动各级地方政府将农业面源污染防治工作纳入绩效评估范畴，明确年度任务与评估指标”等。</w:t>
      </w:r>
    </w:p>
    <w:p w14:paraId="38CB1D56">
      <w:pPr>
        <w:adjustRightInd w:val="0"/>
        <w:snapToGrid w:val="0"/>
        <w:spacing w:line="560" w:lineRule="exact"/>
        <w:ind w:firstLine="640" w:firstLineChars="200"/>
        <w:rPr>
          <w:rFonts w:ascii="仿宋_GB2312" w:hAnsi="微软雅黑" w:cs="宋体"/>
          <w:kern w:val="0"/>
          <w:sz w:val="32"/>
          <w:szCs w:val="32"/>
        </w:rPr>
      </w:pPr>
      <w:r>
        <w:rPr>
          <w:rFonts w:hint="eastAsia" w:ascii="仿宋_GB2312" w:hAnsi="微软雅黑" w:cs="宋体"/>
          <w:kern w:val="0"/>
          <w:sz w:val="32"/>
          <w:szCs w:val="32"/>
        </w:rPr>
        <w:t>为</w:t>
      </w:r>
      <w:r>
        <w:rPr>
          <w:rFonts w:hint="eastAsia" w:ascii="仿宋_GB2312" w:hAnsi="微软雅黑" w:cs="宋体"/>
          <w:kern w:val="0"/>
          <w:sz w:val="32"/>
          <w:szCs w:val="32"/>
          <w:lang w:eastAsia="zh-CN"/>
        </w:rPr>
        <w:t>支撑</w:t>
      </w:r>
      <w:r>
        <w:rPr>
          <w:rFonts w:hint="eastAsia" w:ascii="仿宋_GB2312" w:hAnsi="微软雅黑" w:cs="宋体"/>
          <w:kern w:val="0"/>
          <w:sz w:val="32"/>
          <w:szCs w:val="32"/>
        </w:rPr>
        <w:t>土壤和农业农村污染防治</w:t>
      </w:r>
      <w:r>
        <w:rPr>
          <w:rFonts w:hint="eastAsia" w:ascii="仿宋_GB2312" w:hAnsi="微软雅黑" w:cs="宋体"/>
          <w:kern w:val="0"/>
          <w:sz w:val="32"/>
          <w:szCs w:val="32"/>
          <w:lang w:eastAsia="zh-CN"/>
        </w:rPr>
        <w:t>工作，</w:t>
      </w:r>
      <w:r>
        <w:rPr>
          <w:rFonts w:hint="eastAsia" w:ascii="仿宋_GB2312" w:hAnsi="微软雅黑" w:cs="宋体"/>
          <w:kern w:val="0"/>
          <w:sz w:val="32"/>
          <w:szCs w:val="32"/>
        </w:rPr>
        <w:t>北京市生态环境局（以下简称“市生态环境局”）申请实施土壤和农业农村污染防治综合支撑项目（以下简称“项目”）</w:t>
      </w:r>
      <w:r>
        <w:rPr>
          <w:rFonts w:hint="eastAsia" w:ascii="仿宋_GB2312" w:hAnsi="仿宋_GB2312" w:cs="仿宋_GB2312"/>
          <w:sz w:val="32"/>
          <w:szCs w:val="32"/>
        </w:rPr>
        <w:t>。</w:t>
      </w:r>
    </w:p>
    <w:p w14:paraId="4A3B037C">
      <w:pPr>
        <w:adjustRightInd w:val="0"/>
        <w:snapToGrid w:val="0"/>
        <w:spacing w:line="560" w:lineRule="exact"/>
        <w:ind w:firstLine="640" w:firstLineChars="200"/>
        <w:outlineLvl w:val="2"/>
        <w:rPr>
          <w:rFonts w:ascii="仿宋_GB2312" w:hAnsi="宋体" w:cs="宋体"/>
          <w:kern w:val="0"/>
          <w:sz w:val="32"/>
          <w:szCs w:val="32"/>
        </w:rPr>
      </w:pPr>
      <w:bookmarkStart w:id="9" w:name="_Toc35588396"/>
      <w:r>
        <w:rPr>
          <w:rFonts w:hint="eastAsia" w:ascii="仿宋_GB2312" w:hAnsi="宋体" w:cs="宋体"/>
          <w:kern w:val="0"/>
          <w:sz w:val="32"/>
          <w:szCs w:val="32"/>
        </w:rPr>
        <w:t>2.项目主要内容</w:t>
      </w:r>
      <w:bookmarkEnd w:id="9"/>
      <w:r>
        <w:rPr>
          <w:rFonts w:hint="eastAsia" w:ascii="仿宋_GB2312" w:hAnsi="宋体" w:cs="宋体"/>
          <w:kern w:val="0"/>
          <w:sz w:val="32"/>
          <w:szCs w:val="32"/>
        </w:rPr>
        <w:t>及实施情况</w:t>
      </w:r>
    </w:p>
    <w:p w14:paraId="72A4E971">
      <w:pPr>
        <w:adjustRightInd w:val="0"/>
        <w:snapToGrid w:val="0"/>
        <w:spacing w:line="560" w:lineRule="exact"/>
        <w:ind w:firstLine="640" w:firstLineChars="200"/>
        <w:rPr>
          <w:rFonts w:ascii="仿宋_GB2312" w:hAnsi="仿宋_GB2312" w:cs="仿宋_GB2312"/>
          <w:kern w:val="0"/>
          <w:sz w:val="32"/>
          <w:szCs w:val="32"/>
        </w:rPr>
      </w:pPr>
      <w:r>
        <w:rPr>
          <w:rFonts w:hint="eastAsia" w:ascii="仿宋_GB2312" w:hAnsi="仿宋_GB2312" w:cs="仿宋_GB2312"/>
          <w:kern w:val="0"/>
          <w:sz w:val="32"/>
          <w:szCs w:val="32"/>
        </w:rPr>
        <w:t>2024年项目主要工作包括：</w:t>
      </w:r>
      <w:r>
        <w:rPr>
          <w:rFonts w:hint="eastAsia" w:ascii="仿宋_GB2312" w:hAnsi="仿宋_GB2312" w:cs="仿宋_GB2312"/>
          <w:sz w:val="32"/>
          <w:szCs w:val="32"/>
        </w:rPr>
        <w:t>北京市农村环境整治成效评估、北京市土壤污染防治成效评估、北京市农用地土壤磷盈余现状试点调查（2024）、</w:t>
      </w:r>
      <w:r>
        <w:rPr>
          <w:rFonts w:hint="eastAsia" w:ascii="仿宋_GB2312" w:hAnsi="仿宋_GB2312" w:cs="仿宋_GB2312"/>
          <w:kern w:val="0"/>
          <w:sz w:val="32"/>
          <w:szCs w:val="32"/>
        </w:rPr>
        <w:t>北京市土壤健康状况调查四部分内容。</w:t>
      </w:r>
    </w:p>
    <w:p w14:paraId="607C6B1D">
      <w:pPr>
        <w:numPr>
          <w:ilvl w:val="0"/>
          <w:numId w:val="1"/>
        </w:numPr>
        <w:adjustRightInd w:val="0"/>
        <w:snapToGrid w:val="0"/>
        <w:spacing w:line="560" w:lineRule="exact"/>
        <w:ind w:firstLine="643" w:firstLineChars="200"/>
        <w:rPr>
          <w:rFonts w:ascii="仿宋_GB2312" w:hAnsi="仿宋_GB2312" w:cs="仿宋_GB2312"/>
          <w:kern w:val="0"/>
          <w:sz w:val="32"/>
          <w:szCs w:val="32"/>
        </w:rPr>
      </w:pPr>
      <w:r>
        <w:rPr>
          <w:rFonts w:hint="eastAsia" w:ascii="仿宋_GB2312" w:hAnsi="仿宋_GB2312" w:cs="仿宋_GB2312"/>
          <w:b/>
          <w:bCs/>
          <w:sz w:val="32"/>
          <w:szCs w:val="32"/>
        </w:rPr>
        <w:t>北京市农村环境整治成效评估：</w:t>
      </w:r>
      <w:r>
        <w:rPr>
          <w:rFonts w:hint="eastAsia" w:ascii="仿宋_GB2312" w:hAnsi="仿宋_GB2312" w:cs="仿宋_GB2312"/>
          <w:sz w:val="32"/>
          <w:szCs w:val="32"/>
        </w:rPr>
        <w:t>完成农村环境整治效果实地抽查以及农村环境整治效果评估等工作；协助解决农村环境整治及管护中遇到的实际技术问题，为农村环境整治提供技术支持。</w:t>
      </w:r>
    </w:p>
    <w:p w14:paraId="331B2BDA">
      <w:pPr>
        <w:numPr>
          <w:ilvl w:val="0"/>
          <w:numId w:val="1"/>
        </w:numPr>
        <w:adjustRightInd w:val="0"/>
        <w:snapToGrid w:val="0"/>
        <w:spacing w:line="560" w:lineRule="exact"/>
        <w:ind w:firstLine="643" w:firstLineChars="200"/>
        <w:rPr>
          <w:rFonts w:ascii="仿宋_GB2312" w:hAnsi="仿宋_GB2312" w:cs="仿宋_GB2312"/>
          <w:kern w:val="0"/>
          <w:sz w:val="32"/>
          <w:szCs w:val="32"/>
        </w:rPr>
      </w:pPr>
      <w:r>
        <w:rPr>
          <w:rFonts w:hint="eastAsia" w:ascii="仿宋_GB2312" w:hAnsi="仿宋_GB2312" w:cs="仿宋_GB2312"/>
          <w:b/>
          <w:bCs/>
          <w:sz w:val="32"/>
          <w:szCs w:val="32"/>
        </w:rPr>
        <w:t>北京市土壤污染防治成效评估：</w:t>
      </w:r>
      <w:r>
        <w:rPr>
          <w:rFonts w:hint="eastAsia" w:ascii="仿宋_GB2312" w:hAnsi="仿宋_GB2312" w:cs="仿宋_GB2312"/>
          <w:sz w:val="32"/>
          <w:szCs w:val="32"/>
        </w:rPr>
        <w:t>按季度评估各区土壤改良监测、重点任务落实等工作进展情况，开展建设用地土壤污染状况调查</w:t>
      </w:r>
      <w:r>
        <w:rPr>
          <w:rFonts w:hint="eastAsia" w:ascii="仿宋_GB2312" w:hAnsi="仿宋_GB2312" w:cs="仿宋_GB2312"/>
          <w:sz w:val="32"/>
          <w:szCs w:val="32"/>
          <w:lang w:eastAsia="zh-CN"/>
        </w:rPr>
        <w:t>报告抽查</w:t>
      </w:r>
      <w:r>
        <w:rPr>
          <w:rFonts w:hint="eastAsia" w:ascii="仿宋_GB2312" w:hAnsi="仿宋_GB2312" w:cs="仿宋_GB2312"/>
          <w:sz w:val="32"/>
          <w:szCs w:val="32"/>
        </w:rPr>
        <w:t>，</w:t>
      </w:r>
      <w:r>
        <w:rPr>
          <w:rFonts w:hint="eastAsia" w:ascii="仿宋_GB2312" w:hAnsi="仿宋_GB2312" w:cs="仿宋_GB2312"/>
          <w:sz w:val="32"/>
          <w:szCs w:val="32"/>
          <w:lang w:eastAsia="zh-CN"/>
        </w:rPr>
        <w:t>为提升</w:t>
      </w:r>
      <w:r>
        <w:rPr>
          <w:rFonts w:hint="eastAsia" w:ascii="仿宋_GB2312" w:hAnsi="仿宋_GB2312" w:cs="仿宋_GB2312"/>
          <w:sz w:val="32"/>
          <w:szCs w:val="32"/>
        </w:rPr>
        <w:t>各区土壤污染防治工作</w:t>
      </w:r>
      <w:r>
        <w:rPr>
          <w:rFonts w:hint="eastAsia" w:ascii="仿宋_GB2312" w:hAnsi="仿宋_GB2312" w:cs="仿宋_GB2312"/>
          <w:sz w:val="32"/>
          <w:szCs w:val="32"/>
          <w:lang w:eastAsia="zh-CN"/>
        </w:rPr>
        <w:t>做好技术支撑</w:t>
      </w:r>
      <w:r>
        <w:rPr>
          <w:rFonts w:hint="eastAsia" w:ascii="仿宋_GB2312" w:hAnsi="仿宋_GB2312" w:cs="仿宋_GB2312"/>
          <w:sz w:val="32"/>
          <w:szCs w:val="32"/>
        </w:rPr>
        <w:t>。</w:t>
      </w:r>
    </w:p>
    <w:p w14:paraId="1BEE1737">
      <w:pPr>
        <w:numPr>
          <w:ilvl w:val="0"/>
          <w:numId w:val="1"/>
        </w:numPr>
        <w:adjustRightInd w:val="0"/>
        <w:snapToGrid w:val="0"/>
        <w:spacing w:line="560" w:lineRule="exact"/>
        <w:ind w:firstLine="643" w:firstLineChars="200"/>
        <w:rPr>
          <w:rFonts w:ascii="仿宋_GB2312" w:hAnsi="仿宋_GB2312" w:cs="仿宋_GB2312"/>
          <w:kern w:val="0"/>
          <w:sz w:val="32"/>
          <w:szCs w:val="32"/>
        </w:rPr>
      </w:pPr>
      <w:r>
        <w:rPr>
          <w:rFonts w:hint="eastAsia" w:ascii="仿宋_GB2312" w:hAnsi="仿宋_GB2312" w:cs="仿宋_GB2312"/>
          <w:b/>
          <w:bCs/>
          <w:sz w:val="32"/>
          <w:szCs w:val="32"/>
        </w:rPr>
        <w:t>北京市农用地土壤磷盈余现状试点调查（2024</w:t>
      </w:r>
      <w:r>
        <w:rPr>
          <w:rFonts w:hint="eastAsia" w:ascii="仿宋_GB2312" w:hAnsi="仿宋_GB2312" w:cs="仿宋_GB2312"/>
          <w:sz w:val="32"/>
          <w:szCs w:val="32"/>
        </w:rPr>
        <w:t>）：</w:t>
      </w:r>
      <w:r>
        <w:rPr>
          <w:rFonts w:hint="eastAsia" w:ascii="仿宋_GB2312" w:hAnsi="仿宋_GB2312" w:cs="仿宋_GB2312"/>
          <w:kern w:val="0"/>
          <w:sz w:val="32"/>
          <w:szCs w:val="32"/>
        </w:rPr>
        <w:t>完成北京市典型农用地的磷元素空间分布特征以及造成土壤磷盈余的关键环境要素调查分析等工作。</w:t>
      </w:r>
    </w:p>
    <w:p w14:paraId="55C06BAF">
      <w:pPr>
        <w:numPr>
          <w:ilvl w:val="0"/>
          <w:numId w:val="1"/>
        </w:numPr>
        <w:adjustRightInd w:val="0"/>
        <w:snapToGrid w:val="0"/>
        <w:spacing w:line="560" w:lineRule="exact"/>
        <w:ind w:firstLine="643" w:firstLineChars="200"/>
        <w:rPr>
          <w:rFonts w:ascii="仿宋_GB2312" w:hAnsi="仿宋_GB2312" w:cs="仿宋_GB2312"/>
          <w:kern w:val="0"/>
          <w:sz w:val="32"/>
          <w:szCs w:val="32"/>
        </w:rPr>
      </w:pPr>
      <w:r>
        <w:rPr>
          <w:rFonts w:hint="eastAsia" w:ascii="仿宋_GB2312" w:hAnsi="仿宋_GB2312" w:cs="仿宋_GB2312"/>
          <w:b/>
          <w:bCs/>
          <w:kern w:val="0"/>
          <w:sz w:val="32"/>
          <w:szCs w:val="32"/>
        </w:rPr>
        <w:t>北京市土壤健康状况调查：</w:t>
      </w:r>
      <w:r>
        <w:rPr>
          <w:rFonts w:hint="eastAsia" w:ascii="仿宋_GB2312" w:hAnsi="仿宋_GB2312" w:cs="仿宋_GB2312"/>
          <w:sz w:val="32"/>
          <w:szCs w:val="32"/>
        </w:rPr>
        <w:t>完成北京市土壤动物多功能性评价以及农用地土壤微塑料赋存试点调查等工作。</w:t>
      </w:r>
    </w:p>
    <w:p w14:paraId="79B3AE67">
      <w:pPr>
        <w:adjustRightInd w:val="0"/>
        <w:snapToGrid w:val="0"/>
        <w:spacing w:line="560" w:lineRule="exact"/>
        <w:ind w:firstLine="640" w:firstLineChars="200"/>
        <w:rPr>
          <w:rFonts w:ascii="仿宋_GB2312"/>
          <w:sz w:val="32"/>
          <w:szCs w:val="32"/>
        </w:rPr>
      </w:pPr>
      <w:r>
        <w:rPr>
          <w:rFonts w:hint="eastAsia" w:ascii="仿宋_GB2312" w:hAnsi="宋体"/>
          <w:iCs/>
          <w:sz w:val="32"/>
          <w:szCs w:val="28"/>
        </w:rPr>
        <w:t>项目跨年实施，截至2024年12月31日，各子项目按照合同约定完成阶段性工作并出具相关报告成果</w:t>
      </w:r>
      <w:bookmarkStart w:id="10" w:name="_Toc35588397"/>
      <w:r>
        <w:rPr>
          <w:rFonts w:hint="eastAsia" w:ascii="仿宋_GB2312"/>
          <w:sz w:val="32"/>
          <w:szCs w:val="32"/>
        </w:rPr>
        <w:t>，截至评价节点，已完成结项报告初稿。</w:t>
      </w:r>
    </w:p>
    <w:p w14:paraId="3B83594F">
      <w:pPr>
        <w:adjustRightInd w:val="0"/>
        <w:snapToGrid w:val="0"/>
        <w:spacing w:line="560" w:lineRule="exact"/>
        <w:ind w:firstLine="640" w:firstLineChars="200"/>
        <w:outlineLvl w:val="2"/>
        <w:rPr>
          <w:rFonts w:ascii="仿宋_GB2312" w:hAnsi="宋体" w:cs="宋体"/>
          <w:kern w:val="0"/>
          <w:sz w:val="32"/>
          <w:szCs w:val="32"/>
        </w:rPr>
      </w:pPr>
      <w:r>
        <w:rPr>
          <w:rFonts w:hint="eastAsia" w:ascii="仿宋_GB2312" w:hAnsi="宋体" w:cs="宋体"/>
          <w:kern w:val="0"/>
          <w:sz w:val="32"/>
          <w:szCs w:val="32"/>
        </w:rPr>
        <w:t>3.项目资金投入</w:t>
      </w:r>
      <w:bookmarkEnd w:id="10"/>
      <w:r>
        <w:rPr>
          <w:rFonts w:hint="eastAsia" w:ascii="仿宋_GB2312" w:hAnsi="宋体" w:cs="宋体"/>
          <w:kern w:val="0"/>
          <w:sz w:val="32"/>
          <w:szCs w:val="32"/>
        </w:rPr>
        <w:t>和使用情况</w:t>
      </w:r>
    </w:p>
    <w:p w14:paraId="3A80F80E">
      <w:pPr>
        <w:adjustRightInd w:val="0"/>
        <w:snapToGrid w:val="0"/>
        <w:spacing w:line="560" w:lineRule="exact"/>
        <w:ind w:firstLine="640" w:firstLineChars="200"/>
        <w:rPr>
          <w:rFonts w:ascii="黑体" w:hAnsi="黑体" w:eastAsia="黑体"/>
          <w:kern w:val="0"/>
          <w:sz w:val="28"/>
          <w:szCs w:val="28"/>
        </w:rPr>
      </w:pPr>
      <w:r>
        <w:rPr>
          <w:rFonts w:hint="eastAsia" w:ascii="仿宋_GB2312" w:hAnsi="仿宋_GB2312" w:cs="仿宋_GB2312"/>
          <w:bCs/>
          <w:kern w:val="0"/>
          <w:sz w:val="32"/>
          <w:szCs w:val="32"/>
        </w:rPr>
        <w:t>2024年项目年初批复总预算411.13万元，其中，</w:t>
      </w:r>
      <w:r>
        <w:rPr>
          <w:rFonts w:hint="eastAsia" w:ascii="仿宋_GB2312" w:hAnsi="仿宋_GB2312" w:cs="仿宋_GB2312"/>
          <w:sz w:val="32"/>
          <w:szCs w:val="32"/>
        </w:rPr>
        <w:t>北京市农村环境整治成效评估30万元，北京市土壤污染防治成效评估30万元，北京市农用地土壤磷盈余现状试点调查（2024）63.13万元，</w:t>
      </w:r>
      <w:r>
        <w:rPr>
          <w:rFonts w:hint="eastAsia" w:ascii="仿宋_GB2312" w:hAnsi="仿宋_GB2312" w:cs="仿宋_GB2312"/>
          <w:kern w:val="0"/>
          <w:sz w:val="32"/>
          <w:szCs w:val="32"/>
        </w:rPr>
        <w:t>北京市土壤健康状况调查288万元。项目执行过程中政府采购结余部分资金，于2024年底调减资金2.75万元，项目全年预算数408.38万元。截至2024年12月31日，项目实际支</w:t>
      </w:r>
      <w:r>
        <w:rPr>
          <w:rFonts w:hint="eastAsia" w:ascii="仿宋_GB2312" w:hAnsi="仿宋_GB2312" w:cs="仿宋_GB2312"/>
          <w:bCs/>
          <w:kern w:val="0"/>
          <w:sz w:val="32"/>
          <w:szCs w:val="32"/>
        </w:rPr>
        <w:t>出408.38万元，预算执行率100%</w:t>
      </w:r>
      <w:r>
        <w:rPr>
          <w:rFonts w:hint="eastAsia" w:ascii="仿宋_GB2312" w:hAnsi="仿宋_GB2312" w:cs="仿宋_GB2312"/>
          <w:iCs/>
          <w:kern w:val="0"/>
          <w:sz w:val="32"/>
          <w:szCs w:val="32"/>
        </w:rPr>
        <w:t>。</w:t>
      </w:r>
      <w:r>
        <w:rPr>
          <w:rFonts w:hint="eastAsia" w:ascii="仿宋_GB2312" w:hAnsi="宋体"/>
          <w:bCs/>
          <w:kern w:val="0"/>
          <w:sz w:val="32"/>
          <w:szCs w:val="32"/>
        </w:rPr>
        <w:t>项目资金执行情况见下表1。</w:t>
      </w:r>
    </w:p>
    <w:p w14:paraId="17DA5272">
      <w:pPr>
        <w:adjustRightInd w:val="0"/>
        <w:snapToGrid w:val="0"/>
        <w:spacing w:line="360" w:lineRule="auto"/>
        <w:ind w:firstLine="560" w:firstLineChars="200"/>
        <w:jc w:val="center"/>
        <w:rPr>
          <w:rFonts w:ascii="仿宋_GB2312" w:hAnsi="宋体" w:cs="宋体"/>
          <w:iCs/>
          <w:kern w:val="0"/>
          <w:sz w:val="32"/>
          <w:szCs w:val="32"/>
        </w:rPr>
      </w:pPr>
      <w:r>
        <w:rPr>
          <w:rFonts w:hint="eastAsia" w:ascii="黑体" w:hAnsi="黑体" w:eastAsia="黑体"/>
          <w:kern w:val="0"/>
          <w:sz w:val="28"/>
          <w:szCs w:val="28"/>
        </w:rPr>
        <w:t>表1：项目资金执行情况对照表</w:t>
      </w:r>
    </w:p>
    <w:tbl>
      <w:tblPr>
        <w:tblStyle w:val="34"/>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3996"/>
        <w:gridCol w:w="1348"/>
        <w:gridCol w:w="1348"/>
        <w:gridCol w:w="1681"/>
      </w:tblGrid>
      <w:tr w14:paraId="00FFD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683" w:type="dxa"/>
            <w:vAlign w:val="center"/>
          </w:tcPr>
          <w:p w14:paraId="300FF756">
            <w:pPr>
              <w:adjustRightInd w:val="0"/>
              <w:snapToGrid w:val="0"/>
              <w:jc w:val="center"/>
              <w:rPr>
                <w:rFonts w:ascii="宋体" w:hAnsi="宋体" w:eastAsia="宋体"/>
                <w:b/>
                <w:bCs/>
                <w:iCs/>
                <w:sz w:val="20"/>
                <w:szCs w:val="20"/>
              </w:rPr>
            </w:pPr>
            <w:r>
              <w:rPr>
                <w:rFonts w:hint="eastAsia" w:ascii="宋体" w:hAnsi="宋体" w:eastAsia="宋体"/>
                <w:b/>
                <w:bCs/>
                <w:iCs/>
                <w:sz w:val="20"/>
                <w:szCs w:val="20"/>
              </w:rPr>
              <w:t>序号</w:t>
            </w:r>
          </w:p>
        </w:tc>
        <w:tc>
          <w:tcPr>
            <w:tcW w:w="3996" w:type="dxa"/>
            <w:vAlign w:val="center"/>
          </w:tcPr>
          <w:p w14:paraId="0D837696">
            <w:pPr>
              <w:adjustRightInd w:val="0"/>
              <w:snapToGrid w:val="0"/>
              <w:jc w:val="center"/>
              <w:rPr>
                <w:rFonts w:ascii="宋体" w:hAnsi="宋体" w:eastAsia="宋体"/>
                <w:b/>
                <w:bCs/>
                <w:iCs/>
                <w:sz w:val="20"/>
                <w:szCs w:val="20"/>
              </w:rPr>
            </w:pPr>
            <w:r>
              <w:rPr>
                <w:rFonts w:hint="eastAsia" w:ascii="宋体" w:hAnsi="宋体" w:eastAsia="宋体"/>
                <w:b/>
                <w:bCs/>
                <w:iCs/>
                <w:sz w:val="20"/>
                <w:szCs w:val="20"/>
              </w:rPr>
              <w:t>支出内容</w:t>
            </w:r>
          </w:p>
        </w:tc>
        <w:tc>
          <w:tcPr>
            <w:tcW w:w="1348" w:type="dxa"/>
            <w:vAlign w:val="center"/>
          </w:tcPr>
          <w:p w14:paraId="2D6CC7E6">
            <w:pPr>
              <w:adjustRightInd w:val="0"/>
              <w:snapToGrid w:val="0"/>
              <w:jc w:val="center"/>
              <w:rPr>
                <w:rFonts w:ascii="宋体" w:hAnsi="宋体" w:eastAsia="宋体"/>
                <w:b/>
                <w:bCs/>
                <w:iCs/>
                <w:sz w:val="20"/>
                <w:szCs w:val="20"/>
              </w:rPr>
            </w:pPr>
            <w:r>
              <w:rPr>
                <w:rFonts w:hint="eastAsia" w:ascii="宋体" w:hAnsi="宋体" w:eastAsia="宋体"/>
                <w:b/>
                <w:bCs/>
                <w:iCs/>
                <w:sz w:val="20"/>
                <w:szCs w:val="20"/>
              </w:rPr>
              <w:t>预算批复数</w:t>
            </w:r>
          </w:p>
          <w:p w14:paraId="29B3D5AB">
            <w:pPr>
              <w:adjustRightInd w:val="0"/>
              <w:snapToGrid w:val="0"/>
              <w:jc w:val="center"/>
              <w:rPr>
                <w:rFonts w:ascii="宋体" w:hAnsi="宋体" w:eastAsia="宋体"/>
                <w:b/>
                <w:bCs/>
                <w:iCs/>
                <w:sz w:val="20"/>
                <w:szCs w:val="20"/>
              </w:rPr>
            </w:pPr>
            <w:r>
              <w:rPr>
                <w:rFonts w:hint="eastAsia" w:ascii="宋体" w:hAnsi="宋体" w:eastAsia="宋体"/>
                <w:b/>
                <w:bCs/>
                <w:iCs/>
                <w:sz w:val="20"/>
                <w:szCs w:val="20"/>
              </w:rPr>
              <w:t>（万元）</w:t>
            </w:r>
          </w:p>
        </w:tc>
        <w:tc>
          <w:tcPr>
            <w:tcW w:w="1348" w:type="dxa"/>
            <w:vAlign w:val="center"/>
          </w:tcPr>
          <w:p w14:paraId="5E6A6B87">
            <w:pPr>
              <w:adjustRightInd w:val="0"/>
              <w:snapToGrid w:val="0"/>
              <w:jc w:val="center"/>
              <w:rPr>
                <w:rFonts w:ascii="宋体" w:hAnsi="宋体" w:eastAsia="宋体"/>
                <w:b/>
                <w:bCs/>
                <w:iCs/>
                <w:sz w:val="20"/>
                <w:szCs w:val="20"/>
              </w:rPr>
            </w:pPr>
            <w:r>
              <w:rPr>
                <w:rFonts w:hint="eastAsia" w:ascii="宋体" w:hAnsi="宋体" w:eastAsia="宋体"/>
                <w:b/>
                <w:bCs/>
                <w:iCs/>
                <w:sz w:val="20"/>
                <w:szCs w:val="20"/>
              </w:rPr>
              <w:t>实际支出数</w:t>
            </w:r>
          </w:p>
          <w:p w14:paraId="3DDA5C2A">
            <w:pPr>
              <w:adjustRightInd w:val="0"/>
              <w:snapToGrid w:val="0"/>
              <w:jc w:val="center"/>
              <w:rPr>
                <w:rFonts w:ascii="宋体" w:hAnsi="宋体" w:eastAsia="宋体"/>
                <w:b/>
                <w:bCs/>
                <w:iCs/>
                <w:sz w:val="20"/>
                <w:szCs w:val="20"/>
              </w:rPr>
            </w:pPr>
            <w:r>
              <w:rPr>
                <w:rFonts w:hint="eastAsia" w:ascii="宋体" w:hAnsi="宋体" w:eastAsia="宋体"/>
                <w:b/>
                <w:bCs/>
                <w:iCs/>
                <w:sz w:val="20"/>
                <w:szCs w:val="20"/>
              </w:rPr>
              <w:t>（万元）</w:t>
            </w:r>
          </w:p>
        </w:tc>
        <w:tc>
          <w:tcPr>
            <w:tcW w:w="1681" w:type="dxa"/>
            <w:vAlign w:val="center"/>
          </w:tcPr>
          <w:p w14:paraId="1CB24EA8">
            <w:pPr>
              <w:adjustRightInd w:val="0"/>
              <w:snapToGrid w:val="0"/>
              <w:jc w:val="center"/>
              <w:rPr>
                <w:rFonts w:ascii="宋体" w:hAnsi="宋体" w:eastAsia="宋体"/>
                <w:b/>
                <w:bCs/>
                <w:iCs/>
                <w:sz w:val="20"/>
                <w:szCs w:val="20"/>
              </w:rPr>
            </w:pPr>
            <w:r>
              <w:rPr>
                <w:rFonts w:hint="eastAsia" w:ascii="宋体" w:hAnsi="宋体" w:eastAsia="宋体"/>
                <w:b/>
                <w:bCs/>
                <w:iCs/>
                <w:sz w:val="20"/>
                <w:szCs w:val="20"/>
              </w:rPr>
              <w:t>差异</w:t>
            </w:r>
          </w:p>
          <w:p w14:paraId="0103C356">
            <w:pPr>
              <w:adjustRightInd w:val="0"/>
              <w:snapToGrid w:val="0"/>
              <w:jc w:val="center"/>
              <w:rPr>
                <w:rFonts w:ascii="宋体" w:hAnsi="宋体" w:eastAsia="宋体"/>
                <w:b/>
                <w:bCs/>
                <w:iCs/>
                <w:sz w:val="20"/>
                <w:szCs w:val="20"/>
              </w:rPr>
            </w:pPr>
            <w:r>
              <w:rPr>
                <w:rFonts w:hint="eastAsia" w:ascii="宋体" w:hAnsi="宋体" w:eastAsia="宋体"/>
                <w:b/>
                <w:bCs/>
                <w:iCs/>
                <w:sz w:val="20"/>
                <w:szCs w:val="20"/>
              </w:rPr>
              <w:t>（预算-支出）</w:t>
            </w:r>
          </w:p>
        </w:tc>
      </w:tr>
      <w:tr w14:paraId="58E9F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3" w:type="dxa"/>
            <w:vAlign w:val="center"/>
          </w:tcPr>
          <w:p w14:paraId="4D3D17A3">
            <w:pPr>
              <w:adjustRightInd w:val="0"/>
              <w:snapToGrid w:val="0"/>
              <w:jc w:val="center"/>
              <w:rPr>
                <w:rFonts w:ascii="宋体" w:hAnsi="宋体" w:eastAsia="宋体"/>
                <w:iCs/>
                <w:sz w:val="20"/>
                <w:szCs w:val="20"/>
              </w:rPr>
            </w:pPr>
            <w:r>
              <w:rPr>
                <w:rFonts w:hint="eastAsia" w:ascii="宋体" w:hAnsi="宋体" w:eastAsia="宋体"/>
                <w:iCs/>
                <w:sz w:val="20"/>
                <w:szCs w:val="20"/>
              </w:rPr>
              <w:t>1</w:t>
            </w:r>
          </w:p>
        </w:tc>
        <w:tc>
          <w:tcPr>
            <w:tcW w:w="3996" w:type="dxa"/>
            <w:vAlign w:val="center"/>
          </w:tcPr>
          <w:p w14:paraId="58503589">
            <w:pPr>
              <w:adjustRightInd w:val="0"/>
              <w:snapToGrid w:val="0"/>
              <w:jc w:val="center"/>
              <w:rPr>
                <w:rFonts w:ascii="宋体" w:hAnsi="宋体" w:eastAsia="宋体"/>
                <w:iCs/>
                <w:sz w:val="20"/>
                <w:szCs w:val="20"/>
              </w:rPr>
            </w:pPr>
            <w:r>
              <w:rPr>
                <w:rFonts w:hint="eastAsia" w:ascii="宋体" w:hAnsi="宋体" w:eastAsia="宋体"/>
                <w:iCs/>
                <w:sz w:val="20"/>
                <w:szCs w:val="20"/>
              </w:rPr>
              <w:t>北京市农村环境整治成效评估</w:t>
            </w:r>
          </w:p>
        </w:tc>
        <w:tc>
          <w:tcPr>
            <w:tcW w:w="1348" w:type="dxa"/>
            <w:vAlign w:val="center"/>
          </w:tcPr>
          <w:p w14:paraId="099081D4">
            <w:pPr>
              <w:adjustRightInd w:val="0"/>
              <w:snapToGrid w:val="0"/>
              <w:jc w:val="right"/>
              <w:rPr>
                <w:rFonts w:ascii="宋体" w:hAnsi="宋体" w:eastAsia="宋体"/>
                <w:iCs/>
                <w:sz w:val="20"/>
                <w:szCs w:val="20"/>
              </w:rPr>
            </w:pPr>
            <w:r>
              <w:rPr>
                <w:rFonts w:hint="eastAsia" w:ascii="宋体" w:hAnsi="宋体" w:eastAsia="宋体"/>
                <w:iCs/>
                <w:sz w:val="20"/>
                <w:szCs w:val="20"/>
              </w:rPr>
              <w:t>30.00</w:t>
            </w:r>
          </w:p>
        </w:tc>
        <w:tc>
          <w:tcPr>
            <w:tcW w:w="1348" w:type="dxa"/>
            <w:vAlign w:val="center"/>
          </w:tcPr>
          <w:p w14:paraId="4BF747C7">
            <w:pPr>
              <w:adjustRightInd w:val="0"/>
              <w:snapToGrid w:val="0"/>
              <w:jc w:val="right"/>
              <w:rPr>
                <w:rFonts w:ascii="宋体" w:hAnsi="宋体" w:eastAsia="宋体"/>
                <w:iCs/>
                <w:sz w:val="20"/>
                <w:szCs w:val="20"/>
              </w:rPr>
            </w:pPr>
            <w:r>
              <w:rPr>
                <w:rFonts w:hint="eastAsia" w:ascii="宋体" w:hAnsi="宋体" w:eastAsia="宋体"/>
                <w:iCs/>
                <w:sz w:val="20"/>
                <w:szCs w:val="20"/>
              </w:rPr>
              <w:t>29.88</w:t>
            </w:r>
          </w:p>
        </w:tc>
        <w:tc>
          <w:tcPr>
            <w:tcW w:w="1681" w:type="dxa"/>
            <w:vAlign w:val="center"/>
          </w:tcPr>
          <w:p w14:paraId="6EEB78FD">
            <w:pPr>
              <w:adjustRightInd w:val="0"/>
              <w:snapToGrid w:val="0"/>
              <w:jc w:val="right"/>
              <w:rPr>
                <w:rFonts w:ascii="宋体" w:hAnsi="宋体" w:eastAsia="宋体"/>
                <w:iCs/>
                <w:sz w:val="20"/>
                <w:szCs w:val="20"/>
              </w:rPr>
            </w:pPr>
            <w:r>
              <w:rPr>
                <w:rFonts w:hint="eastAsia" w:ascii="宋体" w:hAnsi="宋体" w:eastAsia="宋体"/>
                <w:iCs/>
                <w:sz w:val="20"/>
                <w:szCs w:val="20"/>
              </w:rPr>
              <w:t>0.12</w:t>
            </w:r>
          </w:p>
        </w:tc>
      </w:tr>
      <w:tr w14:paraId="2239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3" w:type="dxa"/>
            <w:vAlign w:val="center"/>
          </w:tcPr>
          <w:p w14:paraId="33B05780">
            <w:pPr>
              <w:adjustRightInd w:val="0"/>
              <w:snapToGrid w:val="0"/>
              <w:jc w:val="center"/>
              <w:rPr>
                <w:rFonts w:ascii="宋体" w:hAnsi="宋体" w:eastAsia="宋体"/>
                <w:iCs/>
                <w:sz w:val="20"/>
                <w:szCs w:val="20"/>
              </w:rPr>
            </w:pPr>
            <w:r>
              <w:rPr>
                <w:rFonts w:hint="eastAsia" w:ascii="宋体" w:hAnsi="宋体" w:eastAsia="宋体"/>
                <w:iCs/>
                <w:sz w:val="20"/>
                <w:szCs w:val="20"/>
              </w:rPr>
              <w:t>2</w:t>
            </w:r>
          </w:p>
        </w:tc>
        <w:tc>
          <w:tcPr>
            <w:tcW w:w="3996" w:type="dxa"/>
            <w:vAlign w:val="center"/>
          </w:tcPr>
          <w:p w14:paraId="62796731">
            <w:pPr>
              <w:adjustRightInd w:val="0"/>
              <w:snapToGrid w:val="0"/>
              <w:jc w:val="center"/>
              <w:rPr>
                <w:rFonts w:ascii="宋体" w:hAnsi="宋体" w:eastAsia="宋体"/>
                <w:iCs/>
                <w:sz w:val="20"/>
                <w:szCs w:val="20"/>
              </w:rPr>
            </w:pPr>
            <w:r>
              <w:rPr>
                <w:rFonts w:hint="eastAsia" w:ascii="宋体" w:hAnsi="宋体" w:eastAsia="宋体"/>
                <w:iCs/>
                <w:sz w:val="20"/>
                <w:szCs w:val="20"/>
              </w:rPr>
              <w:t>北京市土壤污染防治成效评估</w:t>
            </w:r>
          </w:p>
        </w:tc>
        <w:tc>
          <w:tcPr>
            <w:tcW w:w="1348" w:type="dxa"/>
            <w:vAlign w:val="center"/>
          </w:tcPr>
          <w:p w14:paraId="310364B6">
            <w:pPr>
              <w:adjustRightInd w:val="0"/>
              <w:snapToGrid w:val="0"/>
              <w:jc w:val="right"/>
              <w:rPr>
                <w:rFonts w:ascii="宋体" w:hAnsi="宋体" w:eastAsia="宋体"/>
                <w:iCs/>
                <w:sz w:val="20"/>
                <w:szCs w:val="20"/>
              </w:rPr>
            </w:pPr>
            <w:r>
              <w:rPr>
                <w:rFonts w:hint="eastAsia" w:ascii="宋体" w:hAnsi="宋体" w:eastAsia="宋体"/>
                <w:iCs/>
                <w:sz w:val="20"/>
                <w:szCs w:val="20"/>
              </w:rPr>
              <w:t>30.00</w:t>
            </w:r>
          </w:p>
        </w:tc>
        <w:tc>
          <w:tcPr>
            <w:tcW w:w="1348" w:type="dxa"/>
            <w:vAlign w:val="center"/>
          </w:tcPr>
          <w:p w14:paraId="14EDF9F6">
            <w:pPr>
              <w:adjustRightInd w:val="0"/>
              <w:snapToGrid w:val="0"/>
              <w:jc w:val="right"/>
              <w:rPr>
                <w:rFonts w:ascii="宋体" w:hAnsi="宋体" w:eastAsia="宋体"/>
                <w:iCs/>
                <w:sz w:val="20"/>
                <w:szCs w:val="20"/>
              </w:rPr>
            </w:pPr>
            <w:r>
              <w:rPr>
                <w:rFonts w:hint="eastAsia" w:ascii="宋体" w:hAnsi="宋体" w:eastAsia="宋体"/>
                <w:iCs/>
                <w:sz w:val="20"/>
                <w:szCs w:val="20"/>
              </w:rPr>
              <w:t>29.55</w:t>
            </w:r>
          </w:p>
        </w:tc>
        <w:tc>
          <w:tcPr>
            <w:tcW w:w="1681" w:type="dxa"/>
            <w:vAlign w:val="center"/>
          </w:tcPr>
          <w:p w14:paraId="530B1B2E">
            <w:pPr>
              <w:adjustRightInd w:val="0"/>
              <w:snapToGrid w:val="0"/>
              <w:jc w:val="right"/>
              <w:rPr>
                <w:rFonts w:ascii="宋体" w:hAnsi="宋体" w:eastAsia="宋体"/>
                <w:iCs/>
                <w:sz w:val="20"/>
                <w:szCs w:val="20"/>
              </w:rPr>
            </w:pPr>
            <w:r>
              <w:rPr>
                <w:rFonts w:hint="eastAsia" w:ascii="宋体" w:hAnsi="宋体" w:eastAsia="宋体"/>
                <w:iCs/>
                <w:sz w:val="20"/>
                <w:szCs w:val="20"/>
              </w:rPr>
              <w:t>0.45</w:t>
            </w:r>
          </w:p>
        </w:tc>
      </w:tr>
      <w:tr w14:paraId="04F4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3" w:type="dxa"/>
            <w:vAlign w:val="center"/>
          </w:tcPr>
          <w:p w14:paraId="215F9D71">
            <w:pPr>
              <w:adjustRightInd w:val="0"/>
              <w:snapToGrid w:val="0"/>
              <w:jc w:val="center"/>
              <w:rPr>
                <w:rFonts w:ascii="宋体" w:hAnsi="宋体" w:eastAsia="宋体"/>
                <w:iCs/>
                <w:sz w:val="20"/>
                <w:szCs w:val="20"/>
              </w:rPr>
            </w:pPr>
            <w:r>
              <w:rPr>
                <w:rFonts w:hint="eastAsia" w:ascii="宋体" w:hAnsi="宋体" w:eastAsia="宋体"/>
                <w:iCs/>
                <w:sz w:val="20"/>
                <w:szCs w:val="20"/>
              </w:rPr>
              <w:t>3</w:t>
            </w:r>
          </w:p>
        </w:tc>
        <w:tc>
          <w:tcPr>
            <w:tcW w:w="3996" w:type="dxa"/>
            <w:vAlign w:val="center"/>
          </w:tcPr>
          <w:p w14:paraId="5F6B2DCC">
            <w:pPr>
              <w:adjustRightInd w:val="0"/>
              <w:snapToGrid w:val="0"/>
              <w:jc w:val="center"/>
              <w:rPr>
                <w:rFonts w:ascii="宋体" w:hAnsi="宋体" w:eastAsia="宋体"/>
                <w:iCs/>
                <w:sz w:val="20"/>
                <w:szCs w:val="20"/>
              </w:rPr>
            </w:pPr>
            <w:r>
              <w:rPr>
                <w:rFonts w:hint="eastAsia" w:ascii="宋体" w:hAnsi="宋体" w:eastAsia="宋体"/>
                <w:iCs/>
                <w:sz w:val="20"/>
                <w:szCs w:val="20"/>
              </w:rPr>
              <w:t>北京市农用地土壤磷盈余现状试点调查</w:t>
            </w:r>
          </w:p>
        </w:tc>
        <w:tc>
          <w:tcPr>
            <w:tcW w:w="1348" w:type="dxa"/>
            <w:vAlign w:val="center"/>
          </w:tcPr>
          <w:p w14:paraId="16AF5C54">
            <w:pPr>
              <w:adjustRightInd w:val="0"/>
              <w:snapToGrid w:val="0"/>
              <w:jc w:val="right"/>
              <w:rPr>
                <w:rFonts w:ascii="宋体" w:hAnsi="宋体" w:eastAsia="宋体" w:cs="宋体"/>
                <w:bCs/>
                <w:sz w:val="20"/>
                <w:szCs w:val="20"/>
              </w:rPr>
            </w:pPr>
            <w:r>
              <w:rPr>
                <w:rFonts w:hint="eastAsia" w:ascii="宋体" w:hAnsi="宋体" w:eastAsia="宋体" w:cs="宋体"/>
                <w:bCs/>
                <w:sz w:val="20"/>
                <w:szCs w:val="20"/>
              </w:rPr>
              <w:t>63.13</w:t>
            </w:r>
          </w:p>
        </w:tc>
        <w:tc>
          <w:tcPr>
            <w:tcW w:w="1348" w:type="dxa"/>
            <w:vAlign w:val="center"/>
          </w:tcPr>
          <w:p w14:paraId="1C336DFB">
            <w:pPr>
              <w:adjustRightInd w:val="0"/>
              <w:snapToGrid w:val="0"/>
              <w:jc w:val="right"/>
              <w:rPr>
                <w:rFonts w:ascii="宋体" w:hAnsi="宋体" w:eastAsia="宋体" w:cs="宋体"/>
                <w:bCs/>
                <w:color w:val="000000"/>
                <w:sz w:val="20"/>
                <w:szCs w:val="20"/>
              </w:rPr>
            </w:pPr>
            <w:r>
              <w:rPr>
                <w:rFonts w:hint="eastAsia" w:ascii="宋体" w:hAnsi="宋体" w:eastAsia="宋体" w:cs="宋体"/>
                <w:bCs/>
                <w:color w:val="000000"/>
                <w:sz w:val="20"/>
                <w:szCs w:val="20"/>
              </w:rPr>
              <w:t>61.99</w:t>
            </w:r>
          </w:p>
        </w:tc>
        <w:tc>
          <w:tcPr>
            <w:tcW w:w="1681" w:type="dxa"/>
            <w:vAlign w:val="center"/>
          </w:tcPr>
          <w:p w14:paraId="5B21FF57">
            <w:pPr>
              <w:adjustRightInd w:val="0"/>
              <w:snapToGrid w:val="0"/>
              <w:jc w:val="right"/>
              <w:rPr>
                <w:rFonts w:ascii="宋体" w:hAnsi="宋体" w:eastAsia="宋体" w:cs="宋体"/>
                <w:bCs/>
                <w:color w:val="000000"/>
                <w:sz w:val="20"/>
                <w:szCs w:val="20"/>
              </w:rPr>
            </w:pPr>
            <w:r>
              <w:rPr>
                <w:rFonts w:hint="eastAsia" w:ascii="宋体" w:hAnsi="宋体" w:eastAsia="宋体" w:cs="宋体"/>
                <w:bCs/>
                <w:color w:val="000000"/>
                <w:sz w:val="20"/>
                <w:szCs w:val="20"/>
              </w:rPr>
              <w:t>1.14</w:t>
            </w:r>
          </w:p>
        </w:tc>
      </w:tr>
      <w:tr w14:paraId="5A5C5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3" w:type="dxa"/>
            <w:vAlign w:val="center"/>
          </w:tcPr>
          <w:p w14:paraId="17417D06">
            <w:pPr>
              <w:adjustRightInd w:val="0"/>
              <w:snapToGrid w:val="0"/>
              <w:jc w:val="center"/>
              <w:rPr>
                <w:rFonts w:ascii="宋体" w:hAnsi="宋体" w:eastAsia="宋体"/>
                <w:iCs/>
                <w:sz w:val="20"/>
                <w:szCs w:val="20"/>
              </w:rPr>
            </w:pPr>
            <w:r>
              <w:rPr>
                <w:rFonts w:hint="eastAsia" w:ascii="宋体" w:hAnsi="宋体" w:eastAsia="宋体"/>
                <w:iCs/>
                <w:sz w:val="20"/>
                <w:szCs w:val="20"/>
              </w:rPr>
              <w:t>4</w:t>
            </w:r>
          </w:p>
        </w:tc>
        <w:tc>
          <w:tcPr>
            <w:tcW w:w="3996" w:type="dxa"/>
            <w:vAlign w:val="center"/>
          </w:tcPr>
          <w:p w14:paraId="68BD9DFB">
            <w:pPr>
              <w:adjustRightInd w:val="0"/>
              <w:snapToGrid w:val="0"/>
              <w:jc w:val="center"/>
              <w:rPr>
                <w:rFonts w:ascii="宋体" w:hAnsi="宋体" w:eastAsia="宋体"/>
                <w:iCs/>
                <w:sz w:val="20"/>
                <w:szCs w:val="20"/>
              </w:rPr>
            </w:pPr>
            <w:r>
              <w:rPr>
                <w:rFonts w:hint="eastAsia" w:ascii="宋体" w:hAnsi="宋体" w:eastAsia="宋体"/>
                <w:iCs/>
                <w:sz w:val="20"/>
                <w:szCs w:val="20"/>
              </w:rPr>
              <w:t>北京市土壤健康状况调查</w:t>
            </w:r>
          </w:p>
        </w:tc>
        <w:tc>
          <w:tcPr>
            <w:tcW w:w="1348" w:type="dxa"/>
            <w:vAlign w:val="center"/>
          </w:tcPr>
          <w:p w14:paraId="5D834993">
            <w:pPr>
              <w:adjustRightInd w:val="0"/>
              <w:snapToGrid w:val="0"/>
              <w:jc w:val="right"/>
              <w:rPr>
                <w:rFonts w:ascii="宋体" w:hAnsi="宋体" w:eastAsia="宋体" w:cs="宋体"/>
                <w:bCs/>
                <w:sz w:val="20"/>
                <w:szCs w:val="20"/>
              </w:rPr>
            </w:pPr>
            <w:r>
              <w:rPr>
                <w:rFonts w:hint="eastAsia" w:ascii="宋体" w:hAnsi="宋体" w:eastAsia="宋体" w:cs="宋体"/>
                <w:bCs/>
                <w:sz w:val="20"/>
                <w:szCs w:val="20"/>
              </w:rPr>
              <w:t>288.00</w:t>
            </w:r>
          </w:p>
        </w:tc>
        <w:tc>
          <w:tcPr>
            <w:tcW w:w="1348" w:type="dxa"/>
            <w:vAlign w:val="center"/>
          </w:tcPr>
          <w:p w14:paraId="78C90B3F">
            <w:pPr>
              <w:adjustRightInd w:val="0"/>
              <w:snapToGrid w:val="0"/>
              <w:jc w:val="right"/>
              <w:rPr>
                <w:rFonts w:ascii="宋体" w:hAnsi="宋体" w:eastAsia="宋体" w:cs="宋体"/>
                <w:bCs/>
                <w:color w:val="000000"/>
                <w:sz w:val="20"/>
                <w:szCs w:val="20"/>
              </w:rPr>
            </w:pPr>
            <w:r>
              <w:rPr>
                <w:rFonts w:hint="eastAsia" w:ascii="宋体" w:hAnsi="宋体" w:eastAsia="宋体" w:cs="宋体"/>
                <w:bCs/>
                <w:color w:val="000000"/>
                <w:sz w:val="20"/>
                <w:szCs w:val="20"/>
              </w:rPr>
              <w:t>286.96</w:t>
            </w:r>
          </w:p>
        </w:tc>
        <w:tc>
          <w:tcPr>
            <w:tcW w:w="1681" w:type="dxa"/>
            <w:vAlign w:val="center"/>
          </w:tcPr>
          <w:p w14:paraId="2DF3E923">
            <w:pPr>
              <w:adjustRightInd w:val="0"/>
              <w:snapToGrid w:val="0"/>
              <w:jc w:val="right"/>
              <w:rPr>
                <w:rFonts w:ascii="宋体" w:hAnsi="宋体" w:eastAsia="宋体" w:cs="宋体"/>
                <w:bCs/>
                <w:color w:val="000000"/>
                <w:sz w:val="20"/>
                <w:szCs w:val="20"/>
              </w:rPr>
            </w:pPr>
            <w:r>
              <w:rPr>
                <w:rFonts w:hint="eastAsia" w:ascii="宋体" w:hAnsi="宋体" w:eastAsia="宋体" w:cs="宋体"/>
                <w:bCs/>
                <w:color w:val="000000"/>
                <w:sz w:val="20"/>
                <w:szCs w:val="20"/>
              </w:rPr>
              <w:t>1.04</w:t>
            </w:r>
          </w:p>
        </w:tc>
      </w:tr>
      <w:tr w14:paraId="5CBD3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679" w:type="dxa"/>
            <w:gridSpan w:val="2"/>
            <w:vAlign w:val="center"/>
          </w:tcPr>
          <w:p w14:paraId="33695912">
            <w:pPr>
              <w:adjustRightInd w:val="0"/>
              <w:snapToGrid w:val="0"/>
              <w:jc w:val="center"/>
              <w:rPr>
                <w:rFonts w:ascii="宋体" w:hAnsi="宋体" w:eastAsia="宋体"/>
                <w:b/>
                <w:bCs/>
                <w:iCs/>
                <w:sz w:val="20"/>
                <w:szCs w:val="20"/>
              </w:rPr>
            </w:pPr>
            <w:r>
              <w:rPr>
                <w:rFonts w:hint="eastAsia" w:ascii="宋体" w:hAnsi="宋体" w:eastAsia="宋体"/>
                <w:b/>
                <w:bCs/>
                <w:iCs/>
                <w:sz w:val="20"/>
                <w:szCs w:val="20"/>
              </w:rPr>
              <w:t>合计</w:t>
            </w:r>
          </w:p>
        </w:tc>
        <w:tc>
          <w:tcPr>
            <w:tcW w:w="1348" w:type="dxa"/>
            <w:vAlign w:val="center"/>
          </w:tcPr>
          <w:p w14:paraId="61807307">
            <w:pPr>
              <w:adjustRightInd w:val="0"/>
              <w:snapToGrid w:val="0"/>
              <w:jc w:val="right"/>
              <w:rPr>
                <w:rFonts w:ascii="宋体" w:hAnsi="宋体" w:eastAsia="宋体"/>
                <w:b/>
                <w:bCs/>
                <w:iCs/>
                <w:sz w:val="20"/>
                <w:szCs w:val="20"/>
              </w:rPr>
            </w:pPr>
            <w:r>
              <w:rPr>
                <w:rFonts w:hint="eastAsia" w:ascii="宋体" w:hAnsi="宋体" w:eastAsia="宋体"/>
                <w:b/>
                <w:bCs/>
                <w:iCs/>
                <w:sz w:val="20"/>
                <w:szCs w:val="20"/>
              </w:rPr>
              <w:t>411.13</w:t>
            </w:r>
          </w:p>
        </w:tc>
        <w:tc>
          <w:tcPr>
            <w:tcW w:w="1348" w:type="dxa"/>
            <w:vAlign w:val="center"/>
          </w:tcPr>
          <w:p w14:paraId="67F36AE6">
            <w:pPr>
              <w:adjustRightInd w:val="0"/>
              <w:snapToGrid w:val="0"/>
              <w:jc w:val="right"/>
              <w:rPr>
                <w:rFonts w:ascii="宋体" w:hAnsi="宋体" w:eastAsia="宋体"/>
                <w:b/>
                <w:bCs/>
                <w:iCs/>
                <w:sz w:val="20"/>
                <w:szCs w:val="20"/>
              </w:rPr>
            </w:pPr>
            <w:r>
              <w:rPr>
                <w:rFonts w:hint="eastAsia" w:ascii="宋体" w:hAnsi="宋体" w:eastAsia="宋体"/>
                <w:b/>
                <w:bCs/>
                <w:iCs/>
                <w:sz w:val="20"/>
                <w:szCs w:val="20"/>
              </w:rPr>
              <w:t>408.38</w:t>
            </w:r>
          </w:p>
        </w:tc>
        <w:tc>
          <w:tcPr>
            <w:tcW w:w="1681" w:type="dxa"/>
            <w:vAlign w:val="center"/>
          </w:tcPr>
          <w:p w14:paraId="1EF54BA7">
            <w:pPr>
              <w:adjustRightInd w:val="0"/>
              <w:snapToGrid w:val="0"/>
              <w:jc w:val="right"/>
              <w:rPr>
                <w:rFonts w:ascii="宋体" w:hAnsi="宋体" w:eastAsia="宋体"/>
                <w:b/>
                <w:bCs/>
                <w:iCs/>
                <w:sz w:val="20"/>
                <w:szCs w:val="20"/>
              </w:rPr>
            </w:pPr>
            <w:r>
              <w:rPr>
                <w:rFonts w:hint="eastAsia" w:ascii="宋体" w:hAnsi="宋体" w:eastAsia="宋体"/>
                <w:b/>
                <w:bCs/>
                <w:iCs/>
                <w:sz w:val="20"/>
                <w:szCs w:val="20"/>
              </w:rPr>
              <w:t>2.75</w:t>
            </w:r>
          </w:p>
        </w:tc>
      </w:tr>
    </w:tbl>
    <w:p w14:paraId="6E0E964E">
      <w:pPr>
        <w:adjustRightInd w:val="0"/>
        <w:snapToGrid w:val="0"/>
        <w:spacing w:line="560" w:lineRule="exact"/>
        <w:ind w:firstLine="480" w:firstLineChars="150"/>
        <w:outlineLvl w:val="1"/>
        <w:rPr>
          <w:rFonts w:ascii="楷体_GB2312" w:eastAsia="楷体_GB2312"/>
          <w:sz w:val="32"/>
          <w:szCs w:val="32"/>
        </w:rPr>
      </w:pPr>
      <w:bookmarkStart w:id="11" w:name="_Toc10365"/>
      <w:bookmarkStart w:id="12" w:name="_Toc35588398"/>
      <w:bookmarkStart w:id="13" w:name="_Toc1074"/>
      <w:bookmarkStart w:id="14" w:name="_Toc19756"/>
      <w:r>
        <w:rPr>
          <w:rFonts w:hint="eastAsia" w:ascii="楷体_GB2312" w:eastAsia="楷体_GB2312"/>
          <w:sz w:val="32"/>
          <w:szCs w:val="32"/>
        </w:rPr>
        <w:t>（二）项目绩效目标</w:t>
      </w:r>
      <w:bookmarkEnd w:id="11"/>
      <w:bookmarkEnd w:id="12"/>
      <w:bookmarkEnd w:id="13"/>
      <w:bookmarkEnd w:id="14"/>
    </w:p>
    <w:p w14:paraId="32EB5E66">
      <w:pPr>
        <w:adjustRightInd w:val="0"/>
        <w:snapToGrid w:val="0"/>
        <w:spacing w:line="560" w:lineRule="exact"/>
        <w:ind w:firstLine="640" w:firstLineChars="200"/>
        <w:rPr>
          <w:rFonts w:ascii="仿宋_GB2312"/>
          <w:sz w:val="32"/>
          <w:szCs w:val="32"/>
        </w:rPr>
      </w:pPr>
      <w:bookmarkStart w:id="15" w:name="_Toc35588399"/>
      <w:r>
        <w:rPr>
          <w:rFonts w:hint="eastAsia" w:ascii="仿宋_GB2312" w:hAnsi="宋体" w:cs="宋体"/>
          <w:kern w:val="0"/>
          <w:sz w:val="32"/>
          <w:szCs w:val="32"/>
        </w:rPr>
        <w:t>1.</w:t>
      </w:r>
      <w:r>
        <w:rPr>
          <w:rFonts w:hint="eastAsia" w:ascii="仿宋_GB2312"/>
          <w:sz w:val="32"/>
          <w:szCs w:val="32"/>
        </w:rPr>
        <w:t>项目年度绩效目标</w:t>
      </w:r>
      <w:bookmarkEnd w:id="15"/>
    </w:p>
    <w:p w14:paraId="2699264B">
      <w:pPr>
        <w:numPr>
          <w:ilvl w:val="255"/>
          <w:numId w:val="0"/>
        </w:numPr>
        <w:adjustRightInd w:val="0"/>
        <w:snapToGrid w:val="0"/>
        <w:spacing w:line="560" w:lineRule="exact"/>
        <w:ind w:firstLine="640" w:firstLineChars="200"/>
        <w:rPr>
          <w:rFonts w:ascii="仿宋_GB2312" w:hAnsi="仿宋_GB2312" w:cs="仿宋_GB2312"/>
          <w:color w:val="000000"/>
          <w:sz w:val="32"/>
        </w:rPr>
      </w:pPr>
      <w:r>
        <w:rPr>
          <w:rFonts w:hint="eastAsia" w:ascii="仿宋_GB2312" w:hAnsi="仿宋_GB2312" w:cs="仿宋_GB2312"/>
          <w:color w:val="000000"/>
          <w:sz w:val="32"/>
        </w:rPr>
        <w:t>按季度实地抽查农村环境整治效果，评估农村环境整治效果，为农村环境整治提供技术支持。按季度开展土壤污染防治综合评估，开展建设用地土壤污染状况调查报告抽查。探索开展土壤动物及微生物多功能性评价、农用地土壤微塑料赋存试点调查，支撑土壤健康评价。</w:t>
      </w:r>
    </w:p>
    <w:p w14:paraId="62B93877">
      <w:pPr>
        <w:adjustRightInd w:val="0"/>
        <w:snapToGrid w:val="0"/>
        <w:spacing w:line="560" w:lineRule="exact"/>
        <w:ind w:firstLine="640" w:firstLineChars="200"/>
        <w:rPr>
          <w:rFonts w:ascii="仿宋_GB2312" w:hAnsi="宋体"/>
          <w:bCs/>
          <w:iCs/>
          <w:kern w:val="0"/>
          <w:sz w:val="32"/>
          <w:szCs w:val="32"/>
        </w:rPr>
      </w:pPr>
      <w:bookmarkStart w:id="16" w:name="_Toc35588400"/>
      <w:r>
        <w:rPr>
          <w:rFonts w:hint="eastAsia" w:ascii="仿宋_GB2312"/>
          <w:iCs/>
          <w:sz w:val="32"/>
          <w:szCs w:val="32"/>
        </w:rPr>
        <w:t>2.</w:t>
      </w:r>
      <w:bookmarkEnd w:id="16"/>
      <w:r>
        <w:rPr>
          <w:rFonts w:hint="eastAsia" w:ascii="仿宋_GB2312" w:cs="仿宋_GB2312"/>
          <w:bCs/>
          <w:iCs/>
          <w:kern w:val="0"/>
          <w:sz w:val="32"/>
          <w:szCs w:val="32"/>
        </w:rPr>
        <w:t>项目</w:t>
      </w:r>
      <w:bookmarkStart w:id="17" w:name="_Toc336506893"/>
      <w:bookmarkStart w:id="18" w:name="_Toc336506958"/>
      <w:r>
        <w:rPr>
          <w:rFonts w:hint="eastAsia" w:ascii="仿宋_GB2312" w:cs="仿宋_GB2312"/>
          <w:bCs/>
          <w:iCs/>
          <w:kern w:val="0"/>
          <w:sz w:val="32"/>
          <w:szCs w:val="32"/>
        </w:rPr>
        <w:t>绩效指标</w:t>
      </w:r>
    </w:p>
    <w:p w14:paraId="2B2D2D5D">
      <w:pPr>
        <w:autoSpaceDE w:val="0"/>
        <w:autoSpaceDN w:val="0"/>
        <w:adjustRightInd w:val="0"/>
        <w:snapToGrid w:val="0"/>
        <w:spacing w:line="560" w:lineRule="exact"/>
        <w:ind w:firstLine="640" w:firstLineChars="200"/>
        <w:rPr>
          <w:rFonts w:ascii="仿宋_GB2312" w:hAnsi="宋体"/>
          <w:bCs/>
          <w:kern w:val="0"/>
          <w:sz w:val="32"/>
          <w:szCs w:val="32"/>
        </w:rPr>
      </w:pPr>
      <w:r>
        <w:rPr>
          <w:rFonts w:hint="eastAsia" w:ascii="仿宋_GB2312" w:cs="仿宋_GB2312"/>
          <w:sz w:val="32"/>
          <w:szCs w:val="32"/>
        </w:rPr>
        <w:t>项目绩效指标分为产出指标、效益指标和满意度指标。项目具体绩效指标情况见下表2。</w:t>
      </w:r>
    </w:p>
    <w:p w14:paraId="667F0AE7">
      <w:pPr>
        <w:adjustRightInd w:val="0"/>
        <w:snapToGrid w:val="0"/>
        <w:spacing w:line="360" w:lineRule="auto"/>
        <w:jc w:val="center"/>
        <w:rPr>
          <w:rFonts w:ascii="黑体" w:hAnsi="黑体" w:eastAsia="黑体"/>
          <w:bCs/>
          <w:kern w:val="0"/>
          <w:sz w:val="28"/>
          <w:szCs w:val="28"/>
        </w:rPr>
      </w:pPr>
      <w:r>
        <w:rPr>
          <w:rFonts w:hint="eastAsia" w:ascii="黑体" w:hAnsi="黑体" w:eastAsia="黑体"/>
          <w:bCs/>
          <w:kern w:val="0"/>
          <w:sz w:val="28"/>
          <w:szCs w:val="28"/>
        </w:rPr>
        <w:t>表2：项目绩效指标表</w:t>
      </w:r>
    </w:p>
    <w:bookmarkEnd w:id="17"/>
    <w:bookmarkEnd w:id="18"/>
    <w:tbl>
      <w:tblPr>
        <w:tblStyle w:val="34"/>
        <w:tblW w:w="9060" w:type="dxa"/>
        <w:jc w:val="center"/>
        <w:tblLayout w:type="fixed"/>
        <w:tblCellMar>
          <w:top w:w="0" w:type="dxa"/>
          <w:left w:w="108" w:type="dxa"/>
          <w:bottom w:w="0" w:type="dxa"/>
          <w:right w:w="108" w:type="dxa"/>
        </w:tblCellMar>
      </w:tblPr>
      <w:tblGrid>
        <w:gridCol w:w="1369"/>
        <w:gridCol w:w="1530"/>
        <w:gridCol w:w="4419"/>
        <w:gridCol w:w="1742"/>
      </w:tblGrid>
      <w:tr w14:paraId="69E0E273">
        <w:tblPrEx>
          <w:tblCellMar>
            <w:top w:w="0" w:type="dxa"/>
            <w:left w:w="108" w:type="dxa"/>
            <w:bottom w:w="0" w:type="dxa"/>
            <w:right w:w="108" w:type="dxa"/>
          </w:tblCellMar>
        </w:tblPrEx>
        <w:trPr>
          <w:trHeight w:val="548" w:hRule="atLeast"/>
          <w:tblHeader/>
          <w:jc w:val="center"/>
        </w:trPr>
        <w:tc>
          <w:tcPr>
            <w:tcW w:w="1369" w:type="dxa"/>
            <w:tcBorders>
              <w:top w:val="single" w:color="auto" w:sz="4" w:space="0"/>
              <w:left w:val="single" w:color="auto" w:sz="4" w:space="0"/>
              <w:bottom w:val="single" w:color="auto" w:sz="4" w:space="0"/>
              <w:right w:val="single" w:color="auto" w:sz="4" w:space="0"/>
            </w:tcBorders>
            <w:shd w:val="clear" w:color="000000" w:fill="FFFFFF"/>
            <w:vAlign w:val="center"/>
          </w:tcPr>
          <w:p w14:paraId="35E8B0C5">
            <w:pPr>
              <w:widowControl/>
              <w:adjustRightInd w:val="0"/>
              <w:snapToGrid w:val="0"/>
              <w:jc w:val="center"/>
              <w:rPr>
                <w:rFonts w:ascii="宋体" w:hAnsi="宋体" w:eastAsia="宋体" w:cs="Arial"/>
                <w:b/>
                <w:bCs/>
                <w:color w:val="000000"/>
                <w:kern w:val="0"/>
                <w:sz w:val="20"/>
                <w:szCs w:val="20"/>
              </w:rPr>
            </w:pPr>
            <w:r>
              <w:rPr>
                <w:rFonts w:hint="eastAsia" w:ascii="宋体" w:hAnsi="宋体" w:eastAsia="宋体" w:cs="Arial"/>
                <w:b/>
                <w:bCs/>
                <w:color w:val="000000"/>
                <w:kern w:val="0"/>
                <w:sz w:val="20"/>
                <w:szCs w:val="20"/>
              </w:rPr>
              <w:t>一级指标</w:t>
            </w:r>
          </w:p>
        </w:tc>
        <w:tc>
          <w:tcPr>
            <w:tcW w:w="1530" w:type="dxa"/>
            <w:tcBorders>
              <w:top w:val="single" w:color="auto" w:sz="4" w:space="0"/>
              <w:left w:val="nil"/>
              <w:bottom w:val="single" w:color="auto" w:sz="4" w:space="0"/>
              <w:right w:val="single" w:color="auto" w:sz="4" w:space="0"/>
            </w:tcBorders>
            <w:shd w:val="clear" w:color="000000" w:fill="FFFFFF"/>
            <w:vAlign w:val="center"/>
          </w:tcPr>
          <w:p w14:paraId="3CA9C85A">
            <w:pPr>
              <w:widowControl/>
              <w:adjustRightInd w:val="0"/>
              <w:snapToGrid w:val="0"/>
              <w:jc w:val="center"/>
              <w:rPr>
                <w:rFonts w:ascii="宋体" w:hAnsi="宋体" w:eastAsia="宋体" w:cs="Arial"/>
                <w:b/>
                <w:bCs/>
                <w:color w:val="000000"/>
                <w:kern w:val="0"/>
                <w:sz w:val="20"/>
                <w:szCs w:val="20"/>
              </w:rPr>
            </w:pPr>
            <w:r>
              <w:rPr>
                <w:rFonts w:hint="eastAsia" w:ascii="宋体" w:hAnsi="宋体" w:eastAsia="宋体" w:cs="Arial"/>
                <w:b/>
                <w:bCs/>
                <w:color w:val="000000"/>
                <w:kern w:val="0"/>
                <w:sz w:val="20"/>
                <w:szCs w:val="20"/>
              </w:rPr>
              <w:t>二级指标</w:t>
            </w:r>
          </w:p>
        </w:tc>
        <w:tc>
          <w:tcPr>
            <w:tcW w:w="4419" w:type="dxa"/>
            <w:tcBorders>
              <w:top w:val="single" w:color="auto" w:sz="4" w:space="0"/>
              <w:left w:val="nil"/>
              <w:bottom w:val="single" w:color="auto" w:sz="4" w:space="0"/>
              <w:right w:val="single" w:color="auto" w:sz="4" w:space="0"/>
            </w:tcBorders>
            <w:shd w:val="clear" w:color="000000" w:fill="FFFFFF"/>
            <w:vAlign w:val="center"/>
          </w:tcPr>
          <w:p w14:paraId="28CB3EE8">
            <w:pPr>
              <w:widowControl/>
              <w:adjustRightInd w:val="0"/>
              <w:snapToGrid w:val="0"/>
              <w:jc w:val="center"/>
              <w:rPr>
                <w:rFonts w:ascii="宋体" w:hAnsi="宋体" w:eastAsia="宋体" w:cs="Arial"/>
                <w:b/>
                <w:bCs/>
                <w:color w:val="000000"/>
                <w:kern w:val="0"/>
                <w:sz w:val="20"/>
                <w:szCs w:val="20"/>
              </w:rPr>
            </w:pPr>
            <w:r>
              <w:rPr>
                <w:rFonts w:hint="eastAsia" w:ascii="宋体" w:hAnsi="宋体" w:eastAsia="宋体" w:cs="Arial"/>
                <w:b/>
                <w:bCs/>
                <w:color w:val="000000"/>
                <w:kern w:val="0"/>
                <w:sz w:val="20"/>
                <w:szCs w:val="20"/>
              </w:rPr>
              <w:t>三级指标</w:t>
            </w:r>
          </w:p>
        </w:tc>
        <w:tc>
          <w:tcPr>
            <w:tcW w:w="1742" w:type="dxa"/>
            <w:tcBorders>
              <w:top w:val="single" w:color="auto" w:sz="4" w:space="0"/>
              <w:left w:val="nil"/>
              <w:bottom w:val="single" w:color="auto" w:sz="4" w:space="0"/>
              <w:right w:val="single" w:color="auto" w:sz="4" w:space="0"/>
            </w:tcBorders>
            <w:shd w:val="clear" w:color="000000" w:fill="FFFFFF"/>
            <w:vAlign w:val="center"/>
          </w:tcPr>
          <w:p w14:paraId="19641E9A">
            <w:pPr>
              <w:widowControl/>
              <w:adjustRightInd w:val="0"/>
              <w:snapToGrid w:val="0"/>
              <w:jc w:val="center"/>
              <w:rPr>
                <w:rFonts w:ascii="宋体" w:hAnsi="宋体" w:eastAsia="宋体" w:cs="Arial"/>
                <w:b/>
                <w:bCs/>
                <w:color w:val="000000"/>
                <w:kern w:val="0"/>
                <w:sz w:val="20"/>
                <w:szCs w:val="20"/>
              </w:rPr>
            </w:pPr>
            <w:r>
              <w:rPr>
                <w:rFonts w:hint="eastAsia" w:ascii="宋体" w:hAnsi="宋体" w:eastAsia="宋体" w:cs="Arial"/>
                <w:b/>
                <w:bCs/>
                <w:color w:val="000000"/>
                <w:kern w:val="0"/>
                <w:sz w:val="20"/>
                <w:szCs w:val="20"/>
              </w:rPr>
              <w:t>指标值</w:t>
            </w:r>
          </w:p>
        </w:tc>
      </w:tr>
      <w:tr w14:paraId="4409C22B">
        <w:tblPrEx>
          <w:tblCellMar>
            <w:top w:w="0" w:type="dxa"/>
            <w:left w:w="108" w:type="dxa"/>
            <w:bottom w:w="0" w:type="dxa"/>
            <w:right w:w="108" w:type="dxa"/>
          </w:tblCellMar>
        </w:tblPrEx>
        <w:trPr>
          <w:trHeight w:val="549" w:hRule="atLeast"/>
          <w:jc w:val="center"/>
        </w:trPr>
        <w:tc>
          <w:tcPr>
            <w:tcW w:w="1369" w:type="dxa"/>
            <w:vMerge w:val="restart"/>
            <w:tcBorders>
              <w:top w:val="nil"/>
              <w:left w:val="single" w:color="auto" w:sz="4" w:space="0"/>
              <w:right w:val="single" w:color="auto" w:sz="4" w:space="0"/>
            </w:tcBorders>
            <w:shd w:val="clear" w:color="000000" w:fill="FFFFFF"/>
            <w:vAlign w:val="center"/>
          </w:tcPr>
          <w:p w14:paraId="10118234">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产出指标</w:t>
            </w:r>
          </w:p>
        </w:tc>
        <w:tc>
          <w:tcPr>
            <w:tcW w:w="1530" w:type="dxa"/>
            <w:tcBorders>
              <w:top w:val="nil"/>
              <w:left w:val="single" w:color="auto" w:sz="4" w:space="0"/>
              <w:bottom w:val="single" w:color="auto" w:sz="4" w:space="0"/>
              <w:right w:val="single" w:color="auto" w:sz="4" w:space="0"/>
            </w:tcBorders>
            <w:shd w:val="clear" w:color="000000" w:fill="FFFFFF"/>
            <w:vAlign w:val="center"/>
          </w:tcPr>
          <w:p w14:paraId="0DF255F8">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数量指标</w:t>
            </w:r>
          </w:p>
        </w:tc>
        <w:tc>
          <w:tcPr>
            <w:tcW w:w="4419" w:type="dxa"/>
            <w:tcBorders>
              <w:top w:val="nil"/>
              <w:left w:val="nil"/>
              <w:bottom w:val="single" w:color="auto" w:sz="4" w:space="0"/>
              <w:right w:val="single" w:color="auto" w:sz="4" w:space="0"/>
            </w:tcBorders>
            <w:shd w:val="clear" w:color="000000" w:fill="FFFFFF"/>
            <w:vAlign w:val="center"/>
          </w:tcPr>
          <w:p w14:paraId="10020672">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报告数量</w:t>
            </w:r>
          </w:p>
        </w:tc>
        <w:tc>
          <w:tcPr>
            <w:tcW w:w="1742" w:type="dxa"/>
            <w:tcBorders>
              <w:top w:val="single" w:color="auto" w:sz="4" w:space="0"/>
              <w:left w:val="nil"/>
              <w:bottom w:val="single" w:color="auto" w:sz="4" w:space="0"/>
              <w:right w:val="single" w:color="auto" w:sz="4" w:space="0"/>
            </w:tcBorders>
            <w:shd w:val="clear" w:color="000000" w:fill="FFFFFF"/>
            <w:vAlign w:val="center"/>
          </w:tcPr>
          <w:p w14:paraId="76B95556">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5份</w:t>
            </w:r>
          </w:p>
        </w:tc>
      </w:tr>
      <w:tr w14:paraId="0AFAB8FD">
        <w:tblPrEx>
          <w:tblCellMar>
            <w:top w:w="0" w:type="dxa"/>
            <w:left w:w="108" w:type="dxa"/>
            <w:bottom w:w="0" w:type="dxa"/>
            <w:right w:w="108" w:type="dxa"/>
          </w:tblCellMar>
        </w:tblPrEx>
        <w:trPr>
          <w:trHeight w:val="567" w:hRule="atLeast"/>
          <w:jc w:val="center"/>
        </w:trPr>
        <w:tc>
          <w:tcPr>
            <w:tcW w:w="1369" w:type="dxa"/>
            <w:vMerge w:val="continue"/>
            <w:tcBorders>
              <w:left w:val="single" w:color="auto" w:sz="4" w:space="0"/>
              <w:bottom w:val="single" w:color="auto" w:sz="4" w:space="0"/>
              <w:right w:val="single" w:color="auto" w:sz="4" w:space="0"/>
            </w:tcBorders>
            <w:shd w:val="clear" w:color="auto" w:fill="auto"/>
            <w:vAlign w:val="center"/>
          </w:tcPr>
          <w:p w14:paraId="5BD74874">
            <w:pPr>
              <w:widowControl/>
              <w:adjustRightInd w:val="0"/>
              <w:snapToGrid w:val="0"/>
              <w:jc w:val="center"/>
              <w:rPr>
                <w:rFonts w:ascii="宋体" w:hAnsi="宋体" w:eastAsia="宋体" w:cs="Arial"/>
                <w:color w:val="000000"/>
                <w:kern w:val="0"/>
                <w:sz w:val="20"/>
                <w:szCs w:val="20"/>
              </w:rPr>
            </w:pPr>
          </w:p>
        </w:tc>
        <w:tc>
          <w:tcPr>
            <w:tcW w:w="1530" w:type="dxa"/>
            <w:tcBorders>
              <w:top w:val="nil"/>
              <w:left w:val="single" w:color="auto" w:sz="4" w:space="0"/>
              <w:bottom w:val="single" w:color="auto" w:sz="4" w:space="0"/>
              <w:right w:val="single" w:color="auto" w:sz="4" w:space="0"/>
            </w:tcBorders>
            <w:shd w:val="clear" w:color="000000" w:fill="FFFFFF"/>
            <w:vAlign w:val="center"/>
          </w:tcPr>
          <w:p w14:paraId="013A93BB">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质量指标</w:t>
            </w:r>
          </w:p>
        </w:tc>
        <w:tc>
          <w:tcPr>
            <w:tcW w:w="4419" w:type="dxa"/>
            <w:tcBorders>
              <w:top w:val="nil"/>
              <w:left w:val="nil"/>
              <w:bottom w:val="single" w:color="auto" w:sz="4" w:space="0"/>
              <w:right w:val="single" w:color="auto" w:sz="4" w:space="0"/>
            </w:tcBorders>
            <w:shd w:val="clear" w:color="000000" w:fill="FFFFFF"/>
            <w:vAlign w:val="center"/>
          </w:tcPr>
          <w:p w14:paraId="138D9C1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报告评审或验收合格率</w:t>
            </w:r>
          </w:p>
        </w:tc>
        <w:tc>
          <w:tcPr>
            <w:tcW w:w="1742" w:type="dxa"/>
            <w:tcBorders>
              <w:top w:val="single" w:color="auto" w:sz="4" w:space="0"/>
              <w:left w:val="nil"/>
              <w:bottom w:val="single" w:color="auto" w:sz="4" w:space="0"/>
              <w:right w:val="single" w:color="auto" w:sz="4" w:space="0"/>
            </w:tcBorders>
            <w:shd w:val="clear" w:color="000000" w:fill="FFFFFF"/>
            <w:vAlign w:val="center"/>
          </w:tcPr>
          <w:p w14:paraId="374A338C">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100%</w:t>
            </w:r>
          </w:p>
        </w:tc>
      </w:tr>
      <w:tr w14:paraId="0055416B">
        <w:tblPrEx>
          <w:tblCellMar>
            <w:top w:w="0" w:type="dxa"/>
            <w:left w:w="108" w:type="dxa"/>
            <w:bottom w:w="0" w:type="dxa"/>
            <w:right w:w="108" w:type="dxa"/>
          </w:tblCellMar>
        </w:tblPrEx>
        <w:trPr>
          <w:trHeight w:val="567" w:hRule="atLeast"/>
          <w:jc w:val="center"/>
        </w:trPr>
        <w:tc>
          <w:tcPr>
            <w:tcW w:w="1369" w:type="dxa"/>
            <w:vMerge w:val="restart"/>
            <w:tcBorders>
              <w:top w:val="single" w:color="auto" w:sz="4" w:space="0"/>
              <w:left w:val="single" w:color="auto" w:sz="4" w:space="0"/>
              <w:right w:val="single" w:color="auto" w:sz="4" w:space="0"/>
            </w:tcBorders>
            <w:shd w:val="clear" w:color="000000" w:fill="FFFFFF"/>
            <w:vAlign w:val="center"/>
          </w:tcPr>
          <w:p w14:paraId="7BBB1402">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效益指标</w:t>
            </w:r>
          </w:p>
        </w:tc>
        <w:tc>
          <w:tcPr>
            <w:tcW w:w="1530" w:type="dxa"/>
            <w:tcBorders>
              <w:top w:val="nil"/>
              <w:left w:val="single" w:color="auto" w:sz="4" w:space="0"/>
              <w:bottom w:val="single" w:color="auto" w:sz="4" w:space="0"/>
              <w:right w:val="single" w:color="auto" w:sz="4" w:space="0"/>
            </w:tcBorders>
            <w:shd w:val="clear" w:color="000000" w:fill="FFFFFF"/>
            <w:vAlign w:val="center"/>
          </w:tcPr>
          <w:p w14:paraId="32FB4328">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经济效益指标</w:t>
            </w:r>
          </w:p>
        </w:tc>
        <w:tc>
          <w:tcPr>
            <w:tcW w:w="4419" w:type="dxa"/>
            <w:tcBorders>
              <w:top w:val="nil"/>
              <w:left w:val="nil"/>
              <w:bottom w:val="single" w:color="auto" w:sz="4" w:space="0"/>
              <w:right w:val="single" w:color="auto" w:sz="4" w:space="0"/>
            </w:tcBorders>
            <w:shd w:val="clear" w:color="000000" w:fill="FFFFFF"/>
            <w:vAlign w:val="center"/>
          </w:tcPr>
          <w:p w14:paraId="32506B99">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项目在预算批复经费以内完成</w:t>
            </w:r>
          </w:p>
        </w:tc>
        <w:tc>
          <w:tcPr>
            <w:tcW w:w="1742" w:type="dxa"/>
            <w:tcBorders>
              <w:left w:val="single" w:color="auto" w:sz="4" w:space="0"/>
              <w:bottom w:val="single" w:color="auto" w:sz="4" w:space="0"/>
              <w:right w:val="single" w:color="auto" w:sz="4" w:space="0"/>
            </w:tcBorders>
            <w:shd w:val="clear" w:color="000000" w:fill="FFFFFF"/>
            <w:vAlign w:val="center"/>
          </w:tcPr>
          <w:p w14:paraId="39823029">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≤411.1289万元</w:t>
            </w:r>
          </w:p>
        </w:tc>
      </w:tr>
      <w:tr w14:paraId="70D3D3F5">
        <w:tblPrEx>
          <w:tblCellMar>
            <w:top w:w="0" w:type="dxa"/>
            <w:left w:w="108" w:type="dxa"/>
            <w:bottom w:w="0" w:type="dxa"/>
            <w:right w:w="108" w:type="dxa"/>
          </w:tblCellMar>
        </w:tblPrEx>
        <w:trPr>
          <w:trHeight w:val="567" w:hRule="atLeast"/>
          <w:jc w:val="center"/>
        </w:trPr>
        <w:tc>
          <w:tcPr>
            <w:tcW w:w="1369" w:type="dxa"/>
            <w:vMerge w:val="continue"/>
            <w:tcBorders>
              <w:left w:val="single" w:color="auto" w:sz="4" w:space="0"/>
              <w:bottom w:val="single" w:color="auto" w:sz="4" w:space="0"/>
              <w:right w:val="single" w:color="auto" w:sz="4" w:space="0"/>
            </w:tcBorders>
            <w:shd w:val="clear" w:color="000000" w:fill="FFFFFF"/>
            <w:vAlign w:val="center"/>
          </w:tcPr>
          <w:p w14:paraId="7AB2368A">
            <w:pPr>
              <w:widowControl/>
              <w:adjustRightInd w:val="0"/>
              <w:snapToGrid w:val="0"/>
              <w:jc w:val="center"/>
              <w:rPr>
                <w:rFonts w:ascii="宋体" w:hAnsi="宋体" w:eastAsia="宋体" w:cs="Arial"/>
                <w:color w:val="000000"/>
                <w:kern w:val="0"/>
                <w:sz w:val="20"/>
                <w:szCs w:val="20"/>
              </w:rPr>
            </w:pPr>
          </w:p>
        </w:tc>
        <w:tc>
          <w:tcPr>
            <w:tcW w:w="1530" w:type="dxa"/>
            <w:tcBorders>
              <w:top w:val="nil"/>
              <w:left w:val="single" w:color="auto" w:sz="4" w:space="0"/>
              <w:bottom w:val="single" w:color="auto" w:sz="4" w:space="0"/>
              <w:right w:val="single" w:color="auto" w:sz="4" w:space="0"/>
            </w:tcBorders>
            <w:shd w:val="clear" w:color="000000" w:fill="FFFFFF"/>
            <w:vAlign w:val="center"/>
          </w:tcPr>
          <w:p w14:paraId="5061A899">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生态效益指标</w:t>
            </w:r>
          </w:p>
        </w:tc>
        <w:tc>
          <w:tcPr>
            <w:tcW w:w="4419" w:type="dxa"/>
            <w:tcBorders>
              <w:top w:val="nil"/>
              <w:left w:val="nil"/>
              <w:bottom w:val="single" w:color="auto" w:sz="4" w:space="0"/>
              <w:right w:val="single" w:color="auto" w:sz="4" w:space="0"/>
            </w:tcBorders>
            <w:shd w:val="clear" w:color="000000" w:fill="FFFFFF"/>
            <w:vAlign w:val="center"/>
          </w:tcPr>
          <w:p w14:paraId="33396A80">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农业农村污染防治、土壤生态环境保护能力提升</w:t>
            </w:r>
          </w:p>
        </w:tc>
        <w:tc>
          <w:tcPr>
            <w:tcW w:w="1742" w:type="dxa"/>
            <w:tcBorders>
              <w:left w:val="single" w:color="auto" w:sz="4" w:space="0"/>
              <w:bottom w:val="single" w:color="auto" w:sz="4" w:space="0"/>
              <w:right w:val="single" w:color="auto" w:sz="4" w:space="0"/>
            </w:tcBorders>
            <w:shd w:val="clear" w:color="000000" w:fill="FFFFFF"/>
            <w:vAlign w:val="center"/>
          </w:tcPr>
          <w:p w14:paraId="4810CFCE">
            <w:pPr>
              <w:widowControl/>
              <w:jc w:val="center"/>
              <w:textAlignment w:val="center"/>
              <w:rPr>
                <w:rFonts w:ascii="宋体" w:hAnsi="宋体" w:eastAsia="宋体" w:cs="Arial"/>
                <w:color w:val="000000"/>
                <w:kern w:val="0"/>
                <w:sz w:val="20"/>
                <w:szCs w:val="20"/>
              </w:rPr>
            </w:pPr>
            <w:r>
              <w:rPr>
                <w:rFonts w:hint="eastAsia" w:ascii="宋体" w:hAnsi="宋体" w:eastAsia="宋体" w:cs="宋体"/>
                <w:color w:val="000000"/>
                <w:kern w:val="0"/>
                <w:sz w:val="20"/>
                <w:szCs w:val="20"/>
              </w:rPr>
              <w:t>优</w:t>
            </w:r>
          </w:p>
        </w:tc>
      </w:tr>
      <w:tr w14:paraId="1C2B70F3">
        <w:tblPrEx>
          <w:tblCellMar>
            <w:top w:w="0" w:type="dxa"/>
            <w:left w:w="108" w:type="dxa"/>
            <w:bottom w:w="0" w:type="dxa"/>
            <w:right w:w="108" w:type="dxa"/>
          </w:tblCellMar>
        </w:tblPrEx>
        <w:trPr>
          <w:trHeight w:val="686" w:hRule="atLeast"/>
          <w:jc w:val="center"/>
        </w:trPr>
        <w:tc>
          <w:tcPr>
            <w:tcW w:w="1369" w:type="dxa"/>
            <w:tcBorders>
              <w:top w:val="single" w:color="auto" w:sz="4" w:space="0"/>
              <w:left w:val="single" w:color="auto" w:sz="4" w:space="0"/>
              <w:bottom w:val="single" w:color="auto" w:sz="4" w:space="0"/>
              <w:right w:val="single" w:color="auto" w:sz="4" w:space="0"/>
            </w:tcBorders>
            <w:shd w:val="clear" w:color="000000" w:fill="FFFFFF"/>
            <w:vAlign w:val="center"/>
          </w:tcPr>
          <w:p w14:paraId="69F7C669">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满意度指标</w:t>
            </w:r>
          </w:p>
        </w:tc>
        <w:tc>
          <w:tcPr>
            <w:tcW w:w="1530" w:type="dxa"/>
            <w:tcBorders>
              <w:top w:val="nil"/>
              <w:left w:val="nil"/>
              <w:bottom w:val="single" w:color="auto" w:sz="4" w:space="0"/>
              <w:right w:val="single" w:color="auto" w:sz="4" w:space="0"/>
            </w:tcBorders>
            <w:shd w:val="clear" w:color="000000" w:fill="FFFFFF"/>
            <w:vAlign w:val="center"/>
          </w:tcPr>
          <w:p w14:paraId="6204006B">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服务对象</w:t>
            </w:r>
          </w:p>
          <w:p w14:paraId="07F98E94">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满意度指标</w:t>
            </w:r>
          </w:p>
        </w:tc>
        <w:tc>
          <w:tcPr>
            <w:tcW w:w="4419" w:type="dxa"/>
            <w:tcBorders>
              <w:top w:val="nil"/>
              <w:left w:val="nil"/>
              <w:bottom w:val="single" w:color="auto" w:sz="4" w:space="0"/>
              <w:right w:val="single" w:color="auto" w:sz="4" w:space="0"/>
            </w:tcBorders>
            <w:shd w:val="clear" w:color="000000" w:fill="FFFFFF"/>
            <w:vAlign w:val="center"/>
          </w:tcPr>
          <w:p w14:paraId="5C93B8B7">
            <w:pPr>
              <w:widowControl/>
              <w:adjustRightInd w:val="0"/>
              <w:snapToGrid w:val="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管理部门或服务对象满意度</w:t>
            </w:r>
          </w:p>
        </w:tc>
        <w:tc>
          <w:tcPr>
            <w:tcW w:w="1742" w:type="dxa"/>
            <w:tcBorders>
              <w:left w:val="nil"/>
              <w:bottom w:val="single" w:color="auto" w:sz="4" w:space="0"/>
              <w:right w:val="single" w:color="auto" w:sz="4" w:space="0"/>
            </w:tcBorders>
            <w:shd w:val="clear" w:color="000000" w:fill="FFFFFF"/>
            <w:vAlign w:val="center"/>
          </w:tcPr>
          <w:p w14:paraId="5A2D7F91">
            <w:pPr>
              <w:widowControl/>
              <w:adjustRightInd w:val="0"/>
              <w:snapToGrid w:val="0"/>
              <w:jc w:val="center"/>
              <w:rPr>
                <w:rFonts w:ascii="宋体" w:hAnsi="宋体" w:eastAsia="宋体" w:cs="Arial"/>
                <w:color w:val="000000"/>
                <w:kern w:val="0"/>
                <w:sz w:val="20"/>
                <w:szCs w:val="20"/>
              </w:rPr>
            </w:pPr>
            <w:r>
              <w:rPr>
                <w:rFonts w:hint="default" w:ascii="宋体" w:hAnsi="宋体" w:eastAsia="宋体" w:cs="宋体"/>
                <w:color w:val="000000"/>
                <w:kern w:val="0"/>
                <w:sz w:val="20"/>
                <w:szCs w:val="20"/>
              </w:rPr>
              <w:t>≥</w:t>
            </w:r>
            <w:r>
              <w:rPr>
                <w:rFonts w:hint="eastAsia" w:ascii="宋体" w:hAnsi="宋体" w:eastAsia="宋体" w:cs="宋体"/>
                <w:color w:val="000000"/>
                <w:kern w:val="0"/>
                <w:sz w:val="20"/>
                <w:szCs w:val="20"/>
              </w:rPr>
              <w:t>95%</w:t>
            </w:r>
          </w:p>
        </w:tc>
      </w:tr>
    </w:tbl>
    <w:p w14:paraId="628CD2DE">
      <w:pPr>
        <w:adjustRightInd w:val="0"/>
        <w:snapToGrid w:val="0"/>
        <w:spacing w:line="560" w:lineRule="exact"/>
        <w:ind w:firstLine="640" w:firstLineChars="200"/>
        <w:outlineLvl w:val="0"/>
        <w:rPr>
          <w:rFonts w:ascii="黑体" w:eastAsia="黑体"/>
          <w:color w:val="000000"/>
          <w:sz w:val="32"/>
          <w:szCs w:val="32"/>
        </w:rPr>
      </w:pPr>
      <w:bookmarkStart w:id="19" w:name="_Toc8280"/>
      <w:bookmarkStart w:id="20" w:name="_Toc32423"/>
      <w:bookmarkStart w:id="21" w:name="_Toc35588401"/>
      <w:bookmarkStart w:id="22" w:name="_Toc27143"/>
      <w:r>
        <w:rPr>
          <w:rFonts w:hint="eastAsia" w:ascii="黑体" w:eastAsia="黑体"/>
          <w:color w:val="000000"/>
          <w:sz w:val="32"/>
          <w:szCs w:val="32"/>
        </w:rPr>
        <w:t>二、绩效评价工作开展情况</w:t>
      </w:r>
      <w:bookmarkEnd w:id="19"/>
      <w:bookmarkEnd w:id="20"/>
      <w:bookmarkEnd w:id="21"/>
      <w:bookmarkEnd w:id="22"/>
    </w:p>
    <w:p w14:paraId="2C9028BE">
      <w:pPr>
        <w:adjustRightInd w:val="0"/>
        <w:snapToGrid w:val="0"/>
        <w:spacing w:line="560" w:lineRule="exact"/>
        <w:ind w:firstLine="640" w:firstLineChars="200"/>
        <w:outlineLvl w:val="1"/>
        <w:rPr>
          <w:rFonts w:ascii="楷体_GB2312" w:eastAsia="楷体_GB2312"/>
          <w:sz w:val="32"/>
          <w:szCs w:val="32"/>
        </w:rPr>
      </w:pPr>
      <w:bookmarkStart w:id="23" w:name="_Toc313007027"/>
      <w:bookmarkStart w:id="24" w:name="_Toc13803"/>
      <w:bookmarkStart w:id="25" w:name="_Toc2971"/>
      <w:bookmarkStart w:id="26" w:name="_Toc8201"/>
      <w:bookmarkStart w:id="27" w:name="_Toc35588402"/>
      <w:r>
        <w:rPr>
          <w:rFonts w:hint="eastAsia" w:ascii="楷体_GB2312" w:eastAsia="楷体_GB2312"/>
          <w:sz w:val="32"/>
          <w:szCs w:val="32"/>
        </w:rPr>
        <w:t>（一）</w:t>
      </w:r>
      <w:bookmarkEnd w:id="23"/>
      <w:r>
        <w:rPr>
          <w:rFonts w:hint="eastAsia" w:ascii="楷体_GB2312" w:eastAsia="楷体_GB2312"/>
          <w:sz w:val="32"/>
          <w:szCs w:val="32"/>
        </w:rPr>
        <w:t>绩效评价目的、对象及范围</w:t>
      </w:r>
      <w:bookmarkEnd w:id="24"/>
      <w:bookmarkEnd w:id="25"/>
      <w:bookmarkEnd w:id="26"/>
      <w:bookmarkEnd w:id="27"/>
    </w:p>
    <w:p w14:paraId="17A10824">
      <w:pPr>
        <w:adjustRightInd w:val="0"/>
        <w:snapToGrid w:val="0"/>
        <w:spacing w:line="560" w:lineRule="exact"/>
        <w:ind w:firstLine="640" w:firstLineChars="200"/>
        <w:rPr>
          <w:rFonts w:ascii="仿宋_GB2312" w:hAnsi="仿宋" w:cs="仿宋"/>
          <w:b/>
          <w:bCs/>
          <w:sz w:val="32"/>
          <w:szCs w:val="32"/>
        </w:rPr>
      </w:pPr>
      <w:bookmarkStart w:id="28" w:name="_Toc313007028"/>
      <w:bookmarkStart w:id="29" w:name="_Toc35588403"/>
      <w:r>
        <w:rPr>
          <w:rFonts w:hint="eastAsia" w:ascii="仿宋_GB2312" w:hAnsi="仿宋"/>
          <w:sz w:val="32"/>
          <w:szCs w:val="32"/>
        </w:rPr>
        <w:t>为深入贯彻落实《北京市预算绩效管理办法》（京财绩效〔2019〕2129号）文件要求，</w:t>
      </w:r>
      <w:r>
        <w:rPr>
          <w:rFonts w:ascii="仿宋_GB2312" w:hAnsi="仿宋"/>
          <w:sz w:val="32"/>
          <w:szCs w:val="32"/>
        </w:rPr>
        <w:t>根据</w:t>
      </w:r>
      <w:r>
        <w:rPr>
          <w:rFonts w:hint="eastAsia" w:ascii="仿宋_GB2312" w:hAnsi="仿宋"/>
          <w:sz w:val="32"/>
          <w:szCs w:val="32"/>
        </w:rPr>
        <w:t>《北京市项目支出绩效评价管理办法》（京财绩效〔2020〕2146号）（以下简称“京财绩效2146号文”）</w:t>
      </w:r>
      <w:r>
        <w:rPr>
          <w:rFonts w:ascii="仿宋_GB2312" w:hAnsi="仿宋"/>
          <w:sz w:val="32"/>
          <w:szCs w:val="32"/>
        </w:rPr>
        <w:t>文件精神，</w:t>
      </w:r>
      <w:r>
        <w:rPr>
          <w:rFonts w:hint="eastAsia" w:ascii="仿宋_GB2312" w:hAnsi="仿宋"/>
          <w:sz w:val="32"/>
          <w:szCs w:val="32"/>
        </w:rPr>
        <w:t>市生态环境局委托</w:t>
      </w:r>
      <w:r>
        <w:rPr>
          <w:rFonts w:hint="eastAsia" w:hAnsi="仿宋"/>
          <w:sz w:val="32"/>
          <w:szCs w:val="32"/>
          <w:lang w:eastAsia="zh-CN"/>
        </w:rPr>
        <w:t>第三方机构</w:t>
      </w:r>
      <w:r>
        <w:rPr>
          <w:rFonts w:hint="eastAsia" w:ascii="仿宋_GB2312" w:hAnsi="仿宋"/>
          <w:sz w:val="32"/>
          <w:szCs w:val="32"/>
        </w:rPr>
        <w:t>对2024年度</w:t>
      </w:r>
      <w:r>
        <w:rPr>
          <w:rFonts w:hint="eastAsia" w:ascii="仿宋_GB2312" w:hAnsi="微软雅黑" w:cs="宋体"/>
          <w:kern w:val="0"/>
          <w:sz w:val="32"/>
          <w:szCs w:val="32"/>
        </w:rPr>
        <w:t>土壤和农业农村污染防治综合支撑项目</w:t>
      </w:r>
      <w:r>
        <w:rPr>
          <w:rFonts w:ascii="仿宋_GB2312" w:hAnsi="仿宋"/>
          <w:sz w:val="32"/>
          <w:szCs w:val="32"/>
        </w:rPr>
        <w:t>开展绩效评价。本次评价围绕决策、过程、产出及效益</w:t>
      </w:r>
      <w:r>
        <w:rPr>
          <w:rFonts w:hint="eastAsia" w:ascii="仿宋_GB2312" w:hAnsi="仿宋"/>
          <w:sz w:val="32"/>
          <w:szCs w:val="32"/>
        </w:rPr>
        <w:t>四个</w:t>
      </w:r>
      <w:r>
        <w:rPr>
          <w:rFonts w:ascii="仿宋_GB2312" w:hAnsi="仿宋"/>
          <w:sz w:val="32"/>
          <w:szCs w:val="32"/>
        </w:rPr>
        <w:t>维度，总结经验，发现问题，剖析原因，提出改进建议，为相关部门科学决策、规范管理提供参考，提高财政资金配置效率和使用效益。</w:t>
      </w:r>
    </w:p>
    <w:p w14:paraId="1AF0D64E">
      <w:pPr>
        <w:adjustRightInd w:val="0"/>
        <w:snapToGrid w:val="0"/>
        <w:spacing w:line="560" w:lineRule="exact"/>
        <w:ind w:firstLine="640" w:firstLineChars="200"/>
        <w:outlineLvl w:val="1"/>
        <w:rPr>
          <w:rFonts w:ascii="楷体_GB2312" w:eastAsia="楷体_GB2312"/>
          <w:sz w:val="32"/>
          <w:szCs w:val="32"/>
        </w:rPr>
      </w:pPr>
      <w:bookmarkStart w:id="30" w:name="_Toc12526"/>
      <w:bookmarkStart w:id="31" w:name="_Toc8449"/>
      <w:bookmarkStart w:id="32" w:name="_Toc25906"/>
      <w:r>
        <w:rPr>
          <w:rFonts w:hint="eastAsia" w:ascii="楷体_GB2312" w:eastAsia="楷体_GB2312"/>
          <w:sz w:val="32"/>
          <w:szCs w:val="32"/>
        </w:rPr>
        <w:t>（二）</w:t>
      </w:r>
      <w:bookmarkEnd w:id="28"/>
      <w:bookmarkEnd w:id="29"/>
      <w:bookmarkEnd w:id="30"/>
      <w:r>
        <w:rPr>
          <w:rFonts w:hint="eastAsia" w:ascii="楷体_GB2312" w:eastAsia="楷体_GB2312"/>
          <w:sz w:val="32"/>
          <w:szCs w:val="32"/>
        </w:rPr>
        <w:t>绩效评价原则、评价指标体系（附表说明）、评价方法、评价标准等</w:t>
      </w:r>
      <w:bookmarkEnd w:id="31"/>
      <w:bookmarkEnd w:id="32"/>
    </w:p>
    <w:p w14:paraId="5B587F12">
      <w:pPr>
        <w:adjustRightInd w:val="0"/>
        <w:snapToGrid w:val="0"/>
        <w:spacing w:line="560" w:lineRule="exact"/>
        <w:ind w:firstLine="640" w:firstLineChars="200"/>
        <w:rPr>
          <w:rFonts w:ascii="仿宋_GB2312" w:hAnsi="宋体"/>
          <w:bCs/>
          <w:color w:val="000000"/>
          <w:sz w:val="32"/>
          <w:szCs w:val="32"/>
        </w:rPr>
      </w:pPr>
      <w:bookmarkStart w:id="33" w:name="_Toc313007030"/>
      <w:r>
        <w:rPr>
          <w:rFonts w:hint="eastAsia" w:ascii="仿宋_GB2312" w:hAnsi="宋体"/>
          <w:bCs/>
          <w:color w:val="000000"/>
          <w:sz w:val="32"/>
          <w:szCs w:val="32"/>
        </w:rPr>
        <w:t>1.绩效评价原则</w:t>
      </w:r>
    </w:p>
    <w:p w14:paraId="27B94EDE">
      <w:pPr>
        <w:adjustRightInd w:val="0"/>
        <w:snapToGrid w:val="0"/>
        <w:spacing w:line="560" w:lineRule="exact"/>
        <w:ind w:firstLine="640" w:firstLineChars="200"/>
        <w:rPr>
          <w:rFonts w:ascii="仿宋_GB2312" w:hAnsi="楷体"/>
          <w:bCs/>
          <w:sz w:val="32"/>
          <w:szCs w:val="32"/>
        </w:rPr>
      </w:pPr>
      <w:r>
        <w:rPr>
          <w:rFonts w:hint="eastAsia" w:ascii="仿宋_GB2312" w:hAnsi="楷体"/>
          <w:bCs/>
          <w:sz w:val="32"/>
          <w:szCs w:val="32"/>
        </w:rPr>
        <w:t>（1）公开透明原则。评价依据和程序公开。</w:t>
      </w:r>
    </w:p>
    <w:p w14:paraId="0D56687F">
      <w:pPr>
        <w:adjustRightInd w:val="0"/>
        <w:snapToGrid w:val="0"/>
        <w:spacing w:line="560" w:lineRule="exact"/>
        <w:ind w:firstLine="640" w:firstLineChars="200"/>
        <w:rPr>
          <w:rFonts w:ascii="仿宋_GB2312" w:hAnsi="楷体"/>
          <w:bCs/>
          <w:sz w:val="32"/>
          <w:szCs w:val="32"/>
        </w:rPr>
      </w:pPr>
      <w:r>
        <w:rPr>
          <w:rFonts w:hint="eastAsia" w:ascii="仿宋_GB2312" w:hAnsi="楷体"/>
          <w:bCs/>
          <w:sz w:val="32"/>
          <w:szCs w:val="32"/>
        </w:rPr>
        <w:t>（2）客观公正原则。以</w:t>
      </w:r>
      <w:r>
        <w:rPr>
          <w:rFonts w:hint="eastAsia" w:ascii="仿宋_GB2312" w:hAnsi="仿宋"/>
          <w:sz w:val="32"/>
          <w:szCs w:val="32"/>
        </w:rPr>
        <w:t>事实</w:t>
      </w:r>
      <w:r>
        <w:rPr>
          <w:rFonts w:hint="eastAsia" w:ascii="仿宋_GB2312" w:hAnsi="楷体"/>
          <w:bCs/>
          <w:sz w:val="32"/>
          <w:szCs w:val="32"/>
        </w:rPr>
        <w:t>为依据，用数据说话。</w:t>
      </w:r>
    </w:p>
    <w:p w14:paraId="24ED6A5C">
      <w:pPr>
        <w:adjustRightInd w:val="0"/>
        <w:snapToGrid w:val="0"/>
        <w:spacing w:line="560" w:lineRule="exact"/>
        <w:ind w:firstLine="640" w:firstLineChars="200"/>
        <w:rPr>
          <w:rFonts w:ascii="仿宋_GB2312" w:hAnsi="楷体"/>
          <w:bCs/>
          <w:sz w:val="32"/>
          <w:szCs w:val="32"/>
        </w:rPr>
      </w:pPr>
      <w:r>
        <w:rPr>
          <w:rFonts w:hint="eastAsia" w:ascii="仿宋_GB2312" w:hAnsi="楷体"/>
          <w:bCs/>
          <w:sz w:val="32"/>
          <w:szCs w:val="32"/>
        </w:rPr>
        <w:t>（3）重点突出原则。选择与单位业务密切相关、资金量大、与公众利益密切相关的项目进行抽样调查和重点评价。</w:t>
      </w:r>
    </w:p>
    <w:p w14:paraId="13970C95">
      <w:pPr>
        <w:adjustRightInd w:val="0"/>
        <w:snapToGrid w:val="0"/>
        <w:spacing w:line="560" w:lineRule="exact"/>
        <w:ind w:firstLine="640" w:firstLineChars="200"/>
        <w:rPr>
          <w:rFonts w:ascii="仿宋_GB2312" w:hAnsi="楷体"/>
          <w:bCs/>
          <w:sz w:val="32"/>
          <w:szCs w:val="32"/>
        </w:rPr>
      </w:pPr>
      <w:r>
        <w:rPr>
          <w:rFonts w:hint="eastAsia" w:ascii="仿宋_GB2312" w:hAnsi="楷体"/>
          <w:bCs/>
          <w:sz w:val="32"/>
          <w:szCs w:val="32"/>
        </w:rPr>
        <w:t>（4）可操作性原则。根据</w:t>
      </w:r>
      <w:r>
        <w:rPr>
          <w:rFonts w:hint="eastAsia" w:ascii="仿宋_GB2312" w:hAnsi="仿宋"/>
          <w:sz w:val="32"/>
          <w:szCs w:val="32"/>
        </w:rPr>
        <w:t>资金</w:t>
      </w:r>
      <w:r>
        <w:rPr>
          <w:rFonts w:hint="eastAsia" w:ascii="仿宋_GB2312" w:hAnsi="楷体"/>
          <w:bCs/>
          <w:sz w:val="32"/>
          <w:szCs w:val="32"/>
        </w:rPr>
        <w:t>用途和管理要求，合理设置评价指标。指标体系具体、明晰、易于操作。</w:t>
      </w:r>
    </w:p>
    <w:p w14:paraId="726E278C">
      <w:pPr>
        <w:adjustRightInd w:val="0"/>
        <w:snapToGrid w:val="0"/>
        <w:spacing w:line="560" w:lineRule="exact"/>
        <w:ind w:firstLine="640" w:firstLineChars="200"/>
        <w:rPr>
          <w:rFonts w:ascii="仿宋_GB2312" w:hAnsi="楷体"/>
          <w:bCs/>
          <w:sz w:val="32"/>
          <w:szCs w:val="32"/>
        </w:rPr>
      </w:pPr>
      <w:r>
        <w:rPr>
          <w:rFonts w:hint="eastAsia" w:ascii="仿宋_GB2312" w:hAnsi="楷体"/>
          <w:bCs/>
          <w:sz w:val="32"/>
          <w:szCs w:val="32"/>
        </w:rPr>
        <w:t>（5）科学合理原则。评价指标以定量为主，结合定性分析，达到数据可靠、方法合理。</w:t>
      </w:r>
    </w:p>
    <w:p w14:paraId="4BFF1765">
      <w:pPr>
        <w:adjustRightInd w:val="0"/>
        <w:snapToGrid w:val="0"/>
        <w:spacing w:line="560" w:lineRule="exact"/>
        <w:ind w:firstLine="640" w:firstLineChars="200"/>
        <w:rPr>
          <w:rFonts w:ascii="仿宋_GB2312" w:hAnsi="宋体"/>
          <w:bCs/>
          <w:color w:val="000000"/>
          <w:sz w:val="32"/>
          <w:szCs w:val="32"/>
        </w:rPr>
      </w:pPr>
      <w:r>
        <w:rPr>
          <w:rFonts w:hint="eastAsia" w:ascii="仿宋_GB2312" w:hAnsi="宋体"/>
          <w:bCs/>
          <w:color w:val="000000"/>
          <w:sz w:val="32"/>
          <w:szCs w:val="32"/>
        </w:rPr>
        <w:t>2.评价指标体系及评价标准</w:t>
      </w:r>
    </w:p>
    <w:p w14:paraId="65F367A5">
      <w:pPr>
        <w:adjustRightInd w:val="0"/>
        <w:snapToGrid w:val="0"/>
        <w:spacing w:line="560" w:lineRule="exact"/>
        <w:ind w:firstLine="640" w:firstLineChars="200"/>
        <w:rPr>
          <w:rFonts w:ascii="仿宋_GB2312" w:hAnsi="宋体"/>
          <w:bCs/>
          <w:sz w:val="32"/>
          <w:szCs w:val="32"/>
        </w:rPr>
      </w:pPr>
      <w:r>
        <w:rPr>
          <w:rFonts w:hint="eastAsia" w:ascii="仿宋_GB2312" w:hAnsi="宋体"/>
          <w:bCs/>
          <w:sz w:val="32"/>
          <w:szCs w:val="32"/>
        </w:rPr>
        <w:t>根据</w:t>
      </w:r>
      <w:r>
        <w:rPr>
          <w:rFonts w:hint="eastAsia" w:ascii="仿宋_GB2312" w:hAnsi="仿宋"/>
          <w:sz w:val="32"/>
          <w:szCs w:val="32"/>
        </w:rPr>
        <w:t>京财绩效2146号</w:t>
      </w:r>
      <w:r>
        <w:rPr>
          <w:rFonts w:hint="eastAsia" w:ascii="仿宋_GB2312" w:hAnsi="宋体"/>
          <w:bCs/>
          <w:sz w:val="32"/>
          <w:szCs w:val="32"/>
        </w:rPr>
        <w:t>文件的相关精神，结合项目特点，在与专家组、项目单位充分协商的基础上，评价机构细化了项目的绩效评价指标体系和评价标准，详见附件1。</w:t>
      </w:r>
      <w:r>
        <w:rPr>
          <w:rFonts w:hint="eastAsia" w:ascii="仿宋_GB2312"/>
          <w:sz w:val="32"/>
          <w:szCs w:val="32"/>
        </w:rPr>
        <w:t>评价指标体系总分值为100分，其中项目决策1</w:t>
      </w:r>
      <w:r>
        <w:rPr>
          <w:rFonts w:ascii="仿宋_GB2312"/>
          <w:sz w:val="32"/>
          <w:szCs w:val="32"/>
        </w:rPr>
        <w:t>0</w:t>
      </w:r>
      <w:r>
        <w:rPr>
          <w:rFonts w:hint="eastAsia" w:ascii="仿宋_GB2312"/>
          <w:sz w:val="32"/>
          <w:szCs w:val="32"/>
        </w:rPr>
        <w:t>分，项目过程</w:t>
      </w:r>
      <w:r>
        <w:rPr>
          <w:rFonts w:ascii="仿宋_GB2312"/>
          <w:sz w:val="32"/>
          <w:szCs w:val="32"/>
        </w:rPr>
        <w:t>20</w:t>
      </w:r>
      <w:r>
        <w:rPr>
          <w:rFonts w:hint="eastAsia" w:ascii="仿宋_GB2312"/>
          <w:sz w:val="32"/>
          <w:szCs w:val="32"/>
        </w:rPr>
        <w:t>分，项目产出4</w:t>
      </w:r>
      <w:r>
        <w:rPr>
          <w:rFonts w:ascii="仿宋_GB2312"/>
          <w:sz w:val="32"/>
          <w:szCs w:val="32"/>
        </w:rPr>
        <w:t>0</w:t>
      </w:r>
      <w:r>
        <w:rPr>
          <w:rFonts w:hint="eastAsia" w:ascii="仿宋_GB2312"/>
          <w:sz w:val="32"/>
          <w:szCs w:val="32"/>
        </w:rPr>
        <w:t>分，项目效益3</w:t>
      </w:r>
      <w:r>
        <w:rPr>
          <w:rFonts w:ascii="仿宋_GB2312"/>
          <w:sz w:val="32"/>
          <w:szCs w:val="32"/>
        </w:rPr>
        <w:t>0</w:t>
      </w:r>
      <w:r>
        <w:rPr>
          <w:rFonts w:hint="eastAsia" w:ascii="仿宋_GB2312"/>
          <w:sz w:val="32"/>
          <w:szCs w:val="32"/>
        </w:rPr>
        <w:t>分。</w:t>
      </w:r>
      <w:r>
        <w:rPr>
          <w:rFonts w:hint="eastAsia" w:ascii="仿宋_GB2312" w:hAnsi="宋体"/>
          <w:bCs/>
          <w:sz w:val="32"/>
          <w:szCs w:val="32"/>
        </w:rPr>
        <w:t>绩效评价综合绩效级别分为4个等级：</w:t>
      </w:r>
    </w:p>
    <w:p w14:paraId="28E17F35">
      <w:pPr>
        <w:adjustRightInd w:val="0"/>
        <w:snapToGrid w:val="0"/>
        <w:spacing w:line="560" w:lineRule="exact"/>
        <w:ind w:firstLine="640" w:firstLineChars="200"/>
        <w:rPr>
          <w:rFonts w:ascii="仿宋_GB2312" w:hAnsi="仿宋_GB2312" w:cs="仿宋_GB2312"/>
          <w:color w:val="000000"/>
          <w:sz w:val="32"/>
          <w:szCs w:val="32"/>
        </w:rPr>
      </w:pPr>
      <w:r>
        <w:rPr>
          <w:rFonts w:hint="eastAsia" w:ascii="仿宋_GB2312" w:hAnsi="宋体"/>
          <w:bCs/>
          <w:sz w:val="32"/>
          <w:szCs w:val="32"/>
        </w:rPr>
        <w:t>综合得分在90（含）-100分为优；</w:t>
      </w:r>
    </w:p>
    <w:p w14:paraId="15DF5419">
      <w:pPr>
        <w:adjustRightInd w:val="0"/>
        <w:snapToGrid w:val="0"/>
        <w:spacing w:line="560" w:lineRule="exact"/>
        <w:ind w:firstLine="640" w:firstLineChars="200"/>
        <w:rPr>
          <w:rFonts w:ascii="仿宋_GB2312" w:hAnsi="宋体"/>
          <w:bCs/>
          <w:sz w:val="32"/>
          <w:szCs w:val="32"/>
        </w:rPr>
      </w:pPr>
      <w:r>
        <w:rPr>
          <w:rFonts w:hint="eastAsia" w:ascii="仿宋_GB2312" w:hAnsi="宋体"/>
          <w:bCs/>
          <w:sz w:val="32"/>
          <w:szCs w:val="32"/>
        </w:rPr>
        <w:t>综合得分在</w:t>
      </w:r>
      <w:r>
        <w:rPr>
          <w:rFonts w:ascii="仿宋_GB2312" w:hAnsi="宋体"/>
          <w:bCs/>
          <w:sz w:val="32"/>
          <w:szCs w:val="32"/>
        </w:rPr>
        <w:t>80</w:t>
      </w:r>
      <w:r>
        <w:rPr>
          <w:rFonts w:hint="eastAsia" w:ascii="仿宋_GB2312" w:hAnsi="宋体"/>
          <w:bCs/>
          <w:sz w:val="32"/>
          <w:szCs w:val="32"/>
        </w:rPr>
        <w:t>（含）-90分为良；</w:t>
      </w:r>
    </w:p>
    <w:p w14:paraId="0FB94119">
      <w:pPr>
        <w:adjustRightInd w:val="0"/>
        <w:snapToGrid w:val="0"/>
        <w:spacing w:line="560" w:lineRule="exact"/>
        <w:ind w:firstLine="640" w:firstLineChars="200"/>
        <w:rPr>
          <w:rFonts w:ascii="仿宋_GB2312" w:hAnsi="宋体"/>
          <w:bCs/>
          <w:sz w:val="32"/>
          <w:szCs w:val="32"/>
        </w:rPr>
      </w:pPr>
      <w:r>
        <w:rPr>
          <w:rFonts w:hint="eastAsia" w:ascii="仿宋_GB2312" w:hAnsi="宋体"/>
          <w:bCs/>
          <w:sz w:val="32"/>
          <w:szCs w:val="32"/>
        </w:rPr>
        <w:t>综合得分在60（含）-</w:t>
      </w:r>
      <w:r>
        <w:rPr>
          <w:rFonts w:ascii="仿宋_GB2312" w:hAnsi="宋体"/>
          <w:bCs/>
          <w:sz w:val="32"/>
          <w:szCs w:val="32"/>
        </w:rPr>
        <w:t>80</w:t>
      </w:r>
      <w:r>
        <w:rPr>
          <w:rFonts w:hint="eastAsia" w:ascii="仿宋_GB2312" w:hAnsi="宋体"/>
          <w:bCs/>
          <w:sz w:val="32"/>
          <w:szCs w:val="32"/>
        </w:rPr>
        <w:t>分为中；</w:t>
      </w:r>
    </w:p>
    <w:p w14:paraId="79524C1B">
      <w:pPr>
        <w:adjustRightInd w:val="0"/>
        <w:snapToGrid w:val="0"/>
        <w:spacing w:line="560" w:lineRule="exact"/>
        <w:ind w:firstLine="640" w:firstLineChars="200"/>
        <w:rPr>
          <w:rFonts w:ascii="仿宋_GB2312" w:hAnsi="宋体"/>
          <w:bCs/>
          <w:sz w:val="32"/>
          <w:szCs w:val="32"/>
        </w:rPr>
      </w:pPr>
      <w:r>
        <w:rPr>
          <w:rFonts w:hint="eastAsia" w:ascii="仿宋_GB2312" w:hAnsi="宋体"/>
          <w:bCs/>
          <w:sz w:val="32"/>
          <w:szCs w:val="32"/>
        </w:rPr>
        <w:t>综合得分在60分以下为较差。</w:t>
      </w:r>
    </w:p>
    <w:p w14:paraId="2A876CC8">
      <w:pPr>
        <w:adjustRightInd w:val="0"/>
        <w:snapToGrid w:val="0"/>
        <w:spacing w:line="560" w:lineRule="exact"/>
        <w:ind w:firstLine="640" w:firstLineChars="200"/>
        <w:rPr>
          <w:rFonts w:ascii="仿宋_GB2312" w:hAnsi="宋体"/>
          <w:bCs/>
          <w:sz w:val="32"/>
          <w:szCs w:val="32"/>
        </w:rPr>
      </w:pPr>
      <w:r>
        <w:rPr>
          <w:rFonts w:hint="eastAsia" w:ascii="仿宋_GB2312" w:hAnsi="宋体"/>
          <w:bCs/>
          <w:sz w:val="32"/>
          <w:szCs w:val="32"/>
        </w:rPr>
        <w:t>3</w:t>
      </w:r>
      <w:r>
        <w:rPr>
          <w:rFonts w:ascii="仿宋_GB2312" w:hAnsi="宋体"/>
          <w:bCs/>
          <w:sz w:val="32"/>
          <w:szCs w:val="32"/>
        </w:rPr>
        <w:t>.</w:t>
      </w:r>
      <w:r>
        <w:rPr>
          <w:rFonts w:hint="eastAsia" w:ascii="仿宋_GB2312" w:hAnsi="宋体"/>
          <w:bCs/>
          <w:sz w:val="32"/>
          <w:szCs w:val="32"/>
        </w:rPr>
        <w:t>评价方法</w:t>
      </w:r>
    </w:p>
    <w:p w14:paraId="1C319B53">
      <w:pPr>
        <w:adjustRightInd w:val="0"/>
        <w:snapToGrid w:val="0"/>
        <w:spacing w:line="560" w:lineRule="exact"/>
        <w:ind w:firstLine="640" w:firstLineChars="200"/>
        <w:rPr>
          <w:rFonts w:ascii="仿宋_GB2312"/>
          <w:sz w:val="32"/>
          <w:szCs w:val="32"/>
        </w:rPr>
      </w:pPr>
      <w:r>
        <w:rPr>
          <w:rFonts w:hint="eastAsia" w:ascii="仿宋_GB2312"/>
          <w:sz w:val="32"/>
          <w:szCs w:val="32"/>
        </w:rPr>
        <w:t>常用的评价方法主要包括成本效益分析法、比较法、因素分析法、最低成本法、公众评判法、标杆管理法等。根据此次评价对象的具体情况，主要采用比较法、因素分析法、公众评判法</w:t>
      </w:r>
      <w:r>
        <w:rPr>
          <w:rFonts w:hint="eastAsia" w:ascii="仿宋_GB2312"/>
          <w:color w:val="000000"/>
          <w:sz w:val="32"/>
          <w:szCs w:val="32"/>
        </w:rPr>
        <w:t>等评价方法</w:t>
      </w:r>
      <w:r>
        <w:rPr>
          <w:rFonts w:hint="eastAsia" w:ascii="仿宋_GB2312"/>
          <w:sz w:val="32"/>
          <w:szCs w:val="32"/>
        </w:rPr>
        <w:t>。</w:t>
      </w:r>
    </w:p>
    <w:p w14:paraId="4ACEFB09">
      <w:pPr>
        <w:adjustRightInd w:val="0"/>
        <w:snapToGrid w:val="0"/>
        <w:spacing w:line="560" w:lineRule="exact"/>
        <w:ind w:firstLine="640" w:firstLineChars="200"/>
        <w:rPr>
          <w:rFonts w:ascii="仿宋_GB2312"/>
          <w:sz w:val="32"/>
          <w:szCs w:val="32"/>
        </w:rPr>
      </w:pPr>
      <w:r>
        <w:rPr>
          <w:rFonts w:hint="eastAsia" w:ascii="仿宋_GB2312"/>
          <w:sz w:val="32"/>
          <w:szCs w:val="32"/>
        </w:rPr>
        <w:t>（1）比较法。将项目</w:t>
      </w:r>
      <w:r>
        <w:rPr>
          <w:rFonts w:hint="eastAsia" w:ascii="仿宋_GB2312" w:hAnsi="宋体"/>
          <w:bCs/>
          <w:sz w:val="32"/>
          <w:szCs w:val="32"/>
        </w:rPr>
        <w:t>实施</w:t>
      </w:r>
      <w:r>
        <w:rPr>
          <w:rFonts w:hint="eastAsia" w:ascii="仿宋_GB2312"/>
          <w:sz w:val="32"/>
          <w:szCs w:val="32"/>
        </w:rPr>
        <w:t>情况与绩效目标、历史情况进行比较的方法。</w:t>
      </w:r>
    </w:p>
    <w:p w14:paraId="20A86315">
      <w:pPr>
        <w:adjustRightInd w:val="0"/>
        <w:snapToGrid w:val="0"/>
        <w:spacing w:line="560" w:lineRule="exact"/>
        <w:ind w:firstLine="640" w:firstLineChars="200"/>
        <w:rPr>
          <w:rFonts w:ascii="仿宋_GB2312"/>
          <w:sz w:val="32"/>
          <w:szCs w:val="32"/>
        </w:rPr>
      </w:pPr>
      <w:r>
        <w:rPr>
          <w:rFonts w:hint="eastAsia" w:ascii="仿宋_GB2312"/>
          <w:sz w:val="32"/>
          <w:szCs w:val="32"/>
        </w:rPr>
        <w:t>（2）因素分析法。</w:t>
      </w:r>
      <w:r>
        <w:rPr>
          <w:rFonts w:hint="eastAsia" w:ascii="仿宋_GB2312" w:hAnsi="宋体"/>
          <w:bCs/>
          <w:sz w:val="32"/>
          <w:szCs w:val="32"/>
        </w:rPr>
        <w:t>综合</w:t>
      </w:r>
      <w:r>
        <w:rPr>
          <w:rFonts w:hint="eastAsia" w:ascii="仿宋_GB2312"/>
          <w:sz w:val="32"/>
          <w:szCs w:val="32"/>
        </w:rPr>
        <w:t>分析影响绩效目标实现、实施效果的内外部因素的方法。</w:t>
      </w:r>
      <w:bookmarkEnd w:id="33"/>
      <w:bookmarkStart w:id="34" w:name="_Toc6909"/>
      <w:bookmarkStart w:id="35" w:name="_Toc313007032"/>
      <w:bookmarkStart w:id="36" w:name="_Toc2895"/>
      <w:bookmarkStart w:id="37" w:name="_Toc35588404"/>
    </w:p>
    <w:p w14:paraId="55337C32">
      <w:pPr>
        <w:adjustRightInd w:val="0"/>
        <w:snapToGrid w:val="0"/>
        <w:spacing w:line="560" w:lineRule="exact"/>
        <w:ind w:firstLine="640" w:firstLineChars="200"/>
        <w:rPr>
          <w:rFonts w:ascii="方正仿宋_GB2312" w:eastAsia="方正仿宋_GB2312"/>
          <w:color w:val="000000"/>
          <w:sz w:val="32"/>
          <w:szCs w:val="32"/>
        </w:rPr>
      </w:pPr>
      <w:r>
        <w:rPr>
          <w:rFonts w:hint="eastAsia" w:ascii="仿宋_GB2312"/>
          <w:sz w:val="32"/>
          <w:szCs w:val="32"/>
        </w:rPr>
        <w:t>（3）公众评判法。通过专家评估方式进行的评判方法。</w:t>
      </w:r>
      <w:bookmarkStart w:id="38" w:name="_Toc24237"/>
    </w:p>
    <w:p w14:paraId="0907EBC2">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（三）绩效评价工作过程</w:t>
      </w:r>
      <w:bookmarkEnd w:id="34"/>
      <w:bookmarkEnd w:id="35"/>
      <w:bookmarkEnd w:id="36"/>
      <w:bookmarkEnd w:id="37"/>
      <w:bookmarkEnd w:id="38"/>
    </w:p>
    <w:p w14:paraId="30BF7281">
      <w:pPr>
        <w:adjustRightInd w:val="0"/>
        <w:snapToGrid w:val="0"/>
        <w:spacing w:line="560" w:lineRule="exact"/>
        <w:ind w:firstLine="640" w:firstLineChars="200"/>
        <w:outlineLvl w:val="2"/>
        <w:rPr>
          <w:rFonts w:ascii="仿宋_GB2312"/>
          <w:bCs/>
          <w:kern w:val="44"/>
          <w:sz w:val="32"/>
          <w:szCs w:val="32"/>
        </w:rPr>
      </w:pPr>
      <w:bookmarkStart w:id="39" w:name="_Toc35588408"/>
      <w:r>
        <w:rPr>
          <w:rFonts w:hint="eastAsia" w:ascii="仿宋_GB2312"/>
          <w:bCs/>
          <w:kern w:val="44"/>
          <w:sz w:val="32"/>
          <w:szCs w:val="32"/>
        </w:rPr>
        <w:t>1.准备阶段</w:t>
      </w:r>
    </w:p>
    <w:p w14:paraId="322EE242">
      <w:pPr>
        <w:widowControl/>
        <w:adjustRightInd w:val="0"/>
        <w:snapToGrid w:val="0"/>
        <w:spacing w:line="560" w:lineRule="exact"/>
        <w:ind w:firstLine="640" w:firstLineChars="200"/>
        <w:rPr>
          <w:rFonts w:ascii="仿宋_GB2312" w:hAnsi="宋体"/>
          <w:sz w:val="32"/>
          <w:szCs w:val="32"/>
        </w:rPr>
      </w:pPr>
      <w:r>
        <w:rPr>
          <w:rFonts w:hint="eastAsia" w:ascii="仿宋_GB2312" w:hAnsi="宋体"/>
          <w:sz w:val="32"/>
          <w:szCs w:val="32"/>
        </w:rPr>
        <w:t>评价机构组建了评价工作组，</w:t>
      </w:r>
      <w:r>
        <w:rPr>
          <w:rFonts w:hint="eastAsia" w:ascii="仿宋_GB2312" w:hAnsi="宋体" w:cs="宋体"/>
          <w:color w:val="000000"/>
          <w:kern w:val="0"/>
          <w:sz w:val="32"/>
          <w:szCs w:val="32"/>
        </w:rPr>
        <w:t>辅导项目单位撰写绩效报告、准备资料；</w:t>
      </w:r>
      <w:r>
        <w:rPr>
          <w:rFonts w:hint="eastAsia" w:ascii="仿宋_GB2312" w:hAnsi="宋体"/>
          <w:sz w:val="32"/>
          <w:szCs w:val="32"/>
        </w:rPr>
        <w:t>在与项目单位充分沟通的基础上进行项目资料收集、整理和分析工作；</w:t>
      </w:r>
      <w:r>
        <w:rPr>
          <w:rFonts w:hint="eastAsia" w:ascii="仿宋_GB2312" w:hAnsi="宋体" w:cs="宋体"/>
          <w:color w:val="000000"/>
          <w:kern w:val="0"/>
          <w:sz w:val="32"/>
          <w:szCs w:val="32"/>
        </w:rPr>
        <w:t>辅导项目单位完善绩效报告，形成绩效报告终稿；完成专家遴选、专家培训等相关工作，组建绩效评价专家组，</w:t>
      </w:r>
      <w:r>
        <w:rPr>
          <w:rFonts w:hint="eastAsia" w:ascii="仿宋_GB2312" w:hAnsi="宋体"/>
          <w:sz w:val="32"/>
          <w:szCs w:val="32"/>
        </w:rPr>
        <w:t>包括2名业务专家、2名绩效管理专家、1名财务专家。</w:t>
      </w:r>
    </w:p>
    <w:p w14:paraId="2B93C37B">
      <w:pPr>
        <w:adjustRightInd w:val="0"/>
        <w:snapToGrid w:val="0"/>
        <w:spacing w:line="560" w:lineRule="exact"/>
        <w:ind w:firstLine="640" w:firstLineChars="200"/>
        <w:outlineLvl w:val="2"/>
        <w:rPr>
          <w:rFonts w:ascii="仿宋_GB2312"/>
          <w:bCs/>
          <w:kern w:val="44"/>
          <w:sz w:val="32"/>
          <w:szCs w:val="32"/>
        </w:rPr>
      </w:pPr>
      <w:r>
        <w:rPr>
          <w:rFonts w:hint="eastAsia" w:ascii="仿宋_GB2312"/>
          <w:bCs/>
          <w:kern w:val="44"/>
          <w:sz w:val="32"/>
          <w:szCs w:val="32"/>
        </w:rPr>
        <w:t>2.实施阶段</w:t>
      </w:r>
    </w:p>
    <w:p w14:paraId="25A72AC0">
      <w:pPr>
        <w:adjustRightInd w:val="0"/>
        <w:snapToGrid w:val="0"/>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在资料收集和整理分析的基础上，评价工作组于2025年5月7日组织召开专家评价会。专家组通过听取汇报、质询、查阅资料等方式，了解项目的执行情况，对项目进行了综合评价，出具评价意见。</w:t>
      </w:r>
    </w:p>
    <w:p w14:paraId="50B521F7">
      <w:pPr>
        <w:adjustRightInd w:val="0"/>
        <w:snapToGrid w:val="0"/>
        <w:spacing w:line="560" w:lineRule="exact"/>
        <w:ind w:firstLine="640" w:firstLineChars="200"/>
        <w:outlineLvl w:val="2"/>
        <w:rPr>
          <w:rFonts w:ascii="仿宋_GB2312"/>
          <w:bCs/>
          <w:kern w:val="44"/>
          <w:sz w:val="32"/>
          <w:szCs w:val="32"/>
        </w:rPr>
      </w:pPr>
      <w:r>
        <w:rPr>
          <w:rFonts w:hint="eastAsia" w:ascii="仿宋_GB2312"/>
          <w:bCs/>
          <w:kern w:val="44"/>
          <w:sz w:val="32"/>
          <w:szCs w:val="32"/>
        </w:rPr>
        <w:t>3.评价分析阶段</w:t>
      </w:r>
    </w:p>
    <w:p w14:paraId="054F3525">
      <w:pPr>
        <w:adjustRightInd w:val="0"/>
        <w:snapToGrid w:val="0"/>
        <w:spacing w:line="560" w:lineRule="exact"/>
        <w:ind w:firstLine="640" w:firstLineChars="200"/>
        <w:rPr>
          <w:rFonts w:ascii="黑体" w:eastAsia="黑体"/>
          <w:color w:val="000000"/>
          <w:sz w:val="32"/>
          <w:szCs w:val="32"/>
        </w:rPr>
      </w:pPr>
      <w:r>
        <w:rPr>
          <w:rFonts w:hint="eastAsia" w:ascii="仿宋_GB2312" w:hAnsi="宋体"/>
          <w:sz w:val="32"/>
          <w:szCs w:val="32"/>
        </w:rPr>
        <w:t>评价工作组根据收集到的项目相关资料以及专家组意见，对项目决策、过程、产出及效益情况进行综合分析，按照规定的文本格式和内容撰写绩效评价报告初稿并征求意见，根据反馈意见，修改形成绩效评价报告正式稿，报送市生态环境局。</w:t>
      </w:r>
      <w:bookmarkStart w:id="40" w:name="_Toc24074"/>
      <w:bookmarkStart w:id="41" w:name="_Toc10067"/>
      <w:bookmarkStart w:id="42" w:name="_Toc9790"/>
    </w:p>
    <w:p w14:paraId="2729FCF9">
      <w:pPr>
        <w:adjustRightInd w:val="0"/>
        <w:snapToGrid w:val="0"/>
        <w:spacing w:line="560" w:lineRule="exact"/>
        <w:ind w:firstLine="640" w:firstLineChars="200"/>
        <w:outlineLvl w:val="0"/>
        <w:rPr>
          <w:rFonts w:ascii="黑体" w:eastAsia="黑体"/>
          <w:color w:val="000000"/>
          <w:sz w:val="32"/>
          <w:szCs w:val="32"/>
        </w:rPr>
      </w:pPr>
      <w:r>
        <w:rPr>
          <w:rFonts w:hint="eastAsia" w:ascii="黑体" w:eastAsia="黑体"/>
          <w:color w:val="000000"/>
          <w:sz w:val="32"/>
          <w:szCs w:val="32"/>
        </w:rPr>
        <w:t>三、综合评价情况及评价结论</w:t>
      </w:r>
      <w:bookmarkEnd w:id="39"/>
      <w:bookmarkEnd w:id="40"/>
      <w:bookmarkEnd w:id="41"/>
      <w:bookmarkEnd w:id="42"/>
    </w:p>
    <w:p w14:paraId="23581BD9">
      <w:pPr>
        <w:adjustRightInd w:val="0"/>
        <w:snapToGrid w:val="0"/>
        <w:spacing w:line="560" w:lineRule="exact"/>
        <w:ind w:firstLine="640" w:firstLineChars="200"/>
        <w:rPr>
          <w:sz w:val="32"/>
          <w:szCs w:val="32"/>
        </w:rPr>
      </w:pPr>
      <w:r>
        <w:rPr>
          <w:sz w:val="32"/>
          <w:szCs w:val="32"/>
        </w:rPr>
        <w:t>项目</w:t>
      </w:r>
      <w:r>
        <w:rPr>
          <w:rFonts w:hint="eastAsia"/>
          <w:sz w:val="32"/>
          <w:szCs w:val="32"/>
        </w:rPr>
        <w:t>通过开展</w:t>
      </w:r>
      <w:r>
        <w:rPr>
          <w:rFonts w:hint="eastAsia" w:ascii="仿宋_GB2312" w:hAnsi="仿宋_GB2312" w:cs="仿宋_GB2312"/>
          <w:sz w:val="32"/>
          <w:szCs w:val="32"/>
        </w:rPr>
        <w:t>北京市农村环境整治成效评估</w:t>
      </w:r>
      <w:r>
        <w:rPr>
          <w:rFonts w:hint="eastAsia"/>
          <w:sz w:val="32"/>
          <w:szCs w:val="32"/>
        </w:rPr>
        <w:t>，实地抽查农村环境状况，了解农村环境整治实际情况，及时发现、反馈并解决农村环境问题，改善农村生态环境；按季度开展土壤污染防治综合评估、建设用地土壤污染状况调查报告抽查等工作，持续巩固提升北京市土壤污染防治成效，促进土壤资源永续利用；试点调查北京市农用地土壤磷盈余状况，了解试点区（平谷区）农用地土壤磷素的赋存和空间分布特征，防治农业面源污染，提升农用地土壤生态效益；开展全市土壤动物及微生物多功能性调查，进一步掌握北京市土壤生物的多样性及多功能生态现状，及时发现影响北京市土壤健康的关键生物物种，保护土壤生态资源。</w:t>
      </w:r>
    </w:p>
    <w:p w14:paraId="34B3C33F">
      <w:pPr>
        <w:adjustRightInd w:val="0"/>
        <w:snapToGrid w:val="0"/>
        <w:spacing w:line="560" w:lineRule="exact"/>
        <w:ind w:firstLine="640" w:firstLineChars="200"/>
        <w:rPr>
          <w:rFonts w:ascii="仿宋_GB2312" w:hAnsi="仿宋_GB2312" w:cs="仿宋_GB2312"/>
          <w:sz w:val="32"/>
          <w:szCs w:val="32"/>
        </w:rPr>
      </w:pPr>
      <w:r>
        <w:rPr>
          <w:rFonts w:hint="eastAsia" w:cs="仿宋_GB2312"/>
          <w:sz w:val="32"/>
          <w:szCs w:val="32"/>
        </w:rPr>
        <w:t>整体上看，项目立项依据和立项程序较规范，资金管理制度相对健全，基本实现了预期的绩效目标。通过对项目决策、过程、产出、效益四个方面进行评价，项目综合得分</w:t>
      </w:r>
      <w:r>
        <w:rPr>
          <w:rFonts w:hint="eastAsia" w:ascii="仿宋_GB2312" w:hAnsi="仿宋_GB2312" w:cs="仿宋_GB2312"/>
          <w:b/>
          <w:sz w:val="32"/>
          <w:szCs w:val="32"/>
        </w:rPr>
        <w:t>90.18</w:t>
      </w:r>
      <w:r>
        <w:rPr>
          <w:rFonts w:hint="eastAsia" w:ascii="仿宋_GB2312" w:hAnsi="仿宋_GB2312" w:cs="仿宋_GB2312"/>
          <w:sz w:val="32"/>
          <w:szCs w:val="32"/>
        </w:rPr>
        <w:t>分，综合绩效评定结论为“</w:t>
      </w:r>
      <w:r>
        <w:rPr>
          <w:rFonts w:hint="eastAsia" w:ascii="仿宋_GB2312" w:hAnsi="仿宋_GB2312" w:cs="仿宋_GB2312"/>
          <w:b/>
          <w:bCs/>
          <w:sz w:val="32"/>
          <w:szCs w:val="32"/>
        </w:rPr>
        <w:t>优</w:t>
      </w:r>
      <w:r>
        <w:rPr>
          <w:rFonts w:hint="eastAsia" w:ascii="仿宋_GB2312" w:hAnsi="仿宋_GB2312" w:cs="仿宋_GB2312"/>
          <w:sz w:val="32"/>
          <w:szCs w:val="32"/>
        </w:rPr>
        <w:t>”，</w:t>
      </w:r>
      <w:r>
        <w:rPr>
          <w:rFonts w:hint="eastAsia" w:ascii="仿宋_GB2312"/>
          <w:sz w:val="32"/>
          <w:szCs w:val="32"/>
        </w:rPr>
        <w:t>项目评分情况见图1，</w:t>
      </w:r>
      <w:r>
        <w:rPr>
          <w:rFonts w:hint="eastAsia" w:ascii="仿宋_GB2312" w:hAnsi="仿宋_GB2312" w:cs="仿宋_GB2312"/>
          <w:sz w:val="32"/>
          <w:szCs w:val="32"/>
        </w:rPr>
        <w:t>具体评分情况见附件2。</w:t>
      </w:r>
    </w:p>
    <w:p w14:paraId="60779421">
      <w:pPr>
        <w:adjustRightInd w:val="0"/>
        <w:snapToGrid w:val="0"/>
        <w:spacing w:line="360" w:lineRule="auto"/>
        <w:jc w:val="center"/>
        <w:rPr>
          <w:rFonts w:ascii="黑体" w:eastAsia="黑体"/>
          <w:iCs/>
          <w:sz w:val="28"/>
          <w:highlight w:val="yellow"/>
        </w:rPr>
      </w:pPr>
      <w:r>
        <w:pict>
          <v:shape id="_x0000_i1025" o:spt="75" type="#_x0000_t75" style="height:216.75pt;width:382.5pt;" filled="f" o:preferrelative="t" stroked="f" coordsize="21600,2160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">
            <v:path/>
            <v:fill on="f" focussize="0,0"/>
            <v:stroke on="f" joinstyle="miter"/>
            <v:imagedata r:id="rId5" o:title=""/>
            <o:lock v:ext="edit" aspectratio="f"/>
            <w10:wrap type="none"/>
            <w10:anchorlock/>
          </v:shape>
        </w:pict>
      </w:r>
    </w:p>
    <w:p w14:paraId="3D6D6136">
      <w:pPr>
        <w:adjustRightInd w:val="0"/>
        <w:snapToGrid w:val="0"/>
        <w:spacing w:line="360" w:lineRule="auto"/>
        <w:jc w:val="center"/>
        <w:rPr>
          <w:rFonts w:ascii="黑体" w:eastAsia="黑体"/>
          <w:iCs/>
          <w:sz w:val="28"/>
        </w:rPr>
      </w:pPr>
      <w:r>
        <w:rPr>
          <w:rFonts w:hint="eastAsia" w:ascii="黑体" w:eastAsia="黑体"/>
          <w:iCs/>
          <w:sz w:val="28"/>
        </w:rPr>
        <w:t>图1：项目分项绩效评价指标分值及得分情况</w:t>
      </w:r>
      <w:bookmarkStart w:id="43" w:name="_Toc15729"/>
      <w:bookmarkStart w:id="44" w:name="_Toc35588409"/>
    </w:p>
    <w:p w14:paraId="502C36DB">
      <w:pPr>
        <w:adjustRightInd w:val="0"/>
        <w:snapToGrid w:val="0"/>
        <w:spacing w:line="560" w:lineRule="exact"/>
        <w:ind w:firstLine="640" w:firstLineChars="200"/>
        <w:outlineLvl w:val="0"/>
        <w:rPr>
          <w:rFonts w:ascii="黑体" w:eastAsia="黑体"/>
          <w:sz w:val="32"/>
          <w:szCs w:val="32"/>
        </w:rPr>
      </w:pPr>
      <w:bookmarkStart w:id="45" w:name="_Toc3347"/>
      <w:bookmarkStart w:id="46" w:name="_Toc2368"/>
      <w:r>
        <w:rPr>
          <w:rFonts w:hint="eastAsia" w:ascii="黑体" w:eastAsia="黑体"/>
          <w:sz w:val="32"/>
          <w:szCs w:val="32"/>
        </w:rPr>
        <w:t>四、绩效评价指标分析</w:t>
      </w:r>
      <w:bookmarkEnd w:id="43"/>
      <w:bookmarkEnd w:id="44"/>
      <w:bookmarkEnd w:id="45"/>
      <w:bookmarkEnd w:id="46"/>
    </w:p>
    <w:p w14:paraId="0367392E">
      <w:pPr>
        <w:adjustRightInd w:val="0"/>
        <w:snapToGrid w:val="0"/>
        <w:spacing w:line="560" w:lineRule="exact"/>
        <w:ind w:firstLine="640" w:firstLineChars="200"/>
        <w:outlineLvl w:val="1"/>
        <w:rPr>
          <w:rFonts w:ascii="楷体_GB2312" w:eastAsia="楷体_GB2312"/>
          <w:sz w:val="32"/>
          <w:szCs w:val="32"/>
        </w:rPr>
      </w:pPr>
      <w:bookmarkStart w:id="47" w:name="_Toc29140"/>
      <w:bookmarkStart w:id="48" w:name="_Toc3751"/>
      <w:bookmarkStart w:id="49" w:name="_Toc35588410"/>
      <w:bookmarkStart w:id="50" w:name="_Toc24807"/>
      <w:r>
        <w:rPr>
          <w:rFonts w:hint="eastAsia" w:ascii="楷体_GB2312" w:eastAsia="楷体_GB2312"/>
          <w:sz w:val="32"/>
          <w:szCs w:val="32"/>
        </w:rPr>
        <w:t>（一）项目决策情况</w:t>
      </w:r>
      <w:bookmarkEnd w:id="47"/>
      <w:bookmarkEnd w:id="48"/>
      <w:bookmarkEnd w:id="49"/>
      <w:bookmarkEnd w:id="50"/>
    </w:p>
    <w:p w14:paraId="662B4AD7">
      <w:pPr>
        <w:tabs>
          <w:tab w:val="left" w:pos="4065"/>
        </w:tabs>
        <w:adjustRightInd w:val="0"/>
        <w:snapToGrid w:val="0"/>
        <w:spacing w:line="560" w:lineRule="exact"/>
        <w:ind w:firstLine="640" w:firstLineChars="200"/>
        <w:outlineLvl w:val="2"/>
        <w:rPr>
          <w:rFonts w:ascii="仿宋_GB2312"/>
          <w:sz w:val="32"/>
          <w:szCs w:val="32"/>
        </w:rPr>
      </w:pPr>
      <w:bookmarkStart w:id="51" w:name="_Toc35588411"/>
      <w:r>
        <w:rPr>
          <w:rFonts w:hint="eastAsia" w:ascii="仿宋_GB2312"/>
          <w:sz w:val="32"/>
          <w:szCs w:val="32"/>
        </w:rPr>
        <w:t>1.项目立项</w:t>
      </w:r>
      <w:bookmarkEnd w:id="51"/>
    </w:p>
    <w:p w14:paraId="73EE14E6">
      <w:pPr>
        <w:adjustRightInd w:val="0"/>
        <w:snapToGrid w:val="0"/>
        <w:spacing w:line="560" w:lineRule="exact"/>
        <w:ind w:firstLine="640" w:firstLineChars="200"/>
        <w:rPr>
          <w:rFonts w:ascii="仿宋_GB2312"/>
          <w:sz w:val="32"/>
          <w:szCs w:val="32"/>
        </w:rPr>
      </w:pPr>
      <w:r>
        <w:rPr>
          <w:rFonts w:hint="eastAsia" w:ascii="仿宋_GB2312"/>
          <w:sz w:val="32"/>
          <w:szCs w:val="32"/>
        </w:rPr>
        <w:t>（1）立项依据充分性</w:t>
      </w:r>
    </w:p>
    <w:p w14:paraId="263EFFD7">
      <w:pPr>
        <w:adjustRightInd w:val="0"/>
        <w:snapToGrid w:val="0"/>
        <w:spacing w:line="560" w:lineRule="exact"/>
        <w:ind w:firstLine="640" w:firstLineChars="200"/>
        <w:rPr>
          <w:rFonts w:ascii="仿宋_GB2312" w:hAnsi="微软雅黑" w:cs="宋体"/>
          <w:kern w:val="0"/>
          <w:sz w:val="32"/>
          <w:szCs w:val="32"/>
        </w:rPr>
      </w:pPr>
      <w:r>
        <w:rPr>
          <w:rFonts w:hint="eastAsia" w:ascii="仿宋_GB2312" w:hAnsi="微软雅黑" w:cs="宋体"/>
          <w:kern w:val="0"/>
          <w:sz w:val="32"/>
          <w:szCs w:val="32"/>
        </w:rPr>
        <w:t>项目主要依据《中华人民共和国土壤污染防治法》《土壤污染防治行动计划》《土壤污染防治行动计划实施情况评估考核规定（试行）》《农业农村污染治理攻坚战行动方案（2021—2025年）》《农业面源污染治理与监督指导实施方案（试行）》等文件要求设立，旨在统筹推进北京市农村环境整治；推进北京市土壤治理修复进程，落实土壤污染防治工作责任，提升土壤生态功能等，项目立项依据充分。</w:t>
      </w:r>
    </w:p>
    <w:p w14:paraId="35D6B0E9">
      <w:pPr>
        <w:adjustRightInd w:val="0"/>
        <w:snapToGrid w:val="0"/>
        <w:spacing w:line="560" w:lineRule="exact"/>
        <w:ind w:firstLine="640" w:firstLineChars="200"/>
        <w:rPr>
          <w:rFonts w:ascii="仿宋_GB2312" w:hAnsi="微软雅黑" w:cs="宋体"/>
          <w:kern w:val="0"/>
          <w:sz w:val="32"/>
          <w:szCs w:val="32"/>
        </w:rPr>
      </w:pPr>
      <w:r>
        <w:rPr>
          <w:rFonts w:hint="eastAsia" w:ascii="仿宋_GB2312" w:hAnsi="微软雅黑" w:cs="宋体"/>
          <w:kern w:val="0"/>
          <w:sz w:val="32"/>
          <w:szCs w:val="32"/>
        </w:rPr>
        <w:t>项目由市生态环境局具体实施，与其“负责本市土壤污染防治和生态保护的监督管理”“组织指导农村生态环境保护工作，监督指导农业面源污染治理工作”等职责相符。</w:t>
      </w:r>
    </w:p>
    <w:p w14:paraId="12478736">
      <w:pPr>
        <w:adjustRightInd w:val="0"/>
        <w:snapToGrid w:val="0"/>
        <w:spacing w:line="560" w:lineRule="exact"/>
        <w:ind w:firstLine="640" w:firstLineChars="200"/>
        <w:rPr>
          <w:rFonts w:ascii="仿宋_GB2312"/>
          <w:sz w:val="32"/>
          <w:szCs w:val="32"/>
        </w:rPr>
      </w:pPr>
      <w:r>
        <w:rPr>
          <w:rFonts w:hint="eastAsia" w:ascii="仿宋_GB2312"/>
          <w:sz w:val="32"/>
          <w:szCs w:val="32"/>
        </w:rPr>
        <w:t>（2）立项程序规范性</w:t>
      </w:r>
    </w:p>
    <w:p w14:paraId="0028DAFF">
      <w:pPr>
        <w:suppressAutoHyphens/>
        <w:adjustRightInd w:val="0"/>
        <w:snapToGrid w:val="0"/>
        <w:spacing w:line="560" w:lineRule="exact"/>
        <w:ind w:firstLine="640" w:firstLineChars="200"/>
      </w:pPr>
      <w:bookmarkStart w:id="52" w:name="_Toc35588412"/>
      <w:r>
        <w:rPr>
          <w:rFonts w:hint="eastAsia" w:ascii="仿宋_GB2312" w:hAnsi="仿宋_GB2312" w:cs="仿宋_GB2312"/>
          <w:sz w:val="32"/>
        </w:rPr>
        <w:t>2023年10月</w:t>
      </w:r>
      <w:r>
        <w:rPr>
          <w:rFonts w:hint="eastAsia"/>
          <w:sz w:val="32"/>
        </w:rPr>
        <w:t>，市生态环境局按照相关要求组织编制项目申报书、可行性研究报告及预算明细等立项申请材料。经资金评审及局长办公会研究后报送市财政局，并获得批复，</w:t>
      </w:r>
      <w:r>
        <w:rPr>
          <w:rFonts w:hint="eastAsia" w:cs="仿宋_GB2312"/>
          <w:sz w:val="32"/>
          <w:szCs w:val="32"/>
        </w:rPr>
        <w:t>项目立项程序规范。</w:t>
      </w:r>
    </w:p>
    <w:p w14:paraId="49BA3066">
      <w:pPr>
        <w:spacing w:line="560" w:lineRule="exact"/>
        <w:ind w:firstLine="640" w:firstLineChars="200"/>
        <w:rPr>
          <w:rFonts w:ascii="仿宋_GB2312"/>
          <w:sz w:val="32"/>
          <w:szCs w:val="32"/>
        </w:rPr>
      </w:pPr>
      <w:r>
        <w:rPr>
          <w:rFonts w:hint="eastAsia" w:ascii="仿宋_GB2312"/>
          <w:sz w:val="32"/>
          <w:szCs w:val="32"/>
        </w:rPr>
        <w:t>2.绩效目标</w:t>
      </w:r>
      <w:bookmarkEnd w:id="52"/>
    </w:p>
    <w:p w14:paraId="2AA62FA7">
      <w:pPr>
        <w:adjustRightInd w:val="0"/>
        <w:snapToGrid w:val="0"/>
        <w:spacing w:line="560" w:lineRule="exact"/>
        <w:ind w:firstLine="640" w:firstLineChars="200"/>
        <w:rPr>
          <w:rFonts w:ascii="仿宋_GB2312"/>
          <w:sz w:val="32"/>
          <w:szCs w:val="32"/>
        </w:rPr>
      </w:pPr>
      <w:r>
        <w:rPr>
          <w:rFonts w:hint="eastAsia" w:ascii="仿宋_GB2312"/>
          <w:sz w:val="32"/>
          <w:szCs w:val="32"/>
        </w:rPr>
        <w:t>（1）绩效目标合理性</w:t>
      </w:r>
    </w:p>
    <w:p w14:paraId="06E6499D">
      <w:pPr>
        <w:pStyle w:val="33"/>
        <w:adjustRightInd w:val="0"/>
        <w:snapToGrid w:val="0"/>
        <w:spacing w:after="0" w:line="560" w:lineRule="exact"/>
        <w:ind w:left="0" w:leftChars="0" w:firstLine="640"/>
        <w:rPr>
          <w:sz w:val="32"/>
        </w:rPr>
      </w:pPr>
      <w:r>
        <w:rPr>
          <w:rFonts w:hint="eastAsia"/>
          <w:sz w:val="32"/>
        </w:rPr>
        <w:t>项目设置了年度目标，但绩效目标设置完整性仍需提升，建议完善个别子项实施预计产生的效益与影响。</w:t>
      </w:r>
    </w:p>
    <w:p w14:paraId="4D0E5E21">
      <w:pPr>
        <w:numPr>
          <w:ilvl w:val="0"/>
          <w:numId w:val="2"/>
        </w:numPr>
        <w:adjustRightInd w:val="0"/>
        <w:snapToGrid w:val="0"/>
        <w:spacing w:line="560" w:lineRule="exact"/>
        <w:ind w:firstLine="640" w:firstLineChars="200"/>
        <w:rPr>
          <w:rFonts w:ascii="仿宋_GB2312"/>
          <w:sz w:val="32"/>
          <w:szCs w:val="32"/>
        </w:rPr>
      </w:pPr>
      <w:r>
        <w:rPr>
          <w:rFonts w:hint="eastAsia" w:ascii="仿宋_GB2312"/>
          <w:sz w:val="32"/>
          <w:szCs w:val="32"/>
        </w:rPr>
        <w:t>绩效指标明确性</w:t>
      </w:r>
    </w:p>
    <w:p w14:paraId="7E513759">
      <w:pPr>
        <w:adjustRightInd w:val="0"/>
        <w:snapToGrid w:val="0"/>
        <w:spacing w:line="560" w:lineRule="exact"/>
        <w:ind w:firstLine="640" w:firstLineChars="200"/>
      </w:pPr>
      <w:r>
        <w:rPr>
          <w:rFonts w:hint="eastAsia"/>
          <w:sz w:val="32"/>
        </w:rPr>
        <w:t>项目单位在年度绩效目标的基础上，从产出、效益和满意度三方面细化、量化了绩效指标，设定了数量、质量等产出指标及经济效益、生态效益及服务对象满意度等效果指标。但评价发现，个别指标归类不够合理，成本指标和经济效益指标设置不精确。</w:t>
      </w:r>
    </w:p>
    <w:p w14:paraId="653349D0">
      <w:pPr>
        <w:adjustRightInd w:val="0"/>
        <w:snapToGrid w:val="0"/>
        <w:spacing w:line="560" w:lineRule="exact"/>
        <w:ind w:firstLine="640" w:firstLineChars="200"/>
        <w:outlineLvl w:val="2"/>
        <w:rPr>
          <w:rFonts w:hint="eastAsia" w:ascii="仿宋_GB2312"/>
          <w:sz w:val="32"/>
          <w:szCs w:val="32"/>
        </w:rPr>
      </w:pPr>
      <w:bookmarkStart w:id="53" w:name="_Toc35588413"/>
    </w:p>
    <w:p w14:paraId="717A62F1">
      <w:pPr>
        <w:adjustRightInd w:val="0"/>
        <w:snapToGrid w:val="0"/>
        <w:spacing w:line="560" w:lineRule="exact"/>
        <w:ind w:firstLine="640" w:firstLineChars="200"/>
        <w:outlineLvl w:val="2"/>
        <w:rPr>
          <w:rFonts w:ascii="仿宋_GB2312"/>
          <w:sz w:val="32"/>
          <w:szCs w:val="32"/>
        </w:rPr>
      </w:pPr>
      <w:r>
        <w:rPr>
          <w:rFonts w:hint="eastAsia" w:ascii="仿宋_GB2312"/>
          <w:sz w:val="32"/>
          <w:szCs w:val="32"/>
        </w:rPr>
        <w:t>3.资金投入</w:t>
      </w:r>
      <w:bookmarkEnd w:id="53"/>
    </w:p>
    <w:p w14:paraId="424525E8">
      <w:pPr>
        <w:adjustRightInd w:val="0"/>
        <w:snapToGrid w:val="0"/>
        <w:spacing w:line="560" w:lineRule="exact"/>
        <w:ind w:firstLine="640" w:firstLineChars="200"/>
        <w:outlineLvl w:val="9"/>
        <w:rPr>
          <w:rFonts w:hint="eastAsia" w:ascii="楷体_GB2312" w:eastAsia="楷体_GB2312"/>
          <w:sz w:val="32"/>
          <w:szCs w:val="32"/>
        </w:rPr>
      </w:pPr>
      <w:r>
        <w:rPr>
          <w:rFonts w:hint="eastAsia" w:ascii="仿宋_GB2312" w:hAnsi="仿宋_GB2312" w:cs="仿宋_GB2312"/>
          <w:sz w:val="32"/>
        </w:rPr>
        <w:t>2024年度</w:t>
      </w:r>
      <w:r>
        <w:rPr>
          <w:rFonts w:hint="eastAsia" w:ascii="仿宋_GB2312" w:hAnsi="仿宋_GB2312" w:cs="仿宋_GB2312"/>
          <w:sz w:val="32"/>
          <w:szCs w:val="32"/>
        </w:rPr>
        <w:t>项目</w:t>
      </w:r>
      <w:r>
        <w:rPr>
          <w:rFonts w:hint="eastAsia" w:ascii="仿宋_GB2312" w:hAnsi="仿宋_GB2312" w:cs="仿宋_GB2312"/>
          <w:bCs/>
          <w:kern w:val="0"/>
          <w:sz w:val="32"/>
          <w:szCs w:val="32"/>
        </w:rPr>
        <w:t>年初批复总预算411.13</w:t>
      </w:r>
      <w:r>
        <w:rPr>
          <w:rFonts w:hint="eastAsia" w:ascii="仿宋_GB2312" w:hAnsi="仿宋_GB2312" w:cs="仿宋_GB2312"/>
          <w:sz w:val="32"/>
          <w:szCs w:val="32"/>
        </w:rPr>
        <w:t>万元</w:t>
      </w:r>
      <w:r>
        <w:rPr>
          <w:rFonts w:hint="eastAsia" w:ascii="仿宋_GB2312" w:hAnsi="仿宋_GB2312" w:cs="仿宋_GB2312"/>
          <w:sz w:val="32"/>
        </w:rPr>
        <w:t>，预算构成主要为委托业务费，</w:t>
      </w:r>
      <w:r>
        <w:rPr>
          <w:rFonts w:hint="eastAsia" w:ascii="仿宋_GB2312" w:hAnsi="仿宋_GB2312" w:cs="仿宋_GB2312"/>
          <w:sz w:val="32"/>
          <w:szCs w:val="32"/>
        </w:rPr>
        <w:t>项目单位能够根据各子项工作内容预计发生的工作量编制年度预算，经过内部资金评审后确定资金规模，项目预算编制过程较科学。</w:t>
      </w:r>
      <w:bookmarkStart w:id="54" w:name="_Toc6199"/>
      <w:bookmarkStart w:id="55" w:name="_Toc25466"/>
      <w:bookmarkStart w:id="56" w:name="_Toc35588414"/>
      <w:bookmarkStart w:id="57" w:name="_Toc23453"/>
    </w:p>
    <w:p w14:paraId="0BC812C7">
      <w:pPr>
        <w:adjustRightInd w:val="0"/>
        <w:snapToGrid w:val="0"/>
        <w:spacing w:line="560" w:lineRule="exact"/>
        <w:ind w:firstLine="640" w:firstLineChars="200"/>
        <w:outlineLvl w:val="9"/>
        <w:rPr>
          <w:rFonts w:ascii="楷体_GB2312" w:eastAsia="楷体_GB2312"/>
          <w:sz w:val="32"/>
          <w:szCs w:val="32"/>
        </w:rPr>
      </w:pPr>
      <w:r>
        <w:rPr>
          <w:rFonts w:hint="eastAsia" w:ascii="楷体_GB2312" w:eastAsia="楷体_GB2312"/>
          <w:sz w:val="32"/>
          <w:szCs w:val="32"/>
        </w:rPr>
        <w:t>（二）项目过程情况</w:t>
      </w:r>
      <w:bookmarkEnd w:id="54"/>
      <w:bookmarkEnd w:id="55"/>
      <w:bookmarkEnd w:id="56"/>
      <w:bookmarkEnd w:id="57"/>
    </w:p>
    <w:p w14:paraId="1DE2FAEC">
      <w:pPr>
        <w:adjustRightInd w:val="0"/>
        <w:snapToGrid w:val="0"/>
        <w:spacing w:line="560" w:lineRule="exact"/>
        <w:ind w:firstLine="640" w:firstLineChars="200"/>
        <w:outlineLvl w:val="2"/>
        <w:rPr>
          <w:rFonts w:ascii="仿宋_GB2312"/>
          <w:sz w:val="32"/>
          <w:szCs w:val="32"/>
        </w:rPr>
      </w:pPr>
      <w:bookmarkStart w:id="58" w:name="_Toc35588415"/>
      <w:r>
        <w:rPr>
          <w:rFonts w:hint="eastAsia" w:ascii="仿宋_GB2312"/>
          <w:sz w:val="32"/>
          <w:szCs w:val="32"/>
        </w:rPr>
        <w:t>1.资金管理</w:t>
      </w:r>
      <w:bookmarkEnd w:id="58"/>
    </w:p>
    <w:p w14:paraId="5F801DF3">
      <w:pPr>
        <w:adjustRightInd w:val="0"/>
        <w:snapToGrid w:val="0"/>
        <w:spacing w:line="560" w:lineRule="exact"/>
        <w:ind w:firstLine="640" w:firstLineChars="200"/>
        <w:rPr>
          <w:rFonts w:ascii="仿宋_GB2312" w:hAnsi="宋体" w:cs="宋体"/>
          <w:iCs/>
          <w:kern w:val="0"/>
          <w:sz w:val="32"/>
          <w:szCs w:val="32"/>
        </w:rPr>
      </w:pPr>
      <w:r>
        <w:rPr>
          <w:rFonts w:hint="eastAsia" w:ascii="仿宋_GB2312" w:hAnsi="宋体" w:cs="宋体"/>
          <w:iCs/>
          <w:kern w:val="0"/>
          <w:sz w:val="32"/>
          <w:szCs w:val="32"/>
        </w:rPr>
        <w:t>（1）资金到位率和预算执行率</w:t>
      </w:r>
    </w:p>
    <w:p w14:paraId="195A4EE3">
      <w:pPr>
        <w:adjustRightInd w:val="0"/>
        <w:snapToGrid w:val="0"/>
        <w:spacing w:line="560" w:lineRule="exact"/>
        <w:ind w:firstLine="640" w:firstLineChars="200"/>
        <w:rPr>
          <w:rFonts w:ascii="仿宋_GB2312" w:hAnsi="仿宋_GB2312" w:cs="仿宋_GB2312"/>
          <w:kern w:val="0"/>
          <w:sz w:val="32"/>
          <w:szCs w:val="32"/>
        </w:rPr>
      </w:pPr>
      <w:r>
        <w:rPr>
          <w:rFonts w:hint="eastAsia" w:ascii="仿宋_GB2312" w:hAnsi="仿宋_GB2312" w:cs="仿宋_GB2312"/>
          <w:bCs/>
          <w:kern w:val="0"/>
          <w:sz w:val="32"/>
          <w:szCs w:val="32"/>
        </w:rPr>
        <w:t>2024年项目年初批复总预算411.13万元，实际到位资金411.13万元</w:t>
      </w:r>
      <w:r>
        <w:rPr>
          <w:rFonts w:hint="eastAsia" w:ascii="仿宋_GB2312" w:hAnsi="仿宋_GB2312" w:cs="仿宋_GB2312"/>
          <w:kern w:val="0"/>
          <w:sz w:val="32"/>
          <w:szCs w:val="32"/>
        </w:rPr>
        <w:t>，到位率100%。项目执行过程中</w:t>
      </w:r>
      <w:r>
        <w:rPr>
          <w:rFonts w:ascii="仿宋_GB2312" w:hAnsi="仿宋_GB2312" w:cs="仿宋_GB2312"/>
          <w:kern w:val="0"/>
          <w:sz w:val="32"/>
          <w:szCs w:val="32"/>
        </w:rPr>
        <w:t>政府</w:t>
      </w:r>
      <w:r>
        <w:rPr>
          <w:rFonts w:hint="eastAsia" w:ascii="仿宋_GB2312" w:hAnsi="仿宋_GB2312" w:cs="仿宋_GB2312"/>
          <w:kern w:val="0"/>
          <w:sz w:val="32"/>
          <w:szCs w:val="32"/>
        </w:rPr>
        <w:t>采购结余部分资金，于2024年底调减资金2.75万元，项目全年预算数408.38万元。截至2024年12月31日，项目实际支出408.38万元，预算执行率100%。</w:t>
      </w:r>
    </w:p>
    <w:p w14:paraId="3A96112C">
      <w:pPr>
        <w:adjustRightInd w:val="0"/>
        <w:snapToGrid w:val="0"/>
        <w:spacing w:line="560" w:lineRule="exact"/>
        <w:ind w:firstLine="640" w:firstLineChars="200"/>
        <w:rPr>
          <w:rFonts w:ascii="仿宋_GB2312" w:hAnsi="宋体" w:cs="宋体"/>
          <w:kern w:val="0"/>
          <w:sz w:val="32"/>
          <w:szCs w:val="32"/>
        </w:rPr>
      </w:pPr>
      <w:r>
        <w:rPr>
          <w:rFonts w:hint="eastAsia" w:ascii="仿宋_GB2312" w:hAnsi="宋体" w:cs="宋体"/>
          <w:kern w:val="0"/>
          <w:sz w:val="32"/>
          <w:szCs w:val="32"/>
        </w:rPr>
        <w:t>（2）资金使用合规性</w:t>
      </w:r>
    </w:p>
    <w:p w14:paraId="53C77FE1">
      <w:pPr>
        <w:suppressAutoHyphens/>
        <w:adjustRightInd w:val="0"/>
        <w:snapToGrid w:val="0"/>
        <w:spacing w:line="560" w:lineRule="exact"/>
        <w:ind w:firstLine="640" w:firstLineChars="200"/>
        <w:rPr>
          <w:color w:val="000000"/>
          <w:sz w:val="32"/>
          <w:szCs w:val="32"/>
        </w:rPr>
      </w:pPr>
      <w:bookmarkStart w:id="59" w:name="_Toc35588416"/>
      <w:r>
        <w:rPr>
          <w:rFonts w:hint="eastAsia"/>
          <w:sz w:val="32"/>
          <w:szCs w:val="32"/>
        </w:rPr>
        <w:t>项目执行过程中，项目单位能够按照</w:t>
      </w:r>
      <w:r>
        <w:rPr>
          <w:sz w:val="32"/>
          <w:szCs w:val="32"/>
        </w:rPr>
        <w:t>市财政局</w:t>
      </w:r>
      <w:r>
        <w:rPr>
          <w:rFonts w:hint="eastAsia"/>
          <w:sz w:val="32"/>
          <w:szCs w:val="32"/>
        </w:rPr>
        <w:t>、市生态环境局的</w:t>
      </w:r>
      <w:r>
        <w:rPr>
          <w:sz w:val="32"/>
          <w:szCs w:val="32"/>
        </w:rPr>
        <w:t>相关</w:t>
      </w:r>
      <w:r>
        <w:rPr>
          <w:rFonts w:hint="eastAsia"/>
          <w:sz w:val="32"/>
          <w:szCs w:val="32"/>
        </w:rPr>
        <w:t>财务管理</w:t>
      </w:r>
      <w:r>
        <w:rPr>
          <w:sz w:val="32"/>
          <w:szCs w:val="32"/>
        </w:rPr>
        <w:t>制度要求</w:t>
      </w:r>
      <w:r>
        <w:rPr>
          <w:rFonts w:hint="eastAsia"/>
          <w:sz w:val="32"/>
          <w:szCs w:val="32"/>
        </w:rPr>
        <w:t>进行资金使用和财务管控，</w:t>
      </w:r>
      <w:r>
        <w:rPr>
          <w:rFonts w:hint="eastAsia"/>
          <w:color w:val="000000"/>
          <w:sz w:val="32"/>
          <w:szCs w:val="32"/>
        </w:rPr>
        <w:t>严格履行政府采购流程，通过公开招标等方式确定项目承接单位，合同款支付严格按照市生态环境局内部审批流程执行，项目资金进行了独立核算，未发现挤占、挪用、虚列支出等现象。</w:t>
      </w:r>
    </w:p>
    <w:p w14:paraId="01F7CA51">
      <w:pPr>
        <w:autoSpaceDE w:val="0"/>
        <w:autoSpaceDN w:val="0"/>
        <w:adjustRightInd w:val="0"/>
        <w:snapToGrid w:val="0"/>
        <w:spacing w:line="560" w:lineRule="exact"/>
        <w:ind w:firstLine="640" w:firstLineChars="200"/>
        <w:outlineLvl w:val="2"/>
        <w:rPr>
          <w:rFonts w:ascii="仿宋_GB2312" w:hAnsi="宋体" w:cs="宋体"/>
          <w:color w:val="000000"/>
          <w:kern w:val="0"/>
          <w:sz w:val="32"/>
          <w:szCs w:val="32"/>
        </w:rPr>
      </w:pPr>
      <w:r>
        <w:rPr>
          <w:rFonts w:hint="eastAsia" w:ascii="仿宋_GB2312" w:hAnsi="宋体" w:cs="宋体"/>
          <w:color w:val="000000"/>
          <w:kern w:val="0"/>
          <w:sz w:val="32"/>
          <w:szCs w:val="32"/>
        </w:rPr>
        <w:t>2.组织实施</w:t>
      </w:r>
      <w:bookmarkEnd w:id="59"/>
    </w:p>
    <w:p w14:paraId="70F68949">
      <w:pPr>
        <w:adjustRightInd w:val="0"/>
        <w:snapToGrid w:val="0"/>
        <w:spacing w:line="560" w:lineRule="exact"/>
        <w:ind w:firstLine="640" w:firstLineChars="200"/>
        <w:rPr>
          <w:rFonts w:ascii="仿宋_GB2312" w:hAnsi="宋体" w:cs="宋体"/>
          <w:iCs/>
          <w:kern w:val="0"/>
          <w:sz w:val="32"/>
          <w:szCs w:val="32"/>
        </w:rPr>
      </w:pPr>
      <w:r>
        <w:rPr>
          <w:rFonts w:hint="eastAsia" w:ascii="仿宋_GB2312" w:hAnsi="宋体" w:cs="宋体"/>
          <w:iCs/>
          <w:kern w:val="0"/>
          <w:sz w:val="32"/>
          <w:szCs w:val="32"/>
        </w:rPr>
        <w:t>（1）管理制度健全性</w:t>
      </w:r>
    </w:p>
    <w:p w14:paraId="7CB175C8">
      <w:pPr>
        <w:suppressAutoHyphens/>
        <w:adjustRightInd w:val="0"/>
        <w:snapToGrid w:val="0"/>
        <w:spacing w:line="560" w:lineRule="exact"/>
        <w:ind w:firstLine="643" w:firstLineChars="200"/>
      </w:pPr>
      <w:r>
        <w:rPr>
          <w:rFonts w:hint="eastAsia"/>
          <w:b/>
          <w:bCs/>
          <w:sz w:val="32"/>
          <w:szCs w:val="32"/>
        </w:rPr>
        <w:t>财务管理制度方面</w:t>
      </w:r>
      <w:r>
        <w:rPr>
          <w:rFonts w:hint="eastAsia"/>
          <w:sz w:val="32"/>
          <w:szCs w:val="32"/>
        </w:rPr>
        <w:t>，为推进财务管理的规范化、制度化，市生态环境局制定了《北京市生态环境局财务安全管理办法》《北京市生态环境局会议费管理办法》《北京市生态环境局培训费管理办法》等制度文件，对财务安全管理、会议费报销、培训费审批与管理等内容进行了明确规定。</w:t>
      </w:r>
      <w:r>
        <w:rPr>
          <w:rFonts w:hint="eastAsia"/>
          <w:b/>
          <w:bCs/>
          <w:sz w:val="32"/>
          <w:szCs w:val="32"/>
        </w:rPr>
        <w:t>业务管理制度方面</w:t>
      </w:r>
      <w:r>
        <w:rPr>
          <w:rFonts w:hint="eastAsia"/>
          <w:sz w:val="32"/>
          <w:szCs w:val="32"/>
        </w:rPr>
        <w:t>，市生态环境局制定了《北京市生态环境局项目管理办法》，并于</w:t>
      </w:r>
      <w:r>
        <w:rPr>
          <w:rFonts w:hint="eastAsia" w:ascii="仿宋_GB2312" w:hAnsi="仿宋_GB2312" w:cs="仿宋_GB2312"/>
          <w:bCs/>
          <w:kern w:val="0"/>
          <w:sz w:val="32"/>
          <w:szCs w:val="32"/>
        </w:rPr>
        <w:t>2024</w:t>
      </w:r>
      <w:r>
        <w:rPr>
          <w:rFonts w:hint="eastAsia"/>
          <w:sz w:val="32"/>
          <w:szCs w:val="32"/>
        </w:rPr>
        <w:t>年修订完善了《北京市生态环境局政府采购管理办法》《北京市生态环境局固定资产管理办法》《北京市生态环境局洽商谈判采购管理办法》《北京市生态环境局政府采购管理办法》《北京市生态环境局合同管理办法》等制度文件，确保单位规章制度能够与时俱进，满足当前的业务需求和法律要求，提升单位内部管理水平。</w:t>
      </w:r>
      <w:r>
        <w:rPr>
          <w:rFonts w:hint="eastAsia"/>
          <w:color w:val="000000"/>
          <w:sz w:val="32"/>
          <w:szCs w:val="32"/>
        </w:rPr>
        <w:t>单位现有制度对项目申报、项目验收、项目合同签订内容及程序、政府采购等内容进行了规定。整体上，已有的管理制度为项目执行提供了一定的制度保障和依据。</w:t>
      </w:r>
    </w:p>
    <w:p w14:paraId="7BD133FD">
      <w:pPr>
        <w:adjustRightInd w:val="0"/>
        <w:snapToGrid w:val="0"/>
        <w:spacing w:line="560" w:lineRule="exact"/>
        <w:ind w:firstLine="640" w:firstLineChars="200"/>
      </w:pPr>
      <w:r>
        <w:rPr>
          <w:rFonts w:hint="eastAsia" w:ascii="仿宋_GB2312" w:hAnsi="宋体" w:cs="宋体"/>
          <w:kern w:val="0"/>
          <w:sz w:val="32"/>
          <w:szCs w:val="32"/>
        </w:rPr>
        <w:t>（2）制度执行有效性</w:t>
      </w:r>
    </w:p>
    <w:p w14:paraId="144F9AA3">
      <w:pPr>
        <w:adjustRightInd w:val="0"/>
        <w:snapToGrid w:val="0"/>
        <w:spacing w:line="560" w:lineRule="exact"/>
        <w:ind w:firstLine="630" w:firstLineChars="196"/>
        <w:rPr>
          <w:rFonts w:hint="eastAsia" w:ascii="仿宋_GB2312" w:hAnsi="宋体" w:cs="宋体"/>
          <w:kern w:val="0"/>
          <w:sz w:val="32"/>
          <w:szCs w:val="32"/>
        </w:rPr>
      </w:pPr>
      <w:r>
        <w:rPr>
          <w:rFonts w:hint="eastAsia" w:ascii="仿宋_GB2312" w:hAnsi="宋体" w:cs="宋体"/>
          <w:b/>
          <w:kern w:val="0"/>
          <w:sz w:val="32"/>
          <w:szCs w:val="32"/>
        </w:rPr>
        <w:t>项目采购组织实施方面</w:t>
      </w:r>
      <w:r>
        <w:rPr>
          <w:rFonts w:hint="eastAsia" w:ascii="仿宋_GB2312" w:hAnsi="宋体" w:cs="宋体"/>
          <w:kern w:val="0"/>
          <w:sz w:val="32"/>
          <w:szCs w:val="32"/>
        </w:rPr>
        <w:t>：项目预算资金到位后，项目单位根据预算批复及工作实际需求，委托具有相应资质的代理机构对4个子项内容进行政府采购。采购结束后，市生态环境局按照采购结果，在履行合同审批管理程序后，与项目承接单位签订服务合同。</w:t>
      </w:r>
    </w:p>
    <w:p w14:paraId="222E0F17">
      <w:pPr>
        <w:adjustRightInd w:val="0"/>
        <w:snapToGrid w:val="0"/>
        <w:spacing w:line="560" w:lineRule="exact"/>
        <w:ind w:firstLine="630" w:firstLineChars="196"/>
        <w:rPr>
          <w:rFonts w:ascii="楷体_GB2312" w:eastAsia="楷体_GB2312"/>
          <w:sz w:val="32"/>
          <w:szCs w:val="32"/>
        </w:rPr>
      </w:pPr>
      <w:r>
        <w:rPr>
          <w:rFonts w:hint="eastAsia" w:ascii="仿宋_GB2312" w:hAnsi="宋体"/>
          <w:b/>
          <w:bCs/>
          <w:iCs/>
          <w:sz w:val="32"/>
          <w:szCs w:val="28"/>
        </w:rPr>
        <w:t>保障条件落实情况方面：</w:t>
      </w:r>
      <w:r>
        <w:rPr>
          <w:rFonts w:hint="eastAsia" w:ascii="仿宋_GB2312" w:hAnsi="宋体"/>
          <w:iCs/>
          <w:sz w:val="32"/>
          <w:szCs w:val="28"/>
          <w:shd w:val="clear" w:color="auto" w:fill="FFFFFF"/>
        </w:rPr>
        <w:t>为保障项目实施，</w:t>
      </w:r>
      <w:r>
        <w:rPr>
          <w:rFonts w:hint="eastAsia" w:ascii="仿宋_GB2312" w:hAnsi="宋体"/>
          <w:iCs/>
          <w:sz w:val="32"/>
          <w:szCs w:val="28"/>
        </w:rPr>
        <w:t>土壤生态环境处</w:t>
      </w:r>
      <w:r>
        <w:rPr>
          <w:rFonts w:hint="eastAsia" w:ascii="仿宋_GB2312" w:hAnsi="宋体"/>
          <w:iCs/>
          <w:sz w:val="32"/>
          <w:szCs w:val="28"/>
          <w:shd w:val="clear" w:color="auto" w:fill="FFFFFF"/>
        </w:rPr>
        <w:t>成立了工作小组，处长负责统筹协调，把控整体工作方向与进度;主管副处长牵头梳理技术需求，保障项目技术路线的科学性和可实施性;相关工作人员根据成果要求及工作标准，具体对接承接单位。</w:t>
      </w:r>
      <w:r>
        <w:rPr>
          <w:rFonts w:hint="eastAsia" w:ascii="仿宋_GB2312" w:hAnsi="宋体"/>
          <w:b/>
          <w:bCs/>
          <w:iCs/>
          <w:sz w:val="32"/>
          <w:szCs w:val="28"/>
          <w:shd w:val="clear" w:color="auto" w:fill="FFFFFF"/>
        </w:rPr>
        <w:t>项目过程管控方面：</w:t>
      </w:r>
      <w:r>
        <w:rPr>
          <w:rFonts w:hint="eastAsia" w:ascii="仿宋_GB2312" w:hAnsi="宋体"/>
          <w:iCs/>
          <w:sz w:val="32"/>
          <w:szCs w:val="28"/>
          <w:shd w:val="clear" w:color="auto" w:fill="FFFFFF"/>
        </w:rPr>
        <w:t>在项目实施过程中，</w:t>
      </w:r>
      <w:r>
        <w:rPr>
          <w:rFonts w:hint="eastAsia" w:ascii="仿宋_GB2312" w:hAnsi="宋体"/>
          <w:iCs/>
          <w:sz w:val="32"/>
          <w:szCs w:val="28"/>
        </w:rPr>
        <w:t>土壤生态环境处</w:t>
      </w:r>
      <w:r>
        <w:rPr>
          <w:rFonts w:hint="eastAsia" w:ascii="仿宋_GB2312" w:hAnsi="宋体"/>
          <w:iCs/>
          <w:sz w:val="32"/>
          <w:szCs w:val="28"/>
          <w:shd w:val="clear" w:color="auto" w:fill="FFFFFF"/>
        </w:rPr>
        <w:t>与项目承接单位建立沟通机制，相关工作人员不定期与承接单位对接，保障承接单位严格按照技术需求标准和时间安排开展工作，推动项目高效落实。</w:t>
      </w:r>
      <w:bookmarkStart w:id="60" w:name="OLE_LINK1"/>
      <w:r>
        <w:rPr>
          <w:rFonts w:hint="eastAsia" w:ascii="仿宋_GB2312" w:hAnsi="宋体"/>
          <w:iCs/>
          <w:sz w:val="32"/>
          <w:szCs w:val="28"/>
        </w:rPr>
        <w:t>截至评价节点，项目正在合同期内，</w:t>
      </w:r>
      <w:r>
        <w:rPr>
          <w:rFonts w:hint="eastAsia" w:ascii="仿宋_GB2312"/>
          <w:sz w:val="32"/>
          <w:szCs w:val="32"/>
        </w:rPr>
        <w:t>尚未结项</w:t>
      </w:r>
      <w:bookmarkEnd w:id="60"/>
      <w:r>
        <w:rPr>
          <w:rFonts w:hint="eastAsia" w:ascii="仿宋_GB2312" w:hAnsi="宋体"/>
          <w:iCs/>
          <w:sz w:val="32"/>
          <w:szCs w:val="28"/>
        </w:rPr>
        <w:t>。</w:t>
      </w:r>
      <w:bookmarkStart w:id="61" w:name="_Toc280"/>
      <w:bookmarkStart w:id="62" w:name="_Toc11222"/>
      <w:bookmarkStart w:id="63" w:name="_Toc35588417"/>
      <w:bookmarkStart w:id="64" w:name="_Toc6431"/>
    </w:p>
    <w:p w14:paraId="4FA8C84C">
      <w:pPr>
        <w:adjustRightInd w:val="0"/>
        <w:snapToGrid w:val="0"/>
        <w:spacing w:line="560" w:lineRule="exact"/>
        <w:ind w:firstLine="627" w:firstLineChars="196"/>
        <w:rPr>
          <w:rFonts w:ascii="楷体_GB2312" w:eastAsia="楷体_GB2312"/>
          <w:sz w:val="32"/>
          <w:szCs w:val="32"/>
        </w:rPr>
      </w:pPr>
      <w:r>
        <w:rPr>
          <w:rFonts w:hint="eastAsia" w:ascii="楷体_GB2312" w:eastAsia="楷体_GB2312"/>
          <w:sz w:val="32"/>
          <w:szCs w:val="32"/>
        </w:rPr>
        <w:t>（三）项目产出情况</w:t>
      </w:r>
      <w:bookmarkEnd w:id="61"/>
      <w:bookmarkEnd w:id="62"/>
      <w:bookmarkEnd w:id="63"/>
      <w:bookmarkEnd w:id="64"/>
    </w:p>
    <w:p w14:paraId="5B3C69DA">
      <w:pPr>
        <w:adjustRightInd w:val="0"/>
        <w:snapToGrid w:val="0"/>
        <w:spacing w:line="560" w:lineRule="exact"/>
        <w:ind w:firstLine="640" w:firstLineChars="200"/>
        <w:outlineLvl w:val="2"/>
        <w:rPr>
          <w:rFonts w:ascii="仿宋_GB2312"/>
          <w:sz w:val="32"/>
          <w:szCs w:val="32"/>
        </w:rPr>
      </w:pPr>
      <w:bookmarkStart w:id="65" w:name="_Toc35588418"/>
      <w:r>
        <w:rPr>
          <w:rFonts w:hint="eastAsia" w:ascii="仿宋_GB2312"/>
          <w:sz w:val="32"/>
          <w:szCs w:val="32"/>
        </w:rPr>
        <w:t>1.产出数量</w:t>
      </w:r>
      <w:bookmarkEnd w:id="65"/>
      <w:r>
        <w:rPr>
          <w:rFonts w:hint="eastAsia" w:ascii="仿宋_GB2312"/>
          <w:sz w:val="32"/>
          <w:szCs w:val="32"/>
        </w:rPr>
        <w:t>及产出时效</w:t>
      </w:r>
    </w:p>
    <w:p w14:paraId="32C9D300">
      <w:pPr>
        <w:adjustRightInd w:val="0"/>
        <w:snapToGrid w:val="0"/>
        <w:spacing w:line="560" w:lineRule="exact"/>
        <w:ind w:firstLine="640" w:firstLineChars="200"/>
        <w:rPr>
          <w:rFonts w:ascii="仿宋_GB2312"/>
          <w:sz w:val="32"/>
          <w:szCs w:val="32"/>
        </w:rPr>
      </w:pPr>
      <w:r>
        <w:rPr>
          <w:rFonts w:hint="eastAsia" w:ascii="仿宋_GB2312" w:hAnsi="宋体"/>
          <w:iCs/>
          <w:sz w:val="32"/>
          <w:szCs w:val="28"/>
        </w:rPr>
        <w:t>项目跨年实施，</w:t>
      </w:r>
      <w:r>
        <w:rPr>
          <w:rFonts w:hint="eastAsia" w:ascii="仿宋_GB2312"/>
          <w:sz w:val="32"/>
          <w:szCs w:val="32"/>
        </w:rPr>
        <w:t>截至评价节点，项目尚未结项，已按计划出具阶段性成果以及结项报告初稿，具体完成情况如下：</w:t>
      </w:r>
    </w:p>
    <w:p w14:paraId="5B5B7CA7">
      <w:pPr>
        <w:autoSpaceDE w:val="0"/>
        <w:autoSpaceDN w:val="0"/>
        <w:adjustRightInd w:val="0"/>
        <w:snapToGrid w:val="0"/>
        <w:spacing w:line="560" w:lineRule="exact"/>
        <w:ind w:firstLine="640" w:firstLineChars="200"/>
        <w:rPr>
          <w:rFonts w:ascii="仿宋_GB2312"/>
          <w:sz w:val="32"/>
          <w:szCs w:val="32"/>
        </w:rPr>
      </w:pPr>
      <w:r>
        <w:rPr>
          <w:rFonts w:hint="eastAsia" w:ascii="仿宋_GB2312"/>
          <w:sz w:val="32"/>
          <w:szCs w:val="32"/>
        </w:rPr>
        <w:t>（1）北京市农村环境整治成效评估，已出具2024年度第三季度、第四季度农村环境整治成效评估现场调研评估报告</w:t>
      </w:r>
      <w:r>
        <w:rPr>
          <w:rFonts w:hint="eastAsia" w:ascii="仿宋_GB2312"/>
          <w:sz w:val="32"/>
          <w:szCs w:val="32"/>
          <w:lang w:eastAsia="zh-CN"/>
        </w:rPr>
        <w:t>，</w:t>
      </w:r>
      <w:r>
        <w:rPr>
          <w:rFonts w:hint="eastAsia" w:ascii="仿宋_GB2312"/>
          <w:sz w:val="32"/>
          <w:szCs w:val="32"/>
        </w:rPr>
        <w:t>以及农村环境整治成效评估现场调研评估报告初稿。</w:t>
      </w:r>
    </w:p>
    <w:p w14:paraId="11F89865">
      <w:pPr>
        <w:autoSpaceDE w:val="0"/>
        <w:autoSpaceDN w:val="0"/>
        <w:adjustRightInd w:val="0"/>
        <w:snapToGrid w:val="0"/>
        <w:spacing w:line="560" w:lineRule="exact"/>
        <w:ind w:firstLine="640" w:firstLineChars="200"/>
        <w:rPr>
          <w:rFonts w:ascii="仿宋_GB2312"/>
          <w:sz w:val="32"/>
          <w:szCs w:val="32"/>
        </w:rPr>
      </w:pPr>
      <w:r>
        <w:rPr>
          <w:rFonts w:hint="eastAsia" w:ascii="仿宋_GB2312" w:hAnsi="仿宋_GB2312" w:cs="仿宋_GB2312"/>
          <w:kern w:val="0"/>
          <w:sz w:val="32"/>
          <w:szCs w:val="32"/>
        </w:rPr>
        <w:t>（2）</w:t>
      </w:r>
      <w:r>
        <w:rPr>
          <w:rFonts w:hint="eastAsia" w:ascii="仿宋_GB2312" w:hAnsi="仿宋_GB2312" w:cs="仿宋_GB2312"/>
          <w:sz w:val="32"/>
          <w:szCs w:val="32"/>
        </w:rPr>
        <w:t>北京市土壤污染防治成效评估</w:t>
      </w:r>
      <w:r>
        <w:rPr>
          <w:rFonts w:hint="eastAsia" w:ascii="仿宋_GB2312"/>
          <w:sz w:val="32"/>
          <w:szCs w:val="32"/>
        </w:rPr>
        <w:t>，已出具2024年第三季度、第四季度土壤污染治理效果评价</w:t>
      </w:r>
      <w:r>
        <w:rPr>
          <w:rFonts w:hint="eastAsia" w:ascii="仿宋_GB2312"/>
          <w:sz w:val="32"/>
          <w:szCs w:val="32"/>
          <w:lang w:eastAsia="zh-CN"/>
        </w:rPr>
        <w:t>报告</w:t>
      </w:r>
      <w:r>
        <w:rPr>
          <w:rFonts w:hint="eastAsia" w:ascii="仿宋_GB2312"/>
          <w:sz w:val="32"/>
          <w:szCs w:val="32"/>
        </w:rPr>
        <w:t>，完成2024年土壤污染防治成效评估报告初稿</w:t>
      </w:r>
      <w:r>
        <w:rPr>
          <w:rFonts w:hint="eastAsia" w:ascii="仿宋_GB2312"/>
          <w:sz w:val="32"/>
          <w:szCs w:val="32"/>
          <w:lang w:eastAsia="zh-CN"/>
        </w:rPr>
        <w:t>、</w:t>
      </w:r>
      <w:r>
        <w:rPr>
          <w:rFonts w:hint="eastAsia" w:ascii="仿宋_GB2312"/>
          <w:sz w:val="32"/>
          <w:szCs w:val="32"/>
        </w:rPr>
        <w:t>土壤污染防治“一区一策”报告初稿。</w:t>
      </w:r>
    </w:p>
    <w:p w14:paraId="5F4CAA64">
      <w:pPr>
        <w:autoSpaceDE w:val="0"/>
        <w:autoSpaceDN w:val="0"/>
        <w:adjustRightInd w:val="0"/>
        <w:snapToGrid w:val="0"/>
        <w:spacing w:line="560" w:lineRule="exact"/>
        <w:ind w:firstLine="640" w:firstLineChars="200"/>
        <w:rPr>
          <w:rFonts w:ascii="仿宋_GB2312"/>
          <w:sz w:val="32"/>
          <w:szCs w:val="32"/>
        </w:rPr>
      </w:pPr>
      <w:r>
        <w:rPr>
          <w:rFonts w:hint="eastAsia" w:ascii="仿宋_GB2312"/>
          <w:sz w:val="32"/>
          <w:szCs w:val="32"/>
        </w:rPr>
        <w:t>（3）</w:t>
      </w:r>
      <w:r>
        <w:rPr>
          <w:rFonts w:hint="eastAsia" w:ascii="仿宋_GB2312" w:hAnsi="仿宋_GB2312" w:cs="仿宋_GB2312"/>
          <w:sz w:val="32"/>
          <w:szCs w:val="32"/>
        </w:rPr>
        <w:t>北京市农用地土壤磷盈余现状试点调查（2024）</w:t>
      </w:r>
      <w:r>
        <w:rPr>
          <w:rFonts w:hint="eastAsia" w:ascii="仿宋_GB2312"/>
          <w:sz w:val="32"/>
          <w:szCs w:val="32"/>
        </w:rPr>
        <w:t>，已出具农用地土壤磷盈余现状阶段性试点调查报告初稿</w:t>
      </w:r>
      <w:r>
        <w:rPr>
          <w:rFonts w:hint="eastAsia" w:ascii="仿宋_GB2312"/>
          <w:sz w:val="32"/>
          <w:szCs w:val="32"/>
          <w:lang w:eastAsia="zh-CN"/>
        </w:rPr>
        <w:t>、</w:t>
      </w:r>
      <w:r>
        <w:rPr>
          <w:rFonts w:hint="eastAsia" w:ascii="仿宋_GB2312"/>
          <w:sz w:val="32"/>
          <w:szCs w:val="32"/>
        </w:rPr>
        <w:t>农用地土壤磷盈余关键环境影响要素分析报告初稿</w:t>
      </w:r>
      <w:r>
        <w:rPr>
          <w:rFonts w:hint="eastAsia" w:ascii="仿宋_GB2312"/>
          <w:sz w:val="32"/>
          <w:szCs w:val="32"/>
          <w:lang w:eastAsia="zh-CN"/>
        </w:rPr>
        <w:t>等</w:t>
      </w:r>
      <w:r>
        <w:rPr>
          <w:rFonts w:hint="eastAsia" w:ascii="仿宋_GB2312"/>
          <w:sz w:val="32"/>
          <w:szCs w:val="32"/>
        </w:rPr>
        <w:t>。</w:t>
      </w:r>
    </w:p>
    <w:p w14:paraId="3AE2FE71">
      <w:pPr>
        <w:autoSpaceDE w:val="0"/>
        <w:autoSpaceDN w:val="0"/>
        <w:adjustRightInd w:val="0"/>
        <w:snapToGrid w:val="0"/>
        <w:spacing w:line="560" w:lineRule="exact"/>
        <w:ind w:firstLine="640" w:firstLineChars="200"/>
        <w:rPr>
          <w:rFonts w:ascii="仿宋_GB2312"/>
          <w:sz w:val="32"/>
          <w:szCs w:val="32"/>
        </w:rPr>
      </w:pPr>
      <w:r>
        <w:rPr>
          <w:rFonts w:hint="eastAsia" w:ascii="仿宋_GB2312"/>
          <w:sz w:val="32"/>
          <w:szCs w:val="32"/>
        </w:rPr>
        <w:t>（4）北京市土壤健康状况调查，已出具土壤动物及微生物多功能性阶段性评价报告初稿</w:t>
      </w:r>
      <w:r>
        <w:rPr>
          <w:rFonts w:hint="eastAsia" w:ascii="仿宋_GB2312"/>
          <w:sz w:val="32"/>
          <w:szCs w:val="32"/>
          <w:lang w:eastAsia="zh-CN"/>
        </w:rPr>
        <w:t>、</w:t>
      </w:r>
      <w:r>
        <w:rPr>
          <w:rFonts w:hint="eastAsia" w:ascii="仿宋_GB2312"/>
          <w:sz w:val="32"/>
          <w:szCs w:val="32"/>
        </w:rPr>
        <w:t>农用地土壤微塑料赋存试点阶段性调查报告初稿</w:t>
      </w:r>
      <w:r>
        <w:rPr>
          <w:rFonts w:hint="eastAsia" w:ascii="仿宋_GB2312"/>
          <w:sz w:val="32"/>
          <w:szCs w:val="32"/>
          <w:lang w:eastAsia="zh-CN"/>
        </w:rPr>
        <w:t>、</w:t>
      </w:r>
      <w:r>
        <w:rPr>
          <w:rFonts w:hint="eastAsia" w:ascii="仿宋_GB2312"/>
          <w:sz w:val="32"/>
          <w:szCs w:val="32"/>
        </w:rPr>
        <w:t>土壤动物及微生物多功能性评价报告初稿</w:t>
      </w:r>
      <w:r>
        <w:rPr>
          <w:rFonts w:hint="eastAsia" w:ascii="仿宋_GB2312"/>
          <w:sz w:val="32"/>
          <w:szCs w:val="32"/>
          <w:lang w:eastAsia="zh-CN"/>
        </w:rPr>
        <w:t>、</w:t>
      </w:r>
      <w:r>
        <w:rPr>
          <w:rFonts w:hint="eastAsia" w:ascii="仿宋_GB2312"/>
          <w:sz w:val="32"/>
          <w:szCs w:val="32"/>
        </w:rPr>
        <w:t>农用地土壤微塑料赋存试点调查报告初稿。</w:t>
      </w:r>
    </w:p>
    <w:p w14:paraId="0BBA7628">
      <w:pPr>
        <w:adjustRightInd w:val="0"/>
        <w:snapToGrid w:val="0"/>
        <w:spacing w:line="560" w:lineRule="exact"/>
        <w:ind w:firstLine="640" w:firstLineChars="200"/>
        <w:outlineLvl w:val="2"/>
        <w:rPr>
          <w:rFonts w:ascii="仿宋_GB2312" w:hAnsi="宋体" w:cs="宋体"/>
          <w:color w:val="000000"/>
          <w:kern w:val="0"/>
          <w:sz w:val="32"/>
          <w:szCs w:val="32"/>
        </w:rPr>
      </w:pPr>
      <w:bookmarkStart w:id="66" w:name="_Toc35588419"/>
      <w:r>
        <w:rPr>
          <w:rFonts w:hint="eastAsia" w:ascii="仿宋_GB2312"/>
          <w:sz w:val="32"/>
          <w:szCs w:val="32"/>
        </w:rPr>
        <w:t>2.产出质量</w:t>
      </w:r>
      <w:bookmarkEnd w:id="66"/>
    </w:p>
    <w:p w14:paraId="5C87EA4A">
      <w:pPr>
        <w:autoSpaceDE w:val="0"/>
        <w:autoSpaceDN w:val="0"/>
        <w:adjustRightInd w:val="0"/>
        <w:snapToGrid w:val="0"/>
        <w:spacing w:line="560" w:lineRule="exact"/>
        <w:ind w:firstLine="640" w:firstLineChars="200"/>
        <w:rPr>
          <w:rFonts w:ascii="仿宋_GB2312" w:hAnsi="仿宋_GB2312" w:cs="仿宋_GB2312"/>
          <w:iCs/>
          <w:color w:val="000000"/>
          <w:kern w:val="0"/>
          <w:sz w:val="32"/>
          <w:szCs w:val="32"/>
        </w:rPr>
      </w:pPr>
      <w:r>
        <w:rPr>
          <w:rFonts w:hint="eastAsia" w:ascii="仿宋_GB2312" w:hAnsi="仿宋_GB2312" w:cs="仿宋_GB2312"/>
          <w:sz w:val="32"/>
          <w:szCs w:val="32"/>
        </w:rPr>
        <w:t>截至评价节点，各子项尚处于合同期，已出具结项报告初稿，但暂未验收，其成果质量无法准确衡量，需进一步跟踪考核。</w:t>
      </w:r>
    </w:p>
    <w:p w14:paraId="05A58212">
      <w:pPr>
        <w:adjustRightInd w:val="0"/>
        <w:snapToGrid w:val="0"/>
        <w:spacing w:line="560" w:lineRule="exact"/>
        <w:ind w:firstLine="640" w:firstLineChars="200"/>
        <w:outlineLvl w:val="2"/>
        <w:rPr>
          <w:rFonts w:ascii="仿宋_GB2312"/>
          <w:sz w:val="32"/>
          <w:szCs w:val="32"/>
        </w:rPr>
      </w:pPr>
      <w:bookmarkStart w:id="67" w:name="_Toc35588421"/>
      <w:r>
        <w:rPr>
          <w:rFonts w:hint="eastAsia" w:ascii="仿宋_GB2312"/>
          <w:sz w:val="32"/>
          <w:szCs w:val="32"/>
        </w:rPr>
        <w:t>3.产出成本</w:t>
      </w:r>
      <w:bookmarkEnd w:id="67"/>
    </w:p>
    <w:p w14:paraId="19AC6B4A">
      <w:pPr>
        <w:suppressAutoHyphens/>
        <w:adjustRightInd w:val="0"/>
        <w:snapToGrid w:val="0"/>
        <w:spacing w:line="560" w:lineRule="exact"/>
        <w:ind w:firstLine="640" w:firstLineChars="200"/>
        <w:rPr>
          <w:rFonts w:cs="仿宋_GB2312"/>
          <w:sz w:val="32"/>
          <w:szCs w:val="32"/>
        </w:rPr>
      </w:pPr>
      <w:r>
        <w:rPr>
          <w:rFonts w:hint="eastAsia" w:ascii="仿宋_GB2312" w:hAnsi="仿宋_GB2312" w:cs="仿宋_GB2312"/>
          <w:sz w:val="32"/>
          <w:szCs w:val="32"/>
        </w:rPr>
        <w:t>2024年度项目</w:t>
      </w:r>
      <w:r>
        <w:rPr>
          <w:rFonts w:hint="eastAsia" w:ascii="仿宋_GB2312" w:hAnsi="仿宋_GB2312" w:cs="仿宋_GB2312"/>
          <w:bCs/>
          <w:kern w:val="0"/>
          <w:sz w:val="32"/>
          <w:szCs w:val="32"/>
        </w:rPr>
        <w:t>年初批复总预算411.13</w:t>
      </w:r>
      <w:r>
        <w:rPr>
          <w:rFonts w:hint="eastAsia" w:ascii="仿宋_GB2312" w:hAnsi="仿宋_GB2312" w:cs="仿宋_GB2312"/>
          <w:sz w:val="32"/>
          <w:szCs w:val="32"/>
        </w:rPr>
        <w:t>万元，四个子项通过</w:t>
      </w:r>
      <w:r>
        <w:rPr>
          <w:rFonts w:ascii="仿宋_GB2312" w:hAnsi="仿宋_GB2312" w:cs="仿宋_GB2312"/>
          <w:sz w:val="32"/>
          <w:szCs w:val="32"/>
        </w:rPr>
        <w:t>公开招标</w:t>
      </w:r>
      <w:r>
        <w:rPr>
          <w:rFonts w:hint="eastAsia" w:ascii="仿宋_GB2312" w:hAnsi="仿宋_GB2312" w:cs="仿宋_GB2312"/>
          <w:sz w:val="32"/>
          <w:szCs w:val="32"/>
        </w:rPr>
        <w:t>和洽商谈判等政府采购方式确定项目承接单位，采购结余2.75万元，项目整体资金支出控制在预算范围内，总体成本控制情况较好。</w:t>
      </w:r>
    </w:p>
    <w:p w14:paraId="6F7A8A9F">
      <w:pPr>
        <w:autoSpaceDE w:val="0"/>
        <w:autoSpaceDN w:val="0"/>
        <w:adjustRightInd w:val="0"/>
        <w:snapToGrid w:val="0"/>
        <w:spacing w:line="560" w:lineRule="exact"/>
        <w:ind w:firstLine="640" w:firstLineChars="200"/>
        <w:outlineLvl w:val="1"/>
        <w:rPr>
          <w:rFonts w:ascii="楷体_GB2312" w:eastAsia="楷体_GB2312"/>
          <w:sz w:val="32"/>
          <w:szCs w:val="32"/>
        </w:rPr>
      </w:pPr>
      <w:bookmarkStart w:id="68" w:name="_Toc23693"/>
      <w:bookmarkStart w:id="69" w:name="_Toc10052"/>
      <w:bookmarkStart w:id="70" w:name="_Toc35588422"/>
      <w:bookmarkStart w:id="71" w:name="_Toc15883"/>
      <w:r>
        <w:rPr>
          <w:rFonts w:hint="eastAsia" w:ascii="楷体_GB2312" w:eastAsia="楷体_GB2312"/>
          <w:sz w:val="32"/>
          <w:szCs w:val="32"/>
        </w:rPr>
        <w:t>（四）项目效益情况</w:t>
      </w:r>
      <w:bookmarkEnd w:id="68"/>
      <w:bookmarkEnd w:id="69"/>
      <w:bookmarkEnd w:id="70"/>
      <w:bookmarkEnd w:id="71"/>
    </w:p>
    <w:p w14:paraId="0423DD4D">
      <w:pPr>
        <w:autoSpaceDE w:val="0"/>
        <w:autoSpaceDN w:val="0"/>
        <w:adjustRightInd w:val="0"/>
        <w:snapToGrid w:val="0"/>
        <w:spacing w:line="560" w:lineRule="exact"/>
        <w:ind w:firstLine="640" w:firstLineChars="200"/>
        <w:outlineLvl w:val="2"/>
        <w:rPr>
          <w:rFonts w:ascii="仿宋_GB2312" w:hAnsi="宋体" w:cs="宋体"/>
          <w:color w:val="000000"/>
          <w:kern w:val="0"/>
          <w:sz w:val="32"/>
          <w:szCs w:val="32"/>
        </w:rPr>
      </w:pPr>
      <w:bookmarkStart w:id="72" w:name="_Toc35588423"/>
      <w:r>
        <w:rPr>
          <w:rFonts w:hint="eastAsia" w:ascii="仿宋_GB2312" w:hAnsi="宋体" w:cs="宋体"/>
          <w:color w:val="000000"/>
          <w:kern w:val="0"/>
          <w:sz w:val="32"/>
          <w:szCs w:val="32"/>
        </w:rPr>
        <w:t>1.实施效益</w:t>
      </w:r>
      <w:bookmarkEnd w:id="72"/>
    </w:p>
    <w:p w14:paraId="1D08D45D">
      <w:pPr>
        <w:autoSpaceDE w:val="0"/>
        <w:autoSpaceDN w:val="0"/>
        <w:adjustRightInd w:val="0"/>
        <w:snapToGrid w:val="0"/>
        <w:spacing w:line="560" w:lineRule="exact"/>
        <w:ind w:firstLine="640" w:firstLineChars="200"/>
        <w:rPr>
          <w:rFonts w:ascii="仿宋_GB2312" w:hAnsi="宋体" w:cs="宋体"/>
          <w:iCs/>
          <w:color w:val="000000"/>
          <w:kern w:val="0"/>
          <w:sz w:val="32"/>
          <w:szCs w:val="32"/>
        </w:rPr>
      </w:pPr>
      <w:r>
        <w:rPr>
          <w:rFonts w:hint="eastAsia" w:ascii="仿宋_GB2312" w:hAnsi="宋体" w:cs="宋体"/>
          <w:iCs/>
          <w:color w:val="000000"/>
          <w:kern w:val="0"/>
          <w:sz w:val="32"/>
          <w:szCs w:val="32"/>
        </w:rPr>
        <w:t>项目有效</w:t>
      </w:r>
      <w:r>
        <w:rPr>
          <w:rFonts w:hint="eastAsia" w:ascii="仿宋_GB2312" w:hAnsi="微软雅黑" w:cs="宋体"/>
          <w:kern w:val="0"/>
          <w:sz w:val="32"/>
          <w:szCs w:val="32"/>
        </w:rPr>
        <w:t>推进了北京市农村环境整治与土壤治理修复工作成效，提升了管理工作质效</w:t>
      </w:r>
      <w:r>
        <w:rPr>
          <w:rFonts w:hint="eastAsia" w:ascii="仿宋_GB2312" w:hAnsi="宋体" w:cs="宋体"/>
          <w:iCs/>
          <w:color w:val="000000"/>
          <w:kern w:val="0"/>
          <w:sz w:val="32"/>
          <w:szCs w:val="32"/>
        </w:rPr>
        <w:t>。</w:t>
      </w:r>
    </w:p>
    <w:p w14:paraId="296FB0F1">
      <w:pPr>
        <w:autoSpaceDE w:val="0"/>
        <w:autoSpaceDN w:val="0"/>
        <w:adjustRightInd w:val="0"/>
        <w:snapToGrid w:val="0"/>
        <w:spacing w:line="560" w:lineRule="exact"/>
        <w:ind w:firstLine="640"/>
        <w:rPr>
          <w:rFonts w:ascii="仿宋_GB2312" w:hAnsi="宋体" w:cs="宋体"/>
          <w:iCs/>
          <w:color w:val="000000"/>
          <w:kern w:val="0"/>
          <w:sz w:val="32"/>
          <w:szCs w:val="32"/>
        </w:rPr>
      </w:pPr>
      <w:r>
        <w:rPr>
          <w:rFonts w:hint="eastAsia" w:ascii="仿宋_GB2312" w:hAnsi="宋体" w:cs="宋体"/>
          <w:b/>
          <w:bCs/>
          <w:iCs/>
          <w:color w:val="000000"/>
          <w:kern w:val="0"/>
          <w:sz w:val="32"/>
          <w:szCs w:val="32"/>
        </w:rPr>
        <w:t>一是</w:t>
      </w:r>
      <w:r>
        <w:rPr>
          <w:rFonts w:hint="eastAsia" w:ascii="仿宋_GB2312" w:hAnsi="宋体" w:cs="宋体"/>
          <w:iCs/>
          <w:color w:val="000000"/>
          <w:kern w:val="0"/>
          <w:sz w:val="32"/>
          <w:szCs w:val="32"/>
        </w:rPr>
        <w:t>通过实施北京市农村环境整治成效评估项目，协助解决农村环境整治及管护中遇到的实际技术问题，了解污水处理设施定期监测落实、农村生活污水、垃圾等污染治理设施运行维护等情况；按照国家及本市有关要求，根据已完成农村环境整治任务的村庄清单，对农村环境综合整治效果进行了实地抽查，发现问题，反馈相关区核实，形成“实地抽查-及时反馈-整改提升”的链条闭环，助力提升农村生态环境状况。</w:t>
      </w:r>
    </w:p>
    <w:p w14:paraId="039C104B">
      <w:pPr>
        <w:autoSpaceDE w:val="0"/>
        <w:autoSpaceDN w:val="0"/>
        <w:adjustRightInd w:val="0"/>
        <w:snapToGrid w:val="0"/>
        <w:spacing w:line="560" w:lineRule="exact"/>
        <w:ind w:firstLine="643" w:firstLineChars="200"/>
        <w:rPr>
          <w:rFonts w:ascii="仿宋_GB2312" w:hAnsi="宋体" w:cs="仿宋_GB2312"/>
          <w:color w:val="000000"/>
          <w:kern w:val="0"/>
          <w:sz w:val="32"/>
          <w:szCs w:val="32"/>
          <w:highlight w:val="yellow"/>
        </w:rPr>
      </w:pPr>
      <w:r>
        <w:rPr>
          <w:rFonts w:hint="eastAsia" w:ascii="仿宋_GB2312" w:hAnsi="宋体" w:cs="宋体"/>
          <w:b/>
          <w:bCs/>
          <w:iCs/>
          <w:color w:val="000000"/>
          <w:kern w:val="0"/>
          <w:sz w:val="32"/>
          <w:szCs w:val="32"/>
        </w:rPr>
        <w:t>二是</w:t>
      </w:r>
      <w:r>
        <w:rPr>
          <w:rFonts w:hint="eastAsia" w:ascii="仿宋_GB2312" w:hAnsi="宋体" w:cs="仿宋_GB2312"/>
          <w:color w:val="000000"/>
          <w:kern w:val="0"/>
          <w:sz w:val="32"/>
          <w:szCs w:val="32"/>
        </w:rPr>
        <w:t>通过实施</w:t>
      </w:r>
      <w:r>
        <w:rPr>
          <w:rFonts w:hint="eastAsia" w:ascii="仿宋_GB2312" w:hAnsi="仿宋_GB2312" w:cs="仿宋_GB2312"/>
          <w:sz w:val="32"/>
          <w:szCs w:val="32"/>
        </w:rPr>
        <w:t>北京市土壤污染防治成效评估</w:t>
      </w:r>
      <w:r>
        <w:rPr>
          <w:rFonts w:hint="eastAsia" w:ascii="仿宋_GB2312" w:hAnsi="宋体" w:cs="仿宋_GB2312"/>
          <w:color w:val="000000"/>
          <w:kern w:val="0"/>
          <w:sz w:val="32"/>
          <w:szCs w:val="32"/>
        </w:rPr>
        <w:t>项目，从土壤改良监测、重点任务落实情况、推动提高绿色发展水平三部分评估，按季度评估北京市17个区的土壤污染防治工作进展情况，提升各区土壤</w:t>
      </w:r>
      <w:r>
        <w:rPr>
          <w:rFonts w:hint="eastAsia" w:ascii="仿宋_GB2312" w:hAnsi="宋体" w:cs="仿宋_GB2312"/>
          <w:color w:val="000000"/>
          <w:kern w:val="0"/>
          <w:sz w:val="32"/>
          <w:szCs w:val="32"/>
          <w:lang w:eastAsia="zh-CN"/>
        </w:rPr>
        <w:t>生态环境保护</w:t>
      </w:r>
      <w:r>
        <w:rPr>
          <w:rFonts w:hint="eastAsia" w:ascii="仿宋_GB2312" w:hAnsi="宋体" w:cs="仿宋_GB2312"/>
          <w:color w:val="000000"/>
          <w:kern w:val="0"/>
          <w:sz w:val="32"/>
          <w:szCs w:val="32"/>
        </w:rPr>
        <w:t>工作。</w:t>
      </w:r>
    </w:p>
    <w:p w14:paraId="7963798C">
      <w:pPr>
        <w:autoSpaceDE w:val="0"/>
        <w:autoSpaceDN w:val="0"/>
        <w:adjustRightInd w:val="0"/>
        <w:snapToGrid w:val="0"/>
        <w:spacing w:line="560" w:lineRule="exact"/>
        <w:ind w:firstLine="643" w:firstLineChars="200"/>
        <w:rPr>
          <w:rFonts w:ascii="仿宋_GB2312" w:hAnsi="宋体" w:cs="仿宋_GB2312"/>
          <w:color w:val="000000"/>
          <w:kern w:val="0"/>
          <w:sz w:val="32"/>
          <w:szCs w:val="32"/>
        </w:rPr>
      </w:pPr>
      <w:r>
        <w:rPr>
          <w:rFonts w:hint="eastAsia" w:ascii="仿宋_GB2312" w:hAnsi="宋体" w:cs="宋体"/>
          <w:b/>
          <w:bCs/>
          <w:iCs/>
          <w:color w:val="000000"/>
          <w:kern w:val="0"/>
          <w:sz w:val="32"/>
          <w:szCs w:val="32"/>
        </w:rPr>
        <w:t>三是</w:t>
      </w:r>
      <w:r>
        <w:rPr>
          <w:rFonts w:hint="eastAsia" w:ascii="仿宋_GB2312" w:hAnsi="宋体" w:cs="仿宋_GB2312"/>
          <w:color w:val="000000"/>
          <w:kern w:val="0"/>
          <w:sz w:val="32"/>
          <w:szCs w:val="32"/>
        </w:rPr>
        <w:t>通过实施</w:t>
      </w:r>
      <w:r>
        <w:rPr>
          <w:rFonts w:hint="eastAsia" w:ascii="仿宋_GB2312" w:hAnsi="仿宋_GB2312" w:cs="仿宋_GB2312"/>
          <w:sz w:val="32"/>
          <w:szCs w:val="32"/>
        </w:rPr>
        <w:t>北京市农用地土壤磷盈余现状试点调查（2024）</w:t>
      </w:r>
      <w:r>
        <w:rPr>
          <w:rFonts w:ascii="仿宋_GB2312" w:hAnsi="宋体" w:cs="仿宋_GB2312"/>
          <w:color w:val="000000"/>
          <w:kern w:val="0"/>
          <w:sz w:val="32"/>
          <w:szCs w:val="32"/>
        </w:rPr>
        <w:t>项目</w:t>
      </w:r>
      <w:r>
        <w:rPr>
          <w:rFonts w:hint="eastAsia" w:ascii="仿宋_GB2312" w:hAnsi="宋体" w:cs="仿宋_GB2312"/>
          <w:color w:val="000000"/>
          <w:kern w:val="0"/>
          <w:sz w:val="32"/>
          <w:szCs w:val="32"/>
        </w:rPr>
        <w:t>，</w:t>
      </w:r>
      <w:r>
        <w:rPr>
          <w:rFonts w:hint="eastAsia" w:ascii="仿宋_GB2312" w:hAnsi="宋体" w:cs="仿宋_GB2312"/>
          <w:color w:val="000000"/>
          <w:kern w:val="0"/>
          <w:sz w:val="32"/>
          <w:szCs w:val="32"/>
          <w:lang w:eastAsia="zh-CN"/>
        </w:rPr>
        <w:t>分析</w:t>
      </w:r>
      <w:r>
        <w:rPr>
          <w:rFonts w:hint="eastAsia" w:ascii="仿宋_GB2312" w:hAnsi="宋体" w:cs="仿宋_GB2312"/>
          <w:color w:val="000000"/>
          <w:kern w:val="0"/>
          <w:sz w:val="32"/>
          <w:szCs w:val="32"/>
        </w:rPr>
        <w:t>典型农用地的磷活化情况及空间分布特征；预测北京市典型农用地磷盈余的演化和发展趋势，研究肥料施用量、作物种类及土壤理化因子对土壤磷元素积累与盈余过程、微观形态转化、生物有效性的影响等，监测和评估土壤的磷盈余现状，为土壤</w:t>
      </w:r>
      <w:r>
        <w:rPr>
          <w:rFonts w:hint="eastAsia" w:ascii="仿宋_GB2312" w:hAnsi="宋体" w:cs="仿宋_GB2312"/>
          <w:color w:val="000000"/>
          <w:kern w:val="0"/>
          <w:sz w:val="32"/>
          <w:szCs w:val="32"/>
          <w:lang w:eastAsia="zh-CN"/>
        </w:rPr>
        <w:t>生态环境保护</w:t>
      </w:r>
      <w:r>
        <w:rPr>
          <w:rFonts w:hint="eastAsia" w:ascii="仿宋_GB2312" w:hAnsi="宋体" w:cs="仿宋_GB2312"/>
          <w:color w:val="000000"/>
          <w:kern w:val="0"/>
          <w:sz w:val="32"/>
          <w:szCs w:val="32"/>
        </w:rPr>
        <w:t>提供依据。</w:t>
      </w:r>
    </w:p>
    <w:p w14:paraId="1FAB3B91">
      <w:pPr>
        <w:autoSpaceDE w:val="0"/>
        <w:autoSpaceDN w:val="0"/>
        <w:adjustRightInd w:val="0"/>
        <w:snapToGrid w:val="0"/>
        <w:spacing w:line="560" w:lineRule="exact"/>
        <w:ind w:firstLine="643" w:firstLineChars="200"/>
        <w:rPr>
          <w:rFonts w:ascii="仿宋_GB2312" w:hAnsi="宋体" w:cs="宋体"/>
          <w:iCs/>
          <w:color w:val="000000"/>
          <w:kern w:val="0"/>
          <w:sz w:val="32"/>
          <w:szCs w:val="32"/>
        </w:rPr>
      </w:pPr>
      <w:r>
        <w:rPr>
          <w:rFonts w:hint="eastAsia" w:ascii="仿宋_GB2312" w:hAnsi="宋体" w:cs="宋体"/>
          <w:b/>
          <w:bCs/>
          <w:iCs/>
          <w:color w:val="000000"/>
          <w:kern w:val="0"/>
          <w:sz w:val="32"/>
          <w:szCs w:val="32"/>
        </w:rPr>
        <w:t>四是</w:t>
      </w:r>
      <w:r>
        <w:rPr>
          <w:rFonts w:hint="eastAsia" w:ascii="仿宋_GB2312" w:hAnsi="宋体" w:cs="宋体"/>
          <w:iCs/>
          <w:color w:val="000000"/>
          <w:kern w:val="0"/>
          <w:sz w:val="32"/>
          <w:szCs w:val="32"/>
        </w:rPr>
        <w:t>通过实施北京市土壤健康状况调查项目，开展北京市典型土壤生物多样性调查，</w:t>
      </w:r>
      <w:r>
        <w:rPr>
          <w:rFonts w:hint="eastAsia" w:ascii="仿宋_GB2312" w:hAnsi="宋体" w:cs="宋体"/>
          <w:iCs/>
          <w:color w:val="000000"/>
          <w:kern w:val="0"/>
          <w:sz w:val="32"/>
          <w:szCs w:val="32"/>
          <w:lang w:eastAsia="zh-CN"/>
        </w:rPr>
        <w:t>分析</w:t>
      </w:r>
      <w:r>
        <w:rPr>
          <w:rFonts w:hint="eastAsia" w:ascii="仿宋_GB2312" w:hAnsi="宋体" w:cs="宋体"/>
          <w:iCs/>
          <w:color w:val="000000"/>
          <w:kern w:val="0"/>
          <w:sz w:val="32"/>
          <w:szCs w:val="32"/>
        </w:rPr>
        <w:t>土壤动物、微生物多样性对土壤生态系统多功能性的影响，评估土壤生态系统的稳定性和健康状况，为土壤生态保护提供科学依据；开展农用地土壤微塑料赋存试点调查，分析农用地土壤中微塑料的存在情况和分布特征，评估农业活动对土壤微塑料的</w:t>
      </w:r>
      <w:r>
        <w:rPr>
          <w:rFonts w:hint="eastAsia" w:ascii="仿宋_GB2312" w:hAnsi="宋体" w:cs="宋体"/>
          <w:iCs/>
          <w:color w:val="000000"/>
          <w:kern w:val="0"/>
          <w:sz w:val="32"/>
          <w:szCs w:val="32"/>
          <w:lang w:eastAsia="zh-CN"/>
        </w:rPr>
        <w:t>影响</w:t>
      </w:r>
      <w:r>
        <w:rPr>
          <w:rFonts w:hint="eastAsia" w:ascii="仿宋_GB2312" w:hAnsi="宋体" w:cs="宋体"/>
          <w:iCs/>
          <w:color w:val="000000"/>
          <w:kern w:val="0"/>
          <w:sz w:val="32"/>
          <w:szCs w:val="32"/>
        </w:rPr>
        <w:t>，提出减少土壤微塑料污染的政策建议，促进土壤健康和生态环境提升。</w:t>
      </w:r>
    </w:p>
    <w:p w14:paraId="25580085">
      <w:pPr>
        <w:autoSpaceDE w:val="0"/>
        <w:autoSpaceDN w:val="0"/>
        <w:adjustRightInd w:val="0"/>
        <w:snapToGrid w:val="0"/>
        <w:spacing w:line="560" w:lineRule="exact"/>
        <w:ind w:firstLine="640" w:firstLineChars="200"/>
        <w:outlineLvl w:val="2"/>
        <w:rPr>
          <w:rFonts w:ascii="仿宋_GB2312" w:hAnsi="宋体" w:cs="宋体"/>
          <w:color w:val="000000"/>
          <w:kern w:val="0"/>
          <w:sz w:val="32"/>
          <w:szCs w:val="32"/>
        </w:rPr>
      </w:pPr>
      <w:r>
        <w:rPr>
          <w:rFonts w:hint="eastAsia" w:ascii="仿宋_GB2312" w:hAnsi="宋体" w:cs="宋体"/>
          <w:color w:val="000000"/>
          <w:kern w:val="0"/>
          <w:sz w:val="32"/>
          <w:szCs w:val="32"/>
        </w:rPr>
        <w:t>2.服务对象满意度</w:t>
      </w:r>
    </w:p>
    <w:p w14:paraId="24CEE481">
      <w:pPr>
        <w:autoSpaceDE w:val="0"/>
        <w:autoSpaceDN w:val="0"/>
        <w:adjustRightInd w:val="0"/>
        <w:snapToGrid w:val="0"/>
        <w:spacing w:line="560" w:lineRule="exact"/>
        <w:ind w:firstLine="640" w:firstLineChars="200"/>
        <w:rPr>
          <w:rFonts w:ascii="仿宋_GB2312" w:hAnsi="宋体" w:cs="宋体"/>
          <w:iCs/>
          <w:color w:val="000000"/>
          <w:kern w:val="0"/>
          <w:sz w:val="32"/>
          <w:szCs w:val="32"/>
        </w:rPr>
      </w:pPr>
      <w:r>
        <w:rPr>
          <w:rFonts w:hint="eastAsia" w:ascii="仿宋_GB2312" w:hAnsi="宋体" w:cs="宋体"/>
          <w:iCs/>
          <w:color w:val="000000"/>
          <w:kern w:val="0"/>
          <w:sz w:val="32"/>
          <w:szCs w:val="32"/>
        </w:rPr>
        <w:t>项目的实施对于改善北京市农村环境，提升土壤污染防治成效，改善农用地土壤环境等起到了促进作用。项目</w:t>
      </w:r>
      <w:r>
        <w:rPr>
          <w:rFonts w:hint="eastAsia" w:ascii="仿宋_GB2312" w:hAnsi="宋体" w:cs="宋体"/>
          <w:iCs/>
          <w:color w:val="000000"/>
          <w:kern w:val="0"/>
          <w:sz w:val="32"/>
          <w:szCs w:val="32"/>
          <w:lang w:eastAsia="zh-CN"/>
        </w:rPr>
        <w:t>实施过程中，</w:t>
      </w:r>
      <w:r>
        <w:rPr>
          <w:rFonts w:hint="eastAsia" w:ascii="仿宋_GB2312" w:hAnsi="宋体" w:cs="宋体"/>
          <w:iCs/>
          <w:color w:val="000000"/>
          <w:kern w:val="0"/>
          <w:sz w:val="32"/>
          <w:szCs w:val="32"/>
        </w:rPr>
        <w:t>以口头询问的形式开展了满意度调查工作，主管部门满意度情况较好。</w:t>
      </w:r>
    </w:p>
    <w:p w14:paraId="7D5963A8">
      <w:pPr>
        <w:adjustRightInd w:val="0"/>
        <w:snapToGrid w:val="0"/>
        <w:spacing w:line="560" w:lineRule="exact"/>
        <w:ind w:firstLine="640" w:firstLineChars="200"/>
        <w:outlineLvl w:val="0"/>
        <w:rPr>
          <w:rFonts w:ascii="黑体" w:eastAsia="黑体"/>
          <w:sz w:val="32"/>
          <w:szCs w:val="32"/>
        </w:rPr>
      </w:pPr>
      <w:bookmarkStart w:id="73" w:name="_Toc32214"/>
      <w:bookmarkStart w:id="74" w:name="_Toc17355"/>
      <w:bookmarkStart w:id="75" w:name="_Toc35588424"/>
      <w:bookmarkStart w:id="76" w:name="_Toc18425"/>
      <w:r>
        <w:rPr>
          <w:rFonts w:hint="eastAsia" w:ascii="黑体" w:eastAsia="黑体"/>
          <w:sz w:val="32"/>
          <w:szCs w:val="32"/>
        </w:rPr>
        <w:t>五、主要经验及做法、存在的问题及原因分析</w:t>
      </w:r>
      <w:bookmarkEnd w:id="73"/>
      <w:bookmarkEnd w:id="74"/>
      <w:bookmarkEnd w:id="75"/>
      <w:bookmarkEnd w:id="76"/>
    </w:p>
    <w:p w14:paraId="36956ECE">
      <w:pPr>
        <w:adjustRightInd w:val="0"/>
        <w:snapToGrid w:val="0"/>
        <w:spacing w:line="560" w:lineRule="exact"/>
        <w:ind w:firstLine="640" w:firstLineChars="200"/>
        <w:outlineLvl w:val="1"/>
        <w:rPr>
          <w:rFonts w:ascii="楷体_GB2312" w:eastAsia="楷体_GB2312"/>
          <w:sz w:val="32"/>
          <w:szCs w:val="32"/>
        </w:rPr>
      </w:pPr>
      <w:bookmarkStart w:id="77" w:name="_Toc35588426"/>
      <w:bookmarkStart w:id="78" w:name="_Toc35588784"/>
      <w:bookmarkStart w:id="79" w:name="_Toc14352"/>
      <w:bookmarkStart w:id="80" w:name="_Toc31790"/>
      <w:bookmarkStart w:id="81" w:name="_Toc21169"/>
      <w:r>
        <w:rPr>
          <w:rFonts w:hint="eastAsia" w:ascii="楷体_GB2312" w:eastAsia="楷体_GB2312"/>
          <w:sz w:val="32"/>
          <w:szCs w:val="32"/>
        </w:rPr>
        <w:t>（一）</w:t>
      </w:r>
      <w:bookmarkEnd w:id="77"/>
      <w:bookmarkEnd w:id="78"/>
      <w:r>
        <w:rPr>
          <w:rFonts w:hint="eastAsia" w:ascii="楷体_GB2312" w:eastAsia="楷体_GB2312"/>
          <w:sz w:val="32"/>
          <w:szCs w:val="32"/>
        </w:rPr>
        <w:t>主要经验做法</w:t>
      </w:r>
      <w:bookmarkEnd w:id="79"/>
      <w:bookmarkEnd w:id="80"/>
    </w:p>
    <w:p w14:paraId="34741230">
      <w:pPr>
        <w:adjustRightInd w:val="0"/>
        <w:snapToGrid w:val="0"/>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1.开展实地抽查，加强指导服务</w:t>
      </w:r>
    </w:p>
    <w:p w14:paraId="6177CED4">
      <w:pPr>
        <w:adjustRightInd w:val="0"/>
        <w:snapToGrid w:val="0"/>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四不两直”赴现场抽查，及时反馈抽查结果，形成“实地抽查—及时反馈—整改提升”。通过专题培训会系统解读政策文件，深入剖析典型案例与常见问题等，加强沟通对接，安排专人负责对接指导，切实发现问题、解决问题，做到以查促改、以改促优，推动农村环境整治工作取得实效。</w:t>
      </w:r>
    </w:p>
    <w:p w14:paraId="2E27E77D">
      <w:pPr>
        <w:adjustRightInd w:val="0"/>
        <w:snapToGrid w:val="0"/>
        <w:spacing w:line="560" w:lineRule="exact"/>
        <w:ind w:firstLine="643" w:firstLineChars="200"/>
        <w:rPr>
          <w:rFonts w:ascii="仿宋_GB2312" w:hAnsi="仿宋_GB2312" w:cs="仿宋_GB2312"/>
          <w:b/>
          <w:bCs/>
          <w:sz w:val="32"/>
          <w:szCs w:val="32"/>
        </w:rPr>
      </w:pPr>
      <w:r>
        <w:rPr>
          <w:rFonts w:hint="eastAsia" w:ascii="仿宋_GB2312" w:hAnsi="仿宋_GB2312" w:cs="仿宋_GB2312"/>
          <w:b/>
          <w:bCs/>
          <w:sz w:val="32"/>
          <w:szCs w:val="32"/>
        </w:rPr>
        <w:t>2.</w:t>
      </w:r>
      <w:r>
        <w:rPr>
          <w:rFonts w:hint="eastAsia" w:ascii="仿宋_GB2312" w:hAnsi="仿宋_GB2312" w:cs="仿宋_GB2312"/>
          <w:b/>
          <w:bCs/>
          <w:sz w:val="32"/>
          <w:szCs w:val="32"/>
          <w:lang w:eastAsia="zh-CN"/>
        </w:rPr>
        <w:t>合理</w:t>
      </w:r>
      <w:r>
        <w:rPr>
          <w:rFonts w:hint="eastAsia" w:ascii="仿宋_GB2312" w:hAnsi="仿宋_GB2312" w:cs="仿宋_GB2312"/>
          <w:b/>
          <w:bCs/>
          <w:sz w:val="32"/>
          <w:szCs w:val="32"/>
        </w:rPr>
        <w:t>设定评价指标，加强成果应用</w:t>
      </w:r>
    </w:p>
    <w:p w14:paraId="165F1594">
      <w:pPr>
        <w:adjustRightInd w:val="0"/>
        <w:snapToGrid w:val="0"/>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建立“共性+特色”差异化指标体系，分层分类设置重点任务落实情况、土壤改良及监测达标考核指标，并增加提高绿色发展水平考核指标，根据年度工作计划动态优化权重、增强靶向性。创新智慧评价模式，采用大数据分析，实时抓取土壤监测等多源数据，构建评估链条，提升评估客观性和时效性。根据评估结果，“一对一”结对帮扶相关区精准提升土壤生态环境保护水平。</w:t>
      </w:r>
    </w:p>
    <w:p w14:paraId="1E8EE5C8">
      <w:pPr>
        <w:adjustRightInd w:val="0"/>
        <w:snapToGrid w:val="0"/>
        <w:spacing w:line="560" w:lineRule="exact"/>
        <w:ind w:firstLine="640" w:firstLineChars="200"/>
        <w:outlineLvl w:val="1"/>
        <w:rPr>
          <w:rFonts w:ascii="楷体_GB2312" w:eastAsia="楷体_GB2312"/>
          <w:sz w:val="32"/>
          <w:szCs w:val="32"/>
        </w:rPr>
      </w:pPr>
      <w:bookmarkStart w:id="82" w:name="_Toc17403"/>
      <w:bookmarkStart w:id="83" w:name="_Toc28305"/>
      <w:r>
        <w:rPr>
          <w:rFonts w:hint="eastAsia" w:ascii="楷体_GB2312" w:eastAsia="楷体_GB2312"/>
          <w:sz w:val="32"/>
          <w:szCs w:val="32"/>
        </w:rPr>
        <w:t>（二）</w:t>
      </w:r>
      <w:bookmarkStart w:id="84" w:name="_Toc136872316"/>
      <w:r>
        <w:rPr>
          <w:rFonts w:hint="eastAsia" w:ascii="楷体_GB2312" w:eastAsia="楷体_GB2312"/>
          <w:sz w:val="32"/>
          <w:szCs w:val="32"/>
        </w:rPr>
        <w:t>存在的问题及原因分析</w:t>
      </w:r>
      <w:bookmarkEnd w:id="82"/>
      <w:bookmarkEnd w:id="83"/>
      <w:bookmarkEnd w:id="84"/>
    </w:p>
    <w:p w14:paraId="5CCBE45D">
      <w:pPr>
        <w:adjustRightInd w:val="0"/>
        <w:snapToGrid w:val="0"/>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1.项目绩效目标完整性、指标分类准确性需提升</w:t>
      </w:r>
    </w:p>
    <w:p w14:paraId="69452C0D">
      <w:pPr>
        <w:adjustRightInd w:val="0"/>
        <w:snapToGrid w:val="0"/>
        <w:spacing w:line="560" w:lineRule="exact"/>
        <w:ind w:firstLine="643" w:firstLineChars="200"/>
      </w:pPr>
      <w:r>
        <w:rPr>
          <w:rFonts w:hint="eastAsia" w:ascii="仿宋_GB2312" w:hAnsi="仿宋_GB2312" w:cs="仿宋_GB2312"/>
          <w:b/>
          <w:bCs/>
          <w:sz w:val="32"/>
          <w:szCs w:val="32"/>
        </w:rPr>
        <w:t>一是</w:t>
      </w:r>
      <w:r>
        <w:rPr>
          <w:rFonts w:hint="eastAsia" w:ascii="仿宋_GB2312" w:hAnsi="仿宋_GB2312" w:cs="仿宋_GB2312"/>
          <w:sz w:val="32"/>
          <w:szCs w:val="32"/>
        </w:rPr>
        <w:t>现有目标中个别子项预计产生的效益与影响需进一步完善；</w:t>
      </w:r>
      <w:r>
        <w:rPr>
          <w:rFonts w:hint="eastAsia" w:ascii="仿宋_GB2312" w:hAnsi="仿宋_GB2312" w:cs="仿宋_GB2312"/>
          <w:b/>
          <w:bCs/>
          <w:sz w:val="32"/>
          <w:szCs w:val="32"/>
        </w:rPr>
        <w:t>二是</w:t>
      </w:r>
      <w:r>
        <w:rPr>
          <w:rFonts w:hint="eastAsia" w:ascii="仿宋_GB2312" w:hAnsi="仿宋_GB2312" w:cs="仿宋_GB2312"/>
          <w:sz w:val="32"/>
          <w:szCs w:val="32"/>
        </w:rPr>
        <w:t>个别绩效</w:t>
      </w:r>
      <w:r>
        <w:rPr>
          <w:rFonts w:hint="eastAsia"/>
          <w:sz w:val="32"/>
        </w:rPr>
        <w:t>指标分类准确性仍需提升</w:t>
      </w:r>
      <w:bookmarkEnd w:id="81"/>
      <w:bookmarkStart w:id="85" w:name="OLE_LINK3"/>
      <w:r>
        <w:rPr>
          <w:rFonts w:hint="eastAsia"/>
          <w:sz w:val="32"/>
        </w:rPr>
        <w:t>，个别指标归类不够合理，成本指标和经济效益指标设置不精确。</w:t>
      </w:r>
    </w:p>
    <w:bookmarkEnd w:id="85"/>
    <w:p w14:paraId="69D22C8B">
      <w:pPr>
        <w:adjustRightInd w:val="0"/>
        <w:snapToGrid w:val="0"/>
        <w:spacing w:line="560" w:lineRule="exact"/>
        <w:ind w:firstLine="643" w:firstLineChars="200"/>
        <w:rPr>
          <w:rFonts w:ascii="仿宋_GB2312" w:hAnsi="仿宋_GB2312" w:cs="仿宋_GB2312"/>
          <w:sz w:val="32"/>
          <w:highlight w:val="yellow"/>
        </w:rPr>
      </w:pPr>
      <w:r>
        <w:rPr>
          <w:rFonts w:hint="eastAsia" w:ascii="仿宋_GB2312" w:hAnsi="仿宋_GB2312" w:cs="仿宋_GB2312"/>
          <w:b/>
          <w:bCs/>
          <w:sz w:val="32"/>
        </w:rPr>
        <w:t>原因分析</w:t>
      </w:r>
      <w:r>
        <w:rPr>
          <w:rFonts w:hint="eastAsia" w:ascii="仿宋_GB2312" w:hAnsi="仿宋_GB2312" w:cs="仿宋_GB2312"/>
          <w:sz w:val="32"/>
        </w:rPr>
        <w:t>：项目单位对最新的绩效目标、指标的设置要求学习领会不够深入。</w:t>
      </w:r>
    </w:p>
    <w:p w14:paraId="466201A0">
      <w:pPr>
        <w:adjustRightInd w:val="0"/>
        <w:snapToGrid w:val="0"/>
        <w:spacing w:line="560" w:lineRule="exact"/>
        <w:ind w:firstLine="640" w:firstLineChars="200"/>
        <w:rPr>
          <w:rFonts w:ascii="仿宋_GB2312" w:hAnsi="仿宋_GB2312" w:cs="仿宋_GB2312"/>
          <w:sz w:val="32"/>
          <w:shd w:val="clear" w:color="auto" w:fill="FFFFFF"/>
        </w:rPr>
      </w:pPr>
      <w:bookmarkStart w:id="86" w:name="_Toc3198"/>
      <w:r>
        <w:rPr>
          <w:rFonts w:hint="eastAsia" w:ascii="仿宋_GB2312" w:hAnsi="仿宋_GB2312" w:cs="仿宋_GB2312"/>
          <w:sz w:val="32"/>
          <w:szCs w:val="32"/>
        </w:rPr>
        <w:t>2.项目尚处于合同期内，效益发挥情况</w:t>
      </w:r>
      <w:bookmarkEnd w:id="86"/>
      <w:r>
        <w:rPr>
          <w:rFonts w:hint="eastAsia" w:ascii="仿宋_GB2312" w:hAnsi="仿宋_GB2312" w:cs="仿宋_GB2312"/>
          <w:sz w:val="32"/>
          <w:szCs w:val="32"/>
        </w:rPr>
        <w:t>需持续跟进</w:t>
      </w:r>
    </w:p>
    <w:p w14:paraId="1EEE0C09">
      <w:pPr>
        <w:snapToGrid w:val="0"/>
        <w:spacing w:line="560" w:lineRule="exact"/>
        <w:ind w:firstLine="640" w:firstLineChars="200"/>
        <w:rPr>
          <w:sz w:val="32"/>
          <w:szCs w:val="32"/>
        </w:rPr>
      </w:pPr>
      <w:bookmarkStart w:id="87" w:name="OLE_LINK2"/>
      <w:r>
        <w:rPr>
          <w:rFonts w:hint="eastAsia" w:ascii="仿宋_GB2312" w:hAnsi="仿宋_GB2312" w:cs="仿宋_GB2312"/>
          <w:sz w:val="32"/>
          <w:szCs w:val="32"/>
        </w:rPr>
        <w:t>截至评价节点，项目按合同约定开展相关工作，尚未到结项验收节点，需进一步跟踪考核。</w:t>
      </w:r>
    </w:p>
    <w:bookmarkEnd w:id="87"/>
    <w:p w14:paraId="0ABE8B51">
      <w:pPr>
        <w:adjustRightInd w:val="0"/>
        <w:snapToGrid w:val="0"/>
        <w:spacing w:line="560" w:lineRule="exact"/>
        <w:ind w:firstLine="643" w:firstLineChars="200"/>
        <w:rPr>
          <w:rFonts w:ascii="仿宋_GB2312" w:hAnsi="仿宋_GB2312" w:cs="仿宋_GB2312"/>
          <w:sz w:val="32"/>
          <w:highlight w:val="green"/>
        </w:rPr>
      </w:pPr>
      <w:r>
        <w:rPr>
          <w:rFonts w:hint="eastAsia" w:ascii="仿宋_GB2312" w:hAnsi="仿宋_GB2312" w:cs="仿宋_GB2312"/>
          <w:b/>
          <w:bCs/>
          <w:sz w:val="32"/>
        </w:rPr>
        <w:t>原因分析</w:t>
      </w:r>
      <w:r>
        <w:rPr>
          <w:rFonts w:hint="eastAsia" w:ascii="仿宋_GB2312" w:hAnsi="仿宋_GB2312" w:cs="仿宋_GB2312"/>
          <w:sz w:val="32"/>
        </w:rPr>
        <w:t>：项目跨年实施，验收流程和成果应用效果需合同期满后确认。</w:t>
      </w:r>
    </w:p>
    <w:p w14:paraId="77CEB789">
      <w:pPr>
        <w:snapToGrid w:val="0"/>
        <w:spacing w:line="560" w:lineRule="exact"/>
        <w:ind w:firstLine="800" w:firstLineChars="250"/>
        <w:outlineLvl w:val="0"/>
        <w:rPr>
          <w:rFonts w:ascii="黑体" w:eastAsia="黑体"/>
          <w:sz w:val="32"/>
          <w:szCs w:val="32"/>
        </w:rPr>
      </w:pPr>
      <w:bookmarkStart w:id="88" w:name="_Toc21265"/>
      <w:bookmarkStart w:id="89" w:name="_Toc20316"/>
      <w:bookmarkStart w:id="90" w:name="_Toc35588427"/>
      <w:bookmarkStart w:id="91" w:name="_Toc21280"/>
      <w:r>
        <w:rPr>
          <w:rFonts w:hint="eastAsia" w:ascii="黑体" w:eastAsia="黑体"/>
          <w:sz w:val="32"/>
          <w:szCs w:val="32"/>
        </w:rPr>
        <w:t>六、有关建议</w:t>
      </w:r>
      <w:bookmarkEnd w:id="88"/>
      <w:bookmarkEnd w:id="89"/>
      <w:bookmarkEnd w:id="90"/>
      <w:bookmarkEnd w:id="91"/>
    </w:p>
    <w:p w14:paraId="3CE1B68F">
      <w:pPr>
        <w:adjustRightInd w:val="0"/>
        <w:snapToGrid w:val="0"/>
        <w:spacing w:line="560" w:lineRule="exact"/>
        <w:ind w:firstLine="640" w:firstLineChars="200"/>
        <w:outlineLvl w:val="1"/>
        <w:rPr>
          <w:rFonts w:ascii="楷体_GB2312" w:eastAsia="楷体_GB2312"/>
          <w:sz w:val="32"/>
          <w:szCs w:val="32"/>
        </w:rPr>
      </w:pPr>
      <w:bookmarkStart w:id="92" w:name="_Toc30855"/>
      <w:bookmarkStart w:id="93" w:name="_Toc25610"/>
      <w:bookmarkStart w:id="94" w:name="_Toc9457"/>
      <w:bookmarkStart w:id="95" w:name="_Toc336506977"/>
      <w:bookmarkStart w:id="96" w:name="_Toc336506911"/>
      <w:bookmarkStart w:id="97" w:name="_Toc30652"/>
      <w:bookmarkStart w:id="98" w:name="_Toc9412"/>
      <w:bookmarkStart w:id="99" w:name="_Toc206"/>
      <w:bookmarkStart w:id="100" w:name="_Toc22398"/>
      <w:r>
        <w:rPr>
          <w:rFonts w:hint="eastAsia" w:ascii="楷体_GB2312" w:eastAsia="楷体_GB2312"/>
          <w:sz w:val="32"/>
          <w:szCs w:val="32"/>
        </w:rPr>
        <w:t>（一）强化预算绩效管理意识</w:t>
      </w:r>
      <w:bookmarkEnd w:id="92"/>
      <w:bookmarkEnd w:id="93"/>
      <w:bookmarkEnd w:id="94"/>
      <w:r>
        <w:rPr>
          <w:rFonts w:hint="eastAsia" w:ascii="楷体_GB2312" w:eastAsia="楷体_GB2312"/>
          <w:sz w:val="32"/>
          <w:szCs w:val="32"/>
        </w:rPr>
        <w:t>，提升绩效目标设置全面科学性</w:t>
      </w:r>
    </w:p>
    <w:p w14:paraId="12B337D8">
      <w:pPr>
        <w:adjustRightInd w:val="0"/>
        <w:snapToGrid w:val="0"/>
        <w:spacing w:line="560" w:lineRule="exact"/>
        <w:ind w:firstLine="640" w:firstLineChars="200"/>
        <w:rPr>
          <w:rFonts w:cs="仿宋_GB2312"/>
          <w:sz w:val="32"/>
          <w:szCs w:val="28"/>
        </w:rPr>
      </w:pPr>
      <w:r>
        <w:rPr>
          <w:rFonts w:hint="eastAsia" w:cs="仿宋_GB2312"/>
          <w:sz w:val="32"/>
          <w:szCs w:val="32"/>
        </w:rPr>
        <w:t>建议项目单位进一步强化预算绩效管理意识，按照市财政局对于绩效目标和指标设置的要求，科学、合理、全面设置项目绩效目标和指标。</w:t>
      </w:r>
      <w:r>
        <w:rPr>
          <w:rFonts w:hint="eastAsia" w:cs="仿宋_GB2312"/>
          <w:b/>
          <w:bCs/>
          <w:sz w:val="32"/>
          <w:szCs w:val="32"/>
        </w:rPr>
        <w:t>一是</w:t>
      </w:r>
      <w:r>
        <w:rPr>
          <w:rFonts w:hint="eastAsia" w:cs="仿宋_GB2312"/>
          <w:sz w:val="32"/>
          <w:szCs w:val="32"/>
        </w:rPr>
        <w:t>结合项目历史情况和年度工作内容，完整设置项目目标，覆盖项目核心产出和预期效益；</w:t>
      </w:r>
      <w:r>
        <w:rPr>
          <w:rFonts w:hint="eastAsia" w:cs="仿宋_GB2312"/>
          <w:b/>
          <w:bCs/>
          <w:sz w:val="32"/>
          <w:szCs w:val="32"/>
        </w:rPr>
        <w:t>二是</w:t>
      </w:r>
      <w:r>
        <w:rPr>
          <w:rFonts w:hint="eastAsia" w:cs="仿宋_GB2312"/>
          <w:sz w:val="32"/>
          <w:szCs w:val="32"/>
        </w:rPr>
        <w:t>加强</w:t>
      </w:r>
      <w:r>
        <w:rPr>
          <w:rFonts w:hint="eastAsia" w:ascii="仿宋_GB2312" w:hAnsi="仿宋_GB2312" w:cs="仿宋_GB2312"/>
          <w:sz w:val="32"/>
          <w:szCs w:val="32"/>
        </w:rPr>
        <w:t>对各类绩效指标含义的理解，规范绩效指标分类</w:t>
      </w:r>
      <w:r>
        <w:rPr>
          <w:rFonts w:hint="eastAsia" w:cs="仿宋_GB2312"/>
          <w:sz w:val="32"/>
          <w:szCs w:val="32"/>
        </w:rPr>
        <w:t>。对于项目预算约束的指标可归类设置为成本指标，对于项目实施的直接或间接经济影响可设置为经济效益指标。</w:t>
      </w:r>
    </w:p>
    <w:p w14:paraId="4722A302">
      <w:pPr>
        <w:adjustRightInd w:val="0"/>
        <w:snapToGrid w:val="0"/>
        <w:spacing w:line="560" w:lineRule="exact"/>
        <w:ind w:firstLine="640" w:firstLineChars="200"/>
        <w:jc w:val="left"/>
        <w:outlineLvl w:val="1"/>
        <w:rPr>
          <w:rFonts w:eastAsia="楷体_GB2312"/>
          <w:color w:val="000000"/>
          <w:sz w:val="32"/>
          <w:szCs w:val="30"/>
        </w:rPr>
      </w:pPr>
      <w:bookmarkStart w:id="101" w:name="_Toc15731"/>
      <w:bookmarkStart w:id="102" w:name="_Toc10735"/>
      <w:bookmarkStart w:id="103" w:name="_Toc26609"/>
      <w:bookmarkStart w:id="104" w:name="_Toc18069"/>
      <w:bookmarkStart w:id="105" w:name="_Toc23700"/>
      <w:r>
        <w:rPr>
          <w:rFonts w:hint="eastAsia" w:eastAsia="楷体_GB2312"/>
          <w:color w:val="000000"/>
          <w:sz w:val="32"/>
        </w:rPr>
        <w:t>（二）</w:t>
      </w:r>
      <w:bookmarkEnd w:id="95"/>
      <w:bookmarkEnd w:id="96"/>
      <w:bookmarkEnd w:id="97"/>
      <w:bookmarkEnd w:id="98"/>
      <w:bookmarkEnd w:id="101"/>
      <w:bookmarkEnd w:id="102"/>
      <w:bookmarkEnd w:id="103"/>
      <w:bookmarkEnd w:id="104"/>
      <w:bookmarkEnd w:id="105"/>
      <w:bookmarkStart w:id="106" w:name="_Toc1077"/>
      <w:bookmarkStart w:id="107" w:name="_Toc790"/>
      <w:bookmarkStart w:id="108" w:name="_Toc22016"/>
      <w:bookmarkStart w:id="109" w:name="_Toc14695"/>
      <w:r>
        <w:rPr>
          <w:rFonts w:hint="eastAsia" w:eastAsia="楷体_GB2312"/>
          <w:color w:val="000000"/>
          <w:sz w:val="32"/>
          <w:szCs w:val="30"/>
        </w:rPr>
        <w:t>做好项目验收管理，加强项目成果的实际应用</w:t>
      </w:r>
      <w:bookmarkEnd w:id="106"/>
      <w:bookmarkEnd w:id="107"/>
      <w:bookmarkEnd w:id="108"/>
      <w:bookmarkEnd w:id="109"/>
    </w:p>
    <w:p w14:paraId="4651D28C">
      <w:pPr>
        <w:adjustRightInd w:val="0"/>
        <w:snapToGrid w:val="0"/>
        <w:spacing w:line="560" w:lineRule="exact"/>
        <w:ind w:firstLine="640" w:firstLineChars="200"/>
        <w:jc w:val="left"/>
        <w:rPr>
          <w:rFonts w:ascii="仿宋_GB2312" w:hAnsi="宋体"/>
          <w:bCs/>
          <w:kern w:val="0"/>
          <w:sz w:val="32"/>
          <w:szCs w:val="32"/>
        </w:rPr>
      </w:pPr>
      <w:r>
        <w:rPr>
          <w:rFonts w:hint="eastAsia" w:cs="仿宋_GB2312"/>
          <w:sz w:val="32"/>
          <w:szCs w:val="28"/>
        </w:rPr>
        <w:t>建议项目单位</w:t>
      </w:r>
      <w:r>
        <w:rPr>
          <w:rFonts w:hint="eastAsia" w:cs="仿宋_GB2312"/>
          <w:sz w:val="32"/>
          <w:szCs w:val="28"/>
          <w:lang w:eastAsia="zh-CN"/>
        </w:rPr>
        <w:t>：</w:t>
      </w:r>
      <w:r>
        <w:rPr>
          <w:rFonts w:hint="eastAsia" w:cs="仿宋_GB2312"/>
          <w:b/>
          <w:bCs/>
          <w:sz w:val="32"/>
          <w:szCs w:val="28"/>
        </w:rPr>
        <w:t>一是</w:t>
      </w:r>
      <w:bookmarkStart w:id="110" w:name="OLE_LINK4"/>
      <w:r>
        <w:rPr>
          <w:rFonts w:hint="eastAsia" w:cs="仿宋_GB2312"/>
          <w:sz w:val="32"/>
          <w:szCs w:val="28"/>
        </w:rPr>
        <w:t>合同履约结束后，严格按照局内验收程序要求，及时组织项目结项验收。</w:t>
      </w:r>
      <w:bookmarkEnd w:id="110"/>
      <w:r>
        <w:rPr>
          <w:rFonts w:hint="eastAsia" w:cs="仿宋_GB2312"/>
          <w:b/>
          <w:bCs/>
          <w:sz w:val="32"/>
          <w:szCs w:val="28"/>
        </w:rPr>
        <w:t>二是</w:t>
      </w:r>
      <w:r>
        <w:rPr>
          <w:rFonts w:hint="eastAsia" w:cs="仿宋_GB2312"/>
          <w:sz w:val="32"/>
          <w:szCs w:val="28"/>
        </w:rPr>
        <w:t>加强项目成果落地应用，规范管理项目数据成果，注重成果转化</w:t>
      </w:r>
      <w:r>
        <w:rPr>
          <w:rFonts w:hint="eastAsia" w:cs="仿宋_GB2312"/>
          <w:b/>
          <w:bCs/>
          <w:sz w:val="32"/>
          <w:szCs w:val="28"/>
        </w:rPr>
        <w:t>。</w:t>
      </w:r>
    </w:p>
    <w:bookmarkEnd w:id="99"/>
    <w:bookmarkEnd w:id="100"/>
    <w:p w14:paraId="68B4925B">
      <w:pPr>
        <w:adjustRightInd w:val="0"/>
        <w:snapToGrid w:val="0"/>
        <w:spacing w:line="560" w:lineRule="exact"/>
        <w:ind w:firstLine="640" w:firstLineChars="200"/>
        <w:outlineLvl w:val="0"/>
        <w:rPr>
          <w:rFonts w:ascii="黑体" w:eastAsia="黑体"/>
          <w:sz w:val="32"/>
          <w:szCs w:val="32"/>
        </w:rPr>
      </w:pPr>
      <w:bookmarkStart w:id="111" w:name="_Toc20746"/>
      <w:bookmarkStart w:id="112" w:name="_Toc3858"/>
      <w:bookmarkStart w:id="113" w:name="_Toc30952"/>
      <w:bookmarkStart w:id="114" w:name="_Toc35588428"/>
      <w:r>
        <w:rPr>
          <w:rFonts w:hint="eastAsia" w:ascii="黑体" w:eastAsia="黑体"/>
          <w:sz w:val="32"/>
          <w:szCs w:val="32"/>
        </w:rPr>
        <w:t>七、其他需要说明的问题</w:t>
      </w:r>
      <w:bookmarkEnd w:id="111"/>
      <w:bookmarkEnd w:id="112"/>
      <w:bookmarkEnd w:id="113"/>
      <w:bookmarkEnd w:id="114"/>
    </w:p>
    <w:p w14:paraId="0DDAAB39">
      <w:pPr>
        <w:adjustRightInd w:val="0"/>
        <w:snapToGrid w:val="0"/>
        <w:spacing w:line="560" w:lineRule="exact"/>
        <w:ind w:firstLine="640" w:firstLineChars="200"/>
        <w:jc w:val="left"/>
        <w:rPr>
          <w:rFonts w:hint="eastAsia" w:ascii="仿宋_GB2312"/>
          <w:sz w:val="32"/>
          <w:szCs w:val="32"/>
        </w:rPr>
      </w:pPr>
      <w:r>
        <w:rPr>
          <w:rFonts w:hint="eastAsia" w:ascii="仿宋_GB2312"/>
          <w:sz w:val="32"/>
          <w:szCs w:val="32"/>
        </w:rPr>
        <w:t>无</w:t>
      </w:r>
      <w:bookmarkStart w:id="115" w:name="_Toc28556"/>
      <w:bookmarkStart w:id="116" w:name="_Toc1385"/>
    </w:p>
    <w:p w14:paraId="0AE92672">
      <w:pPr>
        <w:keepNext w:val="0"/>
        <w:keepLines w:val="0"/>
        <w:pageBreakBefore w:val="0"/>
        <w:widowControl/>
        <w:kinsoku/>
        <w:wordWrap/>
        <w:overflowPunct/>
        <w:topLinePunct w:val="0"/>
        <w:bidi w:val="0"/>
        <w:adjustRightInd w:val="0"/>
        <w:snapToGrid w:val="0"/>
        <w:spacing w:line="560" w:lineRule="exact"/>
        <w:ind w:firstLine="640" w:firstLineChars="200"/>
        <w:textAlignment w:val="auto"/>
        <w:outlineLvl w:val="0"/>
        <w:rPr>
          <w:rFonts w:hint="eastAsia" w:ascii="黑体" w:hAnsi="Times New Roman" w:eastAsia="黑体" w:cs="Times New Roman"/>
          <w:sz w:val="32"/>
          <w:szCs w:val="32"/>
        </w:rPr>
      </w:pPr>
      <w:bookmarkStart w:id="117" w:name="_Toc15230"/>
      <w:bookmarkStart w:id="118" w:name="_Toc12800"/>
      <w:bookmarkStart w:id="119" w:name="_Toc9867"/>
      <w:r>
        <w:rPr>
          <w:rFonts w:hint="eastAsia" w:ascii="黑体" w:hAnsi="Times New Roman" w:eastAsia="黑体" w:cs="Times New Roman"/>
          <w:sz w:val="32"/>
          <w:szCs w:val="32"/>
        </w:rPr>
        <w:t>八、附件</w:t>
      </w:r>
      <w:bookmarkEnd w:id="117"/>
      <w:bookmarkEnd w:id="118"/>
      <w:bookmarkEnd w:id="119"/>
    </w:p>
    <w:bookmarkEnd w:id="115"/>
    <w:bookmarkEnd w:id="116"/>
    <w:p w14:paraId="696BADE4">
      <w:pPr>
        <w:adjustRightInd w:val="0"/>
        <w:snapToGrid w:val="0"/>
        <w:spacing w:line="560" w:lineRule="exact"/>
        <w:ind w:firstLine="640" w:firstLineChars="200"/>
        <w:jc w:val="left"/>
        <w:rPr>
          <w:rFonts w:hint="eastAsia" w:ascii="Times New Roman" w:hAnsi="Times New Roman" w:cs="仿宋_GB2312"/>
          <w:sz w:val="32"/>
          <w:szCs w:val="28"/>
        </w:rPr>
        <w:sectPr>
          <w:footerReference r:id="rId3" w:type="default"/>
          <w:pgSz w:w="11906" w:h="16838"/>
          <w:pgMar w:top="2098" w:right="1531" w:bottom="1985" w:left="1531" w:header="851" w:footer="992" w:gutter="0"/>
          <w:pgNumType w:fmt="decimal" w:start="1"/>
          <w:cols w:space="720" w:num="1"/>
          <w:docGrid w:type="lines" w:linePitch="408" w:charSpace="0"/>
        </w:sectPr>
      </w:pPr>
      <w:r>
        <w:rPr>
          <w:rFonts w:hint="eastAsia" w:ascii="Times New Roman" w:hAnsi="Times New Roman" w:cs="仿宋_GB2312"/>
          <w:sz w:val="32"/>
          <w:szCs w:val="28"/>
        </w:rPr>
        <w:t>绩效评价指标体系及评价标准</w:t>
      </w:r>
    </w:p>
    <w:p w14:paraId="013B9646">
      <w:pPr>
        <w:pStyle w:val="15"/>
        <w:adjustRightInd w:val="0"/>
        <w:snapToGrid w:val="0"/>
        <w:spacing w:after="0" w:line="360" w:lineRule="auto"/>
        <w:ind w:left="0" w:leftChars="0" w:firstLine="0" w:firstLineChars="0"/>
        <w:outlineLvl w:val="0"/>
        <w:rPr>
          <w:rFonts w:hint="eastAsia" w:ascii="黑体" w:hAnsi="黑体" w:eastAsia="黑体" w:cs="黑体"/>
          <w:b w:val="0"/>
          <w:bCs/>
          <w:sz w:val="28"/>
          <w:szCs w:val="28"/>
          <w:highlight w:val="yellow"/>
        </w:rPr>
      </w:pPr>
      <w:bookmarkStart w:id="120" w:name="_Toc7745"/>
      <w:bookmarkStart w:id="121" w:name="_Toc11330"/>
      <w:bookmarkStart w:id="122" w:name="_Toc1582"/>
      <w:r>
        <w:rPr>
          <w:rFonts w:hint="eastAsia" w:ascii="黑体" w:hAnsi="黑体" w:eastAsia="黑体" w:cs="黑体"/>
          <w:b w:val="0"/>
          <w:bCs/>
          <w:sz w:val="28"/>
          <w:szCs w:val="28"/>
        </w:rPr>
        <w:t>附件</w:t>
      </w:r>
      <w:bookmarkEnd w:id="120"/>
      <w:bookmarkEnd w:id="121"/>
      <w:bookmarkEnd w:id="122"/>
    </w:p>
    <w:p w14:paraId="0FBD32DE">
      <w:pPr>
        <w:pStyle w:val="15"/>
        <w:adjustRightInd w:val="0"/>
        <w:snapToGrid w:val="0"/>
        <w:spacing w:after="0" w:line="240" w:lineRule="auto"/>
        <w:ind w:left="0" w:leftChars="0" w:firstLine="0" w:firstLineChars="0"/>
        <w:jc w:val="center"/>
        <w:outlineLvl w:val="0"/>
        <w:rPr>
          <w:rFonts w:hint="eastAsia" w:ascii="华文中宋" w:hAnsi="华文中宋" w:eastAsia="华文中宋" w:cs="华文中宋"/>
          <w:i w:val="0"/>
          <w:iCs w:val="0"/>
          <w:color w:val="000000"/>
          <w:kern w:val="0"/>
          <w:sz w:val="36"/>
          <w:szCs w:val="36"/>
          <w:highlight w:val="none"/>
          <w:u w:val="none"/>
          <w:lang w:val="en-US" w:eastAsia="zh-CN" w:bidi="ar"/>
        </w:rPr>
      </w:pPr>
      <w:r>
        <w:rPr>
          <w:rFonts w:hint="eastAsia" w:ascii="华文中宋" w:hAnsi="华文中宋" w:eastAsia="华文中宋" w:cs="华文中宋"/>
          <w:i w:val="0"/>
          <w:iCs w:val="0"/>
          <w:color w:val="000000"/>
          <w:kern w:val="0"/>
          <w:sz w:val="36"/>
          <w:szCs w:val="36"/>
          <w:highlight w:val="none"/>
          <w:u w:val="none"/>
          <w:lang w:val="en-US" w:eastAsia="zh-CN" w:bidi="ar"/>
        </w:rPr>
        <w:t>绩效评价指标体系及评价标准</w:t>
      </w:r>
    </w:p>
    <w:tbl>
      <w:tblPr>
        <w:tblStyle w:val="34"/>
        <w:tblW w:w="13874" w:type="dxa"/>
        <w:tblInd w:w="-45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1"/>
        <w:gridCol w:w="952"/>
        <w:gridCol w:w="1077"/>
        <w:gridCol w:w="510"/>
        <w:gridCol w:w="5109"/>
        <w:gridCol w:w="5315"/>
      </w:tblGrid>
      <w:tr w14:paraId="552ED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8" w:hRule="atLeast"/>
          <w:tblHeader/>
        </w:trPr>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876D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kern w:val="0"/>
                <w:sz w:val="20"/>
                <w:szCs w:val="20"/>
                <w:u w:val="none"/>
                <w:lang w:val="en-US" w:eastAsia="zh-CN" w:bidi="ar"/>
              </w:rPr>
            </w:pPr>
            <w:r>
              <w:rPr>
                <w:rFonts w:hint="eastAsia" w:asciiTheme="majorEastAsia" w:hAnsiTheme="majorEastAsia" w:eastAsiaTheme="majorEastAsia" w:cstheme="majorEastAsia"/>
                <w:b/>
                <w:bCs/>
                <w:i w:val="0"/>
                <w:iCs w:val="0"/>
                <w:color w:val="000000"/>
                <w:kern w:val="0"/>
                <w:sz w:val="20"/>
                <w:szCs w:val="20"/>
                <w:u w:val="none"/>
                <w:lang w:val="en-US" w:eastAsia="zh-CN" w:bidi="ar"/>
              </w:rPr>
              <w:t>一级指标及分值</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AE46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kern w:val="0"/>
                <w:sz w:val="20"/>
                <w:szCs w:val="20"/>
                <w:u w:val="none"/>
                <w:lang w:val="en-US" w:eastAsia="zh-CN" w:bidi="ar"/>
              </w:rPr>
            </w:pPr>
            <w:r>
              <w:rPr>
                <w:rFonts w:hint="eastAsia" w:asciiTheme="majorEastAsia" w:hAnsiTheme="majorEastAsia" w:eastAsiaTheme="majorEastAsia" w:cstheme="majorEastAsia"/>
                <w:b/>
                <w:bCs/>
                <w:i w:val="0"/>
                <w:iCs w:val="0"/>
                <w:color w:val="000000"/>
                <w:kern w:val="0"/>
                <w:sz w:val="20"/>
                <w:szCs w:val="20"/>
                <w:u w:val="none"/>
                <w:lang w:val="en-US" w:eastAsia="zh-CN" w:bidi="ar"/>
              </w:rPr>
              <w:t>二级指标及分值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BAD3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kern w:val="0"/>
                <w:sz w:val="20"/>
                <w:szCs w:val="20"/>
                <w:u w:val="none"/>
                <w:lang w:val="en-US" w:eastAsia="zh-CN" w:bidi="ar"/>
              </w:rPr>
            </w:pPr>
            <w:r>
              <w:rPr>
                <w:rFonts w:hint="eastAsia" w:asciiTheme="majorEastAsia" w:hAnsiTheme="majorEastAsia" w:eastAsiaTheme="majorEastAsia" w:cstheme="majorEastAsia"/>
                <w:b/>
                <w:bCs/>
                <w:i w:val="0"/>
                <w:iCs w:val="0"/>
                <w:color w:val="000000"/>
                <w:kern w:val="0"/>
                <w:sz w:val="20"/>
                <w:szCs w:val="20"/>
                <w:u w:val="none"/>
                <w:lang w:val="en-US" w:eastAsia="zh-CN" w:bidi="ar"/>
              </w:rPr>
              <w:t>三级指标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B1EF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kern w:val="0"/>
                <w:sz w:val="20"/>
                <w:szCs w:val="20"/>
                <w:u w:val="none"/>
                <w:lang w:val="en-US" w:eastAsia="zh-CN" w:bidi="ar"/>
              </w:rPr>
            </w:pPr>
            <w:r>
              <w:rPr>
                <w:rFonts w:hint="eastAsia" w:asciiTheme="majorEastAsia" w:hAnsiTheme="majorEastAsia" w:eastAsiaTheme="majorEastAsia" w:cstheme="majorEastAsia"/>
                <w:b/>
                <w:bCs/>
                <w:i w:val="0"/>
                <w:iCs w:val="0"/>
                <w:color w:val="000000"/>
                <w:kern w:val="0"/>
                <w:sz w:val="20"/>
                <w:szCs w:val="20"/>
                <w:u w:val="none"/>
                <w:lang w:val="en-US" w:eastAsia="zh-CN" w:bidi="ar"/>
              </w:rPr>
              <w:t>分值</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17D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b/>
                <w:bCs/>
                <w:i w:val="0"/>
                <w:iCs w:val="0"/>
                <w:color w:val="000000"/>
                <w:kern w:val="0"/>
                <w:sz w:val="20"/>
                <w:szCs w:val="20"/>
                <w:u w:val="none"/>
                <w:lang w:val="en-US" w:eastAsia="zh-CN" w:bidi="ar"/>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指标解释和评价要点</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16B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kern w:val="0"/>
                <w:sz w:val="20"/>
                <w:szCs w:val="20"/>
                <w:u w:val="none"/>
                <w:lang w:val="en-US" w:eastAsia="zh-CN" w:bidi="ar"/>
              </w:rPr>
            </w:pPr>
            <w:r>
              <w:rPr>
                <w:rFonts w:hint="eastAsia" w:asciiTheme="majorEastAsia" w:hAnsiTheme="majorEastAsia" w:eastAsiaTheme="majorEastAsia" w:cstheme="majorEastAsia"/>
                <w:b/>
                <w:bCs/>
                <w:i w:val="0"/>
                <w:iCs w:val="0"/>
                <w:color w:val="000000"/>
                <w:kern w:val="0"/>
                <w:sz w:val="20"/>
                <w:szCs w:val="20"/>
                <w:u w:val="none"/>
                <w:lang w:val="en-US" w:eastAsia="zh-CN" w:bidi="ar"/>
              </w:rPr>
              <w:t>评价标准</w:t>
            </w:r>
          </w:p>
        </w:tc>
      </w:tr>
      <w:tr w14:paraId="58C09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0" w:hRule="atLeast"/>
        </w:trPr>
        <w:tc>
          <w:tcPr>
            <w:tcW w:w="911" w:type="dxa"/>
            <w:vMerge w:val="restart"/>
            <w:tcBorders>
              <w:top w:val="single" w:color="000000" w:sz="4" w:space="0"/>
              <w:left w:val="single" w:color="000000" w:sz="4" w:space="0"/>
              <w:right w:val="single" w:color="000000" w:sz="4" w:space="0"/>
            </w:tcBorders>
            <w:shd w:val="clear" w:color="auto" w:fill="auto"/>
            <w:vAlign w:val="center"/>
          </w:tcPr>
          <w:p w14:paraId="01ECFBC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决策</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（10分）</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387C4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项目立项（3分）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FCF5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立项依据充分性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F7A0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34CA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：项目立项是否符合法律法规、相关政策、发展规划以及部门职责，用以反映和考核项目立项依据情况。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i w:val="0"/>
                <w:iCs w:val="0"/>
                <w:color w:val="000000"/>
                <w:kern w:val="0"/>
                <w:sz w:val="20"/>
                <w:szCs w:val="20"/>
                <w:u w:val="none"/>
                <w:lang w:val="en-US" w:eastAsia="zh-CN" w:bidi="ar"/>
              </w:rPr>
              <w:t>：</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①项目立项是否符合国家及北京市法律法规、国民经济发展规划和相关政策（0.4分）；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②项目立项是否符合行业发展规划和政策要求（0.4分）；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③项目立项是否与部门职责范围相符，属于部门履职所需（0.4分）；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④项目是否属于公共财政支持范围，是否符合中央、地方事权支出责任划分原则（0.4分）；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⑤项目是否与相关部门同类项目或部门内部相关项目重复（0.4分）。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C9D7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①项目立项与国家法律法规、国家发展改革规划和相关政策相符得0.4分，否则不得分。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②项目立项符合行业发展规划和政策要求，得0.4分，否则不得分。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③项目立项与部门职责范围相符，属于部门履职所需，得0.4分，否则不得分。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④项目与公共财政支持范围、中央与地方事权支出责任划分原则相符性，得0.4分，否则不得分。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⑤项目与相关部门同类项目或部门内部相关项目重复无交叉重叠，得0.4分，否则不得分。</w:t>
            </w:r>
          </w:p>
        </w:tc>
      </w:tr>
      <w:tr w14:paraId="707B8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911" w:type="dxa"/>
            <w:vMerge w:val="continue"/>
            <w:tcBorders>
              <w:left w:val="single" w:color="000000" w:sz="4" w:space="0"/>
              <w:bottom w:val="single" w:color="000000" w:sz="4" w:space="0"/>
              <w:right w:val="single" w:color="000000" w:sz="4" w:space="0"/>
            </w:tcBorders>
            <w:shd w:val="clear" w:color="auto" w:fill="auto"/>
            <w:vAlign w:val="center"/>
          </w:tcPr>
          <w:p w14:paraId="12EC69FA">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B659E">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8992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立项程序规范性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84BC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1</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CF8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项目申请、设立过程是否符合相关要求，用以反映和考核项目立项的规范情况。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①项目是否按照规定的程序申请设立（0.4分）；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②审批文件、材料是否符合相关要求（0.3分）；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③事前是否已经过必要的可行性研究、专家论证、风险评估、绩效评估、集体决策（0.3分）。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DA55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①项目按照规定的程序申请设立，得0.4分，否则不得分。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②审批文件、材料是否符合相关要求，得0.3分，否则不得分。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③事前已经过必要的可行性研究、专家论证、风险评估、绩效评估、集体决策，得0.3分，否则不得分。</w:t>
            </w:r>
          </w:p>
        </w:tc>
      </w:tr>
      <w:tr w14:paraId="4B818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0" w:hRule="atLeast"/>
        </w:trPr>
        <w:tc>
          <w:tcPr>
            <w:tcW w:w="911" w:type="dxa"/>
            <w:vMerge w:val="restart"/>
            <w:tcBorders>
              <w:top w:val="single" w:color="000000" w:sz="4" w:space="0"/>
              <w:left w:val="single" w:color="000000" w:sz="4" w:space="0"/>
              <w:right w:val="single" w:color="000000" w:sz="4" w:space="0"/>
            </w:tcBorders>
            <w:shd w:val="clear" w:color="auto" w:fill="auto"/>
            <w:vAlign w:val="center"/>
          </w:tcPr>
          <w:p w14:paraId="1453F49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Theme="majorEastAsia" w:hAnsiTheme="majorEastAsia" w:eastAsiaTheme="majorEastAsia" w:cstheme="majorEastAsia"/>
                <w:i w:val="0"/>
                <w:iCs w:val="0"/>
                <w:color w:val="000000"/>
                <w:kern w:val="2"/>
                <w:sz w:val="20"/>
                <w:szCs w:val="20"/>
                <w:u w:val="none"/>
                <w:lang w:val="en-US" w:eastAsia="zh-CN" w:bidi="ar-SA"/>
              </w:rPr>
            </w:pPr>
            <w:r>
              <w:rPr>
                <w:rFonts w:hint="eastAsia" w:asciiTheme="majorEastAsia" w:hAnsiTheme="majorEastAsia" w:eastAsiaTheme="majorEastAsia" w:cstheme="majorEastAsia"/>
                <w:i w:val="0"/>
                <w:iCs w:val="0"/>
                <w:color w:val="000000"/>
                <w:kern w:val="2"/>
                <w:sz w:val="20"/>
                <w:szCs w:val="20"/>
                <w:u w:val="none"/>
                <w:lang w:val="en-US" w:eastAsia="zh-CN" w:bidi="ar-SA"/>
              </w:rPr>
              <w:t>续上页</w:t>
            </w:r>
          </w:p>
        </w:tc>
        <w:tc>
          <w:tcPr>
            <w:tcW w:w="952" w:type="dxa"/>
            <w:vMerge w:val="restart"/>
            <w:tcBorders>
              <w:top w:val="single" w:color="000000" w:sz="4" w:space="0"/>
              <w:left w:val="single" w:color="000000" w:sz="4" w:space="0"/>
              <w:right w:val="single" w:color="000000" w:sz="4" w:space="0"/>
            </w:tcBorders>
            <w:shd w:val="clear" w:color="auto" w:fill="auto"/>
            <w:vAlign w:val="center"/>
          </w:tcPr>
          <w:p w14:paraId="2099D32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绩效目标（4分）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21B7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绩效目标合理性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20F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7BE3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项目所设定的绩效目标是否依据充分，是否符合客观实际，用以反映和考核项目绩效目标与项目实施的相符情况。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①项目是否有绩效目标（0.5分）；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②项目绩效目标与实际工作内容是否具有相关性（0.5分）；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③项目预期产出效益和效果是否符合正常的业绩水平（0.5分）；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④是否与预算确定的项目投资额或资金量相匹配（0.5分）。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CB71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①项目立项时设定了绩效目标或可考核的其他工作任务目标，得0.5分，否则不得分。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②项目绩效目标与实际工作内容相关性，0.5分：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与实际工作内容相关性强，得0.5分；与实际工作内容相关性较强，得0.4分；与实际工作内容相关性一般，得0.3分；与实际工作内容不相关，不得分。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③项目预期产出和效果与正常业绩水平相符程度，0.5分：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与正常业绩水平相符，得0.5分；与正常业绩水平较相符，得0.4分；与正常业绩水平相符性一般，得0.3分；与正常业绩水平不相符，不得分。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④项目目标与预算确定的资金量匹配程度，0.5分：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与预算确定的资金量匹配性强，得0.5分；与预算确定的资金量匹配性较强，得0.4分；与预算确定的资金量匹配性一般，得0.3分；与预算确定的资金量不匹配，不得分。</w:t>
            </w:r>
          </w:p>
        </w:tc>
      </w:tr>
      <w:tr w14:paraId="60CB5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0" w:hRule="atLeast"/>
        </w:trPr>
        <w:tc>
          <w:tcPr>
            <w:tcW w:w="911" w:type="dxa"/>
            <w:vMerge w:val="continue"/>
            <w:tcBorders>
              <w:left w:val="single" w:color="000000" w:sz="4" w:space="0"/>
              <w:bottom w:val="single" w:color="000000" w:sz="4" w:space="0"/>
              <w:right w:val="single" w:color="000000" w:sz="4" w:space="0"/>
            </w:tcBorders>
            <w:shd w:val="clear" w:color="auto" w:fill="auto"/>
            <w:vAlign w:val="center"/>
          </w:tcPr>
          <w:p w14:paraId="7A23614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left w:val="single" w:color="000000" w:sz="4" w:space="0"/>
              <w:bottom w:val="single" w:color="000000" w:sz="4" w:space="0"/>
              <w:right w:val="single" w:color="000000" w:sz="4" w:space="0"/>
            </w:tcBorders>
            <w:shd w:val="clear" w:color="auto" w:fill="auto"/>
            <w:vAlign w:val="center"/>
          </w:tcPr>
          <w:p w14:paraId="7E79A57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E1C0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绩效指标明确性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B83B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4507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依据绩效目标设定的绩效指标是否清晰、细化、可衡量等，用以反映和考核项目绩效目标的明细化情况。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①是否将项目绩效目标细化分解为具体的绩效指标（1分）；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②是否通过清晰、可衡量的指标值予以体现（0.5分）；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③是否与项目目标任务数或计划数相对应（0.5分）。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3CCBD">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①项目绩效目标细化分解为具体的绩效指标，得1分，否则不得分。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②绩效指标值清晰、可衡量性，0.5分：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指标值清晰、可衡量性强，得0.5分；指标值清晰、可衡量性较强，得0.4分；指标值清晰、可衡量性一般，得0.3分；指标值不清晰、不可衡量，不得分。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③指标与项目目标任务数或计划数对应性，0.5分：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与项目目标任务数或计划数对应性强，得0.5分；与项目目标任务数或计划数对应性较强，得0.4分；与项目目标任务数或计划数对应性一般，得0.3分；与项目目标任务数或计划数不对应，不得分。</w:t>
            </w:r>
          </w:p>
        </w:tc>
      </w:tr>
      <w:tr w14:paraId="4C375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trPr>
        <w:tc>
          <w:tcPr>
            <w:tcW w:w="911" w:type="dxa"/>
            <w:vMerge w:val="restart"/>
            <w:tcBorders>
              <w:top w:val="single" w:color="000000" w:sz="4" w:space="0"/>
              <w:left w:val="single" w:color="000000" w:sz="4" w:space="0"/>
              <w:right w:val="single" w:color="000000" w:sz="4" w:space="0"/>
            </w:tcBorders>
            <w:shd w:val="clear" w:color="auto" w:fill="auto"/>
            <w:vAlign w:val="center"/>
          </w:tcPr>
          <w:p w14:paraId="02F90B8F">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lang w:val="en-US" w:eastAsia="zh-CN"/>
              </w:rPr>
            </w:pPr>
            <w:r>
              <w:rPr>
                <w:rFonts w:hint="eastAsia" w:asciiTheme="majorEastAsia" w:hAnsiTheme="majorEastAsia" w:eastAsiaTheme="majorEastAsia" w:cstheme="majorEastAsia"/>
                <w:i w:val="0"/>
                <w:iCs w:val="0"/>
                <w:color w:val="000000"/>
                <w:sz w:val="20"/>
                <w:szCs w:val="20"/>
                <w:u w:val="none"/>
                <w:lang w:val="en-US" w:eastAsia="zh-CN"/>
              </w:rPr>
              <w:t>续上页</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B4FF3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资金</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投入（3分）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E70C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预算编制科学性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B06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935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：项目预算编制是否经过科学论证、有明确标准，资金额度与年度目标是否相适应，用以反映和考核项目预算编制的科学性、合理性情况。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i w:val="0"/>
                <w:iCs w:val="0"/>
                <w:color w:val="000000"/>
                <w:kern w:val="0"/>
                <w:sz w:val="20"/>
                <w:szCs w:val="20"/>
                <w:u w:val="none"/>
                <w:lang w:val="en-US" w:eastAsia="zh-CN" w:bidi="ar"/>
              </w:rPr>
              <w:t>：</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①预算编制是否经过科学论证（0.5分）；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②预算内容与项目内容是否匹配（0.5分）；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③预算额度测算依据是否充分，是否按照标准编制（0.5分）；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④预算确定的项目投资额或资金量是否与工作任务相匹配（0.5分）。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105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①预算编制经过论证，得0.5分，否则不得分。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②预算内容与项目内容匹配程度，0.5分：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与项目内容匹配性强，得0.5分；与项目内容匹配性较强，得0.4分；与项目内容匹配性一般，得0.3分；与项目内容不匹配，不得分。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③预算额度测算依据、标准充分性，0.5分：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预算额度测算依据、标准充分，得0.5分；预算额度测算依据、标准较充分，得0.4分；预算额度测算依据、标准充分性一般，得0.3分；预算额度测算依据、标准不充分，不得分。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④项目投资额或资金量与工作任务匹配程度，0.5分：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项目投资额或资金量匹配性强，得0.5分；项目投资额或资金量匹配性较强，得0.4分；项目投资额或资金量匹配性一般，得0.3分；项目投资额或资金量不匹配，不得分。</w:t>
            </w:r>
          </w:p>
        </w:tc>
      </w:tr>
      <w:tr w14:paraId="7E0A4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0" w:hRule="atLeast"/>
        </w:trPr>
        <w:tc>
          <w:tcPr>
            <w:tcW w:w="911" w:type="dxa"/>
            <w:vMerge w:val="continue"/>
            <w:tcBorders>
              <w:left w:val="single" w:color="000000" w:sz="4" w:space="0"/>
              <w:bottom w:val="single" w:color="000000" w:sz="4" w:space="0"/>
              <w:right w:val="single" w:color="000000" w:sz="4" w:space="0"/>
            </w:tcBorders>
            <w:shd w:val="clear" w:color="auto" w:fill="auto"/>
            <w:vAlign w:val="center"/>
          </w:tcPr>
          <w:p w14:paraId="1C09A94A">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EE36E">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D94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资金分配合理性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710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1</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7AFE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：项目预算资金分配是否有测算依据，与补助单位或地方实际是否相适应，用以反映和考核项目预算资金分配的科学性、合理性情况。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i w:val="0"/>
                <w:iCs w:val="0"/>
                <w:color w:val="000000"/>
                <w:kern w:val="0"/>
                <w:sz w:val="20"/>
                <w:szCs w:val="20"/>
                <w:u w:val="none"/>
                <w:lang w:val="en-US" w:eastAsia="zh-CN" w:bidi="ar"/>
              </w:rPr>
              <w:t>：</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①预算资金分配依据的充分性（0.5分）；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②资金分配额度的合理性，与项目单位实际的相适应性（0.5分）。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80F4E">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①预算资金分配依据充分性，0.5分：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预算资金分配依据充分，得0.5分；预算资金分配依据较充分，得0.4分；预算资金分配依据充分性一般，得0.3分；预算资金分配依据不充分，不得分。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②资金分配额度的合理性、与项目单位或地方实际相适应性，0.5分：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资金分配额度合理，与项目单位实际相适应，得0.5分；资金分配额度较合理，与项目单位实际较适应，得0.4分；资金分配额度合理性一般，与项目单位实际适应性一般，得0.3分；资金分配额度不合理，与项目单位实际不适应，不得分。</w:t>
            </w:r>
          </w:p>
        </w:tc>
      </w:tr>
      <w:tr w14:paraId="162F3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0" w:hRule="atLeast"/>
        </w:trPr>
        <w:tc>
          <w:tcPr>
            <w:tcW w:w="911" w:type="dxa"/>
            <w:vMerge w:val="restart"/>
            <w:tcBorders>
              <w:top w:val="single" w:color="000000" w:sz="4" w:space="0"/>
              <w:left w:val="single" w:color="000000" w:sz="4" w:space="0"/>
              <w:right w:val="single" w:color="000000" w:sz="4" w:space="0"/>
            </w:tcBorders>
            <w:shd w:val="clear" w:color="auto" w:fill="auto"/>
            <w:vAlign w:val="center"/>
          </w:tcPr>
          <w:p w14:paraId="22DE027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过程</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（20分）</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63BBC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资金管理（10分）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E0E5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资金到位率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33B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5346">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实际到位资金与预算资金的比率，用以反映和考核资金落实情况对项目实施的总体保障程度。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资金到位率=（实际到位资金/预算资金）×100%。</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实际到位资金：一定时期（本年度或项目期）内落实到具体项目的资金。</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预算资金：一定时期（本年度或项目期）内预算安排到具体项目的资金。</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i w:val="0"/>
                <w:iCs w:val="0"/>
                <w:color w:val="000000"/>
                <w:kern w:val="0"/>
                <w:sz w:val="20"/>
                <w:szCs w:val="20"/>
                <w:u w:val="none"/>
                <w:lang w:val="en-US" w:eastAsia="zh-CN" w:bidi="ar"/>
              </w:rPr>
              <w:t>：资金到位是否及时、足额（2分）。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3C79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得分=资金到位率*2，超过2分按照2分计。</w:t>
            </w:r>
          </w:p>
        </w:tc>
      </w:tr>
      <w:tr w14:paraId="6415F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911" w:type="dxa"/>
            <w:vMerge w:val="continue"/>
            <w:tcBorders>
              <w:left w:val="single" w:color="000000" w:sz="4" w:space="0"/>
              <w:right w:val="single" w:color="000000" w:sz="4" w:space="0"/>
            </w:tcBorders>
            <w:shd w:val="clear" w:color="auto" w:fill="auto"/>
            <w:vAlign w:val="center"/>
          </w:tcPr>
          <w:p w14:paraId="74046F4C">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00E92">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7EF3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预算执行率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3DCC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4</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11F2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项目预算资金是否按照计划执行，用以反映或考核项目预算执行情况。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预算执行率=（实际支出资金/实际到位资金）×100%。</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实际支出资金：一定时期（本年度或项目期）内项目实际拨付的资金。</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i w:val="0"/>
                <w:iCs w:val="0"/>
                <w:color w:val="000000"/>
                <w:kern w:val="0"/>
                <w:sz w:val="20"/>
                <w:szCs w:val="20"/>
                <w:u w:val="none"/>
                <w:lang w:val="en-US" w:eastAsia="zh-CN" w:bidi="ar"/>
              </w:rPr>
              <w:t>截至实施周期末资金实际支出比例情况（4分）。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33CA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得分=预算执行率*4分，超过4分按4分计。</w:t>
            </w:r>
          </w:p>
        </w:tc>
      </w:tr>
      <w:tr w14:paraId="62A32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0" w:hRule="atLeast"/>
        </w:trPr>
        <w:tc>
          <w:tcPr>
            <w:tcW w:w="911" w:type="dxa"/>
            <w:vMerge w:val="continue"/>
            <w:tcBorders>
              <w:left w:val="single" w:color="000000" w:sz="4" w:space="0"/>
              <w:bottom w:val="single" w:color="000000" w:sz="4" w:space="0"/>
              <w:right w:val="single" w:color="000000" w:sz="4" w:space="0"/>
            </w:tcBorders>
            <w:shd w:val="clear" w:color="auto" w:fill="auto"/>
            <w:vAlign w:val="center"/>
          </w:tcPr>
          <w:p w14:paraId="6F292C36">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E381F">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81A1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资金使用合规性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628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4</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91B1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项目资金使用是否符合相关的财务管理制度规定，用以反映和考核项目资金的规范运行情况。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①是否符合国家财经法规和财务管理制度以及有关专项资金管理办法的规定（1分）；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②资金的拨付是否有完整的审批程序和手续（1分）；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③是否符合项目预算批复或合同规定的用途（1分）；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④是否存在截留、挤占、挪用、虚列支出等情况（1分）。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9994C">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①资金使用与国家财经法规和财务管理制度以及有关专项资金管理办法的规定相符，得1分，否则不得分；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②资金拨付具有完整的审批程序和手续，得1分，否则不得分。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③资金使用与项目预算批复或合同规定的用途相符，得1分，否则不得分。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④不存在截留、挤占、挪用、虚列支出等情况，得1分，否则每出现一次扣0.5分，扣完为止。</w:t>
            </w:r>
          </w:p>
        </w:tc>
      </w:tr>
      <w:tr w14:paraId="76825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911" w:type="dxa"/>
            <w:vMerge w:val="restart"/>
            <w:tcBorders>
              <w:top w:val="single" w:color="000000" w:sz="4" w:space="0"/>
              <w:left w:val="single" w:color="000000" w:sz="4" w:space="0"/>
              <w:right w:val="single" w:color="000000" w:sz="4" w:space="0"/>
            </w:tcBorders>
            <w:shd w:val="clear" w:color="auto" w:fill="auto"/>
            <w:vAlign w:val="center"/>
          </w:tcPr>
          <w:p w14:paraId="427C731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续上页</w:t>
            </w:r>
          </w:p>
        </w:tc>
        <w:tc>
          <w:tcPr>
            <w:tcW w:w="952" w:type="dxa"/>
            <w:vMerge w:val="restart"/>
            <w:tcBorders>
              <w:top w:val="single" w:color="000000" w:sz="4" w:space="0"/>
              <w:left w:val="single" w:color="000000" w:sz="4" w:space="0"/>
              <w:right w:val="single" w:color="000000" w:sz="4" w:space="0"/>
            </w:tcBorders>
            <w:shd w:val="clear" w:color="auto" w:fill="auto"/>
            <w:vAlign w:val="center"/>
          </w:tcPr>
          <w:p w14:paraId="13BFD34A">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组织实施（10分）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8C8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管理制度健全性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830B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5</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B4D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项目实施单位的财务和业务管理制度是否健全，用以反映和考核财务和业务管理制度对项目顺利实施的保障情况。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①是否已制定或具有相应的财务和业务管理制度（2分）；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②财务和业务管理制度是否合法、合规、完整（3分）。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8366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①财务和业务管理制度完善情况，2分：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项目单位制定或具有相应的财务和业务管理制度，得2分；项目单位制定或具备财务或业务管理制度其中一种，得1分；无业务或财务管理制度，不得分。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②财务和业务管理制度合法、合规、完整性，3分：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财务和业务管理制度合法、合规、完整，得3分；财务和业务管理制度较合法、较合规、较完整，得2.4分；财务和业务管理制度合法、合规、完整程度一般，得1.8分；财务和业务管理制度不合法、不合规、不完整，不得分。</w:t>
            </w:r>
          </w:p>
        </w:tc>
      </w:tr>
      <w:tr w14:paraId="42D78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0" w:hRule="atLeast"/>
        </w:trPr>
        <w:tc>
          <w:tcPr>
            <w:tcW w:w="911" w:type="dxa"/>
            <w:vMerge w:val="continue"/>
            <w:tcBorders>
              <w:left w:val="single" w:color="000000" w:sz="4" w:space="0"/>
              <w:bottom w:val="single" w:color="000000" w:sz="4" w:space="0"/>
              <w:right w:val="single" w:color="000000" w:sz="4" w:space="0"/>
            </w:tcBorders>
            <w:shd w:val="clear" w:color="auto" w:fill="auto"/>
            <w:vAlign w:val="center"/>
          </w:tcPr>
          <w:p w14:paraId="5D4DE39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left w:val="single" w:color="000000" w:sz="4" w:space="0"/>
              <w:bottom w:val="single" w:color="000000" w:sz="4" w:space="0"/>
              <w:right w:val="single" w:color="000000" w:sz="4" w:space="0"/>
            </w:tcBorders>
            <w:shd w:val="clear" w:color="auto" w:fill="auto"/>
            <w:vAlign w:val="center"/>
          </w:tcPr>
          <w:p w14:paraId="3E815086">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E313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制度执行有效性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006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5</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4C8E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项目实施是否符合相关管理规定，用以反映和考核相关管理制度的有效执行情况。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①项目采购、合同签订、结项验收等组织实施是否符合相关法律法规和相关管理规定，过程管控措施是否有效执行（2分）；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②项目调整或支出调整手续是否完备（1分）；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③项目采购、合同书、验收报告、技术鉴定等资料是否齐全并及时归档（1分）；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④项目实施的人员条件、场地设备、信息支撑等是否落实到位（1分）。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B77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①项目采购、合同签订、结项验收等组织实施与相关法律法规、管理规定相符性，过程管控措施执行的有效性，2分：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相关法律法规、管理规定相符，过程管控措施执行有效，得2分；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与相关法律法规、管理规定较相符，过程管控措施执行较为有效得1.6分；与相关法律法规、管理规定相符程度一般，过程管控措施执行的有效一般，得1.2分；不符合相关法律法规、管理规定，过程管控措施执行无效，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②项目调整及支出调整手续完备得1分，否则不得分。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③项目采购、合同书、验收报告、技术鉴定等资料齐全性、归档及时性，1分：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项目采购、合同书、验收报告、技术鉴定等资料齐全、归档及时，得1分；项目采购、合同书、验收报告、技术鉴定等资料较齐全、归档较及时，得0.8分；项目采购、合同书、验收报告、技术鉴定等资料齐全、归档及时程度一般，得0.6分；项目采购、合同书、验收报告、技术鉴定等资料不齐全、归档不及时，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④项目实施的人员条件、场地设备、信息支撑等落实到位，得1分，否则不得分。</w:t>
            </w:r>
          </w:p>
        </w:tc>
      </w:tr>
      <w:tr w14:paraId="76A86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0" w:hRule="atLeast"/>
        </w:trPr>
        <w:tc>
          <w:tcPr>
            <w:tcW w:w="9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A62CFF">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产出</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（40分）</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B440A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产出数量（10分）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5AB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北京市农村环境整治成效评估撑工作实际完成率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C5B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EA422">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项目实施的实际产出数与计划产出数的比率，用以反映和考核项目产出数量目标的实现程度。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实际完成率=（实际产出数/计划产出数）×100%。</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实际产出数：一定时期（本年度或项目期）内项目实际产出的产品或提供的服务数量。</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计划产出数：项目绩效目标确定的在一定时期（本年度或项目期）内计划产出的产品或提供的服务数量。</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9A2E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北京市农村环境整治成效评估撑工作实际完成率*2分，超过2分的按2分计。</w:t>
            </w:r>
          </w:p>
        </w:tc>
      </w:tr>
      <w:tr w14:paraId="2E532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0" w:hRule="atLeast"/>
        </w:trPr>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86DC7">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AFF16">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93EEC">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北京市土壤污染防治成效评估工作实际完成率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B2BB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3CB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项目实施的实际产出数与计划产出数的比率，用以反映和考核项目产出数量目标的实现程度。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实际完成率=（实际产出数/计划产出数）×100%。</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实际产出数：一定时期（本年度或项目期）内项目实际产出的产品或提供的服务数量。</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计划产出数：项目绩效目标确定的在一定时期（本年度或项目期）内计划产出的产品或提供的服务数量。</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E941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北京市土壤污染防治成效评估工作实际完成率*2分，超过2分的按2分计。</w:t>
            </w:r>
          </w:p>
        </w:tc>
      </w:tr>
      <w:tr w14:paraId="6E9DD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C38BF">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832EE">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B580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北京市农用地土壤磷盈余现状试点调查工作实际完成率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6B6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3</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41008">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项目实施的实际产出数与计划产出数的比率，用以反映和考核项目产出数量目标的实现程度。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实际完成率=（实际产出数/计划产出数）×100%。</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实际产出数：一定时期（本年度或项目期）内项目实际产出的产品或提供的服务数量。</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计划产出数：项目绩效目标确定的在一定时期（本年度或项目期）内计划产出的产品或提供的服务数量。</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C60BB">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北京市农用地土壤磷盈余现状试点调查工作实际完成率*3分，超过3分的按3分计。</w:t>
            </w:r>
          </w:p>
        </w:tc>
      </w:tr>
      <w:tr w14:paraId="73D1B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0" w:hRule="atLeast"/>
        </w:trPr>
        <w:tc>
          <w:tcPr>
            <w:tcW w:w="9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066B93">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续上页</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F168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续上页</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CB178">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北京市土壤健康状况调查工作实际完成率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061B7">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3</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A7240">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项目实施的实际产出数与计划产出数的比率，用以反映和考核项目产出数量目标的实现程度。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实际完成率=（实际产出数/计划产出数）×100%。</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实际产出数：一定时期（本年度或项目期）内项目实际产出的产品或提供的服务数量。</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计划产出数：项目绩效目标确定的在一定时期（本年度或项目期）内计划产出的产品或提供的服务数量。</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E941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北京市土壤健康状况调查工作实际完成率*3分，超过3分的按3分计。</w:t>
            </w:r>
          </w:p>
        </w:tc>
      </w:tr>
      <w:tr w14:paraId="7CA21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694E20">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C57E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产出质量（10分）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74A70">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报告质量合格率</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6B56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10</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D901">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项目完成的质量达标产出数与实际产出数的比率，用以反映和考核项目产出质量目标的实现程度。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质量达标率=（质量达标产出数/实际产出数）×100%。</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i w:val="0"/>
                <w:iCs w:val="0"/>
                <w:color w:val="000000"/>
                <w:kern w:val="0"/>
                <w:sz w:val="20"/>
                <w:szCs w:val="20"/>
                <w:u w:val="none"/>
                <w:lang w:val="en-US" w:eastAsia="zh-CN" w:bidi="ar"/>
              </w:rPr>
              <w:t>项目实施周期内产出质量达标情况（10分）。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64C2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报告质量合格率*10分。</w:t>
            </w:r>
          </w:p>
        </w:tc>
      </w:tr>
      <w:tr w14:paraId="158F3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ED067">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314D">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产出时效（10分）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013C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完成及时性</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76B6B">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10</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C401A">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项目实际完成时间与计划完成时间的比较，用以反映和考核项目产出时效目标的实现程度。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实际完成时间：项目实施单位完成该项目实际所耗用的时间。</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计划完成时间：按照项目实施计划或相关规定完成该项目所需的时间。</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i w:val="0"/>
                <w:iCs w:val="0"/>
                <w:color w:val="000000"/>
                <w:kern w:val="0"/>
                <w:sz w:val="20"/>
                <w:szCs w:val="20"/>
                <w:u w:val="none"/>
                <w:lang w:val="en-US" w:eastAsia="zh-CN" w:bidi="ar"/>
              </w:rPr>
              <w:t>项目是否按计划进度完成各项工作任务（10分）。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CFD3">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项目各项工作任务完成及时性，10分：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完成及时，得10分；完成较及时，得8分；完成及时性一般，得6分；完成不及时，不得分。</w:t>
            </w:r>
          </w:p>
        </w:tc>
      </w:tr>
      <w:tr w14:paraId="1E7E3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CB382">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EC4F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产出成本（10分）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176D4">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成本节约情况</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0780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10</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2BE5">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评价项目实施过程成本控制情况，以及单位成本节约情况。</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①项目实施过程是否采取了成本控制措施（5分）；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②项目成本控制、节约情况（5分）。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EAF7">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①项目实施过程中采取了成本控制措施，得5分；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未采取成本控制措施，不得分。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②成本控制、节约情况，5分：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成本控制有效、节约情况好，得5分；成本控制有效、节约情况较好，得4分；成本控制及节约情况一般，得3分；成本控制无效、不够节约，不得分。</w:t>
            </w:r>
          </w:p>
        </w:tc>
      </w:tr>
      <w:tr w14:paraId="31A2F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trPr>
        <w:tc>
          <w:tcPr>
            <w:tcW w:w="9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0A475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效益</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（30分）</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CF8921">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项目</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效益（30分）</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B759">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实施效益</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D915">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20</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40E1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项目实施所产生的社会效益、经济效益、生态效益、可持续影响等。</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b/>
                <w:bCs/>
                <w:i w:val="0"/>
                <w:iCs w:val="0"/>
                <w:color w:val="000000"/>
                <w:kern w:val="0"/>
                <w:sz w:val="20"/>
                <w:szCs w:val="20"/>
                <w:u w:val="none"/>
                <w:lang w:val="en-US" w:eastAsia="zh-CN" w:bidi="ar"/>
              </w:rPr>
              <w:t>评价要点：</w:t>
            </w:r>
            <w:r>
              <w:rPr>
                <w:rFonts w:hint="eastAsia" w:asciiTheme="majorEastAsia" w:hAnsiTheme="majorEastAsia" w:eastAsiaTheme="majorEastAsia" w:cstheme="majorEastAsia"/>
                <w:b/>
                <w:bCs/>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①为土壤污染防治提供支撑（10分）；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②为农业农村污染防治提供支撑（10分）。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3941F">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①为土壤污染防治提供支撑，10分：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效益显著，得10分；效益较显著，得8分；效益一般，得6分；效益较差，不得分。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②为农业农村污染防治提供支撑，10分：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效益显著，得10分；效益较显著，得8分；效益一般，得6分；效益较差，不得分。</w:t>
            </w:r>
          </w:p>
        </w:tc>
      </w:tr>
      <w:tr w14:paraId="6C608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trPr>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355AF">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1A4A2">
            <w:pPr>
              <w:keepNext w:val="0"/>
              <w:keepLines w:val="0"/>
              <w:pageBreakBefore w:val="0"/>
              <w:widowControl/>
              <w:kinsoku/>
              <w:wordWrap/>
              <w:overflowPunct/>
              <w:topLinePunct w:val="0"/>
              <w:autoSpaceDE/>
              <w:autoSpaceDN/>
              <w:bidi w:val="0"/>
              <w:adjustRightInd/>
              <w:snapToGrid w:val="0"/>
              <w:jc w:val="center"/>
              <w:rPr>
                <w:rFonts w:hint="eastAsia" w:asciiTheme="majorEastAsia" w:hAnsiTheme="majorEastAsia" w:eastAsiaTheme="majorEastAsia" w:cstheme="majorEastAsia"/>
                <w:i w:val="0"/>
                <w:iCs w:val="0"/>
                <w:color w:val="000000"/>
                <w:sz w:val="20"/>
                <w:szCs w:val="20"/>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C147E">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服务对象满意度</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CD122">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10</w:t>
            </w:r>
          </w:p>
        </w:tc>
        <w:tc>
          <w:tcPr>
            <w:tcW w:w="51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71C39">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b/>
                <w:bCs/>
                <w:i w:val="0"/>
                <w:iCs w:val="0"/>
                <w:color w:val="000000"/>
                <w:sz w:val="20"/>
                <w:szCs w:val="20"/>
                <w:u w:val="none"/>
              </w:rPr>
            </w:pPr>
            <w:r>
              <w:rPr>
                <w:rFonts w:hint="eastAsia" w:asciiTheme="majorEastAsia" w:hAnsiTheme="majorEastAsia" w:eastAsiaTheme="majorEastAsia" w:cstheme="majorEastAsia"/>
                <w:b/>
                <w:bCs/>
                <w:i w:val="0"/>
                <w:iCs w:val="0"/>
                <w:color w:val="000000"/>
                <w:kern w:val="0"/>
                <w:sz w:val="20"/>
                <w:szCs w:val="20"/>
                <w:u w:val="none"/>
                <w:lang w:val="en-US" w:eastAsia="zh-CN" w:bidi="ar"/>
              </w:rPr>
              <w:t>指标解释：</w:t>
            </w:r>
            <w:r>
              <w:rPr>
                <w:rFonts w:hint="eastAsia" w:asciiTheme="majorEastAsia" w:hAnsiTheme="majorEastAsia" w:eastAsiaTheme="majorEastAsia" w:cstheme="majorEastAsia"/>
                <w:i w:val="0"/>
                <w:iCs w:val="0"/>
                <w:color w:val="000000"/>
                <w:kern w:val="0"/>
                <w:sz w:val="20"/>
                <w:szCs w:val="20"/>
                <w:u w:val="none"/>
                <w:lang w:val="en-US" w:eastAsia="zh-CN" w:bidi="ar"/>
              </w:rPr>
              <w:t>服务对象对项目实施效果的满意程度。</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评价要点：评价服务对象对项目实施的满意度程度。计划满意度≥95%（10分）。</w:t>
            </w:r>
          </w:p>
        </w:tc>
        <w:tc>
          <w:tcPr>
            <w:tcW w:w="53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B0C84">
            <w:pPr>
              <w:keepNext w:val="0"/>
              <w:keepLines w:val="0"/>
              <w:pageBreakBefore w:val="0"/>
              <w:widowControl/>
              <w:suppressLineNumbers w:val="0"/>
              <w:kinsoku/>
              <w:wordWrap/>
              <w:overflowPunct/>
              <w:topLinePunct w:val="0"/>
              <w:autoSpaceDE/>
              <w:autoSpaceDN/>
              <w:bidi w:val="0"/>
              <w:adjustRightInd/>
              <w:snapToGrid w:val="0"/>
              <w:jc w:val="left"/>
              <w:textAlignment w:val="center"/>
              <w:rPr>
                <w:rFonts w:hint="eastAsia" w:asciiTheme="majorEastAsia" w:hAnsiTheme="majorEastAsia" w:eastAsiaTheme="majorEastAsia" w:cstheme="majorEastAsia"/>
                <w:i w:val="0"/>
                <w:iCs w:val="0"/>
                <w:color w:val="000000"/>
                <w:sz w:val="20"/>
                <w:szCs w:val="20"/>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服务对象对项目实施的满意度，10分：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服务对象对项目实施情况满意，得10分；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服务对象对项目实施情况较满意，得8分；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服务对象对项目实施情况满意度一般，得6分；</w:t>
            </w:r>
            <w:r>
              <w:rPr>
                <w:rFonts w:hint="eastAsia" w:asciiTheme="majorEastAsia" w:hAnsiTheme="majorEastAsia" w:eastAsiaTheme="majorEastAsia" w:cstheme="majorEastAsia"/>
                <w:i w:val="0"/>
                <w:iCs w:val="0"/>
                <w:color w:val="000000"/>
                <w:kern w:val="0"/>
                <w:sz w:val="20"/>
                <w:szCs w:val="20"/>
                <w:u w:val="none"/>
                <w:lang w:val="en-US" w:eastAsia="zh-CN" w:bidi="ar"/>
              </w:rPr>
              <w:br w:type="textWrapping"/>
            </w:r>
            <w:r>
              <w:rPr>
                <w:rFonts w:hint="eastAsia" w:asciiTheme="majorEastAsia" w:hAnsiTheme="majorEastAsia" w:eastAsiaTheme="majorEastAsia" w:cstheme="majorEastAsia"/>
                <w:i w:val="0"/>
                <w:iCs w:val="0"/>
                <w:color w:val="000000"/>
                <w:kern w:val="0"/>
                <w:sz w:val="20"/>
                <w:szCs w:val="20"/>
                <w:u w:val="none"/>
                <w:lang w:val="en-US" w:eastAsia="zh-CN" w:bidi="ar"/>
              </w:rPr>
              <w:t>服务对象对项目实施情况不满意，不得分。</w:t>
            </w:r>
          </w:p>
        </w:tc>
      </w:tr>
    </w:tbl>
    <w:p w14:paraId="7E9B3031">
      <w:pPr>
        <w:pStyle w:val="33"/>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lang w:val="en-US"/>
        </w:rPr>
      </w:pPr>
    </w:p>
    <w:p w14:paraId="6E2576D0">
      <w:pPr>
        <w:pStyle w:val="33"/>
        <w:rPr>
          <w:rFonts w:hint="default"/>
          <w:lang w:val="en-US"/>
        </w:rPr>
      </w:pPr>
    </w:p>
    <w:sectPr>
      <w:pgSz w:w="16838" w:h="11906" w:orient="landscape"/>
      <w:pgMar w:top="1531" w:right="2098" w:bottom="1531" w:left="1985" w:header="851" w:footer="992"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26518C1-F857-4AEB-8340-A0296D2D1A81}"/>
  </w:font>
  <w:font w:name="黑体">
    <w:panose1 w:val="02010609060101010101"/>
    <w:charset w:val="86"/>
    <w:family w:val="auto"/>
    <w:pitch w:val="default"/>
    <w:sig w:usb0="800002BF" w:usb1="38CF7CFA" w:usb2="00000016" w:usb3="00000000" w:csb0="00040001" w:csb1="00000000"/>
    <w:embedRegular r:id="rId2" w:fontKey="{35739E38-E25F-4A48-984E-3258C1BE57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7B553369-9486-401F-A2B8-7FD3CD564CDB}"/>
  </w:font>
  <w:font w:name="Wonder Arial">
    <w:panose1 w:val="00000500000000000000"/>
    <w:charset w:val="00"/>
    <w:family w:val="auto"/>
    <w:pitch w:val="default"/>
    <w:sig w:usb0="00000003" w:usb1="00000000" w:usb2="00000000" w:usb3="00000000" w:csb0="0000001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E0000" w:usb2="00000000" w:usb3="00000000" w:csb0="00040000" w:csb1="00000000"/>
    <w:embedRegular r:id="rId4" w:fontKey="{7888D69B-D049-4A9C-833B-07EBA8984693}"/>
  </w:font>
  <w:font w:name="华文中宋">
    <w:panose1 w:val="02010600040101010101"/>
    <w:charset w:val="86"/>
    <w:family w:val="auto"/>
    <w:pitch w:val="default"/>
    <w:sig w:usb0="00000287" w:usb1="080F0000" w:usb2="00000000" w:usb3="00000000" w:csb0="0004009F" w:csb1="DFD70000"/>
    <w:embedRegular r:id="rId5" w:fontKey="{676CC508-B604-406D-8EDE-A56FCC509CEE}"/>
  </w:font>
  <w:font w:name="楷体_GB2312">
    <w:panose1 w:val="02010609030101010101"/>
    <w:charset w:val="86"/>
    <w:family w:val="modern"/>
    <w:pitch w:val="default"/>
    <w:sig w:usb0="00000001" w:usb1="080E0000" w:usb2="00000000" w:usb3="00000000" w:csb0="00040000" w:csb1="00000000"/>
    <w:embedRegular r:id="rId6" w:fontKey="{8E3F9EDB-7C89-447A-BCB5-E76EBE3C6D62}"/>
  </w:font>
  <w:font w:name="微软雅黑">
    <w:panose1 w:val="020B0503020204020204"/>
    <w:charset w:val="86"/>
    <w:family w:val="swiss"/>
    <w:pitch w:val="default"/>
    <w:sig w:usb0="80000287" w:usb1="2ACF3C50" w:usb2="00000016" w:usb3="00000000" w:csb0="0004001F" w:csb1="00000000"/>
    <w:embedRegular r:id="rId7" w:fontKey="{70304E53-F1B9-4053-AE8B-326B31D0B8CE}"/>
  </w:font>
  <w:font w:name="仿宋">
    <w:panose1 w:val="02010609060101010101"/>
    <w:charset w:val="86"/>
    <w:family w:val="modern"/>
    <w:pitch w:val="default"/>
    <w:sig w:usb0="800002BF" w:usb1="38CF7CFA" w:usb2="00000016" w:usb3="00000000" w:csb0="00040001" w:csb1="00000000"/>
    <w:embedRegular r:id="rId8" w:fontKey="{3D92A09B-F835-462F-8597-95B49D002845}"/>
  </w:font>
  <w:font w:name="楷体">
    <w:panose1 w:val="02010609060101010101"/>
    <w:charset w:val="86"/>
    <w:family w:val="modern"/>
    <w:pitch w:val="default"/>
    <w:sig w:usb0="800002BF" w:usb1="38CF7CFA" w:usb2="00000016" w:usb3="00000000" w:csb0="00040001" w:csb1="00000000"/>
    <w:embedRegular r:id="rId9" w:fontKey="{B19713DC-71F7-4C67-BB09-696903498D0F}"/>
  </w:font>
  <w:font w:name="方正仿宋_GB2312">
    <w:panose1 w:val="02000000000000000000"/>
    <w:charset w:val="86"/>
    <w:family w:val="auto"/>
    <w:pitch w:val="default"/>
    <w:sig w:usb0="A00002BF" w:usb1="184F6CFA" w:usb2="00000012" w:usb3="00000000" w:csb0="00040001" w:csb1="00000000"/>
    <w:embedRegular r:id="rId10" w:fontKey="{24AE41B6-0DBA-42FE-B66F-6413AE5213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56EC1">
    <w:pPr>
      <w:pStyle w:val="21"/>
      <w:jc w:val="center"/>
      <w:rPr>
        <w:sz w:val="28"/>
      </w:rPr>
    </w:pPr>
    <w:r>
      <w:rPr>
        <w:sz w:val="28"/>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14:paraId="739BAB62">
                <w:pPr>
                  <w:pStyle w:val="21"/>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EB17FF"/>
    <w:multiLevelType w:val="singleLevel"/>
    <w:tmpl w:val="91EB17FF"/>
    <w:lvl w:ilvl="0" w:tentative="0">
      <w:start w:val="2"/>
      <w:numFmt w:val="decimal"/>
      <w:suff w:val="nothing"/>
      <w:lvlText w:val="（%1）"/>
      <w:lvlJc w:val="left"/>
    </w:lvl>
  </w:abstractNum>
  <w:abstractNum w:abstractNumId="1">
    <w:nsid w:val="58DBE05D"/>
    <w:multiLevelType w:val="singleLevel"/>
    <w:tmpl w:val="58DBE05D"/>
    <w:lvl w:ilvl="0" w:tentative="0">
      <w:start w:val="1"/>
      <w:numFmt w:val="decimal"/>
      <w:suff w:val="nothing"/>
      <w:lvlText w:val="（%1）"/>
      <w:lvlJc w:val="left"/>
      <w:rPr>
        <w:rFonts w:hint="default"/>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TrueTypeFonts/>
  <w:saveSubsetFonts/>
  <w:bordersDoNotSurroundHeader w:val="0"/>
  <w:bordersDoNotSurroundFooter w:val="0"/>
  <w:doNotTrackMoves/>
  <w:documentProtection w:enforcement="0"/>
  <w:defaultTabStop w:val="420"/>
  <w:drawingGridHorizontalSpacing w:val="150"/>
  <w:drawingGridVerticalSpacing w:val="204"/>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kxZTNkYTE4MzcwZjBiNTE3ZTU5YTYxZWM3NjgzODMifQ=="/>
  </w:docVars>
  <w:rsids>
    <w:rsidRoot w:val="00F57F82"/>
    <w:rsid w:val="0000081C"/>
    <w:rsid w:val="0000098C"/>
    <w:rsid w:val="00001685"/>
    <w:rsid w:val="00001D0F"/>
    <w:rsid w:val="00002C5A"/>
    <w:rsid w:val="00002CC0"/>
    <w:rsid w:val="00003574"/>
    <w:rsid w:val="00005B90"/>
    <w:rsid w:val="00006622"/>
    <w:rsid w:val="000072FC"/>
    <w:rsid w:val="000101E1"/>
    <w:rsid w:val="00013124"/>
    <w:rsid w:val="0001370A"/>
    <w:rsid w:val="00013F58"/>
    <w:rsid w:val="0001492F"/>
    <w:rsid w:val="00016D27"/>
    <w:rsid w:val="00021ED0"/>
    <w:rsid w:val="00023F0A"/>
    <w:rsid w:val="000242B0"/>
    <w:rsid w:val="00024F81"/>
    <w:rsid w:val="000270EB"/>
    <w:rsid w:val="0002730A"/>
    <w:rsid w:val="00027C84"/>
    <w:rsid w:val="00030FB0"/>
    <w:rsid w:val="00035EDA"/>
    <w:rsid w:val="00037010"/>
    <w:rsid w:val="00042B8E"/>
    <w:rsid w:val="000519CA"/>
    <w:rsid w:val="00055C52"/>
    <w:rsid w:val="00062E1B"/>
    <w:rsid w:val="00065850"/>
    <w:rsid w:val="0007065B"/>
    <w:rsid w:val="000723DA"/>
    <w:rsid w:val="000727C6"/>
    <w:rsid w:val="0007527B"/>
    <w:rsid w:val="000808E8"/>
    <w:rsid w:val="000821DD"/>
    <w:rsid w:val="000822D8"/>
    <w:rsid w:val="00082839"/>
    <w:rsid w:val="000852F0"/>
    <w:rsid w:val="00085EDC"/>
    <w:rsid w:val="00086A59"/>
    <w:rsid w:val="0008763A"/>
    <w:rsid w:val="000905C5"/>
    <w:rsid w:val="0009145A"/>
    <w:rsid w:val="00091D75"/>
    <w:rsid w:val="00092357"/>
    <w:rsid w:val="000971A3"/>
    <w:rsid w:val="00097B95"/>
    <w:rsid w:val="000A0108"/>
    <w:rsid w:val="000A1EFB"/>
    <w:rsid w:val="000A6177"/>
    <w:rsid w:val="000B0673"/>
    <w:rsid w:val="000B1B2D"/>
    <w:rsid w:val="000B1D16"/>
    <w:rsid w:val="000B1E3F"/>
    <w:rsid w:val="000B1E65"/>
    <w:rsid w:val="000B2E20"/>
    <w:rsid w:val="000B3751"/>
    <w:rsid w:val="000B7F12"/>
    <w:rsid w:val="000C276F"/>
    <w:rsid w:val="000C2824"/>
    <w:rsid w:val="000C3C52"/>
    <w:rsid w:val="000C7F6C"/>
    <w:rsid w:val="000D05ED"/>
    <w:rsid w:val="000D0AFB"/>
    <w:rsid w:val="000D0F03"/>
    <w:rsid w:val="000D24DE"/>
    <w:rsid w:val="000E0CCC"/>
    <w:rsid w:val="000E0D61"/>
    <w:rsid w:val="000E638C"/>
    <w:rsid w:val="000F12F8"/>
    <w:rsid w:val="000F1CFA"/>
    <w:rsid w:val="000F289D"/>
    <w:rsid w:val="000F585B"/>
    <w:rsid w:val="000F6975"/>
    <w:rsid w:val="001002B5"/>
    <w:rsid w:val="00100349"/>
    <w:rsid w:val="001003B7"/>
    <w:rsid w:val="00100979"/>
    <w:rsid w:val="00101A76"/>
    <w:rsid w:val="00102429"/>
    <w:rsid w:val="0010259D"/>
    <w:rsid w:val="00102A23"/>
    <w:rsid w:val="00103815"/>
    <w:rsid w:val="00104634"/>
    <w:rsid w:val="001047E0"/>
    <w:rsid w:val="00106531"/>
    <w:rsid w:val="001073CE"/>
    <w:rsid w:val="001111F9"/>
    <w:rsid w:val="00111C5D"/>
    <w:rsid w:val="00113A3E"/>
    <w:rsid w:val="00115148"/>
    <w:rsid w:val="0011518B"/>
    <w:rsid w:val="00115220"/>
    <w:rsid w:val="00115506"/>
    <w:rsid w:val="00115CF4"/>
    <w:rsid w:val="00115F30"/>
    <w:rsid w:val="0011618B"/>
    <w:rsid w:val="001201FE"/>
    <w:rsid w:val="00123E26"/>
    <w:rsid w:val="00124090"/>
    <w:rsid w:val="00125CAF"/>
    <w:rsid w:val="00126129"/>
    <w:rsid w:val="00131A76"/>
    <w:rsid w:val="001354FF"/>
    <w:rsid w:val="00135964"/>
    <w:rsid w:val="001361AF"/>
    <w:rsid w:val="001363F1"/>
    <w:rsid w:val="00141726"/>
    <w:rsid w:val="00145FDE"/>
    <w:rsid w:val="0014617D"/>
    <w:rsid w:val="0014692E"/>
    <w:rsid w:val="00147809"/>
    <w:rsid w:val="00151066"/>
    <w:rsid w:val="001527C4"/>
    <w:rsid w:val="0015345B"/>
    <w:rsid w:val="0015642C"/>
    <w:rsid w:val="00160B5D"/>
    <w:rsid w:val="00160E57"/>
    <w:rsid w:val="00162694"/>
    <w:rsid w:val="00164992"/>
    <w:rsid w:val="001667CE"/>
    <w:rsid w:val="00172BBC"/>
    <w:rsid w:val="0017377A"/>
    <w:rsid w:val="0017546F"/>
    <w:rsid w:val="00176617"/>
    <w:rsid w:val="00176961"/>
    <w:rsid w:val="00182A2C"/>
    <w:rsid w:val="00182DE9"/>
    <w:rsid w:val="0018352F"/>
    <w:rsid w:val="001878CD"/>
    <w:rsid w:val="00191052"/>
    <w:rsid w:val="00192276"/>
    <w:rsid w:val="0019254C"/>
    <w:rsid w:val="00194BD7"/>
    <w:rsid w:val="00196157"/>
    <w:rsid w:val="00196AD7"/>
    <w:rsid w:val="001A0223"/>
    <w:rsid w:val="001A05BC"/>
    <w:rsid w:val="001A22A0"/>
    <w:rsid w:val="001A26E7"/>
    <w:rsid w:val="001A42EB"/>
    <w:rsid w:val="001B555C"/>
    <w:rsid w:val="001B74A9"/>
    <w:rsid w:val="001C0B2C"/>
    <w:rsid w:val="001C2862"/>
    <w:rsid w:val="001C5DBC"/>
    <w:rsid w:val="001C71C5"/>
    <w:rsid w:val="001C7909"/>
    <w:rsid w:val="001D068A"/>
    <w:rsid w:val="001D103F"/>
    <w:rsid w:val="001D4FED"/>
    <w:rsid w:val="001D601D"/>
    <w:rsid w:val="001E3653"/>
    <w:rsid w:val="001E37AB"/>
    <w:rsid w:val="001E4396"/>
    <w:rsid w:val="001E5E51"/>
    <w:rsid w:val="001E7C50"/>
    <w:rsid w:val="001F1A35"/>
    <w:rsid w:val="001F356B"/>
    <w:rsid w:val="002007D8"/>
    <w:rsid w:val="0020286F"/>
    <w:rsid w:val="0021003B"/>
    <w:rsid w:val="00210055"/>
    <w:rsid w:val="00210A15"/>
    <w:rsid w:val="002124C1"/>
    <w:rsid w:val="00212636"/>
    <w:rsid w:val="00223625"/>
    <w:rsid w:val="0022412D"/>
    <w:rsid w:val="00226FB8"/>
    <w:rsid w:val="002278FD"/>
    <w:rsid w:val="00230FA6"/>
    <w:rsid w:val="002323CE"/>
    <w:rsid w:val="002328B0"/>
    <w:rsid w:val="00233E4B"/>
    <w:rsid w:val="0023522F"/>
    <w:rsid w:val="002363EC"/>
    <w:rsid w:val="002366F0"/>
    <w:rsid w:val="00245143"/>
    <w:rsid w:val="00247B0F"/>
    <w:rsid w:val="0025066C"/>
    <w:rsid w:val="0025226A"/>
    <w:rsid w:val="0025370D"/>
    <w:rsid w:val="00254270"/>
    <w:rsid w:val="00254E45"/>
    <w:rsid w:val="00256E14"/>
    <w:rsid w:val="0026014C"/>
    <w:rsid w:val="00261A93"/>
    <w:rsid w:val="00262D13"/>
    <w:rsid w:val="002700B9"/>
    <w:rsid w:val="00273432"/>
    <w:rsid w:val="002756A8"/>
    <w:rsid w:val="00275B67"/>
    <w:rsid w:val="0027670C"/>
    <w:rsid w:val="00280015"/>
    <w:rsid w:val="002805AE"/>
    <w:rsid w:val="00280A74"/>
    <w:rsid w:val="00281550"/>
    <w:rsid w:val="00281E23"/>
    <w:rsid w:val="00282E8F"/>
    <w:rsid w:val="00285A07"/>
    <w:rsid w:val="00287B75"/>
    <w:rsid w:val="0029035B"/>
    <w:rsid w:val="00293139"/>
    <w:rsid w:val="002951BE"/>
    <w:rsid w:val="0029796B"/>
    <w:rsid w:val="002979B3"/>
    <w:rsid w:val="002A2328"/>
    <w:rsid w:val="002A3048"/>
    <w:rsid w:val="002A6240"/>
    <w:rsid w:val="002B68C4"/>
    <w:rsid w:val="002C6220"/>
    <w:rsid w:val="002C7186"/>
    <w:rsid w:val="002D26C2"/>
    <w:rsid w:val="002E2E8D"/>
    <w:rsid w:val="002E36DD"/>
    <w:rsid w:val="002F179F"/>
    <w:rsid w:val="002F43ED"/>
    <w:rsid w:val="002F440A"/>
    <w:rsid w:val="002F5374"/>
    <w:rsid w:val="002F6464"/>
    <w:rsid w:val="003032D4"/>
    <w:rsid w:val="00305057"/>
    <w:rsid w:val="00307AF9"/>
    <w:rsid w:val="00312391"/>
    <w:rsid w:val="00312C8A"/>
    <w:rsid w:val="00314833"/>
    <w:rsid w:val="00315443"/>
    <w:rsid w:val="003161FC"/>
    <w:rsid w:val="00321BF4"/>
    <w:rsid w:val="00322514"/>
    <w:rsid w:val="003240C7"/>
    <w:rsid w:val="00325F64"/>
    <w:rsid w:val="00326463"/>
    <w:rsid w:val="003314A2"/>
    <w:rsid w:val="00332D8F"/>
    <w:rsid w:val="00333AB8"/>
    <w:rsid w:val="003361F4"/>
    <w:rsid w:val="00336A93"/>
    <w:rsid w:val="0033749A"/>
    <w:rsid w:val="003413E0"/>
    <w:rsid w:val="00346EAC"/>
    <w:rsid w:val="00351A33"/>
    <w:rsid w:val="00354130"/>
    <w:rsid w:val="0035457D"/>
    <w:rsid w:val="003619FE"/>
    <w:rsid w:val="00362C7F"/>
    <w:rsid w:val="00370CDD"/>
    <w:rsid w:val="00376DF5"/>
    <w:rsid w:val="003779D1"/>
    <w:rsid w:val="003816FC"/>
    <w:rsid w:val="00381E7B"/>
    <w:rsid w:val="003822EB"/>
    <w:rsid w:val="0039321A"/>
    <w:rsid w:val="00393BAB"/>
    <w:rsid w:val="003942A7"/>
    <w:rsid w:val="0039518E"/>
    <w:rsid w:val="0039551F"/>
    <w:rsid w:val="0039560B"/>
    <w:rsid w:val="00395C83"/>
    <w:rsid w:val="003A319C"/>
    <w:rsid w:val="003A445A"/>
    <w:rsid w:val="003A5778"/>
    <w:rsid w:val="003A5AE0"/>
    <w:rsid w:val="003A5D89"/>
    <w:rsid w:val="003A7540"/>
    <w:rsid w:val="003B18BF"/>
    <w:rsid w:val="003B3270"/>
    <w:rsid w:val="003B32BD"/>
    <w:rsid w:val="003B467D"/>
    <w:rsid w:val="003C0A99"/>
    <w:rsid w:val="003C154B"/>
    <w:rsid w:val="003C1A4F"/>
    <w:rsid w:val="003C2A79"/>
    <w:rsid w:val="003C38CE"/>
    <w:rsid w:val="003D0203"/>
    <w:rsid w:val="003D0B3A"/>
    <w:rsid w:val="003D0EA5"/>
    <w:rsid w:val="003D1A2C"/>
    <w:rsid w:val="003D485B"/>
    <w:rsid w:val="003E0464"/>
    <w:rsid w:val="003E1822"/>
    <w:rsid w:val="003E27F1"/>
    <w:rsid w:val="003E7DFD"/>
    <w:rsid w:val="003F2D95"/>
    <w:rsid w:val="003F3565"/>
    <w:rsid w:val="003F6358"/>
    <w:rsid w:val="004025E6"/>
    <w:rsid w:val="00403345"/>
    <w:rsid w:val="004050E0"/>
    <w:rsid w:val="00406A9E"/>
    <w:rsid w:val="0041097F"/>
    <w:rsid w:val="004115F0"/>
    <w:rsid w:val="0041789F"/>
    <w:rsid w:val="00417FC8"/>
    <w:rsid w:val="0042020B"/>
    <w:rsid w:val="00423EE3"/>
    <w:rsid w:val="00433D3A"/>
    <w:rsid w:val="00433F10"/>
    <w:rsid w:val="00433FB4"/>
    <w:rsid w:val="00435AA5"/>
    <w:rsid w:val="0043745A"/>
    <w:rsid w:val="0044321D"/>
    <w:rsid w:val="00443DAB"/>
    <w:rsid w:val="00445ACC"/>
    <w:rsid w:val="0044692D"/>
    <w:rsid w:val="00446AE3"/>
    <w:rsid w:val="00454812"/>
    <w:rsid w:val="00457BD5"/>
    <w:rsid w:val="00462F4C"/>
    <w:rsid w:val="004637D3"/>
    <w:rsid w:val="00467DE7"/>
    <w:rsid w:val="00467FAD"/>
    <w:rsid w:val="00470E70"/>
    <w:rsid w:val="00473BB1"/>
    <w:rsid w:val="004814E9"/>
    <w:rsid w:val="00483D18"/>
    <w:rsid w:val="004847F4"/>
    <w:rsid w:val="00485D6D"/>
    <w:rsid w:val="004879FC"/>
    <w:rsid w:val="00494FBD"/>
    <w:rsid w:val="004A0F37"/>
    <w:rsid w:val="004A1ABC"/>
    <w:rsid w:val="004A1E97"/>
    <w:rsid w:val="004A45B0"/>
    <w:rsid w:val="004B1586"/>
    <w:rsid w:val="004B25B7"/>
    <w:rsid w:val="004B2EE9"/>
    <w:rsid w:val="004B4FBA"/>
    <w:rsid w:val="004B6E95"/>
    <w:rsid w:val="004C0072"/>
    <w:rsid w:val="004C0A81"/>
    <w:rsid w:val="004C115E"/>
    <w:rsid w:val="004C1242"/>
    <w:rsid w:val="004C340D"/>
    <w:rsid w:val="004C3790"/>
    <w:rsid w:val="004C6980"/>
    <w:rsid w:val="004C6CD6"/>
    <w:rsid w:val="004D0648"/>
    <w:rsid w:val="004D231A"/>
    <w:rsid w:val="004D36F9"/>
    <w:rsid w:val="004D3D46"/>
    <w:rsid w:val="004D6784"/>
    <w:rsid w:val="004D6801"/>
    <w:rsid w:val="004D7D2B"/>
    <w:rsid w:val="004E17B8"/>
    <w:rsid w:val="004E30BD"/>
    <w:rsid w:val="004E420C"/>
    <w:rsid w:val="004E5E19"/>
    <w:rsid w:val="004F1770"/>
    <w:rsid w:val="004F3E80"/>
    <w:rsid w:val="004F460B"/>
    <w:rsid w:val="004F7940"/>
    <w:rsid w:val="00500623"/>
    <w:rsid w:val="00501CB8"/>
    <w:rsid w:val="00507649"/>
    <w:rsid w:val="00511412"/>
    <w:rsid w:val="00517A6A"/>
    <w:rsid w:val="005225E7"/>
    <w:rsid w:val="005316E7"/>
    <w:rsid w:val="005325B6"/>
    <w:rsid w:val="00532C1C"/>
    <w:rsid w:val="00534AE6"/>
    <w:rsid w:val="0053541C"/>
    <w:rsid w:val="00536628"/>
    <w:rsid w:val="005413C8"/>
    <w:rsid w:val="00545D99"/>
    <w:rsid w:val="00546EA5"/>
    <w:rsid w:val="005473ED"/>
    <w:rsid w:val="00547EFF"/>
    <w:rsid w:val="005524D3"/>
    <w:rsid w:val="0055339F"/>
    <w:rsid w:val="005535AE"/>
    <w:rsid w:val="005536DD"/>
    <w:rsid w:val="005556E5"/>
    <w:rsid w:val="00556A91"/>
    <w:rsid w:val="00560219"/>
    <w:rsid w:val="005625B6"/>
    <w:rsid w:val="0056339F"/>
    <w:rsid w:val="00565CEA"/>
    <w:rsid w:val="00566905"/>
    <w:rsid w:val="005670F4"/>
    <w:rsid w:val="00570FE6"/>
    <w:rsid w:val="005710FF"/>
    <w:rsid w:val="00573BC3"/>
    <w:rsid w:val="005744DE"/>
    <w:rsid w:val="005824FB"/>
    <w:rsid w:val="005858E9"/>
    <w:rsid w:val="0059108C"/>
    <w:rsid w:val="00591A62"/>
    <w:rsid w:val="0059257A"/>
    <w:rsid w:val="005950D4"/>
    <w:rsid w:val="005967CB"/>
    <w:rsid w:val="0059795A"/>
    <w:rsid w:val="005A1C2D"/>
    <w:rsid w:val="005A44E1"/>
    <w:rsid w:val="005A4AA0"/>
    <w:rsid w:val="005A51D8"/>
    <w:rsid w:val="005B2C1A"/>
    <w:rsid w:val="005B3574"/>
    <w:rsid w:val="005B4180"/>
    <w:rsid w:val="005B44FC"/>
    <w:rsid w:val="005B491E"/>
    <w:rsid w:val="005B4DEA"/>
    <w:rsid w:val="005B4DF7"/>
    <w:rsid w:val="005B573B"/>
    <w:rsid w:val="005B5A88"/>
    <w:rsid w:val="005C2489"/>
    <w:rsid w:val="005C2622"/>
    <w:rsid w:val="005C3A40"/>
    <w:rsid w:val="005C51EC"/>
    <w:rsid w:val="005C5256"/>
    <w:rsid w:val="005C7381"/>
    <w:rsid w:val="005C7D97"/>
    <w:rsid w:val="005D0419"/>
    <w:rsid w:val="005D45BF"/>
    <w:rsid w:val="005D59D7"/>
    <w:rsid w:val="005D5F3D"/>
    <w:rsid w:val="005E250D"/>
    <w:rsid w:val="005E28C9"/>
    <w:rsid w:val="005E33C2"/>
    <w:rsid w:val="005E7717"/>
    <w:rsid w:val="005F455E"/>
    <w:rsid w:val="005F6F5F"/>
    <w:rsid w:val="005F6F8F"/>
    <w:rsid w:val="00604BA7"/>
    <w:rsid w:val="00605316"/>
    <w:rsid w:val="0060577D"/>
    <w:rsid w:val="00607DD9"/>
    <w:rsid w:val="006100BE"/>
    <w:rsid w:val="006134C2"/>
    <w:rsid w:val="00615411"/>
    <w:rsid w:val="0062019F"/>
    <w:rsid w:val="00620B86"/>
    <w:rsid w:val="00621059"/>
    <w:rsid w:val="00621BBB"/>
    <w:rsid w:val="00621BF0"/>
    <w:rsid w:val="006239E4"/>
    <w:rsid w:val="00625C47"/>
    <w:rsid w:val="00625EC0"/>
    <w:rsid w:val="00626374"/>
    <w:rsid w:val="00627298"/>
    <w:rsid w:val="00627B91"/>
    <w:rsid w:val="00627FD5"/>
    <w:rsid w:val="006314DF"/>
    <w:rsid w:val="00632F49"/>
    <w:rsid w:val="00633BD1"/>
    <w:rsid w:val="00634EE1"/>
    <w:rsid w:val="006351DA"/>
    <w:rsid w:val="00635CCC"/>
    <w:rsid w:val="006376BC"/>
    <w:rsid w:val="00640656"/>
    <w:rsid w:val="00644B1E"/>
    <w:rsid w:val="006475F8"/>
    <w:rsid w:val="00651B70"/>
    <w:rsid w:val="00652038"/>
    <w:rsid w:val="00660A41"/>
    <w:rsid w:val="006623DA"/>
    <w:rsid w:val="0066273E"/>
    <w:rsid w:val="0066371A"/>
    <w:rsid w:val="00664B3A"/>
    <w:rsid w:val="00664D90"/>
    <w:rsid w:val="00670FF5"/>
    <w:rsid w:val="00671A6B"/>
    <w:rsid w:val="00677019"/>
    <w:rsid w:val="00680AF8"/>
    <w:rsid w:val="0068146D"/>
    <w:rsid w:val="00683413"/>
    <w:rsid w:val="00684249"/>
    <w:rsid w:val="00684C08"/>
    <w:rsid w:val="00690478"/>
    <w:rsid w:val="00690C66"/>
    <w:rsid w:val="006924E2"/>
    <w:rsid w:val="00692AB1"/>
    <w:rsid w:val="00696B1E"/>
    <w:rsid w:val="006A0B24"/>
    <w:rsid w:val="006A2699"/>
    <w:rsid w:val="006B0D29"/>
    <w:rsid w:val="006B214E"/>
    <w:rsid w:val="006B3600"/>
    <w:rsid w:val="006C2E3B"/>
    <w:rsid w:val="006C321B"/>
    <w:rsid w:val="006C65AA"/>
    <w:rsid w:val="006C6D73"/>
    <w:rsid w:val="006C73CC"/>
    <w:rsid w:val="006C7D5A"/>
    <w:rsid w:val="006D16FF"/>
    <w:rsid w:val="006D2B5B"/>
    <w:rsid w:val="006D3206"/>
    <w:rsid w:val="006E25A7"/>
    <w:rsid w:val="006E2786"/>
    <w:rsid w:val="006E44DA"/>
    <w:rsid w:val="006F0538"/>
    <w:rsid w:val="006F3721"/>
    <w:rsid w:val="006F5DF1"/>
    <w:rsid w:val="006F5EFC"/>
    <w:rsid w:val="00700A5B"/>
    <w:rsid w:val="00700EAB"/>
    <w:rsid w:val="00701EAD"/>
    <w:rsid w:val="00703B43"/>
    <w:rsid w:val="00711ECE"/>
    <w:rsid w:val="007123C7"/>
    <w:rsid w:val="00716E2D"/>
    <w:rsid w:val="00717752"/>
    <w:rsid w:val="007203D9"/>
    <w:rsid w:val="00720FC3"/>
    <w:rsid w:val="00721F8D"/>
    <w:rsid w:val="00722793"/>
    <w:rsid w:val="00725787"/>
    <w:rsid w:val="00727554"/>
    <w:rsid w:val="007278B2"/>
    <w:rsid w:val="00731A1A"/>
    <w:rsid w:val="00731B5F"/>
    <w:rsid w:val="00734830"/>
    <w:rsid w:val="00735CC7"/>
    <w:rsid w:val="007365AB"/>
    <w:rsid w:val="007402CA"/>
    <w:rsid w:val="00740E50"/>
    <w:rsid w:val="007418B2"/>
    <w:rsid w:val="00742A08"/>
    <w:rsid w:val="007466A2"/>
    <w:rsid w:val="00746BAC"/>
    <w:rsid w:val="00747188"/>
    <w:rsid w:val="00747E0D"/>
    <w:rsid w:val="00750E6B"/>
    <w:rsid w:val="00750F88"/>
    <w:rsid w:val="00751C2B"/>
    <w:rsid w:val="00752161"/>
    <w:rsid w:val="007521B2"/>
    <w:rsid w:val="007533A0"/>
    <w:rsid w:val="007546A6"/>
    <w:rsid w:val="00754824"/>
    <w:rsid w:val="00756773"/>
    <w:rsid w:val="00760047"/>
    <w:rsid w:val="007629AC"/>
    <w:rsid w:val="00762B5C"/>
    <w:rsid w:val="00765CBC"/>
    <w:rsid w:val="007664DE"/>
    <w:rsid w:val="00766845"/>
    <w:rsid w:val="007734F7"/>
    <w:rsid w:val="00773EFF"/>
    <w:rsid w:val="00775EFA"/>
    <w:rsid w:val="0078166B"/>
    <w:rsid w:val="0078335F"/>
    <w:rsid w:val="0078337B"/>
    <w:rsid w:val="007860FC"/>
    <w:rsid w:val="0078799C"/>
    <w:rsid w:val="00791098"/>
    <w:rsid w:val="00791BFD"/>
    <w:rsid w:val="00791DD3"/>
    <w:rsid w:val="0079471C"/>
    <w:rsid w:val="00796E05"/>
    <w:rsid w:val="00797252"/>
    <w:rsid w:val="007A0348"/>
    <w:rsid w:val="007A24B8"/>
    <w:rsid w:val="007A4A8C"/>
    <w:rsid w:val="007A4ED2"/>
    <w:rsid w:val="007A612B"/>
    <w:rsid w:val="007A7887"/>
    <w:rsid w:val="007B1AC0"/>
    <w:rsid w:val="007B7195"/>
    <w:rsid w:val="007B7DEA"/>
    <w:rsid w:val="007C0C50"/>
    <w:rsid w:val="007C168D"/>
    <w:rsid w:val="007C31F9"/>
    <w:rsid w:val="007C350A"/>
    <w:rsid w:val="007C5198"/>
    <w:rsid w:val="007D20A7"/>
    <w:rsid w:val="007D476F"/>
    <w:rsid w:val="007E2661"/>
    <w:rsid w:val="007E2A8F"/>
    <w:rsid w:val="007E2DEC"/>
    <w:rsid w:val="007E33DE"/>
    <w:rsid w:val="007E50B7"/>
    <w:rsid w:val="007F17FE"/>
    <w:rsid w:val="007F27CB"/>
    <w:rsid w:val="007F30F2"/>
    <w:rsid w:val="007F463B"/>
    <w:rsid w:val="007F4CEF"/>
    <w:rsid w:val="007F66BB"/>
    <w:rsid w:val="007F6C3F"/>
    <w:rsid w:val="007F7CB9"/>
    <w:rsid w:val="0080022A"/>
    <w:rsid w:val="008003B5"/>
    <w:rsid w:val="008009E7"/>
    <w:rsid w:val="00801D50"/>
    <w:rsid w:val="00801E6F"/>
    <w:rsid w:val="00802AE7"/>
    <w:rsid w:val="00803F3B"/>
    <w:rsid w:val="00804347"/>
    <w:rsid w:val="00804AF7"/>
    <w:rsid w:val="0080563C"/>
    <w:rsid w:val="00806234"/>
    <w:rsid w:val="00806298"/>
    <w:rsid w:val="00806644"/>
    <w:rsid w:val="00807BC2"/>
    <w:rsid w:val="00807E61"/>
    <w:rsid w:val="00812A36"/>
    <w:rsid w:val="00813DBE"/>
    <w:rsid w:val="008140CD"/>
    <w:rsid w:val="0081433C"/>
    <w:rsid w:val="008171BC"/>
    <w:rsid w:val="00824E59"/>
    <w:rsid w:val="008271F9"/>
    <w:rsid w:val="00827F7D"/>
    <w:rsid w:val="00834076"/>
    <w:rsid w:val="008358AD"/>
    <w:rsid w:val="00836BE2"/>
    <w:rsid w:val="00840374"/>
    <w:rsid w:val="00840DA8"/>
    <w:rsid w:val="008410DE"/>
    <w:rsid w:val="00842AC4"/>
    <w:rsid w:val="00844315"/>
    <w:rsid w:val="008459C0"/>
    <w:rsid w:val="00845ADE"/>
    <w:rsid w:val="00850040"/>
    <w:rsid w:val="0085028A"/>
    <w:rsid w:val="00850E2F"/>
    <w:rsid w:val="0085156B"/>
    <w:rsid w:val="00855A93"/>
    <w:rsid w:val="00856055"/>
    <w:rsid w:val="00860B57"/>
    <w:rsid w:val="00860B7F"/>
    <w:rsid w:val="00863FCE"/>
    <w:rsid w:val="008660D7"/>
    <w:rsid w:val="00867AC2"/>
    <w:rsid w:val="00871460"/>
    <w:rsid w:val="008728BD"/>
    <w:rsid w:val="0087336C"/>
    <w:rsid w:val="008735FE"/>
    <w:rsid w:val="00873BDC"/>
    <w:rsid w:val="00873DB7"/>
    <w:rsid w:val="00875750"/>
    <w:rsid w:val="00876ED3"/>
    <w:rsid w:val="008772CC"/>
    <w:rsid w:val="00883316"/>
    <w:rsid w:val="0088488A"/>
    <w:rsid w:val="00884F3C"/>
    <w:rsid w:val="00887215"/>
    <w:rsid w:val="008872B2"/>
    <w:rsid w:val="0088751F"/>
    <w:rsid w:val="008944DB"/>
    <w:rsid w:val="00896E35"/>
    <w:rsid w:val="00897836"/>
    <w:rsid w:val="008A3D55"/>
    <w:rsid w:val="008A48AF"/>
    <w:rsid w:val="008A5C0A"/>
    <w:rsid w:val="008A6924"/>
    <w:rsid w:val="008A7421"/>
    <w:rsid w:val="008A7656"/>
    <w:rsid w:val="008B0DC4"/>
    <w:rsid w:val="008B2546"/>
    <w:rsid w:val="008B37DB"/>
    <w:rsid w:val="008B3970"/>
    <w:rsid w:val="008B3F78"/>
    <w:rsid w:val="008B43D6"/>
    <w:rsid w:val="008B4D74"/>
    <w:rsid w:val="008B55FF"/>
    <w:rsid w:val="008B7721"/>
    <w:rsid w:val="008C2B56"/>
    <w:rsid w:val="008C2F7E"/>
    <w:rsid w:val="008C6103"/>
    <w:rsid w:val="008D10D4"/>
    <w:rsid w:val="008D1411"/>
    <w:rsid w:val="008D243A"/>
    <w:rsid w:val="008D30C6"/>
    <w:rsid w:val="008D6546"/>
    <w:rsid w:val="008E2D07"/>
    <w:rsid w:val="008E766C"/>
    <w:rsid w:val="008E76DA"/>
    <w:rsid w:val="008F0796"/>
    <w:rsid w:val="008F3EBF"/>
    <w:rsid w:val="008F60C2"/>
    <w:rsid w:val="008F66F7"/>
    <w:rsid w:val="00901D6B"/>
    <w:rsid w:val="0090451C"/>
    <w:rsid w:val="00907806"/>
    <w:rsid w:val="0091153F"/>
    <w:rsid w:val="00912341"/>
    <w:rsid w:val="0091333F"/>
    <w:rsid w:val="0091335B"/>
    <w:rsid w:val="00926350"/>
    <w:rsid w:val="00932767"/>
    <w:rsid w:val="00935626"/>
    <w:rsid w:val="0094175A"/>
    <w:rsid w:val="00943FC4"/>
    <w:rsid w:val="00944345"/>
    <w:rsid w:val="009443F1"/>
    <w:rsid w:val="009461C8"/>
    <w:rsid w:val="009464FD"/>
    <w:rsid w:val="00947681"/>
    <w:rsid w:val="009528C8"/>
    <w:rsid w:val="0095344E"/>
    <w:rsid w:val="0095527E"/>
    <w:rsid w:val="009608D9"/>
    <w:rsid w:val="00960AA1"/>
    <w:rsid w:val="0096288B"/>
    <w:rsid w:val="00963002"/>
    <w:rsid w:val="009631CA"/>
    <w:rsid w:val="0096327C"/>
    <w:rsid w:val="0096366C"/>
    <w:rsid w:val="009657F4"/>
    <w:rsid w:val="00965823"/>
    <w:rsid w:val="00967679"/>
    <w:rsid w:val="00967872"/>
    <w:rsid w:val="00967C8E"/>
    <w:rsid w:val="00971997"/>
    <w:rsid w:val="00971BA8"/>
    <w:rsid w:val="00974550"/>
    <w:rsid w:val="00974DBA"/>
    <w:rsid w:val="00977A10"/>
    <w:rsid w:val="009810B5"/>
    <w:rsid w:val="00981AED"/>
    <w:rsid w:val="00984BFA"/>
    <w:rsid w:val="00990A5D"/>
    <w:rsid w:val="009951DC"/>
    <w:rsid w:val="0099635A"/>
    <w:rsid w:val="00996450"/>
    <w:rsid w:val="009A1FCE"/>
    <w:rsid w:val="009A209A"/>
    <w:rsid w:val="009A25E6"/>
    <w:rsid w:val="009A4287"/>
    <w:rsid w:val="009A43A4"/>
    <w:rsid w:val="009A5158"/>
    <w:rsid w:val="009A6C7E"/>
    <w:rsid w:val="009B0498"/>
    <w:rsid w:val="009B0921"/>
    <w:rsid w:val="009B0D77"/>
    <w:rsid w:val="009B16FB"/>
    <w:rsid w:val="009B1A12"/>
    <w:rsid w:val="009B5D4E"/>
    <w:rsid w:val="009C00D0"/>
    <w:rsid w:val="009C214A"/>
    <w:rsid w:val="009C254A"/>
    <w:rsid w:val="009C456E"/>
    <w:rsid w:val="009D00F8"/>
    <w:rsid w:val="009D1DDC"/>
    <w:rsid w:val="009D1F27"/>
    <w:rsid w:val="009D37F7"/>
    <w:rsid w:val="009D38E7"/>
    <w:rsid w:val="009D66E9"/>
    <w:rsid w:val="009D68EF"/>
    <w:rsid w:val="009D71F4"/>
    <w:rsid w:val="009D75A4"/>
    <w:rsid w:val="009E157E"/>
    <w:rsid w:val="009E201E"/>
    <w:rsid w:val="009E24A3"/>
    <w:rsid w:val="009E29BD"/>
    <w:rsid w:val="009E3BB0"/>
    <w:rsid w:val="009E4C37"/>
    <w:rsid w:val="009E5EA9"/>
    <w:rsid w:val="009E7A4C"/>
    <w:rsid w:val="009F0F96"/>
    <w:rsid w:val="009F3B5F"/>
    <w:rsid w:val="009F49C1"/>
    <w:rsid w:val="009F558C"/>
    <w:rsid w:val="00A00D2B"/>
    <w:rsid w:val="00A03355"/>
    <w:rsid w:val="00A03DBA"/>
    <w:rsid w:val="00A14418"/>
    <w:rsid w:val="00A14FE3"/>
    <w:rsid w:val="00A2065B"/>
    <w:rsid w:val="00A217F6"/>
    <w:rsid w:val="00A219FE"/>
    <w:rsid w:val="00A2415E"/>
    <w:rsid w:val="00A24E81"/>
    <w:rsid w:val="00A337B8"/>
    <w:rsid w:val="00A37052"/>
    <w:rsid w:val="00A42A19"/>
    <w:rsid w:val="00A42C5E"/>
    <w:rsid w:val="00A467CE"/>
    <w:rsid w:val="00A46D20"/>
    <w:rsid w:val="00A54F81"/>
    <w:rsid w:val="00A5600B"/>
    <w:rsid w:val="00A56A6A"/>
    <w:rsid w:val="00A60CC7"/>
    <w:rsid w:val="00A63053"/>
    <w:rsid w:val="00A63E38"/>
    <w:rsid w:val="00A6466C"/>
    <w:rsid w:val="00A664D0"/>
    <w:rsid w:val="00A676A4"/>
    <w:rsid w:val="00A74AC4"/>
    <w:rsid w:val="00A74B34"/>
    <w:rsid w:val="00A77F99"/>
    <w:rsid w:val="00A84478"/>
    <w:rsid w:val="00A845AE"/>
    <w:rsid w:val="00A846ED"/>
    <w:rsid w:val="00A87505"/>
    <w:rsid w:val="00A90898"/>
    <w:rsid w:val="00A9158D"/>
    <w:rsid w:val="00A93097"/>
    <w:rsid w:val="00AA3DB8"/>
    <w:rsid w:val="00AB2B04"/>
    <w:rsid w:val="00AB5A9E"/>
    <w:rsid w:val="00AB65F2"/>
    <w:rsid w:val="00AB742C"/>
    <w:rsid w:val="00AC2EBF"/>
    <w:rsid w:val="00AC45D7"/>
    <w:rsid w:val="00AC4EA5"/>
    <w:rsid w:val="00AC67CC"/>
    <w:rsid w:val="00AC6E9B"/>
    <w:rsid w:val="00AD2438"/>
    <w:rsid w:val="00AD2657"/>
    <w:rsid w:val="00AD48FC"/>
    <w:rsid w:val="00AD5347"/>
    <w:rsid w:val="00AD68BA"/>
    <w:rsid w:val="00AD6C39"/>
    <w:rsid w:val="00AD7F34"/>
    <w:rsid w:val="00AE004C"/>
    <w:rsid w:val="00AE14CF"/>
    <w:rsid w:val="00AE316F"/>
    <w:rsid w:val="00AE4992"/>
    <w:rsid w:val="00AE68D8"/>
    <w:rsid w:val="00AE6A5B"/>
    <w:rsid w:val="00AE7B1C"/>
    <w:rsid w:val="00AE7F59"/>
    <w:rsid w:val="00AF0B56"/>
    <w:rsid w:val="00AF1038"/>
    <w:rsid w:val="00AF1B9E"/>
    <w:rsid w:val="00AF4E9D"/>
    <w:rsid w:val="00AF60C2"/>
    <w:rsid w:val="00AF79B1"/>
    <w:rsid w:val="00B00331"/>
    <w:rsid w:val="00B013F0"/>
    <w:rsid w:val="00B02052"/>
    <w:rsid w:val="00B0499B"/>
    <w:rsid w:val="00B0542E"/>
    <w:rsid w:val="00B12185"/>
    <w:rsid w:val="00B14800"/>
    <w:rsid w:val="00B20896"/>
    <w:rsid w:val="00B22616"/>
    <w:rsid w:val="00B30C4D"/>
    <w:rsid w:val="00B33A6E"/>
    <w:rsid w:val="00B35A27"/>
    <w:rsid w:val="00B369B5"/>
    <w:rsid w:val="00B36FF6"/>
    <w:rsid w:val="00B375CD"/>
    <w:rsid w:val="00B4073B"/>
    <w:rsid w:val="00B40BB9"/>
    <w:rsid w:val="00B43B1B"/>
    <w:rsid w:val="00B456FA"/>
    <w:rsid w:val="00B473E6"/>
    <w:rsid w:val="00B52E08"/>
    <w:rsid w:val="00B558BA"/>
    <w:rsid w:val="00B55B2E"/>
    <w:rsid w:val="00B6125C"/>
    <w:rsid w:val="00B6378E"/>
    <w:rsid w:val="00B657BC"/>
    <w:rsid w:val="00B65BB0"/>
    <w:rsid w:val="00B735A1"/>
    <w:rsid w:val="00B760C4"/>
    <w:rsid w:val="00B815A2"/>
    <w:rsid w:val="00B8194B"/>
    <w:rsid w:val="00B83D57"/>
    <w:rsid w:val="00B86E02"/>
    <w:rsid w:val="00B9098A"/>
    <w:rsid w:val="00B90AA1"/>
    <w:rsid w:val="00B914F1"/>
    <w:rsid w:val="00B922F4"/>
    <w:rsid w:val="00B92A6D"/>
    <w:rsid w:val="00B954E1"/>
    <w:rsid w:val="00B973F0"/>
    <w:rsid w:val="00B97422"/>
    <w:rsid w:val="00B97695"/>
    <w:rsid w:val="00BA0F98"/>
    <w:rsid w:val="00BA2CF5"/>
    <w:rsid w:val="00BA5CD9"/>
    <w:rsid w:val="00BA7A96"/>
    <w:rsid w:val="00BB1896"/>
    <w:rsid w:val="00BB3E31"/>
    <w:rsid w:val="00BB5257"/>
    <w:rsid w:val="00BB664A"/>
    <w:rsid w:val="00BB6B3D"/>
    <w:rsid w:val="00BC06B0"/>
    <w:rsid w:val="00BC1FC1"/>
    <w:rsid w:val="00BC51FA"/>
    <w:rsid w:val="00BC6165"/>
    <w:rsid w:val="00BD3B9C"/>
    <w:rsid w:val="00BD3D40"/>
    <w:rsid w:val="00BD6288"/>
    <w:rsid w:val="00BE3944"/>
    <w:rsid w:val="00BE4FAF"/>
    <w:rsid w:val="00BE6DD3"/>
    <w:rsid w:val="00BE7239"/>
    <w:rsid w:val="00BF1772"/>
    <w:rsid w:val="00BF1F25"/>
    <w:rsid w:val="00BF2F57"/>
    <w:rsid w:val="00BF3917"/>
    <w:rsid w:val="00BF477D"/>
    <w:rsid w:val="00BF5BCB"/>
    <w:rsid w:val="00BF76ED"/>
    <w:rsid w:val="00C0138D"/>
    <w:rsid w:val="00C043D0"/>
    <w:rsid w:val="00C051C1"/>
    <w:rsid w:val="00C07D89"/>
    <w:rsid w:val="00C1189D"/>
    <w:rsid w:val="00C11EFD"/>
    <w:rsid w:val="00C127F1"/>
    <w:rsid w:val="00C153B9"/>
    <w:rsid w:val="00C15601"/>
    <w:rsid w:val="00C159E1"/>
    <w:rsid w:val="00C236CA"/>
    <w:rsid w:val="00C23DAA"/>
    <w:rsid w:val="00C23ED2"/>
    <w:rsid w:val="00C30336"/>
    <w:rsid w:val="00C31A2F"/>
    <w:rsid w:val="00C340D2"/>
    <w:rsid w:val="00C3573B"/>
    <w:rsid w:val="00C3604E"/>
    <w:rsid w:val="00C3606F"/>
    <w:rsid w:val="00C404F4"/>
    <w:rsid w:val="00C41AF7"/>
    <w:rsid w:val="00C41B3F"/>
    <w:rsid w:val="00C43D2A"/>
    <w:rsid w:val="00C44C23"/>
    <w:rsid w:val="00C46997"/>
    <w:rsid w:val="00C47C3D"/>
    <w:rsid w:val="00C5171D"/>
    <w:rsid w:val="00C52C6C"/>
    <w:rsid w:val="00C545A8"/>
    <w:rsid w:val="00C61447"/>
    <w:rsid w:val="00C617B1"/>
    <w:rsid w:val="00C63CDC"/>
    <w:rsid w:val="00C670A7"/>
    <w:rsid w:val="00C67832"/>
    <w:rsid w:val="00C70EF6"/>
    <w:rsid w:val="00C71F91"/>
    <w:rsid w:val="00C75D8B"/>
    <w:rsid w:val="00C77E95"/>
    <w:rsid w:val="00C80628"/>
    <w:rsid w:val="00C849FF"/>
    <w:rsid w:val="00C85253"/>
    <w:rsid w:val="00C869FD"/>
    <w:rsid w:val="00C86DAF"/>
    <w:rsid w:val="00C90507"/>
    <w:rsid w:val="00C90D6B"/>
    <w:rsid w:val="00C97764"/>
    <w:rsid w:val="00CA0543"/>
    <w:rsid w:val="00CA6825"/>
    <w:rsid w:val="00CA77C7"/>
    <w:rsid w:val="00CA7D31"/>
    <w:rsid w:val="00CB2448"/>
    <w:rsid w:val="00CB396F"/>
    <w:rsid w:val="00CB75D2"/>
    <w:rsid w:val="00CB769F"/>
    <w:rsid w:val="00CC548A"/>
    <w:rsid w:val="00CC7DEE"/>
    <w:rsid w:val="00CD3A87"/>
    <w:rsid w:val="00CD5785"/>
    <w:rsid w:val="00CD7263"/>
    <w:rsid w:val="00CD7571"/>
    <w:rsid w:val="00CE1718"/>
    <w:rsid w:val="00CE20F5"/>
    <w:rsid w:val="00CE4AA3"/>
    <w:rsid w:val="00CE5FF4"/>
    <w:rsid w:val="00CE6289"/>
    <w:rsid w:val="00CF3B59"/>
    <w:rsid w:val="00CF3C6E"/>
    <w:rsid w:val="00CF4331"/>
    <w:rsid w:val="00CF78B6"/>
    <w:rsid w:val="00D009CC"/>
    <w:rsid w:val="00D00E91"/>
    <w:rsid w:val="00D01302"/>
    <w:rsid w:val="00D014A1"/>
    <w:rsid w:val="00D015A6"/>
    <w:rsid w:val="00D01F7E"/>
    <w:rsid w:val="00D04379"/>
    <w:rsid w:val="00D0501A"/>
    <w:rsid w:val="00D06B00"/>
    <w:rsid w:val="00D07D02"/>
    <w:rsid w:val="00D10330"/>
    <w:rsid w:val="00D107BD"/>
    <w:rsid w:val="00D11267"/>
    <w:rsid w:val="00D12059"/>
    <w:rsid w:val="00D1225B"/>
    <w:rsid w:val="00D15045"/>
    <w:rsid w:val="00D1516A"/>
    <w:rsid w:val="00D21445"/>
    <w:rsid w:val="00D21E6B"/>
    <w:rsid w:val="00D235AE"/>
    <w:rsid w:val="00D23C76"/>
    <w:rsid w:val="00D253E4"/>
    <w:rsid w:val="00D26490"/>
    <w:rsid w:val="00D31C00"/>
    <w:rsid w:val="00D3270D"/>
    <w:rsid w:val="00D33EFC"/>
    <w:rsid w:val="00D34C35"/>
    <w:rsid w:val="00D34C91"/>
    <w:rsid w:val="00D3583E"/>
    <w:rsid w:val="00D3785F"/>
    <w:rsid w:val="00D3799E"/>
    <w:rsid w:val="00D4268C"/>
    <w:rsid w:val="00D428A2"/>
    <w:rsid w:val="00D45BEF"/>
    <w:rsid w:val="00D47A42"/>
    <w:rsid w:val="00D50282"/>
    <w:rsid w:val="00D52083"/>
    <w:rsid w:val="00D52784"/>
    <w:rsid w:val="00D52AE4"/>
    <w:rsid w:val="00D553E7"/>
    <w:rsid w:val="00D615A8"/>
    <w:rsid w:val="00D622A4"/>
    <w:rsid w:val="00D64628"/>
    <w:rsid w:val="00D66B65"/>
    <w:rsid w:val="00D6758B"/>
    <w:rsid w:val="00D71919"/>
    <w:rsid w:val="00D74058"/>
    <w:rsid w:val="00D805B0"/>
    <w:rsid w:val="00D832DF"/>
    <w:rsid w:val="00D85A65"/>
    <w:rsid w:val="00D85D3C"/>
    <w:rsid w:val="00D87FC4"/>
    <w:rsid w:val="00D91E34"/>
    <w:rsid w:val="00D9347E"/>
    <w:rsid w:val="00D93B1D"/>
    <w:rsid w:val="00D9595F"/>
    <w:rsid w:val="00D96AB6"/>
    <w:rsid w:val="00D96D97"/>
    <w:rsid w:val="00D9764F"/>
    <w:rsid w:val="00D979AE"/>
    <w:rsid w:val="00D97A4C"/>
    <w:rsid w:val="00DA0C69"/>
    <w:rsid w:val="00DA1FD3"/>
    <w:rsid w:val="00DA3E45"/>
    <w:rsid w:val="00DA7DF1"/>
    <w:rsid w:val="00DB13AF"/>
    <w:rsid w:val="00DB3B6A"/>
    <w:rsid w:val="00DB5032"/>
    <w:rsid w:val="00DB5754"/>
    <w:rsid w:val="00DB59A6"/>
    <w:rsid w:val="00DB5FA8"/>
    <w:rsid w:val="00DB631D"/>
    <w:rsid w:val="00DB6523"/>
    <w:rsid w:val="00DB7565"/>
    <w:rsid w:val="00DC1005"/>
    <w:rsid w:val="00DC267D"/>
    <w:rsid w:val="00DC31FE"/>
    <w:rsid w:val="00DC55EB"/>
    <w:rsid w:val="00DC5C08"/>
    <w:rsid w:val="00DC62E1"/>
    <w:rsid w:val="00DD1777"/>
    <w:rsid w:val="00DD21C1"/>
    <w:rsid w:val="00DD4683"/>
    <w:rsid w:val="00DD5AA4"/>
    <w:rsid w:val="00DD753C"/>
    <w:rsid w:val="00DE3CAB"/>
    <w:rsid w:val="00DE47AD"/>
    <w:rsid w:val="00DE4A6D"/>
    <w:rsid w:val="00DE4BE4"/>
    <w:rsid w:val="00DE7878"/>
    <w:rsid w:val="00DF017F"/>
    <w:rsid w:val="00DF0C16"/>
    <w:rsid w:val="00DF2A21"/>
    <w:rsid w:val="00DF4B0C"/>
    <w:rsid w:val="00DF5799"/>
    <w:rsid w:val="00DF723F"/>
    <w:rsid w:val="00DF7285"/>
    <w:rsid w:val="00E02BD6"/>
    <w:rsid w:val="00E0345C"/>
    <w:rsid w:val="00E04575"/>
    <w:rsid w:val="00E04B70"/>
    <w:rsid w:val="00E04D51"/>
    <w:rsid w:val="00E103C6"/>
    <w:rsid w:val="00E10ACF"/>
    <w:rsid w:val="00E1245E"/>
    <w:rsid w:val="00E12920"/>
    <w:rsid w:val="00E1612E"/>
    <w:rsid w:val="00E17518"/>
    <w:rsid w:val="00E1763D"/>
    <w:rsid w:val="00E17C25"/>
    <w:rsid w:val="00E20887"/>
    <w:rsid w:val="00E22AB0"/>
    <w:rsid w:val="00E26C2B"/>
    <w:rsid w:val="00E27FE4"/>
    <w:rsid w:val="00E31AB6"/>
    <w:rsid w:val="00E32375"/>
    <w:rsid w:val="00E32B8B"/>
    <w:rsid w:val="00E429D9"/>
    <w:rsid w:val="00E42F3B"/>
    <w:rsid w:val="00E4375A"/>
    <w:rsid w:val="00E45C4B"/>
    <w:rsid w:val="00E466A2"/>
    <w:rsid w:val="00E50535"/>
    <w:rsid w:val="00E538F2"/>
    <w:rsid w:val="00E571D9"/>
    <w:rsid w:val="00E62157"/>
    <w:rsid w:val="00E660FB"/>
    <w:rsid w:val="00E66377"/>
    <w:rsid w:val="00E71BA7"/>
    <w:rsid w:val="00E72F93"/>
    <w:rsid w:val="00E80164"/>
    <w:rsid w:val="00E82736"/>
    <w:rsid w:val="00E83023"/>
    <w:rsid w:val="00E85953"/>
    <w:rsid w:val="00E85BA9"/>
    <w:rsid w:val="00E86C9B"/>
    <w:rsid w:val="00E87185"/>
    <w:rsid w:val="00E9139E"/>
    <w:rsid w:val="00E9218E"/>
    <w:rsid w:val="00E93265"/>
    <w:rsid w:val="00EA0586"/>
    <w:rsid w:val="00EA1277"/>
    <w:rsid w:val="00EA4404"/>
    <w:rsid w:val="00EA6F5D"/>
    <w:rsid w:val="00EB0E2F"/>
    <w:rsid w:val="00EB113E"/>
    <w:rsid w:val="00EB197A"/>
    <w:rsid w:val="00EB4154"/>
    <w:rsid w:val="00EB4762"/>
    <w:rsid w:val="00EB5565"/>
    <w:rsid w:val="00EB6612"/>
    <w:rsid w:val="00EB6B42"/>
    <w:rsid w:val="00EB74A7"/>
    <w:rsid w:val="00EC0EAC"/>
    <w:rsid w:val="00EC4948"/>
    <w:rsid w:val="00EC4ED3"/>
    <w:rsid w:val="00EC5771"/>
    <w:rsid w:val="00ED04CC"/>
    <w:rsid w:val="00ED0789"/>
    <w:rsid w:val="00EE1085"/>
    <w:rsid w:val="00EE1BD0"/>
    <w:rsid w:val="00EE4688"/>
    <w:rsid w:val="00EE47D3"/>
    <w:rsid w:val="00EE5AED"/>
    <w:rsid w:val="00EE7586"/>
    <w:rsid w:val="00EF0DBD"/>
    <w:rsid w:val="00EF0E64"/>
    <w:rsid w:val="00EF1359"/>
    <w:rsid w:val="00EF4274"/>
    <w:rsid w:val="00EF48CE"/>
    <w:rsid w:val="00EF651B"/>
    <w:rsid w:val="00F01109"/>
    <w:rsid w:val="00F018AA"/>
    <w:rsid w:val="00F02BF5"/>
    <w:rsid w:val="00F05A8C"/>
    <w:rsid w:val="00F11FA8"/>
    <w:rsid w:val="00F14F8D"/>
    <w:rsid w:val="00F16842"/>
    <w:rsid w:val="00F24F3B"/>
    <w:rsid w:val="00F25D4F"/>
    <w:rsid w:val="00F25EEE"/>
    <w:rsid w:val="00F26045"/>
    <w:rsid w:val="00F26454"/>
    <w:rsid w:val="00F27329"/>
    <w:rsid w:val="00F30B6F"/>
    <w:rsid w:val="00F405EA"/>
    <w:rsid w:val="00F442EE"/>
    <w:rsid w:val="00F542C8"/>
    <w:rsid w:val="00F5512A"/>
    <w:rsid w:val="00F55425"/>
    <w:rsid w:val="00F57F82"/>
    <w:rsid w:val="00F60F9B"/>
    <w:rsid w:val="00F6130D"/>
    <w:rsid w:val="00F614AF"/>
    <w:rsid w:val="00F65BC4"/>
    <w:rsid w:val="00F7011F"/>
    <w:rsid w:val="00F75FD1"/>
    <w:rsid w:val="00F76535"/>
    <w:rsid w:val="00F8045D"/>
    <w:rsid w:val="00F819FE"/>
    <w:rsid w:val="00F8255F"/>
    <w:rsid w:val="00F82A79"/>
    <w:rsid w:val="00F82DF7"/>
    <w:rsid w:val="00F87014"/>
    <w:rsid w:val="00F93CD7"/>
    <w:rsid w:val="00F969BF"/>
    <w:rsid w:val="00F972C6"/>
    <w:rsid w:val="00FA11D5"/>
    <w:rsid w:val="00FA3343"/>
    <w:rsid w:val="00FA3B2C"/>
    <w:rsid w:val="00FA5CDA"/>
    <w:rsid w:val="00FA7487"/>
    <w:rsid w:val="00FA78E0"/>
    <w:rsid w:val="00FB0350"/>
    <w:rsid w:val="00FB0550"/>
    <w:rsid w:val="00FB0962"/>
    <w:rsid w:val="00FB0B75"/>
    <w:rsid w:val="00FB0BE8"/>
    <w:rsid w:val="00FB16AC"/>
    <w:rsid w:val="00FB3D4E"/>
    <w:rsid w:val="00FB43BF"/>
    <w:rsid w:val="00FB4FF2"/>
    <w:rsid w:val="00FB78E3"/>
    <w:rsid w:val="00FB7A03"/>
    <w:rsid w:val="00FB7DA5"/>
    <w:rsid w:val="00FC312B"/>
    <w:rsid w:val="00FC38A7"/>
    <w:rsid w:val="00FD0A7A"/>
    <w:rsid w:val="00FD0ED7"/>
    <w:rsid w:val="00FD1591"/>
    <w:rsid w:val="00FD2640"/>
    <w:rsid w:val="00FD67D6"/>
    <w:rsid w:val="00FE1267"/>
    <w:rsid w:val="00FE37DC"/>
    <w:rsid w:val="00FE430C"/>
    <w:rsid w:val="00FE5B05"/>
    <w:rsid w:val="00FE7953"/>
    <w:rsid w:val="00FF0576"/>
    <w:rsid w:val="00FF1B18"/>
    <w:rsid w:val="00FF29D2"/>
    <w:rsid w:val="00FF2D9B"/>
    <w:rsid w:val="00FF3B6C"/>
    <w:rsid w:val="00FF40AB"/>
    <w:rsid w:val="00FF43F1"/>
    <w:rsid w:val="00FF6E1D"/>
    <w:rsid w:val="00FF7964"/>
    <w:rsid w:val="013F5BF3"/>
    <w:rsid w:val="015B2145"/>
    <w:rsid w:val="01837BED"/>
    <w:rsid w:val="018A6DAB"/>
    <w:rsid w:val="01995E4C"/>
    <w:rsid w:val="0253060E"/>
    <w:rsid w:val="025339BF"/>
    <w:rsid w:val="03BE2FCD"/>
    <w:rsid w:val="04277DFE"/>
    <w:rsid w:val="045301C6"/>
    <w:rsid w:val="065D2A17"/>
    <w:rsid w:val="07092EE0"/>
    <w:rsid w:val="07BC2382"/>
    <w:rsid w:val="081F10D1"/>
    <w:rsid w:val="08544299"/>
    <w:rsid w:val="08943A9D"/>
    <w:rsid w:val="09267CDA"/>
    <w:rsid w:val="09292011"/>
    <w:rsid w:val="09A82B16"/>
    <w:rsid w:val="09FF03D1"/>
    <w:rsid w:val="0A36214C"/>
    <w:rsid w:val="0A911A48"/>
    <w:rsid w:val="0AE324AE"/>
    <w:rsid w:val="0B5C55AE"/>
    <w:rsid w:val="0BB93B80"/>
    <w:rsid w:val="0BBE083C"/>
    <w:rsid w:val="0BC9719D"/>
    <w:rsid w:val="0CD7398E"/>
    <w:rsid w:val="0DDC4A70"/>
    <w:rsid w:val="0F7C2CF7"/>
    <w:rsid w:val="115D4A49"/>
    <w:rsid w:val="124F6F1C"/>
    <w:rsid w:val="12766648"/>
    <w:rsid w:val="12B400D4"/>
    <w:rsid w:val="12F11ABC"/>
    <w:rsid w:val="13971A74"/>
    <w:rsid w:val="13E77FD2"/>
    <w:rsid w:val="13EB044B"/>
    <w:rsid w:val="14830684"/>
    <w:rsid w:val="14A7387E"/>
    <w:rsid w:val="14C91C41"/>
    <w:rsid w:val="15D46DE0"/>
    <w:rsid w:val="15E932F6"/>
    <w:rsid w:val="169964D4"/>
    <w:rsid w:val="16A14FC3"/>
    <w:rsid w:val="17466780"/>
    <w:rsid w:val="174A1081"/>
    <w:rsid w:val="17D42FA4"/>
    <w:rsid w:val="1973219F"/>
    <w:rsid w:val="198552DD"/>
    <w:rsid w:val="198B6F43"/>
    <w:rsid w:val="1A293A7B"/>
    <w:rsid w:val="1A6A597A"/>
    <w:rsid w:val="1C8E268D"/>
    <w:rsid w:val="1D935ECC"/>
    <w:rsid w:val="20153F68"/>
    <w:rsid w:val="20B67C0F"/>
    <w:rsid w:val="22916662"/>
    <w:rsid w:val="22A10888"/>
    <w:rsid w:val="23901EDA"/>
    <w:rsid w:val="24643D03"/>
    <w:rsid w:val="248B24A4"/>
    <w:rsid w:val="24CB6D4B"/>
    <w:rsid w:val="250E3C3F"/>
    <w:rsid w:val="25DB304E"/>
    <w:rsid w:val="27664EC3"/>
    <w:rsid w:val="276C44E4"/>
    <w:rsid w:val="27AD6810"/>
    <w:rsid w:val="28277139"/>
    <w:rsid w:val="287748AD"/>
    <w:rsid w:val="288051AE"/>
    <w:rsid w:val="2974579E"/>
    <w:rsid w:val="29E862D5"/>
    <w:rsid w:val="2A3203EA"/>
    <w:rsid w:val="2AA7735E"/>
    <w:rsid w:val="2BA2368E"/>
    <w:rsid w:val="2BEF284F"/>
    <w:rsid w:val="2CB216AE"/>
    <w:rsid w:val="2D7626DC"/>
    <w:rsid w:val="2DBD7978"/>
    <w:rsid w:val="2E137B25"/>
    <w:rsid w:val="2E9AD74D"/>
    <w:rsid w:val="2EB71A17"/>
    <w:rsid w:val="2ECF5A22"/>
    <w:rsid w:val="2FF251DE"/>
    <w:rsid w:val="30E22C35"/>
    <w:rsid w:val="31B81D2D"/>
    <w:rsid w:val="32011E59"/>
    <w:rsid w:val="3291620A"/>
    <w:rsid w:val="33447E3E"/>
    <w:rsid w:val="33C062EC"/>
    <w:rsid w:val="33F04914"/>
    <w:rsid w:val="34086058"/>
    <w:rsid w:val="34425A0E"/>
    <w:rsid w:val="347A5A60"/>
    <w:rsid w:val="34C52390"/>
    <w:rsid w:val="371031D4"/>
    <w:rsid w:val="39407BE0"/>
    <w:rsid w:val="394D0E3A"/>
    <w:rsid w:val="396E2D34"/>
    <w:rsid w:val="397320C3"/>
    <w:rsid w:val="399275C2"/>
    <w:rsid w:val="39F386B9"/>
    <w:rsid w:val="3A0E3D69"/>
    <w:rsid w:val="3A81675E"/>
    <w:rsid w:val="3B5428A8"/>
    <w:rsid w:val="3BFB51B8"/>
    <w:rsid w:val="3ECA094E"/>
    <w:rsid w:val="3F9F3716"/>
    <w:rsid w:val="40360A33"/>
    <w:rsid w:val="41032081"/>
    <w:rsid w:val="410329EA"/>
    <w:rsid w:val="41F2253F"/>
    <w:rsid w:val="43845A44"/>
    <w:rsid w:val="4387343D"/>
    <w:rsid w:val="4484797D"/>
    <w:rsid w:val="44C21A15"/>
    <w:rsid w:val="455E7A24"/>
    <w:rsid w:val="4715A5DD"/>
    <w:rsid w:val="479F455A"/>
    <w:rsid w:val="49661109"/>
    <w:rsid w:val="4D212FEE"/>
    <w:rsid w:val="4DD10AD5"/>
    <w:rsid w:val="4E1C11F2"/>
    <w:rsid w:val="4EC10240"/>
    <w:rsid w:val="4FAA3D2B"/>
    <w:rsid w:val="4FEE1B87"/>
    <w:rsid w:val="50155C6D"/>
    <w:rsid w:val="50356B16"/>
    <w:rsid w:val="50CF1602"/>
    <w:rsid w:val="50F6575E"/>
    <w:rsid w:val="51145BE4"/>
    <w:rsid w:val="52B029FE"/>
    <w:rsid w:val="52F40352"/>
    <w:rsid w:val="53050864"/>
    <w:rsid w:val="530F6379"/>
    <w:rsid w:val="5491242E"/>
    <w:rsid w:val="5495528E"/>
    <w:rsid w:val="550E7C66"/>
    <w:rsid w:val="56A66C75"/>
    <w:rsid w:val="56AB0D99"/>
    <w:rsid w:val="56F87B69"/>
    <w:rsid w:val="57696C40"/>
    <w:rsid w:val="57C633BF"/>
    <w:rsid w:val="592649D0"/>
    <w:rsid w:val="59CB5EB7"/>
    <w:rsid w:val="59D70321"/>
    <w:rsid w:val="5A18461E"/>
    <w:rsid w:val="5A8D7C5F"/>
    <w:rsid w:val="5AE11382"/>
    <w:rsid w:val="5CF27722"/>
    <w:rsid w:val="5D110251"/>
    <w:rsid w:val="5D2146A9"/>
    <w:rsid w:val="5DA86032"/>
    <w:rsid w:val="5DAC315A"/>
    <w:rsid w:val="5DFF2469"/>
    <w:rsid w:val="5E9F11E3"/>
    <w:rsid w:val="5F276C11"/>
    <w:rsid w:val="5F904FD0"/>
    <w:rsid w:val="5FA9609B"/>
    <w:rsid w:val="60FA16F8"/>
    <w:rsid w:val="612754C0"/>
    <w:rsid w:val="62BC3F96"/>
    <w:rsid w:val="62D63543"/>
    <w:rsid w:val="62E36E05"/>
    <w:rsid w:val="63366406"/>
    <w:rsid w:val="635F2729"/>
    <w:rsid w:val="64284F0F"/>
    <w:rsid w:val="64C6511B"/>
    <w:rsid w:val="665B1085"/>
    <w:rsid w:val="667E2026"/>
    <w:rsid w:val="68F760C0"/>
    <w:rsid w:val="695227E4"/>
    <w:rsid w:val="69A37DF4"/>
    <w:rsid w:val="6A6C795D"/>
    <w:rsid w:val="6B9F2FF4"/>
    <w:rsid w:val="6BA04037"/>
    <w:rsid w:val="6BC14007"/>
    <w:rsid w:val="6CC56A5C"/>
    <w:rsid w:val="6D5451DF"/>
    <w:rsid w:val="6D68133A"/>
    <w:rsid w:val="6DD52269"/>
    <w:rsid w:val="6DE2733E"/>
    <w:rsid w:val="6E5A5CBD"/>
    <w:rsid w:val="6E8D4D6B"/>
    <w:rsid w:val="6EFCE233"/>
    <w:rsid w:val="6F9A11EC"/>
    <w:rsid w:val="6FEFDC30"/>
    <w:rsid w:val="7009541F"/>
    <w:rsid w:val="703001C8"/>
    <w:rsid w:val="71494FDF"/>
    <w:rsid w:val="714A76D4"/>
    <w:rsid w:val="7175048E"/>
    <w:rsid w:val="717E737E"/>
    <w:rsid w:val="72E14851"/>
    <w:rsid w:val="72F900C3"/>
    <w:rsid w:val="72FC5C9B"/>
    <w:rsid w:val="73577E87"/>
    <w:rsid w:val="73CC068B"/>
    <w:rsid w:val="74062D15"/>
    <w:rsid w:val="741C1F21"/>
    <w:rsid w:val="74367A9C"/>
    <w:rsid w:val="757D557C"/>
    <w:rsid w:val="758A583A"/>
    <w:rsid w:val="75B73ED4"/>
    <w:rsid w:val="75E90BD9"/>
    <w:rsid w:val="764E2FAD"/>
    <w:rsid w:val="76856AB9"/>
    <w:rsid w:val="76A71125"/>
    <w:rsid w:val="76E145A9"/>
    <w:rsid w:val="777AFA73"/>
    <w:rsid w:val="787E706E"/>
    <w:rsid w:val="78896C43"/>
    <w:rsid w:val="78C745B0"/>
    <w:rsid w:val="78E24692"/>
    <w:rsid w:val="7B346F35"/>
    <w:rsid w:val="7BBA17BE"/>
    <w:rsid w:val="7CA727A4"/>
    <w:rsid w:val="7CD009D5"/>
    <w:rsid w:val="7D0C7F34"/>
    <w:rsid w:val="7D320F56"/>
    <w:rsid w:val="7DD7CF2F"/>
    <w:rsid w:val="7F7A39A8"/>
    <w:rsid w:val="7FB7AD6A"/>
    <w:rsid w:val="7FF57239"/>
    <w:rsid w:val="9785F034"/>
    <w:rsid w:val="AFEBC1C3"/>
    <w:rsid w:val="BFB1180E"/>
    <w:rsid w:val="D3FB6385"/>
    <w:rsid w:val="D7FB1763"/>
    <w:rsid w:val="E7FD8AB0"/>
    <w:rsid w:val="E97FF90D"/>
    <w:rsid w:val="EFDFCF19"/>
    <w:rsid w:val="F69955B2"/>
    <w:rsid w:val="FBF9F0BC"/>
    <w:rsid w:val="FDF12D42"/>
    <w:rsid w:val="FDFFFD6B"/>
    <w:rsid w:val="FFBB4D06"/>
    <w:rsid w:val="FFDF484B"/>
    <w:rsid w:val="FFFEC287"/>
    <w:rsid w:val="FFFFDF41"/>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4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rFonts w:eastAsia="宋体"/>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rFonts w:eastAsia="宋体"/>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 w:val="21"/>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1800"/>
      <w:jc w:val="left"/>
    </w:pPr>
    <w:rPr>
      <w:rFonts w:ascii="Calibri" w:hAnsi="Calibri" w:cs="Calibri"/>
      <w:sz w:val="18"/>
      <w:szCs w:val="18"/>
    </w:rPr>
  </w:style>
  <w:style w:type="paragraph" w:styleId="12">
    <w:name w:val="Document Map"/>
    <w:basedOn w:val="1"/>
    <w:semiHidden/>
    <w:qFormat/>
    <w:uiPriority w:val="0"/>
    <w:pPr>
      <w:shd w:val="clear" w:color="auto" w:fill="000080"/>
    </w:pPr>
  </w:style>
  <w:style w:type="paragraph" w:styleId="13">
    <w:name w:val="annotation text"/>
    <w:basedOn w:val="1"/>
    <w:link w:val="42"/>
    <w:qFormat/>
    <w:uiPriority w:val="0"/>
    <w:pPr>
      <w:jc w:val="left"/>
    </w:pPr>
  </w:style>
  <w:style w:type="paragraph" w:styleId="14">
    <w:name w:val="Body Text"/>
    <w:basedOn w:val="1"/>
    <w:qFormat/>
    <w:uiPriority w:val="0"/>
    <w:pPr>
      <w:spacing w:after="120"/>
      <w:ind w:left="980" w:hanging="420"/>
    </w:pPr>
    <w:rPr>
      <w:rFonts w:ascii="Calibri" w:hAnsi="Calibri" w:eastAsia="宋体"/>
      <w:sz w:val="21"/>
      <w:szCs w:val="22"/>
    </w:rPr>
  </w:style>
  <w:style w:type="paragraph" w:styleId="15">
    <w:name w:val="Body Text Indent"/>
    <w:basedOn w:val="1"/>
    <w:link w:val="62"/>
    <w:qFormat/>
    <w:uiPriority w:val="0"/>
    <w:pPr>
      <w:spacing w:after="120"/>
      <w:ind w:left="420" w:leftChars="200"/>
    </w:pPr>
  </w:style>
  <w:style w:type="paragraph" w:styleId="16">
    <w:name w:val="toc 5"/>
    <w:basedOn w:val="1"/>
    <w:next w:val="1"/>
    <w:qFormat/>
    <w:uiPriority w:val="0"/>
    <w:pPr>
      <w:ind w:left="1200"/>
      <w:jc w:val="left"/>
    </w:pPr>
    <w:rPr>
      <w:rFonts w:ascii="Calibri" w:hAnsi="Calibri" w:cs="Calibri"/>
      <w:sz w:val="18"/>
      <w:szCs w:val="18"/>
    </w:rPr>
  </w:style>
  <w:style w:type="paragraph" w:styleId="17">
    <w:name w:val="toc 3"/>
    <w:basedOn w:val="1"/>
    <w:next w:val="1"/>
    <w:unhideWhenUsed/>
    <w:qFormat/>
    <w:uiPriority w:val="39"/>
    <w:pPr>
      <w:ind w:left="600"/>
      <w:jc w:val="left"/>
    </w:pPr>
    <w:rPr>
      <w:rFonts w:ascii="Calibri" w:hAnsi="Calibri" w:cs="Calibri"/>
      <w:i/>
      <w:iCs/>
      <w:sz w:val="20"/>
      <w:szCs w:val="20"/>
    </w:rPr>
  </w:style>
  <w:style w:type="paragraph" w:styleId="18">
    <w:name w:val="toc 8"/>
    <w:basedOn w:val="1"/>
    <w:next w:val="1"/>
    <w:qFormat/>
    <w:uiPriority w:val="0"/>
    <w:pPr>
      <w:ind w:left="2100"/>
      <w:jc w:val="left"/>
    </w:pPr>
    <w:rPr>
      <w:rFonts w:ascii="Calibri" w:hAnsi="Calibri" w:cs="Calibri"/>
      <w:sz w:val="18"/>
      <w:szCs w:val="18"/>
    </w:rPr>
  </w:style>
  <w:style w:type="paragraph" w:styleId="19">
    <w:name w:val="Body Text Indent 2"/>
    <w:basedOn w:val="1"/>
    <w:link w:val="43"/>
    <w:qFormat/>
    <w:uiPriority w:val="0"/>
    <w:pPr>
      <w:spacing w:after="120" w:line="480" w:lineRule="auto"/>
      <w:ind w:left="420" w:leftChars="200"/>
    </w:pPr>
    <w:rPr>
      <w:rFonts w:eastAsia="宋体"/>
      <w:sz w:val="21"/>
    </w:rPr>
  </w:style>
  <w:style w:type="paragraph" w:styleId="20">
    <w:name w:val="Balloon Text"/>
    <w:basedOn w:val="1"/>
    <w:semiHidden/>
    <w:qFormat/>
    <w:uiPriority w:val="0"/>
    <w:rPr>
      <w:sz w:val="18"/>
      <w:szCs w:val="18"/>
    </w:rPr>
  </w:style>
  <w:style w:type="paragraph" w:styleId="21">
    <w:name w:val="footer"/>
    <w:basedOn w:val="1"/>
    <w:link w:val="44"/>
    <w:unhideWhenUsed/>
    <w:qFormat/>
    <w:uiPriority w:val="99"/>
    <w:pPr>
      <w:tabs>
        <w:tab w:val="center" w:pos="4153"/>
        <w:tab w:val="right" w:pos="8306"/>
      </w:tabs>
      <w:snapToGrid w:val="0"/>
      <w:jc w:val="left"/>
    </w:pPr>
    <w:rPr>
      <w:rFonts w:eastAsia="宋体"/>
      <w:kern w:val="0"/>
      <w:sz w:val="18"/>
      <w:szCs w:val="18"/>
    </w:rPr>
  </w:style>
  <w:style w:type="paragraph" w:styleId="22">
    <w:name w:val="envelope return"/>
    <w:basedOn w:val="1"/>
    <w:qFormat/>
    <w:uiPriority w:val="0"/>
    <w:pPr>
      <w:snapToGrid w:val="0"/>
    </w:pPr>
    <w:rPr>
      <w:rFonts w:ascii="Arial" w:hAnsi="Arial"/>
    </w:rPr>
  </w:style>
  <w:style w:type="paragraph" w:styleId="23">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unhideWhenUsed/>
    <w:qFormat/>
    <w:uiPriority w:val="39"/>
    <w:pPr>
      <w:spacing w:before="120" w:after="120"/>
      <w:jc w:val="left"/>
    </w:pPr>
    <w:rPr>
      <w:rFonts w:ascii="Calibri" w:hAnsi="Calibri" w:cs="Calibri"/>
      <w:b/>
      <w:bCs/>
      <w:caps/>
      <w:sz w:val="20"/>
      <w:szCs w:val="20"/>
    </w:rPr>
  </w:style>
  <w:style w:type="paragraph" w:styleId="25">
    <w:name w:val="toc 4"/>
    <w:basedOn w:val="1"/>
    <w:next w:val="1"/>
    <w:qFormat/>
    <w:uiPriority w:val="0"/>
    <w:pPr>
      <w:ind w:left="900"/>
      <w:jc w:val="left"/>
    </w:pPr>
    <w:rPr>
      <w:rFonts w:ascii="Calibri" w:hAnsi="Calibri" w:cs="Calibri"/>
      <w:sz w:val="18"/>
      <w:szCs w:val="18"/>
    </w:rPr>
  </w:style>
  <w:style w:type="paragraph" w:styleId="26">
    <w:name w:val="footnote text"/>
    <w:basedOn w:val="1"/>
    <w:link w:val="46"/>
    <w:qFormat/>
    <w:uiPriority w:val="0"/>
    <w:pPr>
      <w:snapToGrid w:val="0"/>
      <w:jc w:val="left"/>
    </w:pPr>
    <w:rPr>
      <w:rFonts w:ascii="Calibri" w:hAnsi="Calibri" w:eastAsia="宋体"/>
      <w:kern w:val="0"/>
      <w:sz w:val="18"/>
      <w:szCs w:val="20"/>
    </w:rPr>
  </w:style>
  <w:style w:type="paragraph" w:styleId="27">
    <w:name w:val="toc 6"/>
    <w:basedOn w:val="1"/>
    <w:next w:val="1"/>
    <w:qFormat/>
    <w:uiPriority w:val="0"/>
    <w:pPr>
      <w:ind w:left="1500"/>
      <w:jc w:val="left"/>
    </w:pPr>
    <w:rPr>
      <w:rFonts w:ascii="Calibri" w:hAnsi="Calibri" w:cs="Calibri"/>
      <w:sz w:val="18"/>
      <w:szCs w:val="18"/>
    </w:rPr>
  </w:style>
  <w:style w:type="paragraph" w:styleId="28">
    <w:name w:val="Body Text Indent 3"/>
    <w:basedOn w:val="1"/>
    <w:qFormat/>
    <w:uiPriority w:val="0"/>
    <w:pPr>
      <w:spacing w:after="120"/>
      <w:ind w:left="420" w:leftChars="200"/>
    </w:pPr>
    <w:rPr>
      <w:sz w:val="16"/>
      <w:szCs w:val="16"/>
    </w:rPr>
  </w:style>
  <w:style w:type="paragraph" w:styleId="29">
    <w:name w:val="toc 2"/>
    <w:basedOn w:val="1"/>
    <w:next w:val="1"/>
    <w:qFormat/>
    <w:uiPriority w:val="39"/>
    <w:pPr>
      <w:ind w:left="300"/>
      <w:jc w:val="left"/>
    </w:pPr>
    <w:rPr>
      <w:rFonts w:ascii="Calibri" w:hAnsi="Calibri" w:cs="Calibri"/>
      <w:smallCaps/>
      <w:sz w:val="20"/>
      <w:szCs w:val="20"/>
    </w:rPr>
  </w:style>
  <w:style w:type="paragraph" w:styleId="30">
    <w:name w:val="toc 9"/>
    <w:basedOn w:val="1"/>
    <w:next w:val="1"/>
    <w:qFormat/>
    <w:uiPriority w:val="0"/>
    <w:pPr>
      <w:ind w:left="2400"/>
      <w:jc w:val="left"/>
    </w:pPr>
    <w:rPr>
      <w:rFonts w:ascii="Calibri" w:hAnsi="Calibri" w:cs="Calibri"/>
      <w:sz w:val="18"/>
      <w:szCs w:val="18"/>
    </w:rPr>
  </w:style>
  <w:style w:type="paragraph" w:styleId="31">
    <w:name w:val="Normal (Web)"/>
    <w:basedOn w:val="1"/>
    <w:qFormat/>
    <w:uiPriority w:val="99"/>
    <w:pPr>
      <w:widowControl/>
      <w:spacing w:before="100" w:beforeAutospacing="1" w:after="100" w:afterAutospacing="1"/>
      <w:jc w:val="left"/>
    </w:pPr>
    <w:rPr>
      <w:rFonts w:hint="eastAsia" w:ascii="Wonder Arial" w:hAnsi="Wonder Arial" w:eastAsia="Wonder Arial" w:cs="Wonder Arial"/>
      <w:color w:val="000000"/>
      <w:kern w:val="0"/>
      <w:sz w:val="24"/>
    </w:rPr>
  </w:style>
  <w:style w:type="paragraph" w:styleId="32">
    <w:name w:val="annotation subject"/>
    <w:basedOn w:val="13"/>
    <w:next w:val="13"/>
    <w:semiHidden/>
    <w:qFormat/>
    <w:uiPriority w:val="0"/>
    <w:rPr>
      <w:b/>
      <w:bCs/>
    </w:rPr>
  </w:style>
  <w:style w:type="paragraph" w:styleId="33">
    <w:name w:val="Body Text First Indent 2"/>
    <w:basedOn w:val="15"/>
    <w:unhideWhenUsed/>
    <w:qFormat/>
    <w:uiPriority w:val="99"/>
    <w:pPr>
      <w:ind w:firstLine="420" w:firstLineChars="200"/>
    </w:pPr>
  </w:style>
  <w:style w:type="table" w:styleId="35">
    <w:name w:val="Table Grid"/>
    <w:basedOn w:val="3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basedOn w:val="36"/>
    <w:qFormat/>
    <w:uiPriority w:val="0"/>
    <w:rPr>
      <w:b/>
    </w:rPr>
  </w:style>
  <w:style w:type="character" w:styleId="38">
    <w:name w:val="Hyperlink"/>
    <w:qFormat/>
    <w:uiPriority w:val="99"/>
    <w:rPr>
      <w:color w:val="0000FF"/>
      <w:u w:val="single"/>
    </w:rPr>
  </w:style>
  <w:style w:type="character" w:styleId="39">
    <w:name w:val="annotation reference"/>
    <w:semiHidden/>
    <w:qFormat/>
    <w:uiPriority w:val="0"/>
    <w:rPr>
      <w:sz w:val="21"/>
      <w:szCs w:val="21"/>
    </w:rPr>
  </w:style>
  <w:style w:type="character" w:styleId="40">
    <w:name w:val="footnote reference"/>
    <w:qFormat/>
    <w:uiPriority w:val="0"/>
    <w:rPr>
      <w:rFonts w:cs="Times New Roman"/>
      <w:vertAlign w:val="superscript"/>
    </w:rPr>
  </w:style>
  <w:style w:type="character" w:customStyle="1" w:styleId="41">
    <w:name w:val="标题 1 Char"/>
    <w:link w:val="2"/>
    <w:qFormat/>
    <w:uiPriority w:val="0"/>
    <w:rPr>
      <w:rFonts w:eastAsia="仿宋_GB2312"/>
      <w:b/>
      <w:bCs/>
      <w:kern w:val="44"/>
      <w:sz w:val="44"/>
      <w:szCs w:val="44"/>
    </w:rPr>
  </w:style>
  <w:style w:type="character" w:customStyle="1" w:styleId="42">
    <w:name w:val="批注文字 Char"/>
    <w:link w:val="13"/>
    <w:qFormat/>
    <w:uiPriority w:val="0"/>
    <w:rPr>
      <w:rFonts w:eastAsia="仿宋_GB2312"/>
      <w:kern w:val="2"/>
      <w:sz w:val="30"/>
      <w:szCs w:val="24"/>
    </w:rPr>
  </w:style>
  <w:style w:type="character" w:customStyle="1" w:styleId="43">
    <w:name w:val="正文文本缩进 2 Char"/>
    <w:link w:val="19"/>
    <w:qFormat/>
    <w:uiPriority w:val="0"/>
    <w:rPr>
      <w:rFonts w:eastAsia="宋体"/>
      <w:kern w:val="2"/>
      <w:sz w:val="21"/>
      <w:szCs w:val="24"/>
      <w:lang w:val="en-US" w:eastAsia="zh-CN" w:bidi="ar-SA"/>
    </w:rPr>
  </w:style>
  <w:style w:type="character" w:customStyle="1" w:styleId="44">
    <w:name w:val="页脚 Char"/>
    <w:link w:val="21"/>
    <w:qFormat/>
    <w:uiPriority w:val="99"/>
    <w:rPr>
      <w:rFonts w:eastAsia="宋体"/>
      <w:sz w:val="18"/>
      <w:szCs w:val="18"/>
      <w:lang w:bidi="ar-SA"/>
    </w:rPr>
  </w:style>
  <w:style w:type="character" w:customStyle="1" w:styleId="45">
    <w:name w:val="页眉 Char"/>
    <w:link w:val="23"/>
    <w:qFormat/>
    <w:uiPriority w:val="99"/>
    <w:rPr>
      <w:rFonts w:eastAsia="仿宋_GB2312"/>
      <w:kern w:val="2"/>
      <w:sz w:val="18"/>
      <w:szCs w:val="18"/>
    </w:rPr>
  </w:style>
  <w:style w:type="character" w:customStyle="1" w:styleId="46">
    <w:name w:val="脚注文本 Char"/>
    <w:link w:val="26"/>
    <w:qFormat/>
    <w:uiPriority w:val="0"/>
    <w:rPr>
      <w:rFonts w:ascii="Calibri" w:hAnsi="Calibri"/>
      <w:sz w:val="18"/>
    </w:rPr>
  </w:style>
  <w:style w:type="paragraph" w:customStyle="1" w:styleId="47">
    <w:name w:val="Char2"/>
    <w:basedOn w:val="1"/>
    <w:qFormat/>
    <w:uiPriority w:val="0"/>
    <w:pPr>
      <w:widowControl/>
      <w:spacing w:after="160" w:line="240" w:lineRule="exact"/>
      <w:jc w:val="left"/>
    </w:pPr>
    <w:rPr>
      <w:rFonts w:ascii="Verdana" w:hAnsi="Verdana"/>
      <w:kern w:val="0"/>
      <w:sz w:val="24"/>
      <w:szCs w:val="20"/>
      <w:lang w:eastAsia="en-US"/>
    </w:rPr>
  </w:style>
  <w:style w:type="paragraph" w:customStyle="1" w:styleId="48">
    <w:name w:val="Char1 Char Char Char"/>
    <w:basedOn w:val="1"/>
    <w:qFormat/>
    <w:uiPriority w:val="0"/>
    <w:pPr>
      <w:widowControl/>
      <w:spacing w:after="160" w:line="240" w:lineRule="exact"/>
      <w:jc w:val="left"/>
    </w:pPr>
    <w:rPr>
      <w:rFonts w:ascii="Verdana" w:hAnsi="Verdana"/>
      <w:kern w:val="0"/>
      <w:szCs w:val="30"/>
      <w:lang w:eastAsia="en-US"/>
    </w:rPr>
  </w:style>
  <w:style w:type="paragraph" w:customStyle="1" w:styleId="49">
    <w:name w:val="Char Char Char Char"/>
    <w:basedOn w:val="1"/>
    <w:qFormat/>
    <w:uiPriority w:val="0"/>
    <w:pPr>
      <w:tabs>
        <w:tab w:val="left" w:pos="3750"/>
      </w:tabs>
      <w:ind w:left="3750" w:hanging="2250"/>
    </w:pPr>
    <w:rPr>
      <w:rFonts w:eastAsia="宋体"/>
      <w:sz w:val="24"/>
    </w:rPr>
  </w:style>
  <w:style w:type="paragraph" w:customStyle="1" w:styleId="50">
    <w:name w:val="Char1"/>
    <w:basedOn w:val="1"/>
    <w:qFormat/>
    <w:uiPriority w:val="0"/>
    <w:rPr>
      <w:rFonts w:ascii="宋体" w:hAnsi="宋体" w:eastAsia="宋体" w:cs="Courier New"/>
      <w:sz w:val="32"/>
      <w:szCs w:val="32"/>
    </w:rPr>
  </w:style>
  <w:style w:type="paragraph" w:customStyle="1" w:styleId="51">
    <w:name w:val="Char Char Char Char Char Char Char Char Char Char Char Char"/>
    <w:basedOn w:val="1"/>
    <w:qFormat/>
    <w:uiPriority w:val="0"/>
    <w:rPr>
      <w:rFonts w:ascii="宋体" w:hAnsi="宋体" w:eastAsia="宋体" w:cs="Courier New"/>
      <w:sz w:val="32"/>
      <w:szCs w:val="32"/>
    </w:rPr>
  </w:style>
  <w:style w:type="paragraph" w:customStyle="1" w:styleId="52">
    <w:name w:val="Char Char Char1 Char Char Char Char"/>
    <w:basedOn w:val="1"/>
    <w:qFormat/>
    <w:uiPriority w:val="0"/>
    <w:rPr>
      <w:rFonts w:ascii="Tahoma" w:hAnsi="Tahoma" w:eastAsia="宋体"/>
      <w:sz w:val="24"/>
      <w:szCs w:val="20"/>
    </w:rPr>
  </w:style>
  <w:style w:type="paragraph" w:customStyle="1" w:styleId="53">
    <w:name w:val="Char1 Char Char"/>
    <w:basedOn w:val="1"/>
    <w:qFormat/>
    <w:uiPriority w:val="0"/>
    <w:pPr>
      <w:widowControl/>
      <w:spacing w:after="160" w:line="240" w:lineRule="exact"/>
      <w:jc w:val="left"/>
    </w:pPr>
    <w:rPr>
      <w:rFonts w:ascii="Verdana" w:hAnsi="Verdana"/>
      <w:kern w:val="0"/>
      <w:sz w:val="24"/>
      <w:szCs w:val="20"/>
      <w:lang w:eastAsia="en-US"/>
    </w:rPr>
  </w:style>
  <w:style w:type="paragraph" w:styleId="54">
    <w:name w:val="List Paragraph"/>
    <w:basedOn w:val="1"/>
    <w:qFormat/>
    <w:uiPriority w:val="34"/>
    <w:pPr>
      <w:ind w:firstLine="420" w:firstLineChars="200"/>
    </w:pPr>
  </w:style>
  <w:style w:type="paragraph" w:customStyle="1" w:styleId="55">
    <w:name w:val="_Style 53"/>
    <w:semiHidden/>
    <w:qFormat/>
    <w:uiPriority w:val="99"/>
    <w:rPr>
      <w:rFonts w:ascii="Times New Roman" w:hAnsi="Times New Roman" w:eastAsia="仿宋_GB2312" w:cs="Times New Roman"/>
      <w:kern w:val="2"/>
      <w:sz w:val="30"/>
      <w:szCs w:val="24"/>
      <w:lang w:val="en-US" w:eastAsia="zh-CN" w:bidi="ar-SA"/>
    </w:rPr>
  </w:style>
  <w:style w:type="character" w:customStyle="1" w:styleId="56">
    <w:name w:val="正文1 Char"/>
    <w:link w:val="57"/>
    <w:qFormat/>
    <w:locked/>
    <w:uiPriority w:val="0"/>
    <w:rPr>
      <w:rFonts w:ascii="宋体" w:hAnsi="宋体" w:eastAsia="仿宋_GB2312"/>
      <w:spacing w:val="6"/>
      <w:sz w:val="24"/>
    </w:rPr>
  </w:style>
  <w:style w:type="paragraph" w:customStyle="1" w:styleId="57">
    <w:name w:val="正文1"/>
    <w:basedOn w:val="1"/>
    <w:link w:val="56"/>
    <w:qFormat/>
    <w:uiPriority w:val="0"/>
    <w:pPr>
      <w:autoSpaceDE w:val="0"/>
      <w:autoSpaceDN w:val="0"/>
      <w:adjustRightInd w:val="0"/>
      <w:snapToGrid w:val="0"/>
      <w:spacing w:line="600" w:lineRule="exact"/>
      <w:ind w:firstLine="624" w:firstLineChars="200"/>
    </w:pPr>
    <w:rPr>
      <w:rFonts w:ascii="宋体" w:hAnsi="宋体"/>
      <w:spacing w:val="6"/>
      <w:kern w:val="0"/>
      <w:sz w:val="24"/>
      <w:szCs w:val="20"/>
    </w:rPr>
  </w:style>
  <w:style w:type="paragraph" w:customStyle="1" w:styleId="58">
    <w:name w:val="_Style 56"/>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character" w:customStyle="1" w:styleId="59">
    <w:name w:val="font41"/>
    <w:qFormat/>
    <w:uiPriority w:val="0"/>
    <w:rPr>
      <w:rFonts w:hint="eastAsia" w:ascii="宋体" w:hAnsi="宋体" w:eastAsia="宋体" w:cs="宋体"/>
      <w:color w:val="000000"/>
      <w:sz w:val="24"/>
      <w:szCs w:val="24"/>
      <w:u w:val="none"/>
    </w:rPr>
  </w:style>
  <w:style w:type="paragraph" w:customStyle="1" w:styleId="60">
    <w:name w:val="my正文"/>
    <w:basedOn w:val="1"/>
    <w:qFormat/>
    <w:uiPriority w:val="0"/>
    <w:pPr>
      <w:wordWrap w:val="0"/>
      <w:spacing w:line="360" w:lineRule="auto"/>
      <w:ind w:firstLine="480" w:firstLineChars="200"/>
    </w:pPr>
    <w:rPr>
      <w:rFonts w:ascii="仿宋_GB2312"/>
      <w:sz w:val="24"/>
      <w:szCs w:val="30"/>
    </w:rPr>
  </w:style>
  <w:style w:type="character" w:customStyle="1" w:styleId="61">
    <w:name w:val="正文文本首行缩进 2 字符"/>
    <w:basedOn w:val="62"/>
    <w:qFormat/>
    <w:uiPriority w:val="0"/>
    <w:rPr>
      <w:rFonts w:hint="eastAsia" w:ascii="仿宋_GB2312" w:eastAsia="仿宋_GB2312" w:cs="仿宋_GB2312"/>
      <w:kern w:val="2"/>
      <w:sz w:val="30"/>
      <w:szCs w:val="24"/>
    </w:rPr>
  </w:style>
  <w:style w:type="character" w:customStyle="1" w:styleId="62">
    <w:name w:val="正文文本缩进 Char"/>
    <w:basedOn w:val="36"/>
    <w:link w:val="15"/>
    <w:qFormat/>
    <w:uiPriority w:val="0"/>
    <w:rPr>
      <w:rFonts w:hint="eastAsia" w:ascii="仿宋_GB2312" w:eastAsia="仿宋_GB2312" w:cs="仿宋_GB2312"/>
      <w:kern w:val="2"/>
      <w:sz w:val="30"/>
      <w:szCs w:val="24"/>
    </w:rPr>
  </w:style>
  <w:style w:type="paragraph" w:customStyle="1" w:styleId="63">
    <w:name w:val="正文首行缩进 21"/>
    <w:basedOn w:val="15"/>
    <w:semiHidden/>
    <w:qFormat/>
    <w:uiPriority w:val="0"/>
    <w:pPr>
      <w:spacing w:before="100" w:beforeAutospacing="1"/>
      <w:ind w:firstLine="420" w:firstLineChars="200"/>
    </w:pPr>
    <w:rPr>
      <w:szCs w:val="30"/>
    </w:rPr>
  </w:style>
  <w:style w:type="character" w:customStyle="1" w:styleId="64">
    <w:name w:val="font21"/>
    <w:basedOn w:val="36"/>
    <w:qFormat/>
    <w:uiPriority w:val="0"/>
    <w:rPr>
      <w:rFonts w:hint="default" w:ascii="Times New Roman" w:hAnsi="Times New Roman" w:cs="Times New Roman"/>
      <w:color w:val="000000"/>
      <w:sz w:val="21"/>
      <w:szCs w:val="21"/>
      <w:u w:val="none"/>
    </w:rPr>
  </w:style>
  <w:style w:type="character" w:customStyle="1" w:styleId="65">
    <w:name w:val="font31"/>
    <w:basedOn w:val="3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13108</Words>
  <Characters>13624</Characters>
  <Lines>68</Lines>
  <Paragraphs>19</Paragraphs>
  <TotalTime>32</TotalTime>
  <ScaleCrop>false</ScaleCrop>
  <LinksUpToDate>false</LinksUpToDate>
  <CharactersWithSpaces>13625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2022-05-15T01:27:00Z</dcterms:created>
  <dc:creator>lhn</dc:creator>
  <cp:lastModifiedBy>Moon</cp:lastModifiedBy>
  <cp:lastPrinted>2024-05-21T10:01:00Z</cp:lastPrinted>
  <dcterms:modified xsi:type="dcterms:W3CDTF">2025-08-26T09:05:17Z</dcterms:modified>
  <dc:title>财政支出绩效评价报告</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0D77148E502E54338233A56828B399F9</vt:lpwstr>
  </property>
  <property fmtid="{D5CDD505-2E9C-101B-9397-08002B2CF9AE}" pid="4" name="KSOTemplateDocerSaveRecord">
    <vt:lpwstr>eyJoZGlkIjoiMmNiZTQ2NjVmYmJmMGNlZjIwZDI1NTI1ODEwMzlmYzciLCJ1c2VySWQiOiI1ODQ3NzIzNTYifQ==</vt:lpwstr>
  </property>
</Properties>
</file>