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63654">
      <w:pPr>
        <w:pStyle w:val="50"/>
        <w:spacing w:after="0" w:line="560" w:lineRule="exact"/>
        <w:ind w:left="0"/>
        <w:rPr>
          <w:rFonts w:ascii="黑体" w:hAnsi="黑体" w:eastAsia="黑体"/>
          <w:sz w:val="32"/>
          <w:szCs w:val="32"/>
        </w:rPr>
      </w:pPr>
      <w:r>
        <w:rPr>
          <w:rFonts w:hint="eastAsia" w:ascii="黑体" w:hAnsi="黑体" w:eastAsia="黑体" w:cs="黑体"/>
          <w:sz w:val="32"/>
          <w:szCs w:val="32"/>
        </w:rPr>
        <w:t>京环发〔</w:t>
      </w:r>
      <w:r>
        <w:rPr>
          <w:rFonts w:hint="eastAsia" w:ascii="黑体" w:hAnsi="黑体" w:eastAsia="黑体" w:cs="黑体"/>
          <w:sz w:val="32"/>
          <w:szCs w:val="32"/>
          <w:lang w:val="en-US"/>
        </w:rPr>
        <w:t>2024</w:t>
      </w:r>
      <w:r>
        <w:rPr>
          <w:rFonts w:hint="eastAsia" w:ascii="黑体" w:hAnsi="黑体" w:eastAsia="黑体" w:cs="黑体"/>
          <w:sz w:val="32"/>
          <w:szCs w:val="32"/>
        </w:rPr>
        <w:t>〕</w:t>
      </w:r>
      <w:r>
        <w:rPr>
          <w:rFonts w:hint="eastAsia" w:ascii="黑体" w:hAnsi="黑体" w:eastAsia="黑体" w:cs="黑体"/>
          <w:sz w:val="32"/>
          <w:szCs w:val="32"/>
          <w:lang w:val="en-US" w:eastAsia="zh-CN"/>
        </w:rPr>
        <w:t>8</w:t>
      </w:r>
      <w:r>
        <w:rPr>
          <w:rFonts w:hint="eastAsia" w:ascii="黑体" w:hAnsi="黑体" w:eastAsia="黑体" w:cs="黑体"/>
          <w:sz w:val="32"/>
          <w:szCs w:val="32"/>
        </w:rPr>
        <w:t>号</w:t>
      </w:r>
      <w:r>
        <w:rPr>
          <w:rFonts w:hint="eastAsia" w:ascii="黑体" w:hAnsi="黑体" w:eastAsia="黑体"/>
          <w:sz w:val="32"/>
          <w:szCs w:val="32"/>
        </w:rPr>
        <w:t>附件</w:t>
      </w:r>
      <w:r>
        <w:rPr>
          <w:rFonts w:ascii="黑体" w:hAnsi="黑体" w:eastAsia="黑体"/>
          <w:sz w:val="32"/>
          <w:szCs w:val="32"/>
        </w:rPr>
        <w:t>3</w:t>
      </w:r>
    </w:p>
    <w:p w14:paraId="77A82040">
      <w:pPr>
        <w:pStyle w:val="50"/>
        <w:spacing w:after="0" w:line="560" w:lineRule="exact"/>
        <w:ind w:left="0"/>
        <w:rPr>
          <w:rFonts w:ascii="黑体" w:hAnsi="黑体" w:eastAsia="黑体"/>
          <w:sz w:val="32"/>
          <w:szCs w:val="32"/>
        </w:rPr>
      </w:pPr>
    </w:p>
    <w:p w14:paraId="57BDF154">
      <w:pPr>
        <w:pStyle w:val="50"/>
        <w:spacing w:after="0" w:line="560" w:lineRule="exact"/>
        <w:ind w:left="0"/>
        <w:rPr>
          <w:rFonts w:ascii="黑体" w:hAnsi="黑体" w:eastAsia="黑体"/>
          <w:sz w:val="32"/>
          <w:szCs w:val="32"/>
        </w:rPr>
      </w:pPr>
    </w:p>
    <w:p w14:paraId="33EA8758">
      <w:pPr>
        <w:pStyle w:val="50"/>
        <w:spacing w:after="0" w:line="560" w:lineRule="exact"/>
        <w:ind w:left="0"/>
        <w:rPr>
          <w:rFonts w:ascii="黑体" w:hAnsi="黑体" w:eastAsia="黑体"/>
          <w:sz w:val="32"/>
          <w:szCs w:val="32"/>
        </w:rPr>
      </w:pPr>
    </w:p>
    <w:p w14:paraId="19ED4B85">
      <w:pPr>
        <w:pStyle w:val="50"/>
        <w:spacing w:after="0" w:line="560" w:lineRule="exact"/>
        <w:ind w:left="0"/>
        <w:rPr>
          <w:rFonts w:ascii="黑体" w:hAnsi="黑体" w:eastAsia="黑体"/>
          <w:sz w:val="32"/>
          <w:szCs w:val="32"/>
        </w:rPr>
      </w:pPr>
    </w:p>
    <w:p w14:paraId="0DA7FED3">
      <w:pPr>
        <w:pStyle w:val="50"/>
        <w:spacing w:after="0" w:line="560" w:lineRule="exact"/>
        <w:ind w:left="0"/>
        <w:rPr>
          <w:rFonts w:ascii="仿宋_GB2312" w:hAnsi="仿宋" w:eastAsia="仿宋_GB2312"/>
          <w:sz w:val="32"/>
          <w:szCs w:val="32"/>
        </w:rPr>
      </w:pPr>
    </w:p>
    <w:p w14:paraId="07062FDD">
      <w:pPr>
        <w:pStyle w:val="50"/>
        <w:spacing w:after="0" w:line="560" w:lineRule="exact"/>
        <w:ind w:left="0"/>
        <w:rPr>
          <w:rFonts w:ascii="仿宋_GB2312" w:hAnsi="仿宋" w:eastAsia="仿宋_GB2312"/>
          <w:sz w:val="32"/>
          <w:szCs w:val="32"/>
        </w:rPr>
      </w:pPr>
    </w:p>
    <w:p w14:paraId="47468016">
      <w:pPr>
        <w:pStyle w:val="50"/>
        <w:spacing w:after="0" w:line="480" w:lineRule="auto"/>
        <w:ind w:left="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北京市碳排放第三方核查报告</w:t>
      </w:r>
    </w:p>
    <w:p w14:paraId="20F20737">
      <w:pPr>
        <w:pStyle w:val="50"/>
        <w:spacing w:after="0" w:line="480" w:lineRule="auto"/>
        <w:ind w:left="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编写指南</w:t>
      </w:r>
    </w:p>
    <w:p w14:paraId="27084CD6">
      <w:pPr>
        <w:spacing w:after="0" w:line="560" w:lineRule="exact"/>
        <w:ind w:firstLine="902"/>
        <w:jc w:val="center"/>
        <w:rPr>
          <w:rFonts w:ascii="方正小标宋简体" w:hAnsi="仿宋" w:eastAsia="方正小标宋简体"/>
          <w:sz w:val="44"/>
          <w:szCs w:val="44"/>
        </w:rPr>
      </w:pPr>
    </w:p>
    <w:p w14:paraId="41F51CF4">
      <w:pPr>
        <w:spacing w:after="0" w:line="560" w:lineRule="exact"/>
        <w:ind w:firstLine="902"/>
        <w:rPr>
          <w:rFonts w:ascii="方正小标宋简体" w:hAnsi="仿宋" w:eastAsia="方正小标宋简体"/>
          <w:sz w:val="44"/>
          <w:szCs w:val="44"/>
        </w:rPr>
      </w:pPr>
    </w:p>
    <w:p w14:paraId="30E552F8">
      <w:pPr>
        <w:spacing w:after="0" w:line="560" w:lineRule="exact"/>
        <w:ind w:firstLine="902"/>
        <w:rPr>
          <w:rFonts w:ascii="方正小标宋简体" w:hAnsi="仿宋" w:eastAsia="方正小标宋简体"/>
          <w:sz w:val="44"/>
          <w:szCs w:val="44"/>
        </w:rPr>
      </w:pPr>
    </w:p>
    <w:p w14:paraId="488988C7">
      <w:pPr>
        <w:spacing w:after="0" w:line="560" w:lineRule="exact"/>
        <w:ind w:firstLine="902"/>
        <w:rPr>
          <w:rFonts w:ascii="方正小标宋简体" w:hAnsi="仿宋" w:eastAsia="方正小标宋简体"/>
          <w:sz w:val="44"/>
          <w:szCs w:val="44"/>
        </w:rPr>
      </w:pPr>
    </w:p>
    <w:p w14:paraId="16777F7C">
      <w:pPr>
        <w:spacing w:after="0" w:line="560" w:lineRule="exact"/>
        <w:ind w:firstLine="902"/>
        <w:rPr>
          <w:rFonts w:ascii="方正小标宋简体" w:hAnsi="仿宋" w:eastAsia="方正小标宋简体"/>
          <w:sz w:val="44"/>
          <w:szCs w:val="44"/>
        </w:rPr>
      </w:pPr>
    </w:p>
    <w:p w14:paraId="5BBCB716">
      <w:pPr>
        <w:spacing w:after="0" w:line="560" w:lineRule="exact"/>
        <w:ind w:firstLine="902"/>
        <w:rPr>
          <w:rFonts w:ascii="方正小标宋简体" w:hAnsi="仿宋" w:eastAsia="方正小标宋简体"/>
          <w:sz w:val="44"/>
          <w:szCs w:val="44"/>
        </w:rPr>
      </w:pPr>
    </w:p>
    <w:p w14:paraId="488E6FA5">
      <w:pPr>
        <w:spacing w:after="0" w:line="560" w:lineRule="exact"/>
        <w:ind w:firstLine="902"/>
        <w:rPr>
          <w:rFonts w:ascii="方正小标宋简体" w:hAnsi="仿宋" w:eastAsia="方正小标宋简体"/>
          <w:sz w:val="44"/>
          <w:szCs w:val="44"/>
        </w:rPr>
      </w:pPr>
    </w:p>
    <w:p w14:paraId="4569BD7C">
      <w:pPr>
        <w:spacing w:after="0" w:line="560" w:lineRule="exact"/>
        <w:ind w:firstLine="902"/>
        <w:rPr>
          <w:rFonts w:ascii="方正小标宋简体" w:hAnsi="仿宋" w:eastAsia="方正小标宋简体"/>
          <w:sz w:val="44"/>
          <w:szCs w:val="44"/>
        </w:rPr>
      </w:pPr>
    </w:p>
    <w:p w14:paraId="655EDE93">
      <w:pPr>
        <w:spacing w:after="0" w:line="560" w:lineRule="exact"/>
        <w:ind w:firstLine="902"/>
        <w:rPr>
          <w:rFonts w:ascii="方正小标宋简体" w:hAnsi="仿宋" w:eastAsia="方正小标宋简体"/>
          <w:sz w:val="44"/>
          <w:szCs w:val="44"/>
        </w:rPr>
      </w:pPr>
    </w:p>
    <w:p w14:paraId="1957EF5F">
      <w:pPr>
        <w:spacing w:after="0" w:line="560" w:lineRule="exact"/>
        <w:ind w:firstLine="902"/>
        <w:rPr>
          <w:rFonts w:ascii="方正小标宋简体" w:hAnsi="仿宋" w:eastAsia="方正小标宋简体"/>
          <w:sz w:val="44"/>
          <w:szCs w:val="44"/>
        </w:rPr>
      </w:pPr>
    </w:p>
    <w:p w14:paraId="255E87EA">
      <w:pPr>
        <w:spacing w:after="0" w:line="560" w:lineRule="exact"/>
        <w:ind w:firstLine="902"/>
        <w:rPr>
          <w:rFonts w:ascii="方正小标宋简体" w:hAnsi="仿宋" w:eastAsia="方正小标宋简体"/>
          <w:sz w:val="44"/>
          <w:szCs w:val="44"/>
        </w:rPr>
      </w:pPr>
    </w:p>
    <w:p w14:paraId="417A49F5">
      <w:pPr>
        <w:spacing w:after="0" w:line="560" w:lineRule="exact"/>
        <w:ind w:firstLine="902"/>
        <w:rPr>
          <w:rFonts w:ascii="方正小标宋简体" w:hAnsi="仿宋" w:eastAsia="方正小标宋简体"/>
          <w:sz w:val="44"/>
          <w:szCs w:val="44"/>
        </w:rPr>
      </w:pPr>
    </w:p>
    <w:p w14:paraId="0E906057">
      <w:pPr>
        <w:spacing w:after="0" w:line="560" w:lineRule="exact"/>
        <w:ind w:firstLine="902"/>
        <w:rPr>
          <w:rFonts w:ascii="方正小标宋简体" w:hAnsi="仿宋" w:eastAsia="方正小标宋简体"/>
          <w:sz w:val="44"/>
          <w:szCs w:val="44"/>
        </w:rPr>
        <w:sectPr>
          <w:pgSz w:w="11906" w:h="16838"/>
          <w:pgMar w:top="2098" w:right="1474" w:bottom="1984" w:left="1587" w:header="851" w:footer="1587" w:gutter="0"/>
          <w:pgNumType w:fmt="decimal"/>
          <w:cols w:space="0" w:num="1"/>
          <w:docGrid w:type="lines" w:linePitch="312" w:charSpace="0"/>
        </w:sectPr>
      </w:pPr>
    </w:p>
    <w:p w14:paraId="5C2AE11A">
      <w:pPr>
        <w:spacing w:after="0" w:line="560" w:lineRule="exact"/>
        <w:ind w:firstLine="902"/>
        <w:rPr>
          <w:rFonts w:ascii="方正小标宋简体" w:hAnsi="仿宋" w:eastAsia="方正小标宋简体"/>
          <w:sz w:val="44"/>
          <w:szCs w:val="44"/>
        </w:rPr>
      </w:pPr>
    </w:p>
    <w:p w14:paraId="228670D5">
      <w:pPr>
        <w:spacing w:after="0" w:line="560" w:lineRule="exact"/>
        <w:ind w:firstLine="902"/>
        <w:rPr>
          <w:rFonts w:ascii="方正小标宋简体" w:hAnsi="仿宋" w:eastAsia="方正小标宋简体"/>
          <w:sz w:val="44"/>
          <w:szCs w:val="44"/>
        </w:rPr>
      </w:pPr>
    </w:p>
    <w:p w14:paraId="68ECCFAC">
      <w:pPr>
        <w:spacing w:after="0" w:line="560" w:lineRule="exact"/>
        <w:ind w:firstLine="902"/>
        <w:rPr>
          <w:rFonts w:ascii="方正小标宋简体" w:hAnsi="仿宋" w:eastAsia="方正小标宋简体"/>
          <w:sz w:val="44"/>
          <w:szCs w:val="44"/>
        </w:rPr>
      </w:pPr>
    </w:p>
    <w:p w14:paraId="04B13ECD">
      <w:pPr>
        <w:spacing w:after="0" w:line="560" w:lineRule="exact"/>
        <w:ind w:firstLine="3762" w:firstLineChars="855"/>
        <w:rPr>
          <w:rFonts w:ascii="方正小标宋简体" w:hAnsi="仿宋" w:eastAsia="方正小标宋简体"/>
          <w:sz w:val="44"/>
          <w:szCs w:val="44"/>
        </w:rPr>
      </w:pPr>
      <w:r>
        <w:rPr>
          <w:rFonts w:hint="eastAsia" w:ascii="方正小标宋简体" w:hAnsi="仿宋" w:eastAsia="方正小标宋简体"/>
          <w:sz w:val="44"/>
          <w:szCs w:val="44"/>
        </w:rPr>
        <w:t>前</w:t>
      </w:r>
      <w:r>
        <w:rPr>
          <w:rFonts w:hint="eastAsia" w:ascii="方正小标宋简体" w:hAnsi="仿宋" w:eastAsia="方正小标宋简体"/>
          <w:sz w:val="44"/>
          <w:szCs w:val="44"/>
          <w:lang w:val="en-US"/>
        </w:rPr>
        <w:t xml:space="preserve">    </w:t>
      </w:r>
      <w:r>
        <w:rPr>
          <w:rFonts w:hint="eastAsia" w:ascii="方正小标宋简体" w:hAnsi="仿宋" w:eastAsia="方正小标宋简体"/>
          <w:sz w:val="44"/>
          <w:szCs w:val="44"/>
        </w:rPr>
        <w:t>言</w:t>
      </w:r>
    </w:p>
    <w:p w14:paraId="7608D0A7">
      <w:pPr>
        <w:spacing w:after="0" w:line="560" w:lineRule="exact"/>
        <w:ind w:firstLine="3322" w:firstLineChars="755"/>
        <w:rPr>
          <w:rFonts w:ascii="方正小标宋简体" w:hAnsi="仿宋" w:eastAsia="方正小标宋简体"/>
          <w:sz w:val="44"/>
          <w:szCs w:val="44"/>
        </w:rPr>
      </w:pPr>
    </w:p>
    <w:p w14:paraId="40CB9E3D">
      <w:pPr>
        <w:spacing w:after="0" w:line="600" w:lineRule="exact"/>
        <w:ind w:firstLine="640" w:firstLineChars="200"/>
        <w:jc w:val="both"/>
        <w:rPr>
          <w:rFonts w:ascii="仿宋_GB2312" w:eastAsia="仿宋_GB2312"/>
          <w:sz w:val="32"/>
          <w:szCs w:val="32"/>
        </w:rPr>
      </w:pPr>
      <w:r>
        <w:rPr>
          <w:rFonts w:hint="eastAsia" w:ascii="仿宋_GB2312" w:eastAsia="仿宋_GB2312"/>
          <w:sz w:val="32"/>
          <w:szCs w:val="32"/>
        </w:rPr>
        <w:t>“中国二氧化碳排放力争于2030年前达峰，努力争取于2060年前实现碳中和”,是习近平总书记对国际社会的庄严承诺，是党中央、国务院统筹国际国内两个大局作出的重大战略部署，彰显了中国积极应对气候变化、努力构建人类命运共同体、走绿色低碳发展道路的坚定决心。碳市场是推进“双碳”工作的重要市场化机制，碳排放数据是开展交易的基础，数据质量是碳市场的生命线，第三方数据核查是确保数据质量稳定可靠的重要手段。为切实提升本市碳排放权交易相关数据的科学性和规范性，结合实际工作，通过《北京市碳排放单位二氧化碳排放核算和报告要求》对重点碳排放单位年度核算和报告进行了规范，同时也对第三方核查报告编制提出了新的工作要求，各核查机构应结合新的核算要求，进一步提高相关人员专业技术能力，科学核算各排放单位的二氧化碳排放量，丰富和完善核查报告，为本市碳排放权交易工作提供技术支撑。</w:t>
      </w:r>
    </w:p>
    <w:p w14:paraId="4128DB19">
      <w:pPr>
        <w:spacing w:after="0" w:line="240" w:lineRule="auto"/>
        <w:rPr>
          <w:rFonts w:ascii="仿宋_GB2312" w:hAnsi="仿宋" w:eastAsia="仿宋_GB2312"/>
          <w:sz w:val="32"/>
          <w:szCs w:val="32"/>
        </w:rPr>
        <w:sectPr>
          <w:footerReference r:id="rId5" w:type="default"/>
          <w:pgSz w:w="11906" w:h="16838"/>
          <w:pgMar w:top="2098" w:right="1474" w:bottom="1984" w:left="1587" w:header="851" w:footer="1587" w:gutter="0"/>
          <w:pgNumType w:fmt="decimal" w:start="1"/>
          <w:cols w:space="0" w:num="1"/>
          <w:docGrid w:type="lines" w:linePitch="312" w:charSpace="0"/>
        </w:sectPr>
      </w:pPr>
    </w:p>
    <w:p w14:paraId="51EB1CEA">
      <w:pPr>
        <w:spacing w:after="0" w:line="560" w:lineRule="exact"/>
        <w:ind w:firstLine="656" w:firstLineChars="205"/>
        <w:outlineLvl w:val="0"/>
        <w:rPr>
          <w:rFonts w:ascii="黑体" w:hAnsi="黑体" w:eastAsia="黑体"/>
          <w:sz w:val="32"/>
          <w:szCs w:val="32"/>
        </w:rPr>
      </w:pPr>
      <w:bookmarkStart w:id="0" w:name="_Toc353116421"/>
      <w:r>
        <w:rPr>
          <w:rFonts w:hint="eastAsia" w:ascii="黑体" w:hAnsi="黑体" w:eastAsia="黑体"/>
          <w:sz w:val="32"/>
          <w:szCs w:val="32"/>
        </w:rPr>
        <w:t>一、适用范围</w:t>
      </w:r>
      <w:bookmarkEnd w:id="0"/>
    </w:p>
    <w:p w14:paraId="431D0E9D">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本指南用于指导第三方核查机构对北京市碳排放权交易试点机制下二氧化碳重点排放单位（以下简称“重点碳排放单位”）及自愿参与交易的一般二氧化碳报告单位提交的二氧化碳排放报告实施核查后的二氧化碳排放核查报告编制工作。</w:t>
      </w:r>
    </w:p>
    <w:p w14:paraId="5D1164F0">
      <w:pPr>
        <w:spacing w:after="0" w:line="560" w:lineRule="exact"/>
        <w:ind w:firstLine="656" w:firstLineChars="205"/>
        <w:outlineLvl w:val="0"/>
        <w:rPr>
          <w:rFonts w:ascii="黑体" w:hAnsi="黑体" w:eastAsia="黑体"/>
          <w:sz w:val="32"/>
          <w:szCs w:val="32"/>
        </w:rPr>
      </w:pPr>
      <w:bookmarkStart w:id="1" w:name="_Toc353116422"/>
      <w:r>
        <w:rPr>
          <w:rFonts w:hint="eastAsia" w:ascii="黑体" w:hAnsi="黑体" w:eastAsia="黑体"/>
          <w:sz w:val="32"/>
          <w:szCs w:val="32"/>
        </w:rPr>
        <w:t>二、核查报告编制依据</w:t>
      </w:r>
      <w:bookmarkEnd w:id="1"/>
    </w:p>
    <w:p w14:paraId="1A8D4B40">
      <w:pPr>
        <w:widowControl w:val="0"/>
        <w:spacing w:after="0" w:line="560" w:lineRule="exact"/>
        <w:ind w:left="220" w:leftChars="100" w:firstLine="640" w:firstLineChars="200"/>
        <w:jc w:val="both"/>
        <w:rPr>
          <w:rFonts w:ascii="仿宋_GB2312" w:hAnsi="仿宋" w:eastAsia="仿宋_GB2312"/>
          <w:sz w:val="32"/>
          <w:szCs w:val="32"/>
        </w:rPr>
      </w:pPr>
      <w:r>
        <w:rPr>
          <w:rFonts w:hint="eastAsia" w:ascii="仿宋_GB2312" w:hAnsi="仿宋" w:eastAsia="仿宋_GB2312"/>
          <w:sz w:val="32"/>
          <w:szCs w:val="32"/>
        </w:rPr>
        <w:t>二氧化碳排放核查报告的编制依据包括以下文件。</w:t>
      </w:r>
    </w:p>
    <w:p w14:paraId="76A675E9">
      <w:pPr>
        <w:widowControl w:val="0"/>
        <w:spacing w:after="0" w:line="560" w:lineRule="exact"/>
        <w:ind w:left="220" w:leftChars="100" w:firstLine="640" w:firstLineChars="200"/>
        <w:jc w:val="both"/>
        <w:rPr>
          <w:rFonts w:ascii="仿宋_GB2312" w:hAnsi="仿宋" w:eastAsia="仿宋_GB2312"/>
          <w:sz w:val="32"/>
          <w:szCs w:val="32"/>
        </w:rPr>
      </w:pPr>
      <w:bookmarkStart w:id="2" w:name="_Toc353116425"/>
      <w:r>
        <w:rPr>
          <w:rFonts w:ascii="仿宋_GB2312" w:hAnsi="仿宋" w:eastAsia="仿宋_GB2312"/>
          <w:sz w:val="32"/>
          <w:szCs w:val="32"/>
        </w:rPr>
        <w:t>-</w:t>
      </w:r>
      <w:r>
        <w:rPr>
          <w:rFonts w:hint="eastAsia" w:ascii="仿宋_GB2312" w:hAnsi="仿宋" w:eastAsia="仿宋_GB2312"/>
          <w:sz w:val="32"/>
          <w:szCs w:val="32"/>
        </w:rPr>
        <w:t>《二氧化碳排放核算和报告要求</w:t>
      </w:r>
      <w:r>
        <w:rPr>
          <w:rFonts w:ascii="仿宋_GB2312" w:hAnsi="仿宋" w:eastAsia="仿宋_GB2312"/>
          <w:sz w:val="32"/>
          <w:szCs w:val="32"/>
        </w:rPr>
        <w:t>电力生产业（</w:t>
      </w:r>
      <w:r>
        <w:rPr>
          <w:rFonts w:hint="eastAsia" w:ascii="仿宋_GB2312" w:hAnsi="仿宋" w:eastAsia="仿宋_GB2312"/>
          <w:sz w:val="32"/>
          <w:szCs w:val="32"/>
        </w:rPr>
        <w:t>D</w:t>
      </w:r>
      <w:r>
        <w:rPr>
          <w:rFonts w:ascii="仿宋_GB2312" w:hAnsi="仿宋" w:eastAsia="仿宋_GB2312"/>
          <w:sz w:val="32"/>
          <w:szCs w:val="32"/>
        </w:rPr>
        <w:t>B11/T</w:t>
      </w:r>
      <w:r>
        <w:rPr>
          <w:rFonts w:hint="eastAsia" w:ascii="仿宋_GB2312" w:hAnsi="仿宋" w:eastAsia="仿宋_GB2312"/>
          <w:sz w:val="32"/>
          <w:szCs w:val="32"/>
        </w:rPr>
        <w:t>1</w:t>
      </w:r>
      <w:r>
        <w:rPr>
          <w:rFonts w:ascii="仿宋_GB2312" w:hAnsi="仿宋" w:eastAsia="仿宋_GB2312"/>
          <w:sz w:val="32"/>
          <w:szCs w:val="32"/>
        </w:rPr>
        <w:t>781-2020</w:t>
      </w:r>
      <w:r>
        <w:rPr>
          <w:rFonts w:hint="eastAsia" w:ascii="仿宋_GB2312" w:hAnsi="仿宋" w:eastAsia="仿宋_GB2312"/>
          <w:sz w:val="32"/>
          <w:szCs w:val="32"/>
        </w:rPr>
        <w:t>》</w:t>
      </w:r>
      <w:r>
        <w:rPr>
          <w:rFonts w:ascii="仿宋_GB2312" w:hAnsi="仿宋" w:eastAsia="仿宋_GB2312"/>
          <w:sz w:val="32"/>
          <w:szCs w:val="32"/>
        </w:rPr>
        <w:t>；</w:t>
      </w:r>
    </w:p>
    <w:p w14:paraId="0DA3A0C2">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《二氧化碳排放核算和报告要求</w:t>
      </w:r>
      <w:r>
        <w:rPr>
          <w:rFonts w:ascii="仿宋_GB2312" w:hAnsi="仿宋" w:eastAsia="仿宋_GB2312"/>
          <w:sz w:val="32"/>
          <w:szCs w:val="32"/>
        </w:rPr>
        <w:t>水泥制造业（</w:t>
      </w:r>
      <w:r>
        <w:rPr>
          <w:rFonts w:hint="eastAsia" w:ascii="仿宋_GB2312" w:hAnsi="仿宋" w:eastAsia="仿宋_GB2312"/>
          <w:sz w:val="32"/>
          <w:szCs w:val="32"/>
        </w:rPr>
        <w:t>D</w:t>
      </w:r>
      <w:r>
        <w:rPr>
          <w:rFonts w:ascii="仿宋_GB2312" w:hAnsi="仿宋" w:eastAsia="仿宋_GB2312"/>
          <w:sz w:val="32"/>
          <w:szCs w:val="32"/>
        </w:rPr>
        <w:t>B11/T</w:t>
      </w:r>
      <w:r>
        <w:rPr>
          <w:rFonts w:hint="eastAsia" w:ascii="仿宋_GB2312" w:hAnsi="仿宋" w:eastAsia="仿宋_GB2312"/>
          <w:sz w:val="32"/>
          <w:szCs w:val="32"/>
        </w:rPr>
        <w:t>1</w:t>
      </w:r>
      <w:r>
        <w:rPr>
          <w:rFonts w:ascii="仿宋_GB2312" w:hAnsi="仿宋" w:eastAsia="仿宋_GB2312"/>
          <w:sz w:val="32"/>
          <w:szCs w:val="32"/>
        </w:rPr>
        <w:t>782-2020</w:t>
      </w:r>
      <w:r>
        <w:rPr>
          <w:rFonts w:hint="eastAsia" w:ascii="仿宋_GB2312" w:hAnsi="仿宋" w:eastAsia="仿宋_GB2312"/>
          <w:sz w:val="32"/>
          <w:szCs w:val="32"/>
        </w:rPr>
        <w:t>》；</w:t>
      </w:r>
    </w:p>
    <w:p w14:paraId="4D7725DF">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《二氧化碳排放核算和报告要求</w:t>
      </w:r>
      <w:r>
        <w:rPr>
          <w:rFonts w:ascii="仿宋_GB2312" w:hAnsi="仿宋" w:eastAsia="仿宋_GB2312"/>
          <w:sz w:val="32"/>
          <w:szCs w:val="32"/>
        </w:rPr>
        <w:t>石油化工生产业（</w:t>
      </w:r>
      <w:r>
        <w:rPr>
          <w:rFonts w:hint="eastAsia" w:ascii="仿宋_GB2312" w:hAnsi="仿宋" w:eastAsia="仿宋_GB2312"/>
          <w:sz w:val="32"/>
          <w:szCs w:val="32"/>
        </w:rPr>
        <w:t>D</w:t>
      </w:r>
      <w:r>
        <w:rPr>
          <w:rFonts w:ascii="仿宋_GB2312" w:hAnsi="仿宋" w:eastAsia="仿宋_GB2312"/>
          <w:sz w:val="32"/>
          <w:szCs w:val="32"/>
        </w:rPr>
        <w:t>B11/T</w:t>
      </w:r>
      <w:r>
        <w:rPr>
          <w:rFonts w:hint="eastAsia" w:ascii="仿宋_GB2312" w:hAnsi="仿宋" w:eastAsia="仿宋_GB2312"/>
          <w:sz w:val="32"/>
          <w:szCs w:val="32"/>
        </w:rPr>
        <w:t>1</w:t>
      </w:r>
      <w:r>
        <w:rPr>
          <w:rFonts w:ascii="仿宋_GB2312" w:hAnsi="仿宋" w:eastAsia="仿宋_GB2312"/>
          <w:sz w:val="32"/>
          <w:szCs w:val="32"/>
        </w:rPr>
        <w:t>783-2020</w:t>
      </w:r>
      <w:r>
        <w:rPr>
          <w:rFonts w:hint="eastAsia" w:ascii="仿宋_GB2312" w:hAnsi="仿宋" w:eastAsia="仿宋_GB2312"/>
          <w:sz w:val="32"/>
          <w:szCs w:val="32"/>
        </w:rPr>
        <w:t>》；</w:t>
      </w:r>
    </w:p>
    <w:p w14:paraId="6C5E5EAE">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《二氧化碳排放核算和报告要求</w:t>
      </w:r>
      <w:r>
        <w:rPr>
          <w:rFonts w:ascii="仿宋_GB2312" w:hAnsi="仿宋" w:eastAsia="仿宋_GB2312"/>
          <w:sz w:val="32"/>
          <w:szCs w:val="32"/>
        </w:rPr>
        <w:t>热力生产和供应业（</w:t>
      </w:r>
      <w:r>
        <w:rPr>
          <w:rFonts w:hint="eastAsia" w:ascii="仿宋_GB2312" w:hAnsi="仿宋" w:eastAsia="仿宋_GB2312"/>
          <w:sz w:val="32"/>
          <w:szCs w:val="32"/>
        </w:rPr>
        <w:t>D</w:t>
      </w:r>
      <w:r>
        <w:rPr>
          <w:rFonts w:ascii="仿宋_GB2312" w:hAnsi="仿宋" w:eastAsia="仿宋_GB2312"/>
          <w:sz w:val="32"/>
          <w:szCs w:val="32"/>
        </w:rPr>
        <w:t>B11/T</w:t>
      </w:r>
      <w:r>
        <w:rPr>
          <w:rFonts w:hint="eastAsia" w:ascii="仿宋_GB2312" w:hAnsi="仿宋" w:eastAsia="仿宋_GB2312"/>
          <w:sz w:val="32"/>
          <w:szCs w:val="32"/>
        </w:rPr>
        <w:t>1</w:t>
      </w:r>
      <w:r>
        <w:rPr>
          <w:rFonts w:ascii="仿宋_GB2312" w:hAnsi="仿宋" w:eastAsia="仿宋_GB2312"/>
          <w:sz w:val="32"/>
          <w:szCs w:val="32"/>
        </w:rPr>
        <w:t>784-2020</w:t>
      </w:r>
      <w:r>
        <w:rPr>
          <w:rFonts w:hint="eastAsia" w:ascii="仿宋_GB2312" w:hAnsi="仿宋" w:eastAsia="仿宋_GB2312"/>
          <w:sz w:val="32"/>
          <w:szCs w:val="32"/>
        </w:rPr>
        <w:t>》；</w:t>
      </w:r>
    </w:p>
    <w:p w14:paraId="4D3837A3">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《二氧化碳排放核算和报告要求</w:t>
      </w:r>
      <w:r>
        <w:rPr>
          <w:rFonts w:ascii="仿宋_GB2312" w:hAnsi="仿宋" w:eastAsia="仿宋_GB2312"/>
          <w:sz w:val="32"/>
          <w:szCs w:val="32"/>
        </w:rPr>
        <w:t>服务业（</w:t>
      </w:r>
      <w:r>
        <w:rPr>
          <w:rFonts w:hint="eastAsia" w:ascii="仿宋_GB2312" w:hAnsi="仿宋" w:eastAsia="仿宋_GB2312"/>
          <w:sz w:val="32"/>
          <w:szCs w:val="32"/>
        </w:rPr>
        <w:t>D</w:t>
      </w:r>
      <w:r>
        <w:rPr>
          <w:rFonts w:ascii="仿宋_GB2312" w:hAnsi="仿宋" w:eastAsia="仿宋_GB2312"/>
          <w:sz w:val="32"/>
          <w:szCs w:val="32"/>
        </w:rPr>
        <w:t>B11/T</w:t>
      </w:r>
      <w:r>
        <w:rPr>
          <w:rFonts w:hint="eastAsia" w:ascii="仿宋_GB2312" w:hAnsi="仿宋" w:eastAsia="仿宋_GB2312"/>
          <w:sz w:val="32"/>
          <w:szCs w:val="32"/>
        </w:rPr>
        <w:t>1</w:t>
      </w:r>
      <w:r>
        <w:rPr>
          <w:rFonts w:ascii="仿宋_GB2312" w:hAnsi="仿宋" w:eastAsia="仿宋_GB2312"/>
          <w:sz w:val="32"/>
          <w:szCs w:val="32"/>
        </w:rPr>
        <w:t>785-2020</w:t>
      </w:r>
      <w:r>
        <w:rPr>
          <w:rFonts w:hint="eastAsia" w:ascii="仿宋_GB2312" w:hAnsi="仿宋" w:eastAsia="仿宋_GB2312"/>
          <w:sz w:val="32"/>
          <w:szCs w:val="32"/>
        </w:rPr>
        <w:t>》；</w:t>
      </w:r>
    </w:p>
    <w:p w14:paraId="0E871542">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《二氧化碳排放核算和报告要求</w:t>
      </w:r>
      <w:r>
        <w:rPr>
          <w:rFonts w:ascii="仿宋_GB2312" w:hAnsi="仿宋" w:eastAsia="仿宋_GB2312"/>
          <w:sz w:val="32"/>
          <w:szCs w:val="32"/>
        </w:rPr>
        <w:t>道路运输业（</w:t>
      </w:r>
      <w:r>
        <w:rPr>
          <w:rFonts w:hint="eastAsia" w:ascii="仿宋_GB2312" w:hAnsi="仿宋" w:eastAsia="仿宋_GB2312"/>
          <w:sz w:val="32"/>
          <w:szCs w:val="32"/>
        </w:rPr>
        <w:t>D</w:t>
      </w:r>
      <w:r>
        <w:rPr>
          <w:rFonts w:ascii="仿宋_GB2312" w:hAnsi="仿宋" w:eastAsia="仿宋_GB2312"/>
          <w:sz w:val="32"/>
          <w:szCs w:val="32"/>
        </w:rPr>
        <w:t>B11/T</w:t>
      </w:r>
      <w:r>
        <w:rPr>
          <w:rFonts w:hint="eastAsia" w:ascii="仿宋_GB2312" w:hAnsi="仿宋" w:eastAsia="仿宋_GB2312"/>
          <w:sz w:val="32"/>
          <w:szCs w:val="32"/>
        </w:rPr>
        <w:t>1</w:t>
      </w:r>
      <w:r>
        <w:rPr>
          <w:rFonts w:ascii="仿宋_GB2312" w:hAnsi="仿宋" w:eastAsia="仿宋_GB2312"/>
          <w:sz w:val="32"/>
          <w:szCs w:val="32"/>
        </w:rPr>
        <w:t>786-2020</w:t>
      </w:r>
      <w:r>
        <w:rPr>
          <w:rFonts w:hint="eastAsia" w:ascii="仿宋_GB2312" w:hAnsi="仿宋" w:eastAsia="仿宋_GB2312"/>
          <w:sz w:val="32"/>
          <w:szCs w:val="32"/>
        </w:rPr>
        <w:t>》</w:t>
      </w:r>
      <w:r>
        <w:rPr>
          <w:rFonts w:ascii="仿宋_GB2312" w:hAnsi="仿宋" w:eastAsia="仿宋_GB2312"/>
          <w:sz w:val="32"/>
          <w:szCs w:val="32"/>
        </w:rPr>
        <w:t>；</w:t>
      </w:r>
    </w:p>
    <w:p w14:paraId="761F7E00">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 xml:space="preserve">《二氧化碳排放核算和报告要求 </w:t>
      </w:r>
      <w:r>
        <w:rPr>
          <w:rFonts w:ascii="仿宋_GB2312" w:hAnsi="仿宋" w:eastAsia="仿宋_GB2312"/>
          <w:sz w:val="32"/>
          <w:szCs w:val="32"/>
        </w:rPr>
        <w:t>其它行业（</w:t>
      </w:r>
      <w:r>
        <w:rPr>
          <w:rFonts w:hint="eastAsia" w:ascii="仿宋_GB2312" w:hAnsi="仿宋" w:eastAsia="仿宋_GB2312"/>
          <w:sz w:val="32"/>
          <w:szCs w:val="32"/>
        </w:rPr>
        <w:t>D</w:t>
      </w:r>
      <w:r>
        <w:rPr>
          <w:rFonts w:ascii="仿宋_GB2312" w:hAnsi="仿宋" w:eastAsia="仿宋_GB2312"/>
          <w:sz w:val="32"/>
          <w:szCs w:val="32"/>
        </w:rPr>
        <w:t>B11/T</w:t>
      </w:r>
      <w:r>
        <w:rPr>
          <w:rFonts w:hint="eastAsia" w:ascii="仿宋_GB2312" w:hAnsi="仿宋" w:eastAsia="仿宋_GB2312"/>
          <w:sz w:val="32"/>
          <w:szCs w:val="32"/>
        </w:rPr>
        <w:t>1</w:t>
      </w:r>
      <w:r>
        <w:rPr>
          <w:rFonts w:ascii="仿宋_GB2312" w:hAnsi="仿宋" w:eastAsia="仿宋_GB2312"/>
          <w:sz w:val="32"/>
          <w:szCs w:val="32"/>
        </w:rPr>
        <w:t>787-2020</w:t>
      </w:r>
      <w:r>
        <w:rPr>
          <w:rFonts w:hint="eastAsia" w:ascii="仿宋_GB2312" w:hAnsi="仿宋" w:eastAsia="仿宋_GB2312"/>
          <w:sz w:val="32"/>
          <w:szCs w:val="32"/>
        </w:rPr>
        <w:t>》</w:t>
      </w:r>
    </w:p>
    <w:p w14:paraId="2F05BD8C">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《二氧化碳排放核算和报告要求道路运输业民用航空运输业》（DB11/T 2057-2022）</w:t>
      </w:r>
    </w:p>
    <w:p w14:paraId="61CF362F">
      <w:pPr>
        <w:widowControl w:val="0"/>
        <w:spacing w:after="0" w:line="560" w:lineRule="exact"/>
        <w:ind w:left="220" w:leftChars="100" w:firstLine="640" w:firstLineChars="200"/>
        <w:jc w:val="both"/>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《北京市碳排放单位二氧化碳排放核算和报告要求》。</w:t>
      </w:r>
    </w:p>
    <w:bookmarkEnd w:id="2"/>
    <w:p w14:paraId="76439946">
      <w:pPr>
        <w:spacing w:after="0" w:line="560" w:lineRule="exact"/>
        <w:ind w:firstLine="656" w:firstLineChars="205"/>
        <w:outlineLvl w:val="0"/>
        <w:rPr>
          <w:rFonts w:ascii="黑体" w:hAnsi="黑体" w:eastAsia="黑体"/>
          <w:sz w:val="32"/>
          <w:szCs w:val="32"/>
        </w:rPr>
      </w:pPr>
      <w:bookmarkStart w:id="3" w:name="_Toc353116426"/>
      <w:r>
        <w:rPr>
          <w:rFonts w:hint="eastAsia" w:ascii="黑体" w:hAnsi="黑体" w:eastAsia="黑体"/>
          <w:sz w:val="32"/>
          <w:szCs w:val="32"/>
        </w:rPr>
        <w:t>三、核查报告编制原则和方法</w:t>
      </w:r>
      <w:bookmarkEnd w:id="3"/>
    </w:p>
    <w:p w14:paraId="16BEF208">
      <w:pPr>
        <w:spacing w:after="0" w:line="560" w:lineRule="exact"/>
        <w:ind w:firstLine="880" w:firstLineChars="274"/>
        <w:outlineLvl w:val="0"/>
        <w:rPr>
          <w:rFonts w:ascii="楷体_GB2312" w:hAnsi="仿宋" w:eastAsia="楷体_GB2312"/>
          <w:b/>
          <w:sz w:val="32"/>
          <w:szCs w:val="32"/>
        </w:rPr>
      </w:pPr>
      <w:bookmarkStart w:id="4" w:name="_Toc353116427"/>
      <w:r>
        <w:rPr>
          <w:rFonts w:hint="eastAsia" w:ascii="楷体_GB2312" w:hAnsi="仿宋" w:eastAsia="楷体_GB2312"/>
          <w:b/>
          <w:sz w:val="32"/>
          <w:szCs w:val="32"/>
        </w:rPr>
        <w:t>（一）编制原则</w:t>
      </w:r>
      <w:bookmarkEnd w:id="4"/>
    </w:p>
    <w:p w14:paraId="4CAC0CC0">
      <w:pPr>
        <w:pStyle w:val="58"/>
        <w:numPr>
          <w:ilvl w:val="0"/>
          <w:numId w:val="1"/>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报告的编写应当遵循客观独立、公平公正、诚实守信、实事求是的原则。核查机构应独立于重点碳排放单位，避免可能的直接或间接利益冲突，核查员在核查过程中应保持客观，核查结论应以核查过程中获得的客观依据为基础，避免任何偏见，不受其它利益方的影响。</w:t>
      </w:r>
    </w:p>
    <w:p w14:paraId="5187B074">
      <w:pPr>
        <w:pStyle w:val="58"/>
        <w:numPr>
          <w:ilvl w:val="0"/>
          <w:numId w:val="1"/>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核查机构应当采用文档查阅、现场观察和访问、分析计算等方法获取编制核查报告所需的资料和数据。</w:t>
      </w:r>
    </w:p>
    <w:p w14:paraId="76185FB3">
      <w:pPr>
        <w:pStyle w:val="58"/>
        <w:numPr>
          <w:ilvl w:val="0"/>
          <w:numId w:val="1"/>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在核查过程中应当保持一致性。一致性体现在:在整个报告期内的核算和报告的准则保持一致；历史排放报告和年度排放报告的核查方法保持一致；在不同重点碳排放单位存在类似情形时，核查方法保持一致。</w:t>
      </w:r>
    </w:p>
    <w:p w14:paraId="6262ED8F">
      <w:pPr>
        <w:pStyle w:val="58"/>
        <w:numPr>
          <w:ilvl w:val="0"/>
          <w:numId w:val="1"/>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核查机构在核查过程中应当保持透明性。透明性体现在核查报告中的信息应以一种开放的、清晰的、实际的、中立的和相关的方式来表达，并且以文件化的证据为基础，应清晰地标明引用文件。</w:t>
      </w:r>
    </w:p>
    <w:p w14:paraId="57072619">
      <w:pPr>
        <w:pStyle w:val="58"/>
        <w:numPr>
          <w:ilvl w:val="0"/>
          <w:numId w:val="1"/>
        </w:numPr>
        <w:spacing w:line="560" w:lineRule="exact"/>
        <w:ind w:left="110" w:firstLine="770"/>
        <w:rPr>
          <w:rFonts w:ascii="仿宋_GB2312" w:hAnsi="仿宋" w:eastAsia="仿宋_GB2312"/>
          <w:sz w:val="32"/>
          <w:szCs w:val="32"/>
        </w:rPr>
      </w:pPr>
      <w:r>
        <w:rPr>
          <w:rFonts w:hint="eastAsia" w:ascii="仿宋_GB2312" w:hAnsi="仿宋" w:eastAsia="仿宋_GB2312"/>
          <w:sz w:val="32"/>
          <w:szCs w:val="32"/>
        </w:rPr>
        <w:t>核查机构应当保守重点碳排放单位的商业秘密及相关数据和资料。核查员应遵守核查机构与重点碳排放单位签订的核查协议中约定的保密条款，对核查过程中所获取的信息负有保密责任。</w:t>
      </w:r>
    </w:p>
    <w:p w14:paraId="60A45E3E">
      <w:pPr>
        <w:spacing w:after="0" w:line="560" w:lineRule="exact"/>
        <w:ind w:firstLine="880" w:firstLineChars="274"/>
        <w:outlineLvl w:val="0"/>
        <w:rPr>
          <w:rFonts w:ascii="楷体_GB2312" w:hAnsi="仿宋" w:eastAsia="楷体_GB2312"/>
          <w:b/>
          <w:sz w:val="32"/>
          <w:szCs w:val="32"/>
        </w:rPr>
      </w:pPr>
      <w:bookmarkStart w:id="5" w:name="_Toc353116428"/>
      <w:r>
        <w:rPr>
          <w:rFonts w:hint="eastAsia" w:ascii="楷体_GB2312" w:hAnsi="仿宋" w:eastAsia="楷体_GB2312"/>
          <w:b/>
          <w:sz w:val="32"/>
          <w:szCs w:val="32"/>
        </w:rPr>
        <w:t>（二）编制方法</w:t>
      </w:r>
      <w:bookmarkEnd w:id="5"/>
    </w:p>
    <w:p w14:paraId="5FE8DACA">
      <w:pPr>
        <w:spacing w:after="0" w:line="560" w:lineRule="exact"/>
        <w:ind w:firstLine="656" w:firstLineChars="205"/>
        <w:outlineLvl w:val="0"/>
        <w:rPr>
          <w:rFonts w:ascii="仿宋_GB2312" w:hAnsi="仿宋" w:eastAsia="仿宋_GB2312"/>
          <w:sz w:val="32"/>
          <w:szCs w:val="32"/>
        </w:rPr>
      </w:pPr>
      <w:r>
        <w:rPr>
          <w:rFonts w:hint="eastAsia" w:ascii="仿宋_GB2312" w:hAnsi="仿宋" w:eastAsia="仿宋_GB2312"/>
          <w:sz w:val="32"/>
          <w:szCs w:val="32"/>
        </w:rPr>
        <w:t>1.基本原理</w:t>
      </w:r>
    </w:p>
    <w:p w14:paraId="645E7385">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二氧化碳排放核算和核查所依据的基本原理包括：物料平衡原理、排放因子计算方法以及实时监测原理。实时监测办法测量结果的不确定性不能高于采用基于物料平衡或基于排放因子的方法学的计算结果。</w:t>
      </w:r>
    </w:p>
    <w:p w14:paraId="511DD75B">
      <w:pPr>
        <w:spacing w:after="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2.基本方法</w:t>
      </w:r>
    </w:p>
    <w:p w14:paraId="735D7C4E">
      <w:pPr>
        <w:pStyle w:val="58"/>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核查机构应使用标准的核查方法来评估重点碳排放单位提供信息的质量，并编写核查报告。方法包括但不限于：</w:t>
      </w:r>
    </w:p>
    <w:p w14:paraId="22F701CA">
      <w:pPr>
        <w:pStyle w:val="58"/>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1）文件评审，包括：</w:t>
      </w:r>
    </w:p>
    <w:p w14:paraId="178C8B8E">
      <w:pPr>
        <w:pStyle w:val="58"/>
        <w:numPr>
          <w:ilvl w:val="0"/>
          <w:numId w:val="2"/>
        </w:numPr>
        <w:spacing w:line="560" w:lineRule="exact"/>
        <w:ind w:left="0" w:firstLine="480"/>
        <w:rPr>
          <w:rFonts w:ascii="仿宋_GB2312" w:hAnsi="仿宋" w:eastAsia="仿宋_GB2312"/>
          <w:sz w:val="32"/>
          <w:szCs w:val="32"/>
        </w:rPr>
      </w:pPr>
      <w:r>
        <w:rPr>
          <w:rFonts w:hint="eastAsia" w:ascii="仿宋_GB2312" w:hAnsi="仿宋" w:eastAsia="仿宋_GB2312" w:cs="Arial"/>
          <w:sz w:val="32"/>
          <w:szCs w:val="32"/>
        </w:rPr>
        <w:t>评审重点碳排放单位提供的数据和信息的完整性，判断排放是否包括了所有的相关地方标准或适用核算和报告指南所界定的化石燃料燃烧的二氧化碳排放、工业生产过程的二氧化碳排放、废弃物处理等二氧化碳直接排放以及电力消耗隐含的电力生产时的二氧化碳间接排放</w:t>
      </w:r>
      <w:r>
        <w:rPr>
          <w:rFonts w:hint="eastAsia" w:ascii="仿宋_GB2312" w:hAnsi="仿宋" w:eastAsia="仿宋_GB2312"/>
          <w:sz w:val="32"/>
          <w:szCs w:val="32"/>
        </w:rPr>
        <w:t>；</w:t>
      </w:r>
    </w:p>
    <w:p w14:paraId="569068BE">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若发现异常值、异常波动和趋势、数据缺失、与其他相关信息不一致或与预期数值、比率显著不同的数据，应要求重点碳排放单位对此提供解释，同时提供其他的相关证据予以支持。根据提供的解释和其他证据，核查机构应评估这些异常对所报告数据产生的影响。</w:t>
      </w:r>
    </w:p>
    <w:p w14:paraId="395200D0">
      <w:pPr>
        <w:pStyle w:val="58"/>
        <w:spacing w:line="560" w:lineRule="exact"/>
        <w:ind w:firstLine="640" w:firstLineChars="200"/>
        <w:rPr>
          <w:rFonts w:ascii="仿宋_GB2312" w:hAnsi="仿宋" w:eastAsia="仿宋_GB2312" w:cs="Arial"/>
          <w:sz w:val="32"/>
          <w:szCs w:val="32"/>
        </w:rPr>
      </w:pPr>
      <w:r>
        <w:rPr>
          <w:rFonts w:hint="eastAsia" w:ascii="仿宋_GB2312" w:hAnsi="仿宋" w:eastAsia="仿宋_GB2312" w:cs="Arial"/>
          <w:sz w:val="32"/>
          <w:szCs w:val="32"/>
        </w:rPr>
        <w:t>2)现场访问，包括：</w:t>
      </w:r>
    </w:p>
    <w:p w14:paraId="242F6852">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设施的边界以及排放源的完整性，检查设备的名称、设备型号和物理位置，还可根据风险的大小决定是否需要访问重点碳排放单位的其他地点，包括开展数据流管理和其他质量控制活动的其他地点，例如集团总部和不在该现场的其他办公场所；</w:t>
      </w:r>
    </w:p>
    <w:p w14:paraId="63642A23">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访谈相关人员以判断数据收集程序与</w:t>
      </w:r>
      <w:r>
        <w:rPr>
          <w:rFonts w:hint="eastAsia" w:ascii="仿宋_GB2312" w:hAnsi="仿宋" w:eastAsia="仿宋_GB2312"/>
          <w:sz w:val="32"/>
          <w:szCs w:val="32"/>
        </w:rPr>
        <w:t>相关行业指南的要求是否保持一致。并且确保对于同一企业的同一种生产活动，其二氧化碳排放的核算方法应保持不变</w:t>
      </w:r>
      <w:r>
        <w:rPr>
          <w:rFonts w:hint="eastAsia" w:ascii="仿宋_GB2312" w:hAnsi="仿宋" w:eastAsia="仿宋_GB2312" w:cs="Arial"/>
          <w:sz w:val="32"/>
          <w:szCs w:val="32"/>
        </w:rPr>
        <w:t>；</w:t>
      </w:r>
    </w:p>
    <w:p w14:paraId="2D8A6CCE">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检查测量设备</w:t>
      </w:r>
      <w:r>
        <w:rPr>
          <w:rFonts w:hint="eastAsia" w:ascii="仿宋_GB2312" w:hAnsi="仿宋" w:eastAsia="仿宋_GB2312"/>
          <w:sz w:val="32"/>
          <w:szCs w:val="32"/>
        </w:rPr>
        <w:t>，</w:t>
      </w:r>
      <w:r>
        <w:rPr>
          <w:rFonts w:hint="eastAsia" w:ascii="仿宋_GB2312" w:hAnsi="仿宋" w:eastAsia="仿宋_GB2312" w:cs="Arial"/>
          <w:sz w:val="32"/>
          <w:szCs w:val="32"/>
        </w:rPr>
        <w:t>包括检查设备的精度及校准记录及观察测量设备的运行，评审数据的监测频次，判断数据的监测和监测计划的制定与实施是否符合适用的地方标准或核算和报告指南的要求；</w:t>
      </w:r>
    </w:p>
    <w:p w14:paraId="0371E8ED">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评审数据产生、数据记录、数据传递、数据</w:t>
      </w:r>
      <w:r>
        <w:rPr>
          <w:rFonts w:hint="eastAsia" w:ascii="仿宋_GB2312" w:hAnsi="仿宋" w:eastAsia="仿宋_GB2312"/>
          <w:sz w:val="32"/>
          <w:szCs w:val="32"/>
        </w:rPr>
        <w:t>汇总</w:t>
      </w:r>
      <w:r>
        <w:rPr>
          <w:rFonts w:hint="eastAsia" w:ascii="仿宋_GB2312" w:hAnsi="仿宋" w:eastAsia="仿宋_GB2312" w:cs="Arial"/>
          <w:sz w:val="32"/>
          <w:szCs w:val="32"/>
        </w:rPr>
        <w:t>和数据报告的信息流，判断重点碳排放单位是否以透明的方式获得、记录、分析二氧化碳排放相关数据，包括活动水平数据、排放因子数据等；</w:t>
      </w:r>
    </w:p>
    <w:p w14:paraId="2B8FCF75">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sz w:val="32"/>
          <w:szCs w:val="32"/>
        </w:rPr>
        <w:t>交叉</w:t>
      </w:r>
      <w:r>
        <w:rPr>
          <w:rFonts w:hint="eastAsia" w:ascii="仿宋_GB2312" w:hAnsi="仿宋" w:eastAsia="仿宋_GB2312" w:cs="Arial"/>
          <w:sz w:val="32"/>
          <w:szCs w:val="32"/>
        </w:rPr>
        <w:t>核对排放报告</w:t>
      </w:r>
      <w:r>
        <w:rPr>
          <w:rFonts w:hint="eastAsia" w:ascii="仿宋_GB2312" w:hAnsi="仿宋" w:eastAsia="仿宋_GB2312"/>
          <w:sz w:val="32"/>
          <w:szCs w:val="32"/>
        </w:rPr>
        <w:t>提供</w:t>
      </w:r>
      <w:r>
        <w:rPr>
          <w:rFonts w:hint="eastAsia" w:ascii="仿宋_GB2312" w:hAnsi="仿宋" w:eastAsia="仿宋_GB2312" w:cs="Arial"/>
          <w:sz w:val="32"/>
          <w:szCs w:val="32"/>
        </w:rPr>
        <w:t>的信息和其他来源的数据（比如运行日志，库存，采购记录或其他相似数据来源），判断排放量的计算和相关数据的确定是否存在系统性的错误或者人为的故意错误，排放量计算结果是否能够真实地反映报告企业（单位）的实际情况；</w:t>
      </w:r>
    </w:p>
    <w:p w14:paraId="28DEEF54">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评审在确定二氧化碳排放时所</w:t>
      </w:r>
      <w:r>
        <w:rPr>
          <w:rFonts w:hint="eastAsia" w:ascii="仿宋_GB2312" w:hAnsi="仿宋" w:eastAsia="仿宋_GB2312"/>
          <w:sz w:val="32"/>
          <w:szCs w:val="32"/>
        </w:rPr>
        <w:t>做</w:t>
      </w:r>
      <w:r>
        <w:rPr>
          <w:rFonts w:hint="eastAsia" w:ascii="仿宋_GB2312" w:hAnsi="仿宋" w:eastAsia="仿宋_GB2312" w:cs="Arial"/>
          <w:sz w:val="32"/>
          <w:szCs w:val="32"/>
        </w:rPr>
        <w:t>的计算和假设，复原、验算排放的计算，判断计算结果是否正确；</w:t>
      </w:r>
    </w:p>
    <w:p w14:paraId="4F865D72">
      <w:pPr>
        <w:pStyle w:val="58"/>
        <w:numPr>
          <w:ilvl w:val="0"/>
          <w:numId w:val="3"/>
        </w:numPr>
        <w:spacing w:line="560" w:lineRule="exact"/>
        <w:ind w:left="0" w:firstLine="480"/>
        <w:rPr>
          <w:rFonts w:ascii="仿宋_GB2312" w:hAnsi="仿宋" w:eastAsia="仿宋_GB2312" w:cs="Arial"/>
          <w:sz w:val="32"/>
          <w:szCs w:val="32"/>
        </w:rPr>
      </w:pPr>
      <w:r>
        <w:rPr>
          <w:rFonts w:hint="eastAsia" w:ascii="仿宋_GB2312" w:hAnsi="仿宋" w:eastAsia="仿宋_GB2312" w:cs="Arial"/>
          <w:sz w:val="32"/>
          <w:szCs w:val="32"/>
        </w:rPr>
        <w:t>评审企业建立的核算和报告质量管理体系是否符合要求。</w:t>
      </w:r>
    </w:p>
    <w:p w14:paraId="5FD13146">
      <w:pPr>
        <w:spacing w:after="0" w:line="560" w:lineRule="exact"/>
        <w:ind w:firstLine="656" w:firstLineChars="205"/>
        <w:jc w:val="both"/>
        <w:outlineLvl w:val="0"/>
        <w:rPr>
          <w:rFonts w:ascii="黑体" w:hAnsi="黑体" w:eastAsia="黑体"/>
          <w:sz w:val="32"/>
          <w:szCs w:val="32"/>
        </w:rPr>
      </w:pPr>
      <w:bookmarkStart w:id="6" w:name="_Toc353116429"/>
      <w:r>
        <w:rPr>
          <w:rFonts w:hint="eastAsia" w:ascii="黑体" w:hAnsi="黑体" w:eastAsia="黑体"/>
          <w:sz w:val="32"/>
          <w:szCs w:val="32"/>
        </w:rPr>
        <w:t>四、二氧化碳排放核查报告基本</w:t>
      </w:r>
      <w:bookmarkEnd w:id="6"/>
      <w:r>
        <w:rPr>
          <w:rFonts w:hint="eastAsia" w:ascii="黑体" w:hAnsi="黑体" w:eastAsia="黑体"/>
          <w:sz w:val="32"/>
          <w:szCs w:val="32"/>
        </w:rPr>
        <w:t>框架</w:t>
      </w:r>
    </w:p>
    <w:p w14:paraId="2D714C99">
      <w:pPr>
        <w:spacing w:after="0" w:line="560" w:lineRule="exact"/>
        <w:ind w:firstLine="659" w:firstLineChars="205"/>
        <w:jc w:val="both"/>
        <w:outlineLvl w:val="0"/>
        <w:rPr>
          <w:rFonts w:ascii="楷体_GB2312" w:hAnsi="仿宋" w:eastAsia="楷体_GB2312"/>
          <w:b/>
          <w:sz w:val="32"/>
          <w:szCs w:val="32"/>
        </w:rPr>
      </w:pPr>
      <w:bookmarkStart w:id="7" w:name="_Toc314496529"/>
      <w:bookmarkStart w:id="8" w:name="_Toc353116430"/>
      <w:r>
        <w:rPr>
          <w:rFonts w:hint="eastAsia" w:ascii="楷体_GB2312" w:hAnsi="仿宋" w:eastAsia="楷体_GB2312"/>
          <w:b/>
          <w:sz w:val="32"/>
          <w:szCs w:val="32"/>
        </w:rPr>
        <w:t>（一）报告文本</w:t>
      </w:r>
      <w:bookmarkEnd w:id="7"/>
      <w:bookmarkEnd w:id="8"/>
    </w:p>
    <w:p w14:paraId="59398F19">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二氧化碳排放核查报告文本应包括以下内容，并按如下顺序装订成册：</w:t>
      </w:r>
    </w:p>
    <w:p w14:paraId="5E979014">
      <w:pPr>
        <w:widowControl w:val="0"/>
        <w:numPr>
          <w:ilvl w:val="0"/>
          <w:numId w:val="4"/>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1.封面</w:t>
      </w:r>
    </w:p>
    <w:p w14:paraId="3107D691">
      <w:pPr>
        <w:widowControl w:val="0"/>
        <w:numPr>
          <w:ilvl w:val="0"/>
          <w:numId w:val="4"/>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2.扉页</w:t>
      </w:r>
    </w:p>
    <w:p w14:paraId="4A681612">
      <w:pPr>
        <w:widowControl w:val="0"/>
        <w:numPr>
          <w:ilvl w:val="0"/>
          <w:numId w:val="4"/>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3.目录</w:t>
      </w:r>
    </w:p>
    <w:p w14:paraId="01F6E065">
      <w:pPr>
        <w:widowControl w:val="0"/>
        <w:numPr>
          <w:ilvl w:val="0"/>
          <w:numId w:val="4"/>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4.正文</w:t>
      </w:r>
    </w:p>
    <w:p w14:paraId="184F36CA">
      <w:pPr>
        <w:widowControl w:val="0"/>
        <w:numPr>
          <w:ilvl w:val="0"/>
          <w:numId w:val="4"/>
        </w:numPr>
        <w:spacing w:after="0" w:line="560" w:lineRule="exact"/>
        <w:ind w:firstLine="240"/>
        <w:jc w:val="both"/>
        <w:rPr>
          <w:rFonts w:ascii="仿宋_GB2312" w:hAnsi="仿宋" w:eastAsia="仿宋_GB2312"/>
          <w:sz w:val="32"/>
          <w:szCs w:val="32"/>
        </w:rPr>
      </w:pPr>
      <w:r>
        <w:rPr>
          <w:rFonts w:hint="eastAsia" w:ascii="仿宋_GB2312" w:hAnsi="仿宋" w:eastAsia="仿宋_GB2312"/>
          <w:sz w:val="32"/>
          <w:szCs w:val="32"/>
        </w:rPr>
        <w:t>5.参考文件</w:t>
      </w:r>
    </w:p>
    <w:p w14:paraId="78D17136">
      <w:pPr>
        <w:spacing w:after="0" w:line="560" w:lineRule="exact"/>
        <w:ind w:firstLine="659" w:firstLineChars="205"/>
        <w:jc w:val="both"/>
        <w:outlineLvl w:val="0"/>
        <w:rPr>
          <w:rFonts w:ascii="楷体_GB2312" w:hAnsi="仿宋" w:eastAsia="楷体_GB2312"/>
          <w:b/>
          <w:sz w:val="32"/>
          <w:szCs w:val="32"/>
        </w:rPr>
      </w:pPr>
      <w:bookmarkStart w:id="9" w:name="_Toc314496530"/>
      <w:bookmarkStart w:id="10" w:name="_Toc353116431"/>
      <w:r>
        <w:rPr>
          <w:rFonts w:hint="eastAsia" w:ascii="楷体_GB2312" w:hAnsi="仿宋" w:eastAsia="楷体_GB2312"/>
          <w:b/>
          <w:sz w:val="32"/>
          <w:szCs w:val="32"/>
        </w:rPr>
        <w:t>（二）报告正文</w:t>
      </w:r>
      <w:bookmarkEnd w:id="9"/>
      <w:bookmarkEnd w:id="10"/>
    </w:p>
    <w:p w14:paraId="44164244">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报告正文应包括如下内容：</w:t>
      </w:r>
    </w:p>
    <w:p w14:paraId="005B0919">
      <w:pPr>
        <w:widowControl w:val="0"/>
        <w:numPr>
          <w:ilvl w:val="0"/>
          <w:numId w:val="5"/>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1. 概述</w:t>
      </w:r>
    </w:p>
    <w:p w14:paraId="4C4E5C28">
      <w:pPr>
        <w:widowControl w:val="0"/>
        <w:numPr>
          <w:ilvl w:val="0"/>
          <w:numId w:val="5"/>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2. 核查过程和方法</w:t>
      </w:r>
    </w:p>
    <w:p w14:paraId="7EA6949F">
      <w:pPr>
        <w:widowControl w:val="0"/>
        <w:numPr>
          <w:ilvl w:val="0"/>
          <w:numId w:val="5"/>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3. 核查发现</w:t>
      </w:r>
    </w:p>
    <w:p w14:paraId="0C080A0A">
      <w:pPr>
        <w:widowControl w:val="0"/>
        <w:numPr>
          <w:ilvl w:val="0"/>
          <w:numId w:val="5"/>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4. 核查结论</w:t>
      </w:r>
    </w:p>
    <w:p w14:paraId="38F3F201">
      <w:pPr>
        <w:widowControl w:val="0"/>
        <w:numPr>
          <w:ilvl w:val="0"/>
          <w:numId w:val="5"/>
        </w:numPr>
        <w:spacing w:after="0" w:line="560" w:lineRule="exact"/>
        <w:ind w:firstLine="240" w:firstLineChars="75"/>
        <w:jc w:val="both"/>
        <w:rPr>
          <w:rFonts w:ascii="仿宋_GB2312" w:hAnsi="仿宋" w:eastAsia="仿宋_GB2312"/>
          <w:sz w:val="32"/>
          <w:szCs w:val="32"/>
        </w:rPr>
      </w:pPr>
      <w:r>
        <w:rPr>
          <w:rFonts w:hint="eastAsia" w:ascii="仿宋_GB2312" w:hAnsi="仿宋" w:eastAsia="仿宋_GB2312"/>
          <w:sz w:val="32"/>
          <w:szCs w:val="32"/>
        </w:rPr>
        <w:t>5. 附件</w:t>
      </w:r>
    </w:p>
    <w:p w14:paraId="13916CF2">
      <w:pPr>
        <w:spacing w:after="0" w:line="560" w:lineRule="exact"/>
        <w:ind w:firstLine="656" w:firstLineChars="205"/>
        <w:jc w:val="both"/>
        <w:outlineLvl w:val="0"/>
        <w:rPr>
          <w:rFonts w:ascii="黑体" w:hAnsi="黑体" w:eastAsia="黑体"/>
          <w:sz w:val="32"/>
          <w:szCs w:val="32"/>
        </w:rPr>
      </w:pPr>
      <w:bookmarkStart w:id="11" w:name="_Toc353116432"/>
      <w:r>
        <w:rPr>
          <w:rFonts w:hint="eastAsia" w:ascii="黑体" w:hAnsi="黑体" w:eastAsia="黑体"/>
          <w:sz w:val="32"/>
          <w:szCs w:val="32"/>
        </w:rPr>
        <w:t>五、二氧化碳排放核查报告编写基本内容</w:t>
      </w:r>
      <w:bookmarkEnd w:id="11"/>
    </w:p>
    <w:p w14:paraId="7AD893B4">
      <w:pPr>
        <w:spacing w:after="0" w:line="560" w:lineRule="exact"/>
        <w:ind w:firstLine="659" w:firstLineChars="205"/>
        <w:jc w:val="both"/>
        <w:outlineLvl w:val="0"/>
        <w:rPr>
          <w:rFonts w:ascii="楷体_GB2312" w:hAnsi="仿宋" w:eastAsia="楷体_GB2312"/>
          <w:b/>
          <w:sz w:val="32"/>
          <w:szCs w:val="32"/>
        </w:rPr>
      </w:pPr>
      <w:bookmarkStart w:id="12" w:name="_Toc353116433"/>
      <w:r>
        <w:rPr>
          <w:rFonts w:hint="eastAsia" w:ascii="楷体_GB2312" w:hAnsi="仿宋" w:eastAsia="楷体_GB2312"/>
          <w:b/>
          <w:sz w:val="32"/>
          <w:szCs w:val="32"/>
        </w:rPr>
        <w:t>（一）封面</w:t>
      </w:r>
    </w:p>
    <w:p w14:paraId="750C7E3A">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1．重点碳排放单位名称</w:t>
      </w:r>
    </w:p>
    <w:p w14:paraId="68051093">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“重点碳排放单位”是北京市行政区域内年二氧化碳排放量大于5000吨（含）的单位。</w:t>
      </w:r>
    </w:p>
    <w:p w14:paraId="1A44B844">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注1：重点碳排放单位的名称应与市主管部门公布清单中的名称一致。</w:t>
      </w:r>
    </w:p>
    <w:p w14:paraId="7B640CA2">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注2：自愿参与碳排放权交易的一般二氧化碳报告单位的排放报告及其核查要求同重点碳排放单位。</w:t>
      </w:r>
    </w:p>
    <w:p w14:paraId="51C59B26">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2．报告年度</w:t>
      </w:r>
    </w:p>
    <w:p w14:paraId="02E4DFB7">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 xml:space="preserve">3．核查机构名称（公章）     </w:t>
      </w:r>
    </w:p>
    <w:p w14:paraId="4DF95527">
      <w:pPr>
        <w:spacing w:after="0" w:line="560" w:lineRule="exact"/>
        <w:ind w:firstLine="656" w:firstLineChars="205"/>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．报告日期</w:t>
      </w:r>
    </w:p>
    <w:p w14:paraId="5278DF8D">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报告日期应当与扉页中的批准人签署日期一致。</w:t>
      </w:r>
    </w:p>
    <w:p w14:paraId="1DB8C46F">
      <w:pPr>
        <w:spacing w:after="0" w:line="560" w:lineRule="exact"/>
        <w:ind w:firstLine="659" w:firstLineChars="205"/>
        <w:jc w:val="both"/>
        <w:outlineLvl w:val="0"/>
        <w:rPr>
          <w:rFonts w:ascii="楷体_GB2312" w:hAnsi="仿宋" w:eastAsia="楷体_GB2312"/>
          <w:b/>
          <w:sz w:val="32"/>
          <w:szCs w:val="32"/>
        </w:rPr>
      </w:pPr>
      <w:r>
        <w:rPr>
          <w:rFonts w:hint="eastAsia" w:ascii="楷体_GB2312" w:hAnsi="仿宋" w:eastAsia="楷体_GB2312"/>
          <w:b/>
          <w:sz w:val="32"/>
          <w:szCs w:val="32"/>
        </w:rPr>
        <w:t>（二）扉页</w:t>
      </w:r>
      <w:bookmarkEnd w:id="12"/>
    </w:p>
    <w:p w14:paraId="33B7B504">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1.委托方名称、地址、联系人及联系方式；</w:t>
      </w:r>
    </w:p>
    <w:p w14:paraId="1739724A">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“委托方”是与核查机构签署合同的机构，委托方的名称应当与核查合同中的甲方名称相一致。</w:t>
      </w:r>
    </w:p>
    <w:p w14:paraId="21E5F5F5">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2．重点碳排放单位名称、地址、联系人及联系方式；</w:t>
      </w:r>
    </w:p>
    <w:p w14:paraId="3662690E">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3．二氧化碳排放报告初始版本日期及最终版本日期</w:t>
      </w:r>
    </w:p>
    <w:p w14:paraId="578AFF45">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二氧化碳排放报告（初始）为重点碳排放单位提交给核查机构进行核查的排放报告。最终版本是重点碳排放单位根据核查机构提出的不符合整改后的修订版本。</w:t>
      </w:r>
    </w:p>
    <w:p w14:paraId="714136C8">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4．报告期</w:t>
      </w:r>
    </w:p>
    <w:p w14:paraId="3E5310E0">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报告期为“二氧化碳排放报告”覆盖的时期。</w:t>
      </w:r>
    </w:p>
    <w:p w14:paraId="008CA147">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5.核算和报告边界</w:t>
      </w:r>
    </w:p>
    <w:p w14:paraId="09F04EEF">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详细</w:t>
      </w:r>
      <w:r>
        <w:rPr>
          <w:rFonts w:ascii="仿宋_GB2312" w:hAnsi="仿宋" w:eastAsia="仿宋_GB2312"/>
          <w:sz w:val="32"/>
          <w:szCs w:val="32"/>
        </w:rPr>
        <w:t>表述报告期内</w:t>
      </w:r>
      <w:r>
        <w:rPr>
          <w:rFonts w:hint="eastAsia" w:ascii="仿宋_GB2312" w:hAnsi="仿宋" w:eastAsia="仿宋_GB2312"/>
          <w:sz w:val="32"/>
          <w:szCs w:val="32"/>
        </w:rPr>
        <w:t>的</w:t>
      </w:r>
      <w:r>
        <w:rPr>
          <w:rFonts w:ascii="仿宋_GB2312" w:hAnsi="仿宋" w:eastAsia="仿宋_GB2312"/>
          <w:sz w:val="32"/>
          <w:szCs w:val="32"/>
        </w:rPr>
        <w:t>核算边界，以及与</w:t>
      </w:r>
      <w:r>
        <w:rPr>
          <w:rFonts w:hint="eastAsia" w:ascii="仿宋_GB2312" w:hAnsi="仿宋" w:eastAsia="仿宋_GB2312"/>
          <w:sz w:val="32"/>
          <w:szCs w:val="32"/>
        </w:rPr>
        <w:t>历史</w:t>
      </w:r>
      <w:r>
        <w:rPr>
          <w:rFonts w:ascii="仿宋_GB2312" w:hAnsi="仿宋" w:eastAsia="仿宋_GB2312"/>
          <w:sz w:val="32"/>
          <w:szCs w:val="32"/>
        </w:rPr>
        <w:t>基准年和上一年度的</w:t>
      </w:r>
      <w:r>
        <w:rPr>
          <w:rFonts w:hint="eastAsia" w:ascii="仿宋_GB2312" w:hAnsi="仿宋" w:eastAsia="仿宋_GB2312"/>
          <w:sz w:val="32"/>
          <w:szCs w:val="32"/>
        </w:rPr>
        <w:t>核算</w:t>
      </w:r>
      <w:r>
        <w:rPr>
          <w:rFonts w:ascii="仿宋_GB2312" w:hAnsi="仿宋" w:eastAsia="仿宋_GB2312"/>
          <w:sz w:val="32"/>
          <w:szCs w:val="32"/>
        </w:rPr>
        <w:t>边界变化情况。</w:t>
      </w:r>
      <w:r>
        <w:rPr>
          <w:rFonts w:hint="eastAsia" w:ascii="仿宋_GB2312" w:hAnsi="仿宋" w:eastAsia="仿宋_GB2312"/>
          <w:sz w:val="32"/>
          <w:szCs w:val="32"/>
        </w:rPr>
        <w:t>例如：对于物业企业需按照不同服务业态（居民、商业、工业等），对建筑面积、实际物业管理面积、实际运营面积、建筑入住率等</w:t>
      </w:r>
      <w:r>
        <w:rPr>
          <w:rFonts w:ascii="仿宋_GB2312" w:hAnsi="仿宋" w:eastAsia="仿宋_GB2312"/>
          <w:sz w:val="32"/>
          <w:szCs w:val="32"/>
        </w:rPr>
        <w:t>详细情况进行核实。</w:t>
      </w:r>
    </w:p>
    <w:p w14:paraId="221B9E1B">
      <w:pPr>
        <w:spacing w:after="0" w:line="560" w:lineRule="exact"/>
        <w:ind w:firstLine="656" w:firstLineChars="205"/>
        <w:jc w:val="both"/>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.二氧化碳排放量</w:t>
      </w:r>
    </w:p>
    <w:p w14:paraId="77DF98D7">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包括报告期内排放单位的二氧化碳排放量、退出</w:t>
      </w:r>
      <w:r>
        <w:rPr>
          <w:rFonts w:ascii="仿宋_GB2312" w:hAnsi="仿宋" w:eastAsia="仿宋_GB2312"/>
          <w:sz w:val="32"/>
          <w:szCs w:val="32"/>
        </w:rPr>
        <w:t>的</w:t>
      </w:r>
      <w:r>
        <w:rPr>
          <w:rFonts w:hint="eastAsia" w:ascii="仿宋_GB2312" w:hAnsi="仿宋" w:eastAsia="仿宋_GB2312"/>
          <w:sz w:val="32"/>
          <w:szCs w:val="32"/>
        </w:rPr>
        <w:t>既有设施在历史基准年的排放量及</w:t>
      </w:r>
      <w:r>
        <w:rPr>
          <w:rFonts w:ascii="仿宋_GB2312" w:hAnsi="仿宋" w:eastAsia="仿宋_GB2312"/>
          <w:sz w:val="32"/>
          <w:szCs w:val="32"/>
        </w:rPr>
        <w:t>排放强度</w:t>
      </w:r>
      <w:r>
        <w:rPr>
          <w:rFonts w:hint="eastAsia" w:ascii="仿宋_GB2312" w:hAnsi="仿宋" w:eastAsia="仿宋_GB2312"/>
          <w:sz w:val="32"/>
          <w:szCs w:val="32"/>
        </w:rPr>
        <w:t>、新增设施的排放量及排放强度和替代既有设施的新增设施排放量。</w:t>
      </w:r>
    </w:p>
    <w:p w14:paraId="42A9A65C">
      <w:pPr>
        <w:spacing w:after="0" w:line="560" w:lineRule="exact"/>
        <w:ind w:firstLine="656" w:firstLineChars="205"/>
        <w:jc w:val="both"/>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.重点碳排放单位所属行业领域</w:t>
      </w:r>
    </w:p>
    <w:p w14:paraId="3E42CD7D">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在此处按如下代码填写，例如“01／02／03／04／05／06／07/</w:t>
      </w:r>
      <w:r>
        <w:rPr>
          <w:rFonts w:ascii="仿宋_GB2312" w:hAnsi="仿宋" w:eastAsia="仿宋_GB2312"/>
          <w:sz w:val="32"/>
          <w:szCs w:val="32"/>
        </w:rPr>
        <w:t>08</w:t>
      </w:r>
      <w:r>
        <w:rPr>
          <w:rFonts w:hint="eastAsia" w:ascii="仿宋_GB2312" w:hAnsi="仿宋" w:eastAsia="仿宋_GB2312"/>
          <w:sz w:val="32"/>
          <w:szCs w:val="32"/>
        </w:rPr>
        <w:t>”。（01为“热力生产和供应”；02为“火力发电”；03为“水泥制造”；04为“石化生产”；05为“其他行业”；06为“其他服务业”；07为“交通运输业”； 0</w:t>
      </w:r>
      <w:r>
        <w:rPr>
          <w:rFonts w:ascii="仿宋_GB2312" w:hAnsi="仿宋" w:eastAsia="仿宋_GB2312"/>
          <w:sz w:val="32"/>
          <w:szCs w:val="32"/>
        </w:rPr>
        <w:t>8</w:t>
      </w:r>
      <w:r>
        <w:rPr>
          <w:rFonts w:hint="eastAsia" w:ascii="仿宋_GB2312" w:hAnsi="仿宋" w:eastAsia="仿宋_GB2312"/>
          <w:sz w:val="32"/>
          <w:szCs w:val="32"/>
        </w:rPr>
        <w:t>为“民用航空运输业”）</w:t>
      </w:r>
    </w:p>
    <w:p w14:paraId="7B536769">
      <w:pPr>
        <w:spacing w:after="0" w:line="560" w:lineRule="exact"/>
        <w:ind w:firstLine="656" w:firstLineChars="205"/>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．标准及方法学</w:t>
      </w:r>
    </w:p>
    <w:p w14:paraId="0EBD3186">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在此栏填写适用的地方标准或要求。</w:t>
      </w:r>
    </w:p>
    <w:p w14:paraId="02D8F4DF">
      <w:pPr>
        <w:spacing w:after="0" w:line="560" w:lineRule="exact"/>
        <w:ind w:firstLine="656" w:firstLineChars="205"/>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．核查结论</w:t>
      </w:r>
    </w:p>
    <w:p w14:paraId="195BD442">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此栏的核查结论应与报告正文中的核查结论一致（详见附件2</w:t>
      </w:r>
      <w:r>
        <w:rPr>
          <w:rFonts w:ascii="仿宋_GB2312" w:hAnsi="仿宋" w:eastAsia="仿宋_GB2312"/>
          <w:sz w:val="32"/>
          <w:szCs w:val="32"/>
        </w:rPr>
        <w:t>的核查结论模板</w:t>
      </w:r>
      <w:r>
        <w:rPr>
          <w:rFonts w:hint="eastAsia" w:ascii="仿宋_GB2312" w:hAnsi="仿宋" w:eastAsia="仿宋_GB2312"/>
          <w:sz w:val="32"/>
          <w:szCs w:val="32"/>
        </w:rPr>
        <w:t>）。</w:t>
      </w:r>
    </w:p>
    <w:p w14:paraId="06C296C3">
      <w:pPr>
        <w:spacing w:after="0" w:line="560" w:lineRule="exact"/>
        <w:ind w:firstLine="656" w:firstLineChars="205"/>
        <w:rPr>
          <w:rFonts w:ascii="仿宋_GB2312" w:hAnsi="仿宋" w:eastAsia="仿宋_GB2312"/>
          <w:sz w:val="32"/>
          <w:szCs w:val="32"/>
        </w:rPr>
      </w:pPr>
      <w:r>
        <w:rPr>
          <w:rFonts w:ascii="仿宋_GB2312" w:hAnsi="仿宋" w:eastAsia="仿宋_GB2312"/>
          <w:sz w:val="32"/>
          <w:szCs w:val="32"/>
        </w:rPr>
        <w:t>10</w:t>
      </w:r>
      <w:r>
        <w:rPr>
          <w:rFonts w:hint="eastAsia" w:ascii="仿宋_GB2312" w:hAnsi="仿宋" w:eastAsia="仿宋_GB2312"/>
          <w:sz w:val="32"/>
          <w:szCs w:val="32"/>
        </w:rPr>
        <w:t>．核查组组长</w:t>
      </w:r>
    </w:p>
    <w:p w14:paraId="61BD3FA1">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1</w:t>
      </w:r>
      <w:r>
        <w:rPr>
          <w:rFonts w:hint="eastAsia" w:ascii="仿宋_GB2312" w:hAnsi="仿宋" w:eastAsia="仿宋_GB2312"/>
          <w:sz w:val="32"/>
          <w:szCs w:val="32"/>
        </w:rPr>
        <w:t>．核查组成员</w:t>
      </w:r>
    </w:p>
    <w:p w14:paraId="03945EF6">
      <w:pPr>
        <w:spacing w:after="0" w:line="560" w:lineRule="exact"/>
        <w:ind w:firstLine="656" w:firstLineChars="205"/>
        <w:jc w:val="both"/>
        <w:rPr>
          <w:rFonts w:ascii="仿宋_GB2312" w:hAnsi="仿宋" w:eastAsia="仿宋_GB2312"/>
          <w:sz w:val="32"/>
          <w:szCs w:val="32"/>
        </w:rPr>
      </w:pPr>
      <w:r>
        <w:rPr>
          <w:rFonts w:ascii="仿宋_GB2312" w:hAnsi="仿宋" w:eastAsia="仿宋_GB2312"/>
          <w:sz w:val="32"/>
          <w:szCs w:val="32"/>
        </w:rPr>
        <w:t>核查机构应确保核查组（核查组长、核查组成员）具备</w:t>
      </w:r>
      <w:r>
        <w:rPr>
          <w:rFonts w:hint="eastAsia" w:ascii="仿宋_GB2312" w:hAnsi="仿宋" w:eastAsia="仿宋_GB2312"/>
          <w:sz w:val="32"/>
          <w:szCs w:val="32"/>
        </w:rPr>
        <w:t>相应核查</w:t>
      </w:r>
      <w:r>
        <w:rPr>
          <w:rFonts w:ascii="仿宋_GB2312" w:hAnsi="仿宋" w:eastAsia="仿宋_GB2312"/>
          <w:sz w:val="32"/>
          <w:szCs w:val="32"/>
        </w:rPr>
        <w:t>行业领域的专业知识。</w:t>
      </w:r>
    </w:p>
    <w:p w14:paraId="33A4B083">
      <w:pPr>
        <w:spacing w:after="0" w:line="560" w:lineRule="exact"/>
        <w:ind w:firstLine="656" w:firstLineChars="205"/>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2</w:t>
      </w:r>
      <w:r>
        <w:rPr>
          <w:rFonts w:hint="eastAsia" w:ascii="仿宋_GB2312" w:hAnsi="仿宋" w:eastAsia="仿宋_GB2312"/>
          <w:sz w:val="32"/>
          <w:szCs w:val="32"/>
        </w:rPr>
        <w:t>．技术复核人</w:t>
      </w:r>
    </w:p>
    <w:p w14:paraId="267114E3">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技术复核人由核查机构内部独立于核查组的核查员实施。核查机构应确保技术复核人具备相应核查行业领域的专业知识。</w:t>
      </w:r>
    </w:p>
    <w:p w14:paraId="260F53E6">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3</w:t>
      </w:r>
      <w:r>
        <w:rPr>
          <w:rFonts w:hint="eastAsia" w:ascii="仿宋_GB2312" w:hAnsi="仿宋" w:eastAsia="仿宋_GB2312"/>
          <w:sz w:val="32"/>
          <w:szCs w:val="32"/>
        </w:rPr>
        <w:t>．批准人</w:t>
      </w:r>
    </w:p>
    <w:p w14:paraId="10A7B810">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核查报告应当由核查机构的最高管理者或指定的核查工作负责人签署批准。</w:t>
      </w:r>
    </w:p>
    <w:p w14:paraId="3D51A63F">
      <w:pPr>
        <w:spacing w:after="0" w:line="560" w:lineRule="exact"/>
        <w:ind w:firstLine="659" w:firstLineChars="205"/>
        <w:jc w:val="both"/>
        <w:outlineLvl w:val="0"/>
        <w:rPr>
          <w:rFonts w:ascii="楷体_GB2312" w:hAnsi="仿宋" w:eastAsia="楷体_GB2312"/>
          <w:b/>
          <w:sz w:val="32"/>
          <w:szCs w:val="32"/>
        </w:rPr>
      </w:pPr>
      <w:r>
        <w:rPr>
          <w:rFonts w:hint="eastAsia" w:ascii="楷体_GB2312" w:hAnsi="仿宋" w:eastAsia="楷体_GB2312"/>
          <w:b/>
          <w:sz w:val="32"/>
          <w:szCs w:val="32"/>
        </w:rPr>
        <w:t>（三）目录</w:t>
      </w:r>
    </w:p>
    <w:p w14:paraId="49A02A66">
      <w:pPr>
        <w:spacing w:after="0" w:line="560" w:lineRule="exact"/>
        <w:ind w:firstLine="656" w:firstLineChars="205"/>
        <w:jc w:val="both"/>
        <w:rPr>
          <w:rFonts w:ascii="仿宋_GB2312" w:hAnsi="仿宋" w:eastAsia="仿宋_GB2312"/>
          <w:sz w:val="32"/>
          <w:szCs w:val="32"/>
        </w:rPr>
      </w:pPr>
      <w:r>
        <w:rPr>
          <w:rFonts w:hint="eastAsia" w:ascii="仿宋_GB2312" w:hAnsi="仿宋" w:eastAsia="仿宋_GB2312"/>
          <w:sz w:val="32"/>
          <w:szCs w:val="32"/>
        </w:rPr>
        <w:t>核查报告应将主要标题列为目录，以便阅读。</w:t>
      </w:r>
    </w:p>
    <w:p w14:paraId="0071AB16">
      <w:pPr>
        <w:spacing w:after="0" w:line="560" w:lineRule="exact"/>
        <w:ind w:firstLine="659" w:firstLineChars="205"/>
        <w:jc w:val="both"/>
        <w:outlineLvl w:val="0"/>
        <w:rPr>
          <w:rFonts w:ascii="楷体_GB2312" w:hAnsi="仿宋" w:eastAsia="楷体_GB2312"/>
          <w:b/>
          <w:sz w:val="32"/>
          <w:szCs w:val="32"/>
        </w:rPr>
      </w:pPr>
      <w:bookmarkStart w:id="13" w:name="_Toc353116434"/>
      <w:r>
        <w:rPr>
          <w:rFonts w:hint="eastAsia" w:ascii="楷体_GB2312" w:hAnsi="仿宋" w:eastAsia="楷体_GB2312"/>
          <w:b/>
          <w:sz w:val="32"/>
          <w:szCs w:val="32"/>
        </w:rPr>
        <w:t>（四）</w:t>
      </w:r>
      <w:bookmarkEnd w:id="13"/>
      <w:bookmarkStart w:id="14" w:name="_Toc353116435"/>
      <w:r>
        <w:rPr>
          <w:rFonts w:hint="eastAsia" w:ascii="楷体_GB2312" w:hAnsi="仿宋" w:eastAsia="楷体_GB2312"/>
          <w:b/>
          <w:sz w:val="32"/>
          <w:szCs w:val="32"/>
        </w:rPr>
        <w:t>报告正文</w:t>
      </w:r>
      <w:bookmarkEnd w:id="14"/>
    </w:p>
    <w:p w14:paraId="6C6DC8AC">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1. 概述</w:t>
      </w:r>
    </w:p>
    <w:p w14:paraId="4B0B0F28">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1.1 核查目的</w:t>
      </w:r>
    </w:p>
    <w:p w14:paraId="0B7F429F">
      <w:pPr>
        <w:pStyle w:val="58"/>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核查机构应在核查报告中清晰地说明核查目的，内容包括落实国家</w:t>
      </w:r>
      <w:r>
        <w:rPr>
          <w:rFonts w:hint="eastAsia" w:ascii="仿宋_GB2312" w:hAnsi="仿宋_GB2312" w:eastAsia="仿宋_GB2312" w:cs="仿宋_GB2312"/>
          <w:sz w:val="32"/>
          <w:szCs w:val="32"/>
          <w:lang w:eastAsia="zh-CN"/>
        </w:rPr>
        <w:t>《碳排放权交易管理暂行条例》和本市</w:t>
      </w:r>
      <w:r>
        <w:rPr>
          <w:rFonts w:hint="eastAsia" w:ascii="仿宋_GB2312" w:eastAsia="仿宋_GB2312"/>
          <w:sz w:val="32"/>
          <w:szCs w:val="32"/>
        </w:rPr>
        <w:t>《关于北京市在严格控制碳排放总量前提下开展碳排放权交易试点工作的决定》</w:t>
      </w:r>
      <w:r>
        <w:rPr>
          <w:rFonts w:hint="eastAsia" w:ascii="仿宋_GB2312" w:eastAsia="仿宋_GB2312"/>
          <w:sz w:val="32"/>
          <w:szCs w:val="32"/>
          <w:lang w:eastAsia="zh-CN"/>
        </w:rPr>
        <w:t>《北京市碳排放权交易管理办法》</w:t>
      </w:r>
      <w:r>
        <w:rPr>
          <w:rFonts w:hint="eastAsia" w:ascii="仿宋_GB2312" w:hAnsi="Times New Roman" w:eastAsia="仿宋_GB2312" w:cs="Times New Roman"/>
          <w:sz w:val="32"/>
          <w:szCs w:val="32"/>
          <w:lang w:val="en-US" w:eastAsia="zh-CN"/>
        </w:rPr>
        <w:t>（京政发〔2024〕6号）</w:t>
      </w:r>
      <w:r>
        <w:rPr>
          <w:rFonts w:hint="eastAsia" w:ascii="仿宋_GB2312" w:hAnsi="仿宋" w:eastAsia="仿宋_GB2312"/>
          <w:sz w:val="32"/>
          <w:szCs w:val="32"/>
        </w:rPr>
        <w:t>的总体安排、为有效实施碳配额发放和交易提供可靠的数据质量保证服务等内容。核查具体目的表述可包含如下内容：</w:t>
      </w:r>
    </w:p>
    <w:p w14:paraId="17F5AA7F">
      <w:pPr>
        <w:pStyle w:val="58"/>
        <w:numPr>
          <w:ilvl w:val="0"/>
          <w:numId w:val="6"/>
        </w:numPr>
        <w:spacing w:line="560" w:lineRule="exact"/>
        <w:rPr>
          <w:rFonts w:ascii="仿宋_GB2312" w:hAnsi="仿宋" w:eastAsia="仿宋_GB2312" w:cs="Arial"/>
          <w:sz w:val="32"/>
          <w:szCs w:val="32"/>
        </w:rPr>
      </w:pPr>
      <w:r>
        <w:rPr>
          <w:rFonts w:hint="eastAsia" w:ascii="仿宋_GB2312" w:hAnsi="仿宋" w:eastAsia="仿宋_GB2312"/>
          <w:sz w:val="32"/>
          <w:szCs w:val="32"/>
        </w:rPr>
        <w:t>核查重点碳排放单位的二氧化碳核算和报告的职责、权限是否已经落实；</w:t>
      </w:r>
    </w:p>
    <w:p w14:paraId="7607E8C0">
      <w:pPr>
        <w:pStyle w:val="58"/>
        <w:numPr>
          <w:ilvl w:val="0"/>
          <w:numId w:val="6"/>
        </w:numPr>
        <w:spacing w:line="560" w:lineRule="exact"/>
        <w:rPr>
          <w:rFonts w:ascii="仿宋_GB2312" w:hAnsi="仿宋" w:eastAsia="仿宋_GB2312" w:cs="Arial"/>
          <w:sz w:val="32"/>
          <w:szCs w:val="32"/>
        </w:rPr>
      </w:pPr>
      <w:r>
        <w:rPr>
          <w:rFonts w:hint="eastAsia" w:ascii="仿宋_GB2312" w:hAnsi="仿宋" w:eastAsia="仿宋_GB2312"/>
          <w:sz w:val="32"/>
          <w:szCs w:val="32"/>
        </w:rPr>
        <w:t>核查重点碳排放单位提供的二氧化碳排放报告及其他支持文件是否是完整可靠的，并且符合适用的地方标准或核算和报告指南的要求；</w:t>
      </w:r>
    </w:p>
    <w:p w14:paraId="324331AB">
      <w:pPr>
        <w:pStyle w:val="58"/>
        <w:numPr>
          <w:ilvl w:val="0"/>
          <w:numId w:val="6"/>
        </w:numPr>
        <w:spacing w:line="560" w:lineRule="exact"/>
        <w:rPr>
          <w:rFonts w:ascii="仿宋_GB2312" w:hAnsi="仿宋" w:eastAsia="仿宋_GB2312" w:cs="Arial"/>
          <w:sz w:val="32"/>
          <w:szCs w:val="32"/>
        </w:rPr>
      </w:pPr>
      <w:r>
        <w:rPr>
          <w:rFonts w:hint="eastAsia" w:ascii="仿宋_GB2312" w:hAnsi="仿宋" w:eastAsia="仿宋_GB2312"/>
          <w:sz w:val="32"/>
          <w:szCs w:val="32"/>
        </w:rPr>
        <w:t>核查测量设备是否已经到位，测量是否符合适用的地方标准或核算和报告指南及相关标准的要求；</w:t>
      </w:r>
    </w:p>
    <w:p w14:paraId="1E4D9C11">
      <w:pPr>
        <w:pStyle w:val="58"/>
        <w:numPr>
          <w:ilvl w:val="0"/>
          <w:numId w:val="6"/>
        </w:numPr>
        <w:spacing w:line="560" w:lineRule="exact"/>
        <w:rPr>
          <w:rFonts w:ascii="仿宋_GB2312" w:hAnsi="仿宋" w:eastAsia="仿宋_GB2312" w:cs="Arial"/>
          <w:sz w:val="32"/>
          <w:szCs w:val="32"/>
        </w:rPr>
      </w:pPr>
      <w:r>
        <w:rPr>
          <w:rFonts w:hint="eastAsia" w:ascii="仿宋_GB2312" w:hAnsi="仿宋" w:eastAsia="仿宋_GB2312"/>
          <w:sz w:val="32"/>
          <w:szCs w:val="32"/>
        </w:rPr>
        <w:t>根据地方标准或核算和报告指南的要求，对记录和存储的数据进行评审，判断数据及计算结果是否真实、可靠、正确。</w:t>
      </w:r>
    </w:p>
    <w:p w14:paraId="59CA69C2">
      <w:pPr>
        <w:spacing w:after="0" w:line="560" w:lineRule="exact"/>
        <w:ind w:firstLine="640" w:firstLineChars="200"/>
        <w:jc w:val="both"/>
        <w:outlineLvl w:val="0"/>
        <w:rPr>
          <w:rFonts w:ascii="仿宋_GB2312" w:hAnsi="仿宋" w:eastAsia="仿宋_GB2312"/>
          <w:sz w:val="32"/>
          <w:szCs w:val="32"/>
        </w:rPr>
      </w:pPr>
      <w:r>
        <w:rPr>
          <w:rFonts w:hint="eastAsia" w:ascii="仿宋_GB2312" w:hAnsi="仿宋" w:eastAsia="仿宋_GB2312"/>
          <w:sz w:val="32"/>
          <w:szCs w:val="32"/>
        </w:rPr>
        <w:t>1.2 核查范围</w:t>
      </w:r>
    </w:p>
    <w:p w14:paraId="6A1A208B">
      <w:pPr>
        <w:spacing w:after="0" w:line="560" w:lineRule="exact"/>
        <w:ind w:firstLine="564"/>
        <w:jc w:val="both"/>
        <w:rPr>
          <w:rFonts w:ascii="仿宋_GB2312" w:hAnsi="仿宋" w:eastAsia="仿宋_GB2312"/>
          <w:sz w:val="32"/>
          <w:szCs w:val="32"/>
        </w:rPr>
      </w:pPr>
      <w:r>
        <w:rPr>
          <w:rFonts w:hint="eastAsia" w:ascii="仿宋_GB2312" w:hAnsi="仿宋" w:eastAsia="仿宋_GB2312"/>
          <w:sz w:val="32"/>
          <w:szCs w:val="32"/>
        </w:rPr>
        <w:t>核查机构应在核查报告中清晰地说明核查范围。北京市二氧化碳排放报告制度遵循“谁排放谁报告”的原则，因此核查范围应包括列入北京市碳排放权交易工作的重点碳排放单位和自愿参与交易的一般二氧化碳报告单位的所有在北京市辖区内的固定设施和以北京为注册地的城市电汽车客运、城市轨道交通、道路货物运输、民用航空运输企业移动设施导致的二氧化碳直接排放和二氧化碳间接排放。</w:t>
      </w:r>
    </w:p>
    <w:p w14:paraId="00370AC1">
      <w:pPr>
        <w:spacing w:after="0" w:line="56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对于存在京内移动源和京外化石燃料消费的重点碳排放单位，京内移动源和京外化石燃料消费也应当纳入核查范围。</w:t>
      </w:r>
      <w:bookmarkStart w:id="15" w:name="OLE_LINK8"/>
      <w:bookmarkStart w:id="16" w:name="OLE_LINK7"/>
      <w:r>
        <w:rPr>
          <w:rFonts w:hint="eastAsia" w:ascii="仿宋_GB2312" w:hAnsi="仿宋" w:eastAsia="仿宋_GB2312"/>
          <w:sz w:val="32"/>
          <w:szCs w:val="32"/>
        </w:rPr>
        <w:t>其中，航空器排放核算应遵循注册地原则。</w:t>
      </w:r>
      <w:bookmarkEnd w:id="15"/>
      <w:bookmarkEnd w:id="16"/>
    </w:p>
    <w:p w14:paraId="554ABAFA">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1.3 核查准则</w:t>
      </w:r>
    </w:p>
    <w:p w14:paraId="1D329DC5">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核查机构应在核查报告中清晰地说明核查准则。核查机构应在核查报告中列出适用的地方标准或相应的核算和报告指南，以及活动水平数据、排放因子和计量设备所适用的北京市地方或国家法规及标准。</w:t>
      </w:r>
    </w:p>
    <w:p w14:paraId="1CE1CC7B">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 核查过程和方法</w:t>
      </w:r>
    </w:p>
    <w:p w14:paraId="2265F745">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2.1 核查组安排</w:t>
      </w:r>
    </w:p>
    <w:p w14:paraId="4DBD791F">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核查机构应统一采用列表的方式说明核查组成员，表格格式统一如下：</w:t>
      </w:r>
    </w:p>
    <w:p w14:paraId="7B6C28C8">
      <w:pPr>
        <w:spacing w:after="0" w:line="560" w:lineRule="exact"/>
        <w:jc w:val="center"/>
        <w:rPr>
          <w:rFonts w:ascii="仿宋_GB2312" w:hAnsi="仿宋" w:eastAsia="仿宋_GB2312"/>
          <w:b/>
          <w:sz w:val="28"/>
          <w:szCs w:val="28"/>
        </w:rPr>
      </w:pPr>
      <w:r>
        <w:rPr>
          <w:rFonts w:hint="eastAsia" w:ascii="仿宋_GB2312" w:hAnsi="仿宋" w:eastAsia="仿宋_GB2312"/>
          <w:b/>
          <w:sz w:val="28"/>
          <w:szCs w:val="28"/>
        </w:rPr>
        <w:t>核查组成员表</w:t>
      </w:r>
    </w:p>
    <w:tbl>
      <w:tblPr>
        <w:tblStyle w:val="35"/>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1"/>
        <w:gridCol w:w="1349"/>
        <w:gridCol w:w="4186"/>
        <w:gridCol w:w="1636"/>
      </w:tblGrid>
      <w:tr w14:paraId="3FF24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351" w:type="dxa"/>
            <w:tcBorders>
              <w:top w:val="single" w:color="auto" w:sz="12" w:space="0"/>
              <w:left w:val="single" w:color="auto" w:sz="12" w:space="0"/>
              <w:bottom w:val="single" w:color="auto" w:sz="6" w:space="0"/>
              <w:right w:val="single" w:color="auto" w:sz="6" w:space="0"/>
            </w:tcBorders>
            <w:vAlign w:val="center"/>
          </w:tcPr>
          <w:p w14:paraId="6892355C">
            <w:pPr>
              <w:spacing w:after="0" w:line="560" w:lineRule="exact"/>
              <w:jc w:val="center"/>
              <w:rPr>
                <w:rFonts w:ascii="仿宋_GB2312" w:hAnsi="仿宋" w:eastAsia="仿宋_GB2312"/>
                <w:b/>
                <w:sz w:val="24"/>
                <w:szCs w:val="24"/>
              </w:rPr>
            </w:pPr>
            <w:r>
              <w:rPr>
                <w:rFonts w:hint="eastAsia" w:ascii="仿宋_GB2312" w:hAnsi="仿宋" w:eastAsia="仿宋_GB2312"/>
                <w:b/>
                <w:sz w:val="24"/>
                <w:szCs w:val="24"/>
              </w:rPr>
              <w:t>序号</w:t>
            </w:r>
          </w:p>
        </w:tc>
        <w:tc>
          <w:tcPr>
            <w:tcW w:w="1349" w:type="dxa"/>
            <w:tcBorders>
              <w:top w:val="single" w:color="auto" w:sz="12" w:space="0"/>
              <w:left w:val="single" w:color="auto" w:sz="6" w:space="0"/>
              <w:bottom w:val="single" w:color="auto" w:sz="6" w:space="0"/>
              <w:right w:val="single" w:color="auto" w:sz="6" w:space="0"/>
            </w:tcBorders>
            <w:vAlign w:val="center"/>
          </w:tcPr>
          <w:p w14:paraId="0619A53C">
            <w:pPr>
              <w:spacing w:after="0" w:line="560" w:lineRule="exact"/>
              <w:jc w:val="center"/>
              <w:rPr>
                <w:rFonts w:ascii="仿宋_GB2312" w:hAnsi="仿宋" w:eastAsia="仿宋_GB2312"/>
                <w:b/>
                <w:sz w:val="24"/>
                <w:szCs w:val="24"/>
              </w:rPr>
            </w:pPr>
            <w:r>
              <w:rPr>
                <w:rFonts w:hint="eastAsia" w:ascii="仿宋_GB2312" w:hAnsi="仿宋" w:eastAsia="仿宋_GB2312"/>
                <w:b/>
                <w:sz w:val="24"/>
                <w:szCs w:val="24"/>
              </w:rPr>
              <w:t>姓名</w:t>
            </w:r>
          </w:p>
        </w:tc>
        <w:tc>
          <w:tcPr>
            <w:tcW w:w="4186" w:type="dxa"/>
            <w:tcBorders>
              <w:top w:val="single" w:color="auto" w:sz="12" w:space="0"/>
              <w:left w:val="single" w:color="auto" w:sz="6" w:space="0"/>
              <w:bottom w:val="single" w:color="auto" w:sz="6" w:space="0"/>
              <w:right w:val="single" w:color="auto" w:sz="6" w:space="0"/>
            </w:tcBorders>
            <w:vAlign w:val="center"/>
          </w:tcPr>
          <w:p w14:paraId="07984C7B">
            <w:pPr>
              <w:spacing w:after="0" w:line="560" w:lineRule="exact"/>
              <w:jc w:val="center"/>
              <w:rPr>
                <w:rFonts w:ascii="仿宋_GB2312" w:hAnsi="仿宋" w:eastAsia="仿宋_GB2312"/>
                <w:b/>
                <w:sz w:val="24"/>
                <w:szCs w:val="24"/>
              </w:rPr>
            </w:pPr>
            <w:r>
              <w:rPr>
                <w:rFonts w:hint="eastAsia" w:ascii="仿宋_GB2312" w:hAnsi="仿宋" w:eastAsia="仿宋_GB2312"/>
                <w:b/>
                <w:sz w:val="24"/>
                <w:szCs w:val="24"/>
              </w:rPr>
              <w:t>核查工作分工内容</w:t>
            </w:r>
          </w:p>
        </w:tc>
        <w:tc>
          <w:tcPr>
            <w:tcW w:w="1636" w:type="dxa"/>
            <w:tcBorders>
              <w:top w:val="single" w:color="auto" w:sz="12" w:space="0"/>
              <w:left w:val="single" w:color="auto" w:sz="6" w:space="0"/>
              <w:bottom w:val="single" w:color="auto" w:sz="6" w:space="0"/>
              <w:right w:val="single" w:color="auto" w:sz="12" w:space="0"/>
            </w:tcBorders>
            <w:vAlign w:val="center"/>
          </w:tcPr>
          <w:p w14:paraId="7EF22D96">
            <w:pPr>
              <w:spacing w:after="0" w:line="560" w:lineRule="exact"/>
              <w:jc w:val="center"/>
              <w:rPr>
                <w:rFonts w:ascii="仿宋_GB2312" w:hAnsi="仿宋" w:eastAsia="仿宋_GB2312"/>
                <w:b/>
                <w:sz w:val="24"/>
                <w:szCs w:val="24"/>
              </w:rPr>
            </w:pPr>
            <w:r>
              <w:rPr>
                <w:rFonts w:hint="eastAsia" w:ascii="仿宋_GB2312" w:hAnsi="仿宋" w:eastAsia="仿宋_GB2312"/>
                <w:b/>
                <w:sz w:val="24"/>
                <w:szCs w:val="24"/>
              </w:rPr>
              <w:t>专业代码</w:t>
            </w:r>
          </w:p>
        </w:tc>
      </w:tr>
      <w:tr w14:paraId="0F90E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351" w:type="dxa"/>
            <w:tcBorders>
              <w:top w:val="single" w:color="auto" w:sz="6" w:space="0"/>
              <w:left w:val="single" w:color="auto" w:sz="12" w:space="0"/>
              <w:bottom w:val="single" w:color="auto" w:sz="6" w:space="0"/>
              <w:right w:val="single" w:color="auto" w:sz="6" w:space="0"/>
            </w:tcBorders>
            <w:vAlign w:val="center"/>
          </w:tcPr>
          <w:p w14:paraId="3E682B20">
            <w:pPr>
              <w:tabs>
                <w:tab w:val="left" w:pos="540"/>
              </w:tabs>
              <w:spacing w:after="0" w:line="560" w:lineRule="exact"/>
              <w:jc w:val="center"/>
              <w:rPr>
                <w:rFonts w:ascii="仿宋_GB2312" w:hAnsi="仿宋" w:eastAsia="仿宋_GB2312"/>
                <w:sz w:val="24"/>
                <w:szCs w:val="24"/>
              </w:rPr>
            </w:pPr>
            <w:r>
              <w:rPr>
                <w:rFonts w:ascii="仿宋_GB2312" w:hAnsi="仿宋" w:eastAsia="仿宋_GB2312"/>
                <w:sz w:val="24"/>
                <w:szCs w:val="24"/>
              </w:rPr>
              <w:t>1</w:t>
            </w:r>
          </w:p>
        </w:tc>
        <w:tc>
          <w:tcPr>
            <w:tcW w:w="1349" w:type="dxa"/>
            <w:tcBorders>
              <w:top w:val="single" w:color="auto" w:sz="6" w:space="0"/>
              <w:left w:val="single" w:color="auto" w:sz="6" w:space="0"/>
              <w:bottom w:val="single" w:color="auto" w:sz="6" w:space="0"/>
              <w:right w:val="single" w:color="auto" w:sz="6" w:space="0"/>
            </w:tcBorders>
            <w:vAlign w:val="center"/>
          </w:tcPr>
          <w:p w14:paraId="3C8D19B7">
            <w:pPr>
              <w:tabs>
                <w:tab w:val="left" w:pos="540"/>
              </w:tabs>
              <w:spacing w:after="0" w:line="560" w:lineRule="exact"/>
              <w:jc w:val="center"/>
              <w:rPr>
                <w:rFonts w:ascii="仿宋_GB2312" w:hAnsi="仿宋" w:eastAsia="仿宋_GB2312"/>
                <w:sz w:val="24"/>
                <w:szCs w:val="24"/>
              </w:rPr>
            </w:pPr>
          </w:p>
        </w:tc>
        <w:tc>
          <w:tcPr>
            <w:tcW w:w="4186" w:type="dxa"/>
            <w:tcBorders>
              <w:top w:val="single" w:color="auto" w:sz="6" w:space="0"/>
              <w:left w:val="single" w:color="auto" w:sz="6" w:space="0"/>
              <w:bottom w:val="single" w:color="auto" w:sz="6" w:space="0"/>
              <w:right w:val="single" w:color="auto" w:sz="6" w:space="0"/>
            </w:tcBorders>
            <w:vAlign w:val="center"/>
          </w:tcPr>
          <w:p w14:paraId="44B8BF98">
            <w:pPr>
              <w:tabs>
                <w:tab w:val="left" w:pos="540"/>
              </w:tabs>
              <w:spacing w:after="0" w:line="560" w:lineRule="exact"/>
              <w:jc w:val="center"/>
              <w:rPr>
                <w:rFonts w:ascii="仿宋_GB2312" w:hAnsi="仿宋" w:eastAsia="仿宋_GB2312"/>
                <w:sz w:val="24"/>
                <w:szCs w:val="24"/>
              </w:rPr>
            </w:pPr>
          </w:p>
        </w:tc>
        <w:tc>
          <w:tcPr>
            <w:tcW w:w="1636" w:type="dxa"/>
            <w:tcBorders>
              <w:top w:val="single" w:color="auto" w:sz="6" w:space="0"/>
              <w:left w:val="single" w:color="auto" w:sz="6" w:space="0"/>
              <w:bottom w:val="single" w:color="auto" w:sz="6" w:space="0"/>
              <w:right w:val="single" w:color="auto" w:sz="12" w:space="0"/>
            </w:tcBorders>
            <w:vAlign w:val="center"/>
          </w:tcPr>
          <w:p w14:paraId="7A829199">
            <w:pPr>
              <w:tabs>
                <w:tab w:val="left" w:pos="540"/>
              </w:tabs>
              <w:spacing w:after="0" w:line="560" w:lineRule="exact"/>
              <w:jc w:val="center"/>
              <w:rPr>
                <w:rFonts w:ascii="仿宋_GB2312" w:hAnsi="仿宋" w:eastAsia="仿宋_GB2312"/>
                <w:sz w:val="24"/>
                <w:szCs w:val="24"/>
              </w:rPr>
            </w:pPr>
          </w:p>
        </w:tc>
      </w:tr>
      <w:tr w14:paraId="40E80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1" w:type="dxa"/>
            <w:tcBorders>
              <w:top w:val="single" w:color="auto" w:sz="6" w:space="0"/>
              <w:left w:val="single" w:color="auto" w:sz="12" w:space="0"/>
              <w:bottom w:val="single" w:color="auto" w:sz="6" w:space="0"/>
              <w:right w:val="single" w:color="auto" w:sz="6" w:space="0"/>
            </w:tcBorders>
            <w:vAlign w:val="center"/>
          </w:tcPr>
          <w:p w14:paraId="1F17EB03">
            <w:pPr>
              <w:spacing w:after="0" w:line="560" w:lineRule="exact"/>
              <w:jc w:val="center"/>
              <w:rPr>
                <w:rFonts w:ascii="仿宋_GB2312" w:hAnsi="仿宋" w:eastAsia="仿宋_GB2312"/>
                <w:sz w:val="24"/>
                <w:szCs w:val="24"/>
              </w:rPr>
            </w:pPr>
            <w:r>
              <w:rPr>
                <w:rFonts w:ascii="仿宋_GB2312" w:hAnsi="仿宋" w:eastAsia="仿宋_GB2312"/>
                <w:sz w:val="24"/>
                <w:szCs w:val="24"/>
              </w:rPr>
              <w:t>2</w:t>
            </w:r>
          </w:p>
        </w:tc>
        <w:tc>
          <w:tcPr>
            <w:tcW w:w="1349" w:type="dxa"/>
            <w:tcBorders>
              <w:top w:val="single" w:color="auto" w:sz="6" w:space="0"/>
              <w:left w:val="single" w:color="auto" w:sz="6" w:space="0"/>
              <w:bottom w:val="single" w:color="auto" w:sz="6" w:space="0"/>
              <w:right w:val="single" w:color="auto" w:sz="6" w:space="0"/>
            </w:tcBorders>
            <w:vAlign w:val="center"/>
          </w:tcPr>
          <w:p w14:paraId="7E1105F9">
            <w:pPr>
              <w:spacing w:after="0" w:line="560" w:lineRule="exact"/>
              <w:jc w:val="center"/>
              <w:rPr>
                <w:rFonts w:ascii="仿宋_GB2312" w:hAnsi="仿宋" w:eastAsia="仿宋_GB2312"/>
                <w:sz w:val="24"/>
                <w:szCs w:val="24"/>
              </w:rPr>
            </w:pPr>
          </w:p>
        </w:tc>
        <w:tc>
          <w:tcPr>
            <w:tcW w:w="4186" w:type="dxa"/>
            <w:tcBorders>
              <w:top w:val="single" w:color="auto" w:sz="6" w:space="0"/>
              <w:left w:val="single" w:color="auto" w:sz="6" w:space="0"/>
              <w:bottom w:val="single" w:color="auto" w:sz="6" w:space="0"/>
              <w:right w:val="single" w:color="auto" w:sz="6" w:space="0"/>
            </w:tcBorders>
            <w:vAlign w:val="center"/>
          </w:tcPr>
          <w:p w14:paraId="62A0B652">
            <w:pPr>
              <w:spacing w:after="0" w:line="560" w:lineRule="exact"/>
              <w:jc w:val="center"/>
              <w:rPr>
                <w:rFonts w:ascii="仿宋_GB2312" w:hAnsi="仿宋" w:eastAsia="仿宋_GB2312"/>
                <w:sz w:val="24"/>
                <w:szCs w:val="24"/>
              </w:rPr>
            </w:pPr>
          </w:p>
        </w:tc>
        <w:tc>
          <w:tcPr>
            <w:tcW w:w="1636" w:type="dxa"/>
            <w:tcBorders>
              <w:top w:val="single" w:color="auto" w:sz="6" w:space="0"/>
              <w:left w:val="single" w:color="auto" w:sz="6" w:space="0"/>
              <w:bottom w:val="single" w:color="auto" w:sz="6" w:space="0"/>
              <w:right w:val="single" w:color="auto" w:sz="12" w:space="0"/>
            </w:tcBorders>
            <w:vAlign w:val="center"/>
          </w:tcPr>
          <w:p w14:paraId="36D48CFE">
            <w:pPr>
              <w:tabs>
                <w:tab w:val="left" w:pos="540"/>
              </w:tabs>
              <w:spacing w:after="0" w:line="560" w:lineRule="exact"/>
              <w:jc w:val="center"/>
              <w:rPr>
                <w:rFonts w:ascii="仿宋_GB2312" w:hAnsi="仿宋" w:eastAsia="仿宋_GB2312"/>
                <w:sz w:val="24"/>
                <w:szCs w:val="24"/>
              </w:rPr>
            </w:pPr>
          </w:p>
        </w:tc>
      </w:tr>
      <w:tr w14:paraId="2A5DE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1" w:type="dxa"/>
            <w:tcBorders>
              <w:top w:val="single" w:color="auto" w:sz="6" w:space="0"/>
              <w:left w:val="single" w:color="auto" w:sz="12" w:space="0"/>
              <w:bottom w:val="single" w:color="auto" w:sz="6" w:space="0"/>
              <w:right w:val="single" w:color="auto" w:sz="6" w:space="0"/>
            </w:tcBorders>
            <w:vAlign w:val="center"/>
          </w:tcPr>
          <w:p w14:paraId="7A5F9886">
            <w:pPr>
              <w:spacing w:after="0" w:line="560" w:lineRule="exact"/>
              <w:jc w:val="center"/>
              <w:rPr>
                <w:rFonts w:ascii="仿宋_GB2312" w:hAnsi="仿宋" w:eastAsia="仿宋_GB2312"/>
                <w:sz w:val="24"/>
                <w:szCs w:val="24"/>
              </w:rPr>
            </w:pPr>
            <w:r>
              <w:rPr>
                <w:rFonts w:ascii="仿宋_GB2312" w:hAnsi="仿宋" w:eastAsia="仿宋_GB2312"/>
                <w:sz w:val="24"/>
                <w:szCs w:val="24"/>
              </w:rPr>
              <w:t>3</w:t>
            </w:r>
          </w:p>
        </w:tc>
        <w:tc>
          <w:tcPr>
            <w:tcW w:w="1349" w:type="dxa"/>
            <w:tcBorders>
              <w:top w:val="single" w:color="auto" w:sz="6" w:space="0"/>
              <w:left w:val="single" w:color="auto" w:sz="6" w:space="0"/>
              <w:bottom w:val="single" w:color="auto" w:sz="6" w:space="0"/>
              <w:right w:val="single" w:color="auto" w:sz="6" w:space="0"/>
            </w:tcBorders>
            <w:vAlign w:val="center"/>
          </w:tcPr>
          <w:p w14:paraId="730001B1">
            <w:pPr>
              <w:spacing w:after="0" w:line="560" w:lineRule="exact"/>
              <w:jc w:val="center"/>
              <w:rPr>
                <w:rFonts w:ascii="仿宋_GB2312" w:hAnsi="仿宋" w:eastAsia="仿宋_GB2312"/>
                <w:sz w:val="24"/>
                <w:szCs w:val="24"/>
              </w:rPr>
            </w:pPr>
          </w:p>
        </w:tc>
        <w:tc>
          <w:tcPr>
            <w:tcW w:w="4186" w:type="dxa"/>
            <w:tcBorders>
              <w:top w:val="single" w:color="auto" w:sz="6" w:space="0"/>
              <w:left w:val="single" w:color="auto" w:sz="6" w:space="0"/>
              <w:bottom w:val="single" w:color="auto" w:sz="6" w:space="0"/>
              <w:right w:val="single" w:color="auto" w:sz="6" w:space="0"/>
            </w:tcBorders>
            <w:vAlign w:val="center"/>
          </w:tcPr>
          <w:p w14:paraId="63EDD5A8">
            <w:pPr>
              <w:spacing w:after="0" w:line="560" w:lineRule="exact"/>
              <w:jc w:val="center"/>
              <w:rPr>
                <w:rFonts w:ascii="仿宋_GB2312" w:hAnsi="仿宋" w:eastAsia="仿宋_GB2312"/>
                <w:sz w:val="24"/>
                <w:szCs w:val="24"/>
              </w:rPr>
            </w:pPr>
          </w:p>
        </w:tc>
        <w:tc>
          <w:tcPr>
            <w:tcW w:w="1636" w:type="dxa"/>
            <w:tcBorders>
              <w:top w:val="single" w:color="auto" w:sz="6" w:space="0"/>
              <w:left w:val="single" w:color="auto" w:sz="6" w:space="0"/>
              <w:bottom w:val="single" w:color="auto" w:sz="6" w:space="0"/>
              <w:right w:val="single" w:color="auto" w:sz="12" w:space="0"/>
            </w:tcBorders>
            <w:vAlign w:val="center"/>
          </w:tcPr>
          <w:p w14:paraId="780A02E6">
            <w:pPr>
              <w:tabs>
                <w:tab w:val="left" w:pos="540"/>
              </w:tabs>
              <w:spacing w:after="0" w:line="560" w:lineRule="exact"/>
              <w:jc w:val="center"/>
              <w:rPr>
                <w:rFonts w:ascii="仿宋_GB2312" w:hAnsi="仿宋" w:eastAsia="仿宋_GB2312"/>
                <w:sz w:val="24"/>
                <w:szCs w:val="24"/>
              </w:rPr>
            </w:pPr>
          </w:p>
        </w:tc>
      </w:tr>
      <w:tr w14:paraId="139D0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1" w:type="dxa"/>
            <w:tcBorders>
              <w:top w:val="single" w:color="auto" w:sz="6" w:space="0"/>
              <w:left w:val="single" w:color="auto" w:sz="12" w:space="0"/>
              <w:bottom w:val="single" w:color="auto" w:sz="12" w:space="0"/>
              <w:right w:val="single" w:color="auto" w:sz="6" w:space="0"/>
            </w:tcBorders>
            <w:vAlign w:val="center"/>
          </w:tcPr>
          <w:p w14:paraId="65D9CA47">
            <w:pPr>
              <w:spacing w:after="0" w:line="560" w:lineRule="exact"/>
              <w:jc w:val="center"/>
              <w:rPr>
                <w:rFonts w:ascii="仿宋_GB2312" w:hAnsi="仿宋" w:eastAsia="仿宋_GB2312"/>
                <w:sz w:val="24"/>
                <w:szCs w:val="24"/>
              </w:rPr>
            </w:pPr>
            <w:r>
              <w:rPr>
                <w:rFonts w:hint="eastAsia" w:ascii="仿宋_GB2312" w:hAnsi="仿宋" w:eastAsia="仿宋_GB2312"/>
                <w:sz w:val="24"/>
                <w:szCs w:val="24"/>
              </w:rPr>
              <w:t>…</w:t>
            </w:r>
          </w:p>
        </w:tc>
        <w:tc>
          <w:tcPr>
            <w:tcW w:w="1349" w:type="dxa"/>
            <w:tcBorders>
              <w:top w:val="single" w:color="auto" w:sz="6" w:space="0"/>
              <w:left w:val="single" w:color="auto" w:sz="6" w:space="0"/>
              <w:bottom w:val="single" w:color="auto" w:sz="12" w:space="0"/>
              <w:right w:val="single" w:color="auto" w:sz="6" w:space="0"/>
            </w:tcBorders>
            <w:vAlign w:val="center"/>
          </w:tcPr>
          <w:p w14:paraId="3644986D">
            <w:pPr>
              <w:spacing w:after="0" w:line="560" w:lineRule="exact"/>
              <w:jc w:val="center"/>
              <w:rPr>
                <w:rFonts w:ascii="仿宋_GB2312" w:hAnsi="仿宋" w:eastAsia="仿宋_GB2312"/>
                <w:sz w:val="24"/>
                <w:szCs w:val="24"/>
              </w:rPr>
            </w:pPr>
          </w:p>
        </w:tc>
        <w:tc>
          <w:tcPr>
            <w:tcW w:w="4186" w:type="dxa"/>
            <w:tcBorders>
              <w:top w:val="single" w:color="auto" w:sz="6" w:space="0"/>
              <w:left w:val="single" w:color="auto" w:sz="6" w:space="0"/>
              <w:bottom w:val="single" w:color="auto" w:sz="12" w:space="0"/>
              <w:right w:val="single" w:color="auto" w:sz="6" w:space="0"/>
            </w:tcBorders>
            <w:vAlign w:val="center"/>
          </w:tcPr>
          <w:p w14:paraId="5F07C649">
            <w:pPr>
              <w:spacing w:after="0" w:line="560" w:lineRule="exact"/>
              <w:jc w:val="center"/>
              <w:rPr>
                <w:rFonts w:ascii="仿宋_GB2312" w:hAnsi="仿宋" w:eastAsia="仿宋_GB2312"/>
                <w:sz w:val="24"/>
                <w:szCs w:val="24"/>
              </w:rPr>
            </w:pPr>
          </w:p>
        </w:tc>
        <w:tc>
          <w:tcPr>
            <w:tcW w:w="1636" w:type="dxa"/>
            <w:tcBorders>
              <w:top w:val="single" w:color="auto" w:sz="6" w:space="0"/>
              <w:left w:val="single" w:color="auto" w:sz="6" w:space="0"/>
              <w:bottom w:val="single" w:color="auto" w:sz="12" w:space="0"/>
              <w:right w:val="single" w:color="auto" w:sz="12" w:space="0"/>
            </w:tcBorders>
            <w:vAlign w:val="center"/>
          </w:tcPr>
          <w:p w14:paraId="0CAB0FBD">
            <w:pPr>
              <w:tabs>
                <w:tab w:val="left" w:pos="540"/>
              </w:tabs>
              <w:spacing w:after="0" w:line="560" w:lineRule="exact"/>
              <w:jc w:val="center"/>
              <w:rPr>
                <w:rFonts w:ascii="仿宋_GB2312" w:hAnsi="仿宋" w:eastAsia="仿宋_GB2312"/>
                <w:sz w:val="24"/>
                <w:szCs w:val="24"/>
              </w:rPr>
            </w:pPr>
          </w:p>
        </w:tc>
      </w:tr>
    </w:tbl>
    <w:p w14:paraId="760DE2F8">
      <w:pPr>
        <w:spacing w:after="0" w:line="560" w:lineRule="exact"/>
        <w:ind w:firstLine="160" w:firstLineChars="50"/>
        <w:rPr>
          <w:rFonts w:ascii="仿宋_GB2312" w:hAnsi="仿宋" w:eastAsia="仿宋_GB2312"/>
          <w:sz w:val="32"/>
          <w:szCs w:val="32"/>
        </w:rPr>
      </w:pPr>
      <w:r>
        <w:rPr>
          <w:rFonts w:hint="eastAsia" w:ascii="仿宋_GB2312" w:hAnsi="仿宋" w:eastAsia="仿宋_GB2312"/>
          <w:sz w:val="32"/>
          <w:szCs w:val="32"/>
        </w:rPr>
        <w:t>注：</w:t>
      </w:r>
    </w:p>
    <w:p w14:paraId="7BD32DCB">
      <w:pPr>
        <w:widowControl w:val="0"/>
        <w:numPr>
          <w:ilvl w:val="0"/>
          <w:numId w:val="7"/>
        </w:numPr>
        <w:spacing w:after="0" w:line="560" w:lineRule="exact"/>
        <w:ind w:left="0" w:firstLine="567"/>
        <w:jc w:val="both"/>
        <w:rPr>
          <w:rFonts w:ascii="仿宋_GB2312" w:hAnsi="仿宋" w:eastAsia="仿宋_GB2312"/>
          <w:bCs/>
          <w:sz w:val="32"/>
          <w:szCs w:val="32"/>
        </w:rPr>
      </w:pPr>
      <w:r>
        <w:rPr>
          <w:rFonts w:hint="eastAsia" w:ascii="仿宋_GB2312" w:hAnsi="仿宋" w:eastAsia="仿宋_GB2312"/>
          <w:bCs/>
          <w:sz w:val="32"/>
          <w:szCs w:val="32"/>
        </w:rPr>
        <w:t>核查机构应根据核查员的专业领域和技术能力、重点碳排放单位的规模和经营场所数量等实际情况，组成至少两名核查员的核查组实施核查。</w:t>
      </w:r>
    </w:p>
    <w:p w14:paraId="2143CD69">
      <w:pPr>
        <w:widowControl w:val="0"/>
        <w:numPr>
          <w:ilvl w:val="0"/>
          <w:numId w:val="7"/>
        </w:numPr>
        <w:spacing w:after="0" w:line="560" w:lineRule="exact"/>
        <w:ind w:left="0" w:firstLine="567"/>
        <w:jc w:val="both"/>
        <w:rPr>
          <w:rFonts w:ascii="仿宋_GB2312" w:hAnsi="仿宋" w:eastAsia="仿宋_GB2312"/>
          <w:bCs/>
          <w:sz w:val="32"/>
          <w:szCs w:val="32"/>
        </w:rPr>
      </w:pPr>
      <w:r>
        <w:rPr>
          <w:rFonts w:hint="eastAsia" w:ascii="仿宋_GB2312" w:hAnsi="仿宋" w:eastAsia="仿宋_GB2312"/>
          <w:bCs/>
          <w:sz w:val="32"/>
          <w:szCs w:val="32"/>
        </w:rPr>
        <w:t>核查机构对报告客观真实性和报告质量负责。</w:t>
      </w:r>
    </w:p>
    <w:p w14:paraId="55523396">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2.2 文件评审</w:t>
      </w:r>
    </w:p>
    <w:p w14:paraId="6D7EBFCF">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核查机构应在报告中描述其文件评审的时间、过程及主要内容。核查机构对文件评审的描述应包含如下内容：</w:t>
      </w:r>
    </w:p>
    <w:p w14:paraId="608FB33C">
      <w:pPr>
        <w:widowControl w:val="0"/>
        <w:numPr>
          <w:ilvl w:val="0"/>
          <w:numId w:val="8"/>
        </w:numPr>
        <w:spacing w:after="0" w:line="560" w:lineRule="exact"/>
        <w:ind w:left="0" w:firstLine="660"/>
        <w:jc w:val="both"/>
        <w:rPr>
          <w:rFonts w:ascii="仿宋_GB2312" w:hAnsi="仿宋" w:eastAsia="仿宋_GB2312"/>
          <w:sz w:val="32"/>
          <w:szCs w:val="32"/>
        </w:rPr>
      </w:pPr>
      <w:r>
        <w:rPr>
          <w:rFonts w:hint="eastAsia" w:ascii="仿宋_GB2312" w:hAnsi="仿宋" w:eastAsia="仿宋_GB2312"/>
          <w:sz w:val="32"/>
          <w:szCs w:val="32"/>
        </w:rPr>
        <w:t>重点碳排放单位提交二氧化碳排放报告初始版本和最终版本的日期；</w:t>
      </w:r>
    </w:p>
    <w:p w14:paraId="1A68B496">
      <w:pPr>
        <w:widowControl w:val="0"/>
        <w:numPr>
          <w:ilvl w:val="0"/>
          <w:numId w:val="8"/>
        </w:numPr>
        <w:spacing w:after="0" w:line="560" w:lineRule="exact"/>
        <w:ind w:left="0" w:firstLine="660"/>
        <w:jc w:val="both"/>
        <w:rPr>
          <w:rFonts w:ascii="仿宋_GB2312" w:hAnsi="仿宋" w:eastAsia="仿宋_GB2312"/>
          <w:sz w:val="32"/>
          <w:szCs w:val="32"/>
        </w:rPr>
      </w:pPr>
      <w:r>
        <w:rPr>
          <w:rFonts w:hint="eastAsia" w:ascii="仿宋_GB2312" w:hAnsi="仿宋" w:eastAsia="仿宋_GB2312"/>
          <w:sz w:val="32"/>
          <w:szCs w:val="32"/>
        </w:rPr>
        <w:t>重点碳排放单位提供的支持性文件（详细文件清单，包括版本和日期应清晰地列在核查报告的第五部分“参考文件” 中），支持文件可包括但不限于：</w:t>
      </w:r>
    </w:p>
    <w:p w14:paraId="055B687D">
      <w:pPr>
        <w:widowControl w:val="0"/>
        <w:numPr>
          <w:ilvl w:val="0"/>
          <w:numId w:val="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营业执照；</w:t>
      </w:r>
    </w:p>
    <w:p w14:paraId="65996816">
      <w:pPr>
        <w:widowControl w:val="0"/>
        <w:numPr>
          <w:ilvl w:val="0"/>
          <w:numId w:val="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工艺流程图；</w:t>
      </w:r>
    </w:p>
    <w:p w14:paraId="28A2C4FE">
      <w:pPr>
        <w:widowControl w:val="0"/>
        <w:numPr>
          <w:ilvl w:val="0"/>
          <w:numId w:val="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能源平衡表；</w:t>
      </w:r>
    </w:p>
    <w:p w14:paraId="7EEBB944">
      <w:pPr>
        <w:widowControl w:val="0"/>
        <w:numPr>
          <w:ilvl w:val="0"/>
          <w:numId w:val="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物料平衡表(如有)；</w:t>
      </w:r>
    </w:p>
    <w:p w14:paraId="27D562CD">
      <w:pPr>
        <w:widowControl w:val="0"/>
        <w:numPr>
          <w:ilvl w:val="0"/>
          <w:numId w:val="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能源审计报告；</w:t>
      </w:r>
    </w:p>
    <w:p w14:paraId="57F77A0B">
      <w:pPr>
        <w:widowControl w:val="0"/>
        <w:numPr>
          <w:ilvl w:val="0"/>
          <w:numId w:val="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能源统计报表；</w:t>
      </w:r>
    </w:p>
    <w:p w14:paraId="07748072">
      <w:pPr>
        <w:widowControl w:val="0"/>
        <w:numPr>
          <w:ilvl w:val="0"/>
          <w:numId w:val="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核查组在文件评审中使用其它的支持性文件。</w:t>
      </w:r>
    </w:p>
    <w:p w14:paraId="1283C668">
      <w:pPr>
        <w:spacing w:after="0" w:line="560" w:lineRule="exact"/>
        <w:ind w:left="420" w:firstLine="320" w:firstLineChars="100"/>
        <w:jc w:val="both"/>
        <w:rPr>
          <w:rFonts w:ascii="仿宋_GB2312" w:hAnsi="仿宋" w:eastAsia="仿宋_GB2312"/>
          <w:sz w:val="32"/>
          <w:szCs w:val="32"/>
        </w:rPr>
      </w:pPr>
      <w:r>
        <w:rPr>
          <w:rFonts w:hint="eastAsia" w:ascii="仿宋_GB2312" w:hAnsi="仿宋" w:eastAsia="仿宋_GB2312"/>
          <w:sz w:val="32"/>
          <w:szCs w:val="32"/>
        </w:rPr>
        <w:t>c) 文件评审识别出的现场访问的重点。</w:t>
      </w:r>
    </w:p>
    <w:p w14:paraId="12ABDD50">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2.3 现场访问</w:t>
      </w:r>
    </w:p>
    <w:p w14:paraId="5CF95DEA">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核查机构应在报告中描述其现场访问的时间、对象及主要内容，并用如下表格格式汇总现场访问的实施。</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26"/>
        <w:gridCol w:w="2168"/>
        <w:gridCol w:w="3402"/>
      </w:tblGrid>
      <w:tr w14:paraId="61C3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1C5AD71D">
            <w:pPr>
              <w:spacing w:after="0" w:line="560" w:lineRule="exact"/>
              <w:jc w:val="center"/>
              <w:rPr>
                <w:rFonts w:ascii="仿宋_GB2312" w:hAnsi="仿宋" w:eastAsia="仿宋_GB2312" w:cs="Arial"/>
                <w:b/>
                <w:bCs/>
                <w:sz w:val="24"/>
                <w:szCs w:val="24"/>
              </w:rPr>
            </w:pPr>
            <w:r>
              <w:rPr>
                <w:rFonts w:hint="eastAsia" w:ascii="仿宋_GB2312" w:hAnsi="仿宋" w:eastAsia="仿宋_GB2312" w:cs="Arial"/>
                <w:b/>
                <w:bCs/>
                <w:sz w:val="24"/>
                <w:szCs w:val="24"/>
              </w:rPr>
              <w:t>时间</w:t>
            </w:r>
          </w:p>
        </w:tc>
        <w:tc>
          <w:tcPr>
            <w:tcW w:w="2226" w:type="dxa"/>
            <w:vAlign w:val="center"/>
          </w:tcPr>
          <w:p w14:paraId="2ABC7256">
            <w:pPr>
              <w:spacing w:after="0" w:line="560" w:lineRule="exact"/>
              <w:jc w:val="center"/>
              <w:rPr>
                <w:rFonts w:ascii="仿宋_GB2312" w:hAnsi="仿宋" w:eastAsia="仿宋_GB2312"/>
                <w:b/>
                <w:bCs/>
                <w:sz w:val="24"/>
                <w:szCs w:val="24"/>
              </w:rPr>
            </w:pPr>
            <w:r>
              <w:rPr>
                <w:rFonts w:hint="eastAsia" w:ascii="仿宋_GB2312" w:hAnsi="仿宋" w:eastAsia="仿宋_GB2312"/>
                <w:b/>
                <w:bCs/>
                <w:sz w:val="24"/>
                <w:szCs w:val="24"/>
              </w:rPr>
              <w:t>访谈对象</w:t>
            </w:r>
          </w:p>
          <w:p w14:paraId="1FA40112">
            <w:pPr>
              <w:spacing w:after="0" w:line="560" w:lineRule="exact"/>
              <w:jc w:val="center"/>
              <w:rPr>
                <w:rFonts w:ascii="仿宋_GB2312" w:hAnsi="仿宋" w:eastAsia="仿宋_GB2312"/>
                <w:b/>
                <w:bCs/>
                <w:sz w:val="24"/>
                <w:szCs w:val="24"/>
              </w:rPr>
            </w:pPr>
            <w:r>
              <w:rPr>
                <w:rFonts w:hint="eastAsia" w:ascii="仿宋_GB2312" w:hAnsi="仿宋" w:eastAsia="仿宋_GB2312"/>
                <w:b/>
                <w:bCs/>
                <w:sz w:val="24"/>
                <w:szCs w:val="24"/>
              </w:rPr>
              <w:t>（姓名／职位）</w:t>
            </w:r>
          </w:p>
        </w:tc>
        <w:tc>
          <w:tcPr>
            <w:tcW w:w="2168" w:type="dxa"/>
            <w:vAlign w:val="center"/>
          </w:tcPr>
          <w:p w14:paraId="2B10A2B1">
            <w:pPr>
              <w:spacing w:after="0" w:line="560" w:lineRule="exact"/>
              <w:jc w:val="center"/>
              <w:rPr>
                <w:rFonts w:ascii="仿宋_GB2312" w:hAnsi="仿宋" w:eastAsia="仿宋_GB2312" w:cs="Arial"/>
                <w:b/>
                <w:bCs/>
                <w:sz w:val="24"/>
                <w:szCs w:val="24"/>
              </w:rPr>
            </w:pPr>
            <w:r>
              <w:rPr>
                <w:rFonts w:hint="eastAsia" w:ascii="仿宋_GB2312" w:hAnsi="仿宋" w:eastAsia="仿宋_GB2312" w:cs="Arial"/>
                <w:b/>
                <w:bCs/>
                <w:sz w:val="24"/>
                <w:szCs w:val="24"/>
              </w:rPr>
              <w:t>部门</w:t>
            </w:r>
          </w:p>
        </w:tc>
        <w:tc>
          <w:tcPr>
            <w:tcW w:w="3402" w:type="dxa"/>
            <w:vAlign w:val="center"/>
          </w:tcPr>
          <w:p w14:paraId="6D2FF1E9">
            <w:pPr>
              <w:spacing w:after="0" w:line="560" w:lineRule="exact"/>
              <w:jc w:val="center"/>
              <w:rPr>
                <w:rFonts w:ascii="仿宋_GB2312" w:hAnsi="仿宋" w:eastAsia="仿宋_GB2312" w:cs="Arial"/>
                <w:b/>
                <w:bCs/>
                <w:sz w:val="24"/>
                <w:szCs w:val="24"/>
              </w:rPr>
            </w:pPr>
            <w:r>
              <w:rPr>
                <w:rFonts w:hint="eastAsia" w:ascii="仿宋_GB2312" w:hAnsi="仿宋" w:eastAsia="仿宋_GB2312" w:cs="Arial"/>
                <w:b/>
                <w:bCs/>
                <w:sz w:val="24"/>
                <w:szCs w:val="24"/>
              </w:rPr>
              <w:t>访谈内容</w:t>
            </w:r>
          </w:p>
        </w:tc>
      </w:tr>
      <w:tr w14:paraId="6B27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26E9181F">
            <w:pPr>
              <w:spacing w:after="0" w:line="560" w:lineRule="exact"/>
              <w:rPr>
                <w:rFonts w:ascii="仿宋_GB2312" w:hAnsi="仿宋" w:eastAsia="仿宋_GB2312"/>
                <w:sz w:val="24"/>
                <w:szCs w:val="24"/>
              </w:rPr>
            </w:pPr>
          </w:p>
        </w:tc>
        <w:tc>
          <w:tcPr>
            <w:tcW w:w="2226" w:type="dxa"/>
          </w:tcPr>
          <w:p w14:paraId="4F32A30F">
            <w:pPr>
              <w:spacing w:after="0" w:line="560" w:lineRule="exact"/>
              <w:rPr>
                <w:rFonts w:ascii="仿宋_GB2312" w:hAnsi="仿宋" w:eastAsia="仿宋_GB2312"/>
                <w:sz w:val="24"/>
                <w:szCs w:val="24"/>
              </w:rPr>
            </w:pPr>
          </w:p>
        </w:tc>
        <w:tc>
          <w:tcPr>
            <w:tcW w:w="2168" w:type="dxa"/>
          </w:tcPr>
          <w:p w14:paraId="76A441C9">
            <w:pPr>
              <w:spacing w:after="0" w:line="560" w:lineRule="exact"/>
              <w:rPr>
                <w:rFonts w:ascii="仿宋_GB2312" w:hAnsi="仿宋" w:eastAsia="仿宋_GB2312"/>
                <w:sz w:val="24"/>
                <w:szCs w:val="24"/>
              </w:rPr>
            </w:pPr>
          </w:p>
        </w:tc>
        <w:tc>
          <w:tcPr>
            <w:tcW w:w="3402" w:type="dxa"/>
          </w:tcPr>
          <w:p w14:paraId="12DCCE97">
            <w:pPr>
              <w:spacing w:after="0" w:line="560" w:lineRule="exact"/>
              <w:rPr>
                <w:rFonts w:ascii="仿宋_GB2312" w:hAnsi="仿宋" w:eastAsia="仿宋_GB2312"/>
                <w:sz w:val="24"/>
                <w:szCs w:val="24"/>
              </w:rPr>
            </w:pPr>
          </w:p>
        </w:tc>
      </w:tr>
      <w:tr w14:paraId="7C1B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105B6FEF">
            <w:pPr>
              <w:spacing w:after="0" w:line="560" w:lineRule="exact"/>
              <w:rPr>
                <w:rFonts w:ascii="仿宋_GB2312" w:hAnsi="仿宋" w:eastAsia="仿宋_GB2312"/>
                <w:sz w:val="24"/>
                <w:szCs w:val="24"/>
              </w:rPr>
            </w:pPr>
          </w:p>
        </w:tc>
        <w:tc>
          <w:tcPr>
            <w:tcW w:w="2226" w:type="dxa"/>
          </w:tcPr>
          <w:p w14:paraId="09FF0BEE">
            <w:pPr>
              <w:spacing w:after="0" w:line="560" w:lineRule="exact"/>
              <w:rPr>
                <w:rFonts w:ascii="仿宋_GB2312" w:hAnsi="仿宋" w:eastAsia="仿宋_GB2312"/>
                <w:sz w:val="24"/>
                <w:szCs w:val="24"/>
              </w:rPr>
            </w:pPr>
          </w:p>
        </w:tc>
        <w:tc>
          <w:tcPr>
            <w:tcW w:w="2168" w:type="dxa"/>
          </w:tcPr>
          <w:p w14:paraId="2E7CBB32">
            <w:pPr>
              <w:spacing w:after="0" w:line="560" w:lineRule="exact"/>
              <w:rPr>
                <w:rFonts w:ascii="仿宋_GB2312" w:hAnsi="仿宋" w:eastAsia="仿宋_GB2312"/>
                <w:sz w:val="24"/>
                <w:szCs w:val="24"/>
              </w:rPr>
            </w:pPr>
          </w:p>
        </w:tc>
        <w:tc>
          <w:tcPr>
            <w:tcW w:w="3402" w:type="dxa"/>
          </w:tcPr>
          <w:p w14:paraId="0BB4BB6D">
            <w:pPr>
              <w:spacing w:after="0" w:line="560" w:lineRule="exact"/>
              <w:rPr>
                <w:rFonts w:ascii="仿宋_GB2312" w:hAnsi="仿宋" w:eastAsia="仿宋_GB2312"/>
                <w:sz w:val="24"/>
                <w:szCs w:val="24"/>
              </w:rPr>
            </w:pPr>
          </w:p>
        </w:tc>
      </w:tr>
      <w:tr w14:paraId="2F80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7F8C5D36">
            <w:pPr>
              <w:spacing w:after="0" w:line="560" w:lineRule="exact"/>
              <w:rPr>
                <w:rFonts w:ascii="仿宋_GB2312" w:hAnsi="仿宋" w:eastAsia="仿宋_GB2312"/>
                <w:sz w:val="24"/>
                <w:szCs w:val="24"/>
              </w:rPr>
            </w:pPr>
          </w:p>
        </w:tc>
        <w:tc>
          <w:tcPr>
            <w:tcW w:w="2226" w:type="dxa"/>
          </w:tcPr>
          <w:p w14:paraId="2B587AF4">
            <w:pPr>
              <w:spacing w:after="0" w:line="560" w:lineRule="exact"/>
              <w:rPr>
                <w:rFonts w:ascii="仿宋_GB2312" w:hAnsi="仿宋" w:eastAsia="仿宋_GB2312"/>
                <w:sz w:val="24"/>
                <w:szCs w:val="24"/>
              </w:rPr>
            </w:pPr>
          </w:p>
        </w:tc>
        <w:tc>
          <w:tcPr>
            <w:tcW w:w="2168" w:type="dxa"/>
          </w:tcPr>
          <w:p w14:paraId="17D8FB98">
            <w:pPr>
              <w:spacing w:after="0" w:line="560" w:lineRule="exact"/>
              <w:rPr>
                <w:rFonts w:ascii="仿宋_GB2312" w:hAnsi="仿宋" w:eastAsia="仿宋_GB2312"/>
                <w:sz w:val="24"/>
                <w:szCs w:val="24"/>
              </w:rPr>
            </w:pPr>
          </w:p>
        </w:tc>
        <w:tc>
          <w:tcPr>
            <w:tcW w:w="3402" w:type="dxa"/>
          </w:tcPr>
          <w:p w14:paraId="56F1DD18">
            <w:pPr>
              <w:spacing w:after="0" w:line="560" w:lineRule="exact"/>
              <w:rPr>
                <w:rFonts w:ascii="仿宋_GB2312" w:hAnsi="仿宋" w:eastAsia="仿宋_GB2312"/>
                <w:sz w:val="24"/>
                <w:szCs w:val="24"/>
              </w:rPr>
            </w:pPr>
          </w:p>
        </w:tc>
      </w:tr>
      <w:tr w14:paraId="1419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14:paraId="604F49F2">
            <w:pPr>
              <w:spacing w:after="0" w:line="560" w:lineRule="exact"/>
              <w:rPr>
                <w:rFonts w:ascii="仿宋_GB2312" w:hAnsi="仿宋" w:eastAsia="仿宋_GB2312"/>
                <w:sz w:val="24"/>
                <w:szCs w:val="24"/>
              </w:rPr>
            </w:pPr>
          </w:p>
        </w:tc>
        <w:tc>
          <w:tcPr>
            <w:tcW w:w="2226" w:type="dxa"/>
          </w:tcPr>
          <w:p w14:paraId="432C4D39">
            <w:pPr>
              <w:spacing w:after="0" w:line="560" w:lineRule="exact"/>
              <w:rPr>
                <w:rFonts w:ascii="仿宋_GB2312" w:hAnsi="仿宋" w:eastAsia="仿宋_GB2312"/>
                <w:sz w:val="24"/>
                <w:szCs w:val="24"/>
              </w:rPr>
            </w:pPr>
          </w:p>
        </w:tc>
        <w:tc>
          <w:tcPr>
            <w:tcW w:w="2168" w:type="dxa"/>
          </w:tcPr>
          <w:p w14:paraId="2DB7739E">
            <w:pPr>
              <w:spacing w:after="0" w:line="560" w:lineRule="exact"/>
              <w:rPr>
                <w:rFonts w:ascii="仿宋_GB2312" w:hAnsi="仿宋" w:eastAsia="仿宋_GB2312"/>
                <w:sz w:val="24"/>
                <w:szCs w:val="24"/>
              </w:rPr>
            </w:pPr>
          </w:p>
        </w:tc>
        <w:tc>
          <w:tcPr>
            <w:tcW w:w="3402" w:type="dxa"/>
          </w:tcPr>
          <w:p w14:paraId="461D4B6A">
            <w:pPr>
              <w:spacing w:after="0" w:line="560" w:lineRule="exact"/>
              <w:rPr>
                <w:rFonts w:ascii="仿宋_GB2312" w:hAnsi="仿宋" w:eastAsia="仿宋_GB2312"/>
                <w:sz w:val="24"/>
                <w:szCs w:val="24"/>
              </w:rPr>
            </w:pPr>
          </w:p>
        </w:tc>
      </w:tr>
    </w:tbl>
    <w:p w14:paraId="3AD6E06B">
      <w:pPr>
        <w:spacing w:after="0" w:line="560" w:lineRule="exact"/>
        <w:jc w:val="both"/>
        <w:rPr>
          <w:rFonts w:ascii="仿宋_GB2312" w:hAnsi="仿宋" w:eastAsia="仿宋_GB2312"/>
          <w:sz w:val="32"/>
          <w:szCs w:val="32"/>
        </w:rPr>
      </w:pPr>
      <w:r>
        <w:rPr>
          <w:rFonts w:hint="eastAsia" w:ascii="仿宋_GB2312" w:hAnsi="仿宋" w:eastAsia="仿宋_GB2312"/>
          <w:sz w:val="32"/>
          <w:szCs w:val="32"/>
        </w:rPr>
        <w:t xml:space="preserve">    文件评审及现场访问的核查发现将具体在报告的第三部分详细描述。</w:t>
      </w:r>
    </w:p>
    <w:p w14:paraId="293E7BEB">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2.4 核查报告编写及内部技术复核</w:t>
      </w:r>
    </w:p>
    <w:p w14:paraId="2CF6F241">
      <w:pPr>
        <w:spacing w:after="0" w:line="560" w:lineRule="exact"/>
        <w:ind w:firstLine="552"/>
        <w:jc w:val="both"/>
        <w:rPr>
          <w:rFonts w:ascii="仿宋_GB2312" w:hAnsi="仿宋" w:eastAsia="仿宋_GB2312"/>
          <w:sz w:val="32"/>
          <w:szCs w:val="32"/>
        </w:rPr>
      </w:pPr>
      <w:r>
        <w:rPr>
          <w:rFonts w:hint="eastAsia" w:ascii="仿宋_GB2312" w:hAnsi="仿宋" w:eastAsia="仿宋_GB2312"/>
          <w:sz w:val="32"/>
          <w:szCs w:val="32"/>
        </w:rPr>
        <w:t>核查机构应在核查报告中描述核查报告编写的过程和内部技术复核的过程，内容可包括：</w:t>
      </w:r>
    </w:p>
    <w:p w14:paraId="62F4A223">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核查组开具了几个不符合；</w:t>
      </w:r>
    </w:p>
    <w:p w14:paraId="74485531">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将不符合发给重点碳排放单位的时间以及不符合关闭的时间；</w:t>
      </w:r>
    </w:p>
    <w:p w14:paraId="037F2A1A">
      <w:pPr>
        <w:widowControl w:val="0"/>
        <w:numPr>
          <w:ilvl w:val="0"/>
          <w:numId w:val="1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准备核查报告的时间；</w:t>
      </w:r>
    </w:p>
    <w:p w14:paraId="268C4B7B">
      <w:pPr>
        <w:widowControl w:val="0"/>
        <w:numPr>
          <w:ilvl w:val="0"/>
          <w:numId w:val="10"/>
        </w:numPr>
        <w:spacing w:after="0" w:line="560" w:lineRule="exact"/>
        <w:ind w:left="851" w:hanging="299"/>
        <w:jc w:val="both"/>
        <w:rPr>
          <w:rFonts w:ascii="仿宋_GB2312" w:hAnsi="仿宋" w:eastAsia="仿宋_GB2312"/>
          <w:sz w:val="32"/>
          <w:szCs w:val="32"/>
        </w:rPr>
      </w:pPr>
      <w:r>
        <w:rPr>
          <w:rFonts w:hint="eastAsia" w:ascii="仿宋_GB2312" w:hAnsi="仿宋" w:eastAsia="仿宋_GB2312"/>
          <w:sz w:val="32"/>
          <w:szCs w:val="32"/>
        </w:rPr>
        <w:t>核查机构如何安排内部技术复核以及采取其他的质量控制措施等。</w:t>
      </w:r>
    </w:p>
    <w:p w14:paraId="6C987485">
      <w:pPr>
        <w:spacing w:after="0" w:line="560" w:lineRule="exact"/>
        <w:ind w:firstLine="549" w:firstLineChars="171"/>
        <w:outlineLvl w:val="0"/>
        <w:rPr>
          <w:rFonts w:ascii="仿宋_GB2312" w:hAnsi="仿宋" w:eastAsia="仿宋_GB2312"/>
          <w:b/>
          <w:sz w:val="32"/>
          <w:szCs w:val="32"/>
        </w:rPr>
      </w:pPr>
      <w:r>
        <w:rPr>
          <w:rFonts w:hint="eastAsia" w:ascii="仿宋_GB2312" w:hAnsi="仿宋" w:eastAsia="仿宋_GB2312"/>
          <w:b/>
          <w:sz w:val="32"/>
          <w:szCs w:val="32"/>
        </w:rPr>
        <w:t>3 .核查发现</w:t>
      </w:r>
    </w:p>
    <w:p w14:paraId="1EAD1BDA">
      <w:pPr>
        <w:widowControl w:val="0"/>
        <w:numPr>
          <w:ilvl w:val="1"/>
          <w:numId w:val="11"/>
        </w:numPr>
        <w:spacing w:after="0" w:line="560" w:lineRule="exact"/>
        <w:ind w:left="-2" w:leftChars="-1" w:firstLine="488" w:firstLineChars="152"/>
        <w:jc w:val="both"/>
        <w:rPr>
          <w:rFonts w:ascii="仿宋_GB2312" w:hAnsi="仿宋" w:eastAsia="仿宋_GB2312"/>
          <w:b/>
          <w:sz w:val="32"/>
          <w:szCs w:val="32"/>
        </w:rPr>
      </w:pPr>
      <w:r>
        <w:rPr>
          <w:rFonts w:hint="eastAsia" w:ascii="仿宋_GB2312" w:hAnsi="仿宋" w:eastAsia="仿宋_GB2312"/>
          <w:b/>
          <w:sz w:val="32"/>
          <w:szCs w:val="32"/>
        </w:rPr>
        <w:t>重点碳排放单位的基本信息</w:t>
      </w:r>
    </w:p>
    <w:p w14:paraId="27775F1D">
      <w:pPr>
        <w:spacing w:after="0" w:line="560" w:lineRule="exact"/>
        <w:ind w:firstLine="549" w:firstLineChars="171"/>
        <w:outlineLvl w:val="0"/>
        <w:rPr>
          <w:rFonts w:ascii="仿宋_GB2312" w:hAnsi="仿宋" w:eastAsia="仿宋_GB2312"/>
          <w:b/>
          <w:sz w:val="32"/>
          <w:szCs w:val="32"/>
        </w:rPr>
      </w:pPr>
      <w:r>
        <w:rPr>
          <w:rFonts w:hint="eastAsia" w:ascii="仿宋_GB2312" w:hAnsi="仿宋" w:eastAsia="仿宋_GB2312"/>
          <w:b/>
          <w:sz w:val="32"/>
          <w:szCs w:val="32"/>
        </w:rPr>
        <w:t>A）报告内容</w:t>
      </w:r>
    </w:p>
    <w:p w14:paraId="32BB8ABF">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核查机构应对重点碳排放单位报送的基本信息进行核查，并在核查报告中描述以下核查发现：</w:t>
      </w:r>
    </w:p>
    <w:p w14:paraId="7FD691B5">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重点碳排放单位简介，如重点碳排放单位名称、所属行业、地理位置、成立时间、所有制性质、规模、隶属关系等；</w:t>
      </w:r>
    </w:p>
    <w:p w14:paraId="05F46C80">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重点碳排放单位的组织结构；</w:t>
      </w:r>
    </w:p>
    <w:p w14:paraId="4622D112">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重点碳排放单位主要的产品或服务。如为工业企业，基本信息应包括生产的产品及生产工艺等相关指标；如为服务业，基本信息应包括服务范围及流程等；</w:t>
      </w:r>
    </w:p>
    <w:p w14:paraId="725ABD12">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重点碳排放单位能源管理现状，包括使用能源的品种，能源计量统计及能源审计情况、年度能源统计报告等；</w:t>
      </w:r>
    </w:p>
    <w:p w14:paraId="4F5F62B3">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重点碳排放单位的废弃物处理（如适用）现状;</w:t>
      </w:r>
    </w:p>
    <w:p w14:paraId="2E02F216">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如重点碳排放单位存在既有设施退出、新增排放设施、新增替代既有设施的情况，应做简要描述；</w:t>
      </w:r>
    </w:p>
    <w:p w14:paraId="27764653">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以往年份的二氧化碳排放的履约情况,包括履约的方式,比如自我控制排放的实施方式、购买信用额度以及购买配额的详细情况；</w:t>
      </w:r>
    </w:p>
    <w:p w14:paraId="3621DA14">
      <w:pPr>
        <w:widowControl w:val="0"/>
        <w:numPr>
          <w:ilvl w:val="0"/>
          <w:numId w:val="12"/>
        </w:numPr>
        <w:spacing w:after="0" w:line="560" w:lineRule="exact"/>
        <w:ind w:left="110" w:firstLine="550"/>
        <w:jc w:val="both"/>
        <w:rPr>
          <w:rFonts w:ascii="仿宋_GB2312" w:hAnsi="仿宋" w:eastAsia="仿宋_GB2312"/>
          <w:sz w:val="32"/>
          <w:szCs w:val="32"/>
        </w:rPr>
      </w:pPr>
      <w:r>
        <w:rPr>
          <w:rFonts w:hint="eastAsia" w:ascii="仿宋_GB2312" w:hAnsi="仿宋" w:eastAsia="仿宋_GB2312"/>
          <w:sz w:val="32"/>
          <w:szCs w:val="32"/>
        </w:rPr>
        <w:t>简要描述不符合(如有),详细描述及纠正措施链接核查报告附件1。</w:t>
      </w:r>
    </w:p>
    <w:p w14:paraId="656B763C">
      <w:pPr>
        <w:spacing w:after="0" w:line="560" w:lineRule="exact"/>
        <w:ind w:firstLine="790" w:firstLineChars="246"/>
        <w:outlineLvl w:val="0"/>
        <w:rPr>
          <w:rFonts w:ascii="仿宋_GB2312" w:hAnsi="仿宋" w:eastAsia="仿宋_GB2312"/>
          <w:b/>
          <w:sz w:val="32"/>
          <w:szCs w:val="32"/>
        </w:rPr>
      </w:pPr>
      <w:r>
        <w:rPr>
          <w:rFonts w:hint="eastAsia" w:ascii="仿宋_GB2312" w:hAnsi="仿宋" w:eastAsia="仿宋_GB2312"/>
          <w:b/>
          <w:sz w:val="32"/>
          <w:szCs w:val="32"/>
        </w:rPr>
        <w:t>B）核查方法</w:t>
      </w:r>
    </w:p>
    <w:p w14:paraId="23A31F4A">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查阅重点碳排放单位的法人证书、机构简介，与机构相关负责人进行交流访谈；</w:t>
      </w:r>
    </w:p>
    <w:p w14:paraId="4D037DA9">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了解能源和二氧化碳管理机构，查阅相关部门、岗位的职责书及培训记录。</w:t>
      </w:r>
    </w:p>
    <w:p w14:paraId="045656F7">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3.2 重点碳排放单位的设施边界及排放源识别</w:t>
      </w:r>
    </w:p>
    <w:p w14:paraId="11CCB88D">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381105A2">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核查机构应对重点碳排放单位报送设备信息和重点排放设施等的信息进行核查，并在核查报告中描述如下核查发现：</w:t>
      </w:r>
    </w:p>
    <w:p w14:paraId="39DB99E1">
      <w:pPr>
        <w:widowControl w:val="0"/>
        <w:numPr>
          <w:ilvl w:val="0"/>
          <w:numId w:val="14"/>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重点碳排放单位的场所边界、设施边界是否与以往年份保持一致；</w:t>
      </w:r>
    </w:p>
    <w:p w14:paraId="24781CBE">
      <w:pPr>
        <w:widowControl w:val="0"/>
        <w:numPr>
          <w:ilvl w:val="0"/>
          <w:numId w:val="14"/>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重点碳排放单位的场所边界、设施边界与适用的地方标准或核算和报告指南的符合情况；</w:t>
      </w:r>
    </w:p>
    <w:p w14:paraId="636C4910">
      <w:pPr>
        <w:widowControl w:val="0"/>
        <w:numPr>
          <w:ilvl w:val="0"/>
          <w:numId w:val="14"/>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非道路运输行业的排放报告中的每一个排放设施的名称、型号和物理位置是否与现场确认的一致；</w:t>
      </w:r>
    </w:p>
    <w:p w14:paraId="585BB726">
      <w:pPr>
        <w:widowControl w:val="0"/>
        <w:numPr>
          <w:ilvl w:val="0"/>
          <w:numId w:val="14"/>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道路运输业企业的排放报告中公共电汽车车辆、运营车辆总数、飞</w:t>
      </w:r>
      <w:r>
        <w:rPr>
          <w:rFonts w:ascii="仿宋_GB2312" w:hAnsi="仿宋" w:eastAsia="仿宋_GB2312"/>
          <w:sz w:val="32"/>
          <w:szCs w:val="32"/>
        </w:rPr>
        <w:t>机</w:t>
      </w:r>
      <w:r>
        <w:rPr>
          <w:rFonts w:hint="eastAsia" w:ascii="仿宋_GB2312" w:hAnsi="仿宋" w:eastAsia="仿宋_GB2312"/>
          <w:sz w:val="32"/>
          <w:szCs w:val="32"/>
        </w:rPr>
        <w:t>总数及燃料消耗类型等是否与现场确认的一致；</w:t>
      </w:r>
    </w:p>
    <w:p w14:paraId="4DE0B69D">
      <w:pPr>
        <w:widowControl w:val="0"/>
        <w:numPr>
          <w:ilvl w:val="0"/>
          <w:numId w:val="14"/>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道路运输业企业的排放报告中轨道交通的线路、配属车辆数量等是否与现场确认的一致；</w:t>
      </w:r>
    </w:p>
    <w:p w14:paraId="3684AF19">
      <w:pPr>
        <w:widowControl w:val="0"/>
        <w:numPr>
          <w:ilvl w:val="0"/>
          <w:numId w:val="14"/>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如核查机构采用对场所和数据抽样的方式实施核查，应在核查报告中详细说明抽样方案与数量等，同时核查报告中应清楚描述出本年度场所抽样与去年场所抽样情况的差别并确定是否核查指南的要求；</w:t>
      </w:r>
    </w:p>
    <w:p w14:paraId="634EA2CD">
      <w:pPr>
        <w:widowControl w:val="0"/>
        <w:numPr>
          <w:ilvl w:val="0"/>
          <w:numId w:val="14"/>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简要描述不符合(如有),详细描述及纠正措施链接核查报告附件1。</w:t>
      </w:r>
    </w:p>
    <w:p w14:paraId="670F4CDE">
      <w:pPr>
        <w:spacing w:after="0" w:line="560" w:lineRule="exact"/>
        <w:ind w:firstLine="472" w:firstLineChars="147"/>
        <w:outlineLvl w:val="0"/>
        <w:rPr>
          <w:rFonts w:ascii="仿宋_GB2312" w:hAnsi="仿宋" w:eastAsia="仿宋_GB2312"/>
          <w:b/>
          <w:sz w:val="32"/>
          <w:szCs w:val="32"/>
        </w:rPr>
      </w:pPr>
      <w:r>
        <w:rPr>
          <w:rFonts w:hint="eastAsia" w:ascii="仿宋_GB2312" w:hAnsi="仿宋" w:eastAsia="仿宋_GB2312"/>
          <w:b/>
          <w:sz w:val="32"/>
          <w:szCs w:val="32"/>
        </w:rPr>
        <w:t>B)核查方法</w:t>
      </w:r>
    </w:p>
    <w:p w14:paraId="2A434E32">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核查机构可通过以下方式来验证重点碳排放单位报告的设施的真实性：</w:t>
      </w:r>
    </w:p>
    <w:p w14:paraId="1E899DCB">
      <w:pPr>
        <w:widowControl w:val="0"/>
        <w:numPr>
          <w:ilvl w:val="0"/>
          <w:numId w:val="1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与设备管理人员进行交谈；</w:t>
      </w:r>
    </w:p>
    <w:p w14:paraId="6596C89D">
      <w:pPr>
        <w:widowControl w:val="0"/>
        <w:numPr>
          <w:ilvl w:val="0"/>
          <w:numId w:val="1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现场观察设施或交通运输业运行线路图或统计信息；</w:t>
      </w:r>
    </w:p>
    <w:p w14:paraId="3388226F">
      <w:pPr>
        <w:widowControl w:val="0"/>
        <w:numPr>
          <w:ilvl w:val="0"/>
          <w:numId w:val="1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查阅可行性研究报告的批复；</w:t>
      </w:r>
    </w:p>
    <w:p w14:paraId="38B0595C">
      <w:pPr>
        <w:widowControl w:val="0"/>
        <w:numPr>
          <w:ilvl w:val="0"/>
          <w:numId w:val="1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查阅环境影响评价报告及年度环境监测报告等。</w:t>
      </w:r>
    </w:p>
    <w:p w14:paraId="26BF6BB1">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3.3 核算方法</w:t>
      </w:r>
      <w:r>
        <w:rPr>
          <w:rFonts w:hint="eastAsia" w:ascii="仿宋_GB2312" w:hAnsi="仿宋" w:eastAsia="仿宋_GB2312"/>
          <w:sz w:val="32"/>
          <w:szCs w:val="32"/>
        </w:rPr>
        <w:t>、</w:t>
      </w:r>
      <w:r>
        <w:rPr>
          <w:rFonts w:hint="eastAsia" w:ascii="仿宋_GB2312" w:hAnsi="仿宋" w:eastAsia="仿宋_GB2312"/>
          <w:b/>
          <w:sz w:val="32"/>
          <w:szCs w:val="32"/>
        </w:rPr>
        <w:t>数据与《企业(单位)二氧化碳核算与报告指南》的符合性</w:t>
      </w:r>
    </w:p>
    <w:p w14:paraId="49A335B7">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71B5FFA1">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3.3.1核算方法的符合性</w:t>
      </w:r>
    </w:p>
    <w:p w14:paraId="48AF51E7">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核查机构应对重点碳排放单位的二氧化碳核算方法进行核查,确定核算方法的选择符合适用地方标准或核算和报告指南的要求。对任何偏离指南要求的核算应予以详细说明。</w:t>
      </w:r>
    </w:p>
    <w:p w14:paraId="6999B4D4">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3.3.2数据的符合性</w:t>
      </w:r>
    </w:p>
    <w:p w14:paraId="0A389675">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核查机构应按照如下格式报告重点排放单位所核算参数的单位、描述以及是否制订监测计划。并在下面的3.3.2.1～3.3.2.4章节报告每个参数的详细核查发现。</w:t>
      </w:r>
    </w:p>
    <w:p w14:paraId="010B3948">
      <w:pPr>
        <w:spacing w:after="0" w:line="560" w:lineRule="exact"/>
        <w:ind w:firstLine="640" w:firstLineChars="200"/>
        <w:rPr>
          <w:rFonts w:ascii="仿宋_GB2312" w:hAnsi="仿宋" w:eastAsia="仿宋_GB2312"/>
          <w:sz w:val="32"/>
          <w:szCs w:val="32"/>
        </w:rPr>
      </w:pPr>
    </w:p>
    <w:tbl>
      <w:tblPr>
        <w:tblStyle w:val="35"/>
        <w:tblW w:w="8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457"/>
        <w:gridCol w:w="1167"/>
        <w:gridCol w:w="992"/>
        <w:gridCol w:w="993"/>
        <w:gridCol w:w="3191"/>
        <w:gridCol w:w="1525"/>
      </w:tblGrid>
      <w:tr w14:paraId="697F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081" w:type="dxa"/>
            <w:gridSpan w:val="3"/>
            <w:vAlign w:val="center"/>
          </w:tcPr>
          <w:p w14:paraId="2CDAD527">
            <w:pPr>
              <w:spacing w:after="0"/>
              <w:jc w:val="center"/>
              <w:rPr>
                <w:rFonts w:ascii="仿宋" w:hAnsi="仿宋" w:eastAsia="仿宋"/>
                <w:b/>
                <w:sz w:val="24"/>
                <w:szCs w:val="24"/>
              </w:rPr>
            </w:pPr>
          </w:p>
        </w:tc>
        <w:tc>
          <w:tcPr>
            <w:tcW w:w="992" w:type="dxa"/>
            <w:vAlign w:val="center"/>
          </w:tcPr>
          <w:p w14:paraId="48C105CB">
            <w:pPr>
              <w:spacing w:after="0"/>
              <w:jc w:val="center"/>
              <w:rPr>
                <w:rFonts w:ascii="仿宋" w:hAnsi="仿宋" w:eastAsia="仿宋"/>
                <w:b/>
                <w:sz w:val="24"/>
                <w:szCs w:val="24"/>
              </w:rPr>
            </w:pPr>
            <w:r>
              <w:rPr>
                <w:rFonts w:hint="eastAsia" w:ascii="仿宋" w:hAnsi="仿宋" w:eastAsia="仿宋"/>
                <w:b/>
                <w:sz w:val="24"/>
                <w:szCs w:val="24"/>
              </w:rPr>
              <w:t>参数</w:t>
            </w:r>
          </w:p>
        </w:tc>
        <w:tc>
          <w:tcPr>
            <w:tcW w:w="993" w:type="dxa"/>
            <w:vAlign w:val="center"/>
          </w:tcPr>
          <w:p w14:paraId="3997BDA3">
            <w:pPr>
              <w:spacing w:after="0"/>
              <w:jc w:val="center"/>
              <w:rPr>
                <w:rFonts w:ascii="仿宋" w:hAnsi="仿宋" w:eastAsia="仿宋"/>
                <w:b/>
                <w:sz w:val="24"/>
                <w:szCs w:val="24"/>
              </w:rPr>
            </w:pPr>
            <w:r>
              <w:rPr>
                <w:rFonts w:hint="eastAsia" w:ascii="仿宋" w:hAnsi="仿宋" w:eastAsia="仿宋"/>
                <w:b/>
                <w:sz w:val="24"/>
                <w:szCs w:val="24"/>
              </w:rPr>
              <w:t>单位</w:t>
            </w:r>
          </w:p>
        </w:tc>
        <w:tc>
          <w:tcPr>
            <w:tcW w:w="3191" w:type="dxa"/>
            <w:vAlign w:val="center"/>
          </w:tcPr>
          <w:p w14:paraId="5890CBC7">
            <w:pPr>
              <w:spacing w:after="0"/>
              <w:jc w:val="center"/>
              <w:rPr>
                <w:rFonts w:ascii="仿宋" w:hAnsi="仿宋" w:eastAsia="仿宋"/>
                <w:b/>
                <w:sz w:val="24"/>
                <w:szCs w:val="24"/>
              </w:rPr>
            </w:pPr>
            <w:r>
              <w:rPr>
                <w:rFonts w:hint="eastAsia" w:ascii="仿宋" w:hAnsi="仿宋" w:eastAsia="仿宋"/>
                <w:b/>
                <w:sz w:val="24"/>
                <w:szCs w:val="24"/>
              </w:rPr>
              <w:t>参数描述</w:t>
            </w:r>
          </w:p>
        </w:tc>
        <w:tc>
          <w:tcPr>
            <w:tcW w:w="1525" w:type="dxa"/>
            <w:vAlign w:val="center"/>
          </w:tcPr>
          <w:p w14:paraId="1DFF0DA9">
            <w:pPr>
              <w:spacing w:after="0"/>
              <w:jc w:val="center"/>
              <w:rPr>
                <w:rFonts w:ascii="仿宋" w:hAnsi="仿宋" w:eastAsia="仿宋"/>
                <w:b/>
                <w:sz w:val="24"/>
                <w:szCs w:val="24"/>
              </w:rPr>
            </w:pPr>
            <w:r>
              <w:rPr>
                <w:rFonts w:hint="eastAsia" w:ascii="仿宋" w:hAnsi="仿宋" w:eastAsia="仿宋"/>
                <w:b/>
                <w:sz w:val="24"/>
                <w:szCs w:val="24"/>
              </w:rPr>
              <w:t>是否制订</w:t>
            </w:r>
          </w:p>
          <w:p w14:paraId="2A216E93">
            <w:pPr>
              <w:spacing w:after="0"/>
              <w:jc w:val="center"/>
              <w:rPr>
                <w:rFonts w:ascii="仿宋" w:hAnsi="仿宋" w:eastAsia="仿宋"/>
                <w:b/>
                <w:sz w:val="24"/>
                <w:szCs w:val="24"/>
              </w:rPr>
            </w:pPr>
            <w:r>
              <w:rPr>
                <w:rFonts w:hint="eastAsia" w:ascii="仿宋" w:hAnsi="仿宋" w:eastAsia="仿宋"/>
                <w:b/>
                <w:sz w:val="24"/>
                <w:szCs w:val="24"/>
              </w:rPr>
              <w:t>监测计划</w:t>
            </w:r>
          </w:p>
        </w:tc>
      </w:tr>
      <w:tr w14:paraId="4665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restart"/>
            <w:vAlign w:val="center"/>
          </w:tcPr>
          <w:p w14:paraId="5B061A94">
            <w:pPr>
              <w:spacing w:after="0"/>
              <w:rPr>
                <w:rFonts w:ascii="仿宋" w:hAnsi="仿宋" w:eastAsia="仿宋"/>
                <w:b/>
                <w:sz w:val="24"/>
                <w:szCs w:val="24"/>
              </w:rPr>
            </w:pPr>
            <w:r>
              <w:rPr>
                <w:rFonts w:hint="eastAsia" w:ascii="仿宋" w:hAnsi="仿宋" w:eastAsia="仿宋"/>
                <w:b/>
                <w:sz w:val="24"/>
                <w:szCs w:val="24"/>
              </w:rPr>
              <w:t>活</w:t>
            </w:r>
          </w:p>
          <w:p w14:paraId="00DBBF2E">
            <w:pPr>
              <w:spacing w:after="0"/>
              <w:rPr>
                <w:rFonts w:ascii="仿宋" w:hAnsi="仿宋" w:eastAsia="仿宋"/>
                <w:b/>
                <w:sz w:val="24"/>
                <w:szCs w:val="24"/>
              </w:rPr>
            </w:pPr>
            <w:r>
              <w:rPr>
                <w:rFonts w:hint="eastAsia" w:ascii="仿宋" w:hAnsi="仿宋" w:eastAsia="仿宋"/>
                <w:b/>
                <w:sz w:val="24"/>
                <w:szCs w:val="24"/>
              </w:rPr>
              <w:t>动</w:t>
            </w:r>
          </w:p>
          <w:p w14:paraId="13541CAE">
            <w:pPr>
              <w:spacing w:after="0"/>
              <w:rPr>
                <w:rFonts w:ascii="仿宋" w:hAnsi="仿宋" w:eastAsia="仿宋"/>
                <w:b/>
                <w:sz w:val="24"/>
                <w:szCs w:val="24"/>
              </w:rPr>
            </w:pPr>
            <w:r>
              <w:rPr>
                <w:rFonts w:hint="eastAsia" w:ascii="仿宋" w:hAnsi="仿宋" w:eastAsia="仿宋"/>
                <w:b/>
                <w:sz w:val="24"/>
                <w:szCs w:val="24"/>
              </w:rPr>
              <w:t>水</w:t>
            </w:r>
          </w:p>
          <w:p w14:paraId="466D247F">
            <w:pPr>
              <w:spacing w:after="0"/>
              <w:rPr>
                <w:rFonts w:ascii="仿宋" w:hAnsi="仿宋" w:eastAsia="仿宋"/>
                <w:b/>
                <w:sz w:val="24"/>
                <w:szCs w:val="24"/>
              </w:rPr>
            </w:pPr>
            <w:r>
              <w:rPr>
                <w:rFonts w:hint="eastAsia" w:ascii="仿宋" w:hAnsi="仿宋" w:eastAsia="仿宋"/>
                <w:b/>
                <w:sz w:val="24"/>
                <w:szCs w:val="24"/>
              </w:rPr>
              <w:t>平</w:t>
            </w:r>
          </w:p>
          <w:p w14:paraId="075497A0">
            <w:pPr>
              <w:spacing w:after="0"/>
              <w:rPr>
                <w:rFonts w:ascii="仿宋" w:hAnsi="仿宋" w:eastAsia="仿宋"/>
                <w:b/>
                <w:sz w:val="24"/>
                <w:szCs w:val="24"/>
              </w:rPr>
            </w:pPr>
            <w:r>
              <w:rPr>
                <w:rFonts w:hint="eastAsia" w:ascii="仿宋" w:hAnsi="仿宋" w:eastAsia="仿宋"/>
                <w:b/>
                <w:sz w:val="24"/>
                <w:szCs w:val="24"/>
              </w:rPr>
              <w:t>数</w:t>
            </w:r>
          </w:p>
          <w:p w14:paraId="6827AC8A">
            <w:pPr>
              <w:spacing w:after="0"/>
              <w:rPr>
                <w:rFonts w:ascii="仿宋" w:hAnsi="仿宋" w:eastAsia="仿宋"/>
                <w:b/>
                <w:sz w:val="24"/>
                <w:szCs w:val="24"/>
              </w:rPr>
            </w:pPr>
            <w:r>
              <w:rPr>
                <w:rFonts w:hint="eastAsia" w:ascii="仿宋" w:hAnsi="仿宋" w:eastAsia="仿宋"/>
                <w:b/>
                <w:sz w:val="24"/>
                <w:szCs w:val="24"/>
              </w:rPr>
              <w:t>据</w:t>
            </w:r>
          </w:p>
        </w:tc>
        <w:tc>
          <w:tcPr>
            <w:tcW w:w="457" w:type="dxa"/>
            <w:vMerge w:val="restart"/>
            <w:vAlign w:val="center"/>
          </w:tcPr>
          <w:p w14:paraId="08CF62CB">
            <w:pPr>
              <w:spacing w:after="0"/>
              <w:rPr>
                <w:rFonts w:ascii="仿宋" w:hAnsi="仿宋" w:eastAsia="仿宋"/>
                <w:b/>
                <w:sz w:val="24"/>
                <w:szCs w:val="24"/>
              </w:rPr>
            </w:pPr>
            <w:r>
              <w:rPr>
                <w:rFonts w:hint="eastAsia" w:ascii="仿宋" w:hAnsi="仿宋" w:eastAsia="仿宋"/>
                <w:b/>
                <w:sz w:val="24"/>
                <w:szCs w:val="24"/>
              </w:rPr>
              <w:t>直</w:t>
            </w:r>
          </w:p>
          <w:p w14:paraId="12927E08">
            <w:pPr>
              <w:spacing w:after="0"/>
              <w:rPr>
                <w:rFonts w:ascii="仿宋" w:hAnsi="仿宋" w:eastAsia="仿宋"/>
                <w:b/>
                <w:sz w:val="24"/>
                <w:szCs w:val="24"/>
              </w:rPr>
            </w:pPr>
            <w:r>
              <w:rPr>
                <w:rFonts w:hint="eastAsia" w:ascii="仿宋" w:hAnsi="仿宋" w:eastAsia="仿宋"/>
                <w:b/>
                <w:sz w:val="24"/>
                <w:szCs w:val="24"/>
              </w:rPr>
              <w:t>接</w:t>
            </w:r>
          </w:p>
          <w:p w14:paraId="0801A4B5">
            <w:pPr>
              <w:spacing w:after="0"/>
              <w:rPr>
                <w:rFonts w:ascii="仿宋" w:hAnsi="仿宋" w:eastAsia="仿宋"/>
                <w:b/>
                <w:sz w:val="24"/>
                <w:szCs w:val="24"/>
              </w:rPr>
            </w:pPr>
            <w:r>
              <w:rPr>
                <w:rFonts w:hint="eastAsia" w:ascii="仿宋" w:hAnsi="仿宋" w:eastAsia="仿宋"/>
                <w:b/>
                <w:sz w:val="24"/>
                <w:szCs w:val="24"/>
              </w:rPr>
              <w:t>排</w:t>
            </w:r>
          </w:p>
          <w:p w14:paraId="738DDC16">
            <w:pPr>
              <w:spacing w:after="0"/>
              <w:rPr>
                <w:rFonts w:ascii="仿宋" w:hAnsi="仿宋" w:eastAsia="仿宋"/>
                <w:b/>
                <w:sz w:val="24"/>
                <w:szCs w:val="24"/>
              </w:rPr>
            </w:pPr>
            <w:r>
              <w:rPr>
                <w:rFonts w:hint="eastAsia" w:ascii="仿宋" w:hAnsi="仿宋" w:eastAsia="仿宋"/>
                <w:b/>
                <w:sz w:val="24"/>
                <w:szCs w:val="24"/>
              </w:rPr>
              <w:t>放</w:t>
            </w:r>
          </w:p>
        </w:tc>
        <w:tc>
          <w:tcPr>
            <w:tcW w:w="1167" w:type="dxa"/>
            <w:vAlign w:val="center"/>
          </w:tcPr>
          <w:p w14:paraId="7E73331B">
            <w:pPr>
              <w:spacing w:after="0"/>
              <w:jc w:val="center"/>
              <w:rPr>
                <w:rFonts w:ascii="仿宋" w:hAnsi="仿宋" w:eastAsia="仿宋"/>
                <w:b/>
                <w:sz w:val="24"/>
                <w:szCs w:val="24"/>
              </w:rPr>
            </w:pPr>
            <w:r>
              <w:rPr>
                <w:rFonts w:hint="eastAsia" w:ascii="仿宋" w:hAnsi="仿宋" w:eastAsia="仿宋"/>
                <w:b/>
                <w:sz w:val="24"/>
                <w:szCs w:val="24"/>
              </w:rPr>
              <w:t>数据1</w:t>
            </w:r>
          </w:p>
        </w:tc>
        <w:tc>
          <w:tcPr>
            <w:tcW w:w="992" w:type="dxa"/>
            <w:vAlign w:val="center"/>
          </w:tcPr>
          <w:p w14:paraId="45569EF2">
            <w:pPr>
              <w:spacing w:after="0"/>
              <w:rPr>
                <w:rFonts w:ascii="仿宋" w:hAnsi="仿宋" w:eastAsia="仿宋"/>
                <w:sz w:val="24"/>
                <w:szCs w:val="24"/>
              </w:rPr>
            </w:pPr>
          </w:p>
        </w:tc>
        <w:tc>
          <w:tcPr>
            <w:tcW w:w="993" w:type="dxa"/>
          </w:tcPr>
          <w:p w14:paraId="3685A7DA">
            <w:pPr>
              <w:spacing w:after="0"/>
              <w:rPr>
                <w:rFonts w:ascii="仿宋" w:hAnsi="仿宋" w:eastAsia="仿宋"/>
                <w:sz w:val="24"/>
                <w:szCs w:val="24"/>
              </w:rPr>
            </w:pPr>
          </w:p>
        </w:tc>
        <w:tc>
          <w:tcPr>
            <w:tcW w:w="3191" w:type="dxa"/>
            <w:vAlign w:val="center"/>
          </w:tcPr>
          <w:p w14:paraId="7F9EECAF">
            <w:pPr>
              <w:spacing w:after="0"/>
              <w:rPr>
                <w:rFonts w:ascii="仿宋" w:hAnsi="仿宋" w:eastAsia="仿宋"/>
                <w:sz w:val="24"/>
                <w:szCs w:val="24"/>
              </w:rPr>
            </w:pPr>
          </w:p>
        </w:tc>
        <w:tc>
          <w:tcPr>
            <w:tcW w:w="1525" w:type="dxa"/>
            <w:vAlign w:val="center"/>
          </w:tcPr>
          <w:p w14:paraId="037D0051">
            <w:pPr>
              <w:spacing w:after="0"/>
              <w:rPr>
                <w:rFonts w:ascii="仿宋" w:hAnsi="仿宋" w:eastAsia="仿宋"/>
                <w:sz w:val="24"/>
                <w:szCs w:val="24"/>
              </w:rPr>
            </w:pPr>
          </w:p>
        </w:tc>
      </w:tr>
      <w:tr w14:paraId="7F68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6646DBEC">
            <w:pPr>
              <w:spacing w:after="0"/>
              <w:rPr>
                <w:rFonts w:ascii="仿宋" w:hAnsi="仿宋" w:eastAsia="仿宋"/>
                <w:b/>
                <w:sz w:val="24"/>
                <w:szCs w:val="24"/>
              </w:rPr>
            </w:pPr>
          </w:p>
        </w:tc>
        <w:tc>
          <w:tcPr>
            <w:tcW w:w="457" w:type="dxa"/>
            <w:vMerge w:val="continue"/>
            <w:vAlign w:val="center"/>
          </w:tcPr>
          <w:p w14:paraId="5624FA75">
            <w:pPr>
              <w:spacing w:after="0"/>
              <w:rPr>
                <w:rFonts w:ascii="仿宋" w:hAnsi="仿宋" w:eastAsia="仿宋"/>
                <w:b/>
                <w:sz w:val="24"/>
                <w:szCs w:val="24"/>
              </w:rPr>
            </w:pPr>
          </w:p>
        </w:tc>
        <w:tc>
          <w:tcPr>
            <w:tcW w:w="1167" w:type="dxa"/>
            <w:vAlign w:val="center"/>
          </w:tcPr>
          <w:p w14:paraId="06A3791A">
            <w:pPr>
              <w:spacing w:after="0"/>
              <w:jc w:val="center"/>
              <w:rPr>
                <w:rFonts w:ascii="仿宋" w:hAnsi="仿宋" w:eastAsia="仿宋"/>
                <w:b/>
                <w:sz w:val="24"/>
                <w:szCs w:val="24"/>
              </w:rPr>
            </w:pPr>
            <w:r>
              <w:rPr>
                <w:rFonts w:hint="eastAsia" w:ascii="仿宋" w:hAnsi="仿宋" w:eastAsia="仿宋"/>
                <w:b/>
                <w:sz w:val="24"/>
                <w:szCs w:val="24"/>
              </w:rPr>
              <w:t>数据2</w:t>
            </w:r>
          </w:p>
        </w:tc>
        <w:tc>
          <w:tcPr>
            <w:tcW w:w="992" w:type="dxa"/>
            <w:vAlign w:val="center"/>
          </w:tcPr>
          <w:p w14:paraId="690AB2B6">
            <w:pPr>
              <w:spacing w:after="0"/>
              <w:rPr>
                <w:rFonts w:ascii="仿宋" w:hAnsi="仿宋" w:eastAsia="仿宋"/>
                <w:sz w:val="24"/>
                <w:szCs w:val="24"/>
              </w:rPr>
            </w:pPr>
          </w:p>
        </w:tc>
        <w:tc>
          <w:tcPr>
            <w:tcW w:w="993" w:type="dxa"/>
          </w:tcPr>
          <w:p w14:paraId="7D2CE71E">
            <w:pPr>
              <w:spacing w:after="0"/>
              <w:rPr>
                <w:rFonts w:ascii="仿宋" w:hAnsi="仿宋" w:eastAsia="仿宋"/>
                <w:sz w:val="24"/>
                <w:szCs w:val="24"/>
              </w:rPr>
            </w:pPr>
          </w:p>
        </w:tc>
        <w:tc>
          <w:tcPr>
            <w:tcW w:w="3191" w:type="dxa"/>
            <w:vAlign w:val="center"/>
          </w:tcPr>
          <w:p w14:paraId="14062C84">
            <w:pPr>
              <w:spacing w:after="0"/>
              <w:rPr>
                <w:rFonts w:ascii="仿宋" w:hAnsi="仿宋" w:eastAsia="仿宋"/>
                <w:sz w:val="24"/>
                <w:szCs w:val="24"/>
              </w:rPr>
            </w:pPr>
          </w:p>
        </w:tc>
        <w:tc>
          <w:tcPr>
            <w:tcW w:w="1525" w:type="dxa"/>
            <w:vAlign w:val="center"/>
          </w:tcPr>
          <w:p w14:paraId="6A7FB816">
            <w:pPr>
              <w:spacing w:after="0"/>
              <w:rPr>
                <w:rFonts w:ascii="仿宋" w:hAnsi="仿宋" w:eastAsia="仿宋"/>
                <w:sz w:val="24"/>
                <w:szCs w:val="24"/>
              </w:rPr>
            </w:pPr>
          </w:p>
        </w:tc>
      </w:tr>
      <w:tr w14:paraId="2B10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49C70A2E">
            <w:pPr>
              <w:spacing w:after="0"/>
              <w:rPr>
                <w:rFonts w:ascii="仿宋" w:hAnsi="仿宋" w:eastAsia="仿宋"/>
                <w:b/>
                <w:sz w:val="24"/>
                <w:szCs w:val="24"/>
              </w:rPr>
            </w:pPr>
          </w:p>
        </w:tc>
        <w:tc>
          <w:tcPr>
            <w:tcW w:w="457" w:type="dxa"/>
            <w:vMerge w:val="continue"/>
            <w:vAlign w:val="center"/>
          </w:tcPr>
          <w:p w14:paraId="097FDF5C">
            <w:pPr>
              <w:spacing w:after="0"/>
              <w:rPr>
                <w:rFonts w:ascii="仿宋" w:hAnsi="仿宋" w:eastAsia="仿宋"/>
                <w:b/>
                <w:sz w:val="24"/>
                <w:szCs w:val="24"/>
              </w:rPr>
            </w:pPr>
          </w:p>
        </w:tc>
        <w:tc>
          <w:tcPr>
            <w:tcW w:w="1167" w:type="dxa"/>
            <w:vAlign w:val="center"/>
          </w:tcPr>
          <w:p w14:paraId="6FE97196">
            <w:pPr>
              <w:spacing w:after="0"/>
              <w:jc w:val="center"/>
              <w:rPr>
                <w:rFonts w:ascii="仿宋" w:hAnsi="仿宋" w:eastAsia="仿宋"/>
                <w:b/>
                <w:sz w:val="24"/>
                <w:szCs w:val="24"/>
              </w:rPr>
            </w:pPr>
            <w:r>
              <w:rPr>
                <w:rFonts w:hint="eastAsia" w:ascii="仿宋" w:hAnsi="仿宋" w:eastAsia="仿宋"/>
                <w:b/>
                <w:sz w:val="24"/>
                <w:szCs w:val="24"/>
              </w:rPr>
              <w:t>数据3</w:t>
            </w:r>
          </w:p>
        </w:tc>
        <w:tc>
          <w:tcPr>
            <w:tcW w:w="992" w:type="dxa"/>
            <w:vAlign w:val="center"/>
          </w:tcPr>
          <w:p w14:paraId="6075AD3E">
            <w:pPr>
              <w:spacing w:after="0"/>
              <w:rPr>
                <w:rFonts w:ascii="仿宋" w:hAnsi="仿宋" w:eastAsia="仿宋"/>
                <w:sz w:val="24"/>
                <w:szCs w:val="24"/>
              </w:rPr>
            </w:pPr>
          </w:p>
        </w:tc>
        <w:tc>
          <w:tcPr>
            <w:tcW w:w="993" w:type="dxa"/>
          </w:tcPr>
          <w:p w14:paraId="4A0CB036">
            <w:pPr>
              <w:spacing w:after="0"/>
              <w:rPr>
                <w:rFonts w:ascii="仿宋" w:hAnsi="仿宋" w:eastAsia="仿宋"/>
                <w:sz w:val="24"/>
                <w:szCs w:val="24"/>
              </w:rPr>
            </w:pPr>
          </w:p>
        </w:tc>
        <w:tc>
          <w:tcPr>
            <w:tcW w:w="3191" w:type="dxa"/>
            <w:vAlign w:val="center"/>
          </w:tcPr>
          <w:p w14:paraId="7C86B648">
            <w:pPr>
              <w:spacing w:after="0"/>
              <w:rPr>
                <w:rFonts w:ascii="仿宋" w:hAnsi="仿宋" w:eastAsia="仿宋"/>
                <w:sz w:val="24"/>
                <w:szCs w:val="24"/>
              </w:rPr>
            </w:pPr>
          </w:p>
        </w:tc>
        <w:tc>
          <w:tcPr>
            <w:tcW w:w="1525" w:type="dxa"/>
            <w:vAlign w:val="center"/>
          </w:tcPr>
          <w:p w14:paraId="7ED8DA69">
            <w:pPr>
              <w:spacing w:after="0"/>
              <w:rPr>
                <w:rFonts w:ascii="仿宋" w:hAnsi="仿宋" w:eastAsia="仿宋"/>
                <w:sz w:val="24"/>
                <w:szCs w:val="24"/>
              </w:rPr>
            </w:pPr>
          </w:p>
        </w:tc>
      </w:tr>
      <w:tr w14:paraId="2BBEA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45E8DDBD">
            <w:pPr>
              <w:spacing w:after="0"/>
              <w:rPr>
                <w:rFonts w:ascii="仿宋" w:hAnsi="仿宋" w:eastAsia="仿宋"/>
                <w:b/>
                <w:sz w:val="24"/>
                <w:szCs w:val="24"/>
              </w:rPr>
            </w:pPr>
          </w:p>
        </w:tc>
        <w:tc>
          <w:tcPr>
            <w:tcW w:w="457" w:type="dxa"/>
            <w:vMerge w:val="continue"/>
            <w:vAlign w:val="center"/>
          </w:tcPr>
          <w:p w14:paraId="478FC406">
            <w:pPr>
              <w:spacing w:after="0"/>
              <w:rPr>
                <w:rFonts w:ascii="仿宋" w:hAnsi="仿宋" w:eastAsia="仿宋"/>
                <w:b/>
                <w:sz w:val="24"/>
                <w:szCs w:val="24"/>
              </w:rPr>
            </w:pPr>
          </w:p>
        </w:tc>
        <w:tc>
          <w:tcPr>
            <w:tcW w:w="1167" w:type="dxa"/>
            <w:vAlign w:val="center"/>
          </w:tcPr>
          <w:p w14:paraId="79722CE1">
            <w:pPr>
              <w:spacing w:after="0"/>
              <w:jc w:val="center"/>
              <w:rPr>
                <w:rFonts w:ascii="仿宋" w:hAnsi="仿宋" w:eastAsia="仿宋"/>
                <w:b/>
                <w:sz w:val="24"/>
                <w:szCs w:val="24"/>
              </w:rPr>
            </w:pPr>
            <w:r>
              <w:rPr>
                <w:rFonts w:hint="eastAsia" w:ascii="仿宋" w:hAnsi="仿宋" w:eastAsia="仿宋"/>
                <w:b/>
                <w:sz w:val="24"/>
                <w:szCs w:val="24"/>
              </w:rPr>
              <w:t>数据4</w:t>
            </w:r>
          </w:p>
        </w:tc>
        <w:tc>
          <w:tcPr>
            <w:tcW w:w="992" w:type="dxa"/>
            <w:vAlign w:val="center"/>
          </w:tcPr>
          <w:p w14:paraId="03BE6031">
            <w:pPr>
              <w:spacing w:after="0"/>
              <w:rPr>
                <w:rFonts w:ascii="仿宋" w:hAnsi="仿宋" w:eastAsia="仿宋"/>
                <w:sz w:val="24"/>
                <w:szCs w:val="24"/>
              </w:rPr>
            </w:pPr>
          </w:p>
        </w:tc>
        <w:tc>
          <w:tcPr>
            <w:tcW w:w="993" w:type="dxa"/>
          </w:tcPr>
          <w:p w14:paraId="3609E1BC">
            <w:pPr>
              <w:spacing w:after="0"/>
              <w:rPr>
                <w:rFonts w:ascii="仿宋" w:hAnsi="仿宋" w:eastAsia="仿宋"/>
                <w:sz w:val="24"/>
                <w:szCs w:val="24"/>
              </w:rPr>
            </w:pPr>
          </w:p>
        </w:tc>
        <w:tc>
          <w:tcPr>
            <w:tcW w:w="3191" w:type="dxa"/>
            <w:vAlign w:val="center"/>
          </w:tcPr>
          <w:p w14:paraId="03A4FCE9">
            <w:pPr>
              <w:spacing w:after="0"/>
              <w:rPr>
                <w:rFonts w:ascii="仿宋" w:hAnsi="仿宋" w:eastAsia="仿宋"/>
                <w:sz w:val="24"/>
                <w:szCs w:val="24"/>
              </w:rPr>
            </w:pPr>
          </w:p>
        </w:tc>
        <w:tc>
          <w:tcPr>
            <w:tcW w:w="1525" w:type="dxa"/>
            <w:vAlign w:val="center"/>
          </w:tcPr>
          <w:p w14:paraId="4C42B349">
            <w:pPr>
              <w:spacing w:after="0"/>
              <w:rPr>
                <w:rFonts w:ascii="仿宋" w:hAnsi="仿宋" w:eastAsia="仿宋"/>
                <w:sz w:val="24"/>
                <w:szCs w:val="24"/>
              </w:rPr>
            </w:pPr>
          </w:p>
        </w:tc>
      </w:tr>
      <w:tr w14:paraId="3DFC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2179399C">
            <w:pPr>
              <w:spacing w:after="0"/>
              <w:rPr>
                <w:rFonts w:ascii="仿宋" w:hAnsi="仿宋" w:eastAsia="仿宋"/>
                <w:b/>
                <w:sz w:val="24"/>
                <w:szCs w:val="24"/>
              </w:rPr>
            </w:pPr>
          </w:p>
        </w:tc>
        <w:tc>
          <w:tcPr>
            <w:tcW w:w="457" w:type="dxa"/>
            <w:vMerge w:val="continue"/>
            <w:vAlign w:val="center"/>
          </w:tcPr>
          <w:p w14:paraId="13FB0442">
            <w:pPr>
              <w:spacing w:after="0"/>
              <w:rPr>
                <w:rFonts w:ascii="仿宋" w:hAnsi="仿宋" w:eastAsia="仿宋"/>
                <w:b/>
                <w:sz w:val="24"/>
                <w:szCs w:val="24"/>
              </w:rPr>
            </w:pPr>
          </w:p>
        </w:tc>
        <w:tc>
          <w:tcPr>
            <w:tcW w:w="1167" w:type="dxa"/>
            <w:vAlign w:val="center"/>
          </w:tcPr>
          <w:p w14:paraId="57EA153A">
            <w:pPr>
              <w:spacing w:after="0"/>
              <w:jc w:val="center"/>
              <w:rPr>
                <w:rFonts w:ascii="仿宋" w:hAnsi="仿宋" w:eastAsia="仿宋"/>
                <w:b/>
                <w:sz w:val="24"/>
                <w:szCs w:val="24"/>
              </w:rPr>
            </w:pPr>
            <w:r>
              <w:rPr>
                <w:rFonts w:hint="eastAsia" w:ascii="仿宋" w:hAnsi="仿宋" w:eastAsia="仿宋"/>
                <w:b/>
                <w:sz w:val="24"/>
                <w:szCs w:val="24"/>
              </w:rPr>
              <w:t>数据…</w:t>
            </w:r>
          </w:p>
        </w:tc>
        <w:tc>
          <w:tcPr>
            <w:tcW w:w="992" w:type="dxa"/>
            <w:vAlign w:val="center"/>
          </w:tcPr>
          <w:p w14:paraId="4FE6DA8E">
            <w:pPr>
              <w:spacing w:after="0"/>
              <w:rPr>
                <w:rFonts w:ascii="仿宋" w:hAnsi="仿宋" w:eastAsia="仿宋"/>
                <w:sz w:val="24"/>
                <w:szCs w:val="24"/>
              </w:rPr>
            </w:pPr>
          </w:p>
        </w:tc>
        <w:tc>
          <w:tcPr>
            <w:tcW w:w="993" w:type="dxa"/>
          </w:tcPr>
          <w:p w14:paraId="18258186">
            <w:pPr>
              <w:spacing w:after="0"/>
              <w:rPr>
                <w:rFonts w:ascii="仿宋" w:hAnsi="仿宋" w:eastAsia="仿宋"/>
                <w:sz w:val="24"/>
                <w:szCs w:val="24"/>
              </w:rPr>
            </w:pPr>
          </w:p>
        </w:tc>
        <w:tc>
          <w:tcPr>
            <w:tcW w:w="3191" w:type="dxa"/>
            <w:vAlign w:val="center"/>
          </w:tcPr>
          <w:p w14:paraId="2872D30B">
            <w:pPr>
              <w:spacing w:after="0"/>
              <w:rPr>
                <w:rFonts w:ascii="仿宋" w:hAnsi="仿宋" w:eastAsia="仿宋"/>
                <w:sz w:val="24"/>
                <w:szCs w:val="24"/>
              </w:rPr>
            </w:pPr>
          </w:p>
        </w:tc>
        <w:tc>
          <w:tcPr>
            <w:tcW w:w="1525" w:type="dxa"/>
            <w:vAlign w:val="center"/>
          </w:tcPr>
          <w:p w14:paraId="708759CD">
            <w:pPr>
              <w:spacing w:after="0"/>
              <w:rPr>
                <w:rFonts w:ascii="仿宋" w:hAnsi="仿宋" w:eastAsia="仿宋"/>
                <w:sz w:val="24"/>
                <w:szCs w:val="24"/>
              </w:rPr>
            </w:pPr>
          </w:p>
        </w:tc>
      </w:tr>
      <w:tr w14:paraId="3C0D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4BACEEB2">
            <w:pPr>
              <w:spacing w:after="0"/>
              <w:rPr>
                <w:rFonts w:ascii="仿宋" w:hAnsi="仿宋" w:eastAsia="仿宋"/>
                <w:b/>
                <w:sz w:val="24"/>
                <w:szCs w:val="24"/>
              </w:rPr>
            </w:pPr>
          </w:p>
        </w:tc>
        <w:tc>
          <w:tcPr>
            <w:tcW w:w="457" w:type="dxa"/>
            <w:vMerge w:val="restart"/>
            <w:vAlign w:val="center"/>
          </w:tcPr>
          <w:p w14:paraId="1B904D0A">
            <w:pPr>
              <w:spacing w:after="0"/>
              <w:rPr>
                <w:rFonts w:ascii="仿宋" w:hAnsi="仿宋" w:eastAsia="仿宋"/>
                <w:b/>
                <w:sz w:val="24"/>
                <w:szCs w:val="24"/>
              </w:rPr>
            </w:pPr>
            <w:r>
              <w:rPr>
                <w:rFonts w:hint="eastAsia" w:ascii="仿宋" w:hAnsi="仿宋" w:eastAsia="仿宋"/>
                <w:b/>
                <w:sz w:val="24"/>
                <w:szCs w:val="24"/>
              </w:rPr>
              <w:t>间</w:t>
            </w:r>
          </w:p>
          <w:p w14:paraId="2FD4AFAB">
            <w:pPr>
              <w:spacing w:after="0"/>
              <w:rPr>
                <w:rFonts w:ascii="仿宋" w:hAnsi="仿宋" w:eastAsia="仿宋"/>
                <w:b/>
                <w:sz w:val="24"/>
                <w:szCs w:val="24"/>
              </w:rPr>
            </w:pPr>
            <w:r>
              <w:rPr>
                <w:rFonts w:hint="eastAsia" w:ascii="仿宋" w:hAnsi="仿宋" w:eastAsia="仿宋"/>
                <w:b/>
                <w:sz w:val="24"/>
                <w:szCs w:val="24"/>
              </w:rPr>
              <w:t>接</w:t>
            </w:r>
          </w:p>
          <w:p w14:paraId="7FDD8AC0">
            <w:pPr>
              <w:spacing w:after="0"/>
              <w:rPr>
                <w:rFonts w:ascii="仿宋" w:hAnsi="仿宋" w:eastAsia="仿宋"/>
                <w:b/>
                <w:sz w:val="24"/>
                <w:szCs w:val="24"/>
              </w:rPr>
            </w:pPr>
            <w:r>
              <w:rPr>
                <w:rFonts w:hint="eastAsia" w:ascii="仿宋" w:hAnsi="仿宋" w:eastAsia="仿宋"/>
                <w:b/>
                <w:sz w:val="24"/>
                <w:szCs w:val="24"/>
              </w:rPr>
              <w:t>排</w:t>
            </w:r>
          </w:p>
          <w:p w14:paraId="68176BCB">
            <w:pPr>
              <w:spacing w:after="0"/>
              <w:rPr>
                <w:rFonts w:ascii="仿宋" w:hAnsi="仿宋" w:eastAsia="仿宋"/>
                <w:b/>
                <w:sz w:val="24"/>
                <w:szCs w:val="24"/>
              </w:rPr>
            </w:pPr>
            <w:r>
              <w:rPr>
                <w:rFonts w:hint="eastAsia" w:ascii="仿宋" w:hAnsi="仿宋" w:eastAsia="仿宋"/>
                <w:b/>
                <w:sz w:val="24"/>
                <w:szCs w:val="24"/>
              </w:rPr>
              <w:t>放</w:t>
            </w:r>
          </w:p>
        </w:tc>
        <w:tc>
          <w:tcPr>
            <w:tcW w:w="1167" w:type="dxa"/>
            <w:vAlign w:val="center"/>
          </w:tcPr>
          <w:p w14:paraId="0EF8B29F">
            <w:pPr>
              <w:spacing w:after="0"/>
              <w:jc w:val="center"/>
              <w:rPr>
                <w:rFonts w:ascii="仿宋" w:hAnsi="仿宋" w:eastAsia="仿宋"/>
                <w:b/>
                <w:sz w:val="24"/>
                <w:szCs w:val="24"/>
              </w:rPr>
            </w:pPr>
            <w:r>
              <w:rPr>
                <w:rFonts w:hint="eastAsia" w:ascii="仿宋" w:hAnsi="仿宋" w:eastAsia="仿宋"/>
                <w:b/>
                <w:sz w:val="24"/>
                <w:szCs w:val="24"/>
              </w:rPr>
              <w:t>数据1</w:t>
            </w:r>
          </w:p>
        </w:tc>
        <w:tc>
          <w:tcPr>
            <w:tcW w:w="992" w:type="dxa"/>
            <w:vAlign w:val="center"/>
          </w:tcPr>
          <w:p w14:paraId="1501B0F5">
            <w:pPr>
              <w:spacing w:after="0"/>
              <w:rPr>
                <w:rFonts w:ascii="仿宋" w:hAnsi="仿宋" w:eastAsia="仿宋"/>
                <w:sz w:val="24"/>
                <w:szCs w:val="24"/>
              </w:rPr>
            </w:pPr>
          </w:p>
        </w:tc>
        <w:tc>
          <w:tcPr>
            <w:tcW w:w="993" w:type="dxa"/>
          </w:tcPr>
          <w:p w14:paraId="5D4B3D2D">
            <w:pPr>
              <w:spacing w:after="0"/>
              <w:rPr>
                <w:rFonts w:ascii="仿宋" w:hAnsi="仿宋" w:eastAsia="仿宋"/>
                <w:sz w:val="24"/>
                <w:szCs w:val="24"/>
              </w:rPr>
            </w:pPr>
          </w:p>
        </w:tc>
        <w:tc>
          <w:tcPr>
            <w:tcW w:w="3191" w:type="dxa"/>
            <w:vAlign w:val="center"/>
          </w:tcPr>
          <w:p w14:paraId="7B97234A">
            <w:pPr>
              <w:spacing w:after="0"/>
              <w:rPr>
                <w:rFonts w:ascii="仿宋" w:hAnsi="仿宋" w:eastAsia="仿宋"/>
                <w:sz w:val="24"/>
                <w:szCs w:val="24"/>
              </w:rPr>
            </w:pPr>
          </w:p>
        </w:tc>
        <w:tc>
          <w:tcPr>
            <w:tcW w:w="1525" w:type="dxa"/>
            <w:vAlign w:val="center"/>
          </w:tcPr>
          <w:p w14:paraId="761AB412">
            <w:pPr>
              <w:spacing w:after="0"/>
              <w:rPr>
                <w:rFonts w:ascii="仿宋" w:hAnsi="仿宋" w:eastAsia="仿宋"/>
                <w:sz w:val="24"/>
                <w:szCs w:val="24"/>
              </w:rPr>
            </w:pPr>
          </w:p>
        </w:tc>
      </w:tr>
      <w:tr w14:paraId="26F05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7F05453F">
            <w:pPr>
              <w:spacing w:after="0"/>
              <w:rPr>
                <w:rFonts w:ascii="仿宋" w:hAnsi="仿宋" w:eastAsia="仿宋"/>
                <w:b/>
                <w:sz w:val="24"/>
                <w:szCs w:val="24"/>
              </w:rPr>
            </w:pPr>
          </w:p>
        </w:tc>
        <w:tc>
          <w:tcPr>
            <w:tcW w:w="457" w:type="dxa"/>
            <w:vMerge w:val="continue"/>
            <w:vAlign w:val="center"/>
          </w:tcPr>
          <w:p w14:paraId="7C897784">
            <w:pPr>
              <w:spacing w:after="0"/>
              <w:rPr>
                <w:rFonts w:ascii="仿宋" w:hAnsi="仿宋" w:eastAsia="仿宋"/>
                <w:b/>
                <w:sz w:val="24"/>
                <w:szCs w:val="24"/>
              </w:rPr>
            </w:pPr>
          </w:p>
        </w:tc>
        <w:tc>
          <w:tcPr>
            <w:tcW w:w="1167" w:type="dxa"/>
            <w:vAlign w:val="center"/>
          </w:tcPr>
          <w:p w14:paraId="5C407BBA">
            <w:pPr>
              <w:spacing w:after="0"/>
              <w:jc w:val="center"/>
              <w:rPr>
                <w:rFonts w:ascii="仿宋" w:hAnsi="仿宋" w:eastAsia="仿宋"/>
                <w:b/>
                <w:sz w:val="24"/>
                <w:szCs w:val="24"/>
              </w:rPr>
            </w:pPr>
            <w:r>
              <w:rPr>
                <w:rFonts w:hint="eastAsia" w:ascii="仿宋" w:hAnsi="仿宋" w:eastAsia="仿宋"/>
                <w:b/>
                <w:sz w:val="24"/>
                <w:szCs w:val="24"/>
              </w:rPr>
              <w:t>数据2</w:t>
            </w:r>
          </w:p>
        </w:tc>
        <w:tc>
          <w:tcPr>
            <w:tcW w:w="992" w:type="dxa"/>
            <w:vAlign w:val="center"/>
          </w:tcPr>
          <w:p w14:paraId="67C250E4">
            <w:pPr>
              <w:spacing w:after="0"/>
              <w:rPr>
                <w:rFonts w:ascii="仿宋" w:hAnsi="仿宋" w:eastAsia="仿宋"/>
                <w:sz w:val="24"/>
                <w:szCs w:val="24"/>
              </w:rPr>
            </w:pPr>
          </w:p>
        </w:tc>
        <w:tc>
          <w:tcPr>
            <w:tcW w:w="993" w:type="dxa"/>
          </w:tcPr>
          <w:p w14:paraId="2D0BEAFA">
            <w:pPr>
              <w:spacing w:after="0"/>
              <w:rPr>
                <w:rFonts w:ascii="仿宋" w:hAnsi="仿宋" w:eastAsia="仿宋"/>
                <w:sz w:val="24"/>
                <w:szCs w:val="24"/>
              </w:rPr>
            </w:pPr>
          </w:p>
        </w:tc>
        <w:tc>
          <w:tcPr>
            <w:tcW w:w="3191" w:type="dxa"/>
            <w:vAlign w:val="center"/>
          </w:tcPr>
          <w:p w14:paraId="27B135E7">
            <w:pPr>
              <w:spacing w:after="0"/>
              <w:rPr>
                <w:rFonts w:ascii="仿宋" w:hAnsi="仿宋" w:eastAsia="仿宋"/>
                <w:sz w:val="24"/>
                <w:szCs w:val="24"/>
              </w:rPr>
            </w:pPr>
          </w:p>
        </w:tc>
        <w:tc>
          <w:tcPr>
            <w:tcW w:w="1525" w:type="dxa"/>
            <w:vAlign w:val="center"/>
          </w:tcPr>
          <w:p w14:paraId="4378C380">
            <w:pPr>
              <w:spacing w:after="0"/>
              <w:rPr>
                <w:rFonts w:ascii="仿宋" w:hAnsi="仿宋" w:eastAsia="仿宋"/>
                <w:sz w:val="24"/>
                <w:szCs w:val="24"/>
              </w:rPr>
            </w:pPr>
          </w:p>
        </w:tc>
      </w:tr>
      <w:tr w14:paraId="50566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4A700D70">
            <w:pPr>
              <w:spacing w:after="0"/>
              <w:rPr>
                <w:rFonts w:ascii="仿宋" w:hAnsi="仿宋" w:eastAsia="仿宋"/>
                <w:b/>
                <w:sz w:val="24"/>
                <w:szCs w:val="24"/>
              </w:rPr>
            </w:pPr>
          </w:p>
        </w:tc>
        <w:tc>
          <w:tcPr>
            <w:tcW w:w="457" w:type="dxa"/>
            <w:vMerge w:val="continue"/>
            <w:vAlign w:val="center"/>
          </w:tcPr>
          <w:p w14:paraId="7FCB941F">
            <w:pPr>
              <w:spacing w:after="0"/>
              <w:rPr>
                <w:rFonts w:ascii="仿宋" w:hAnsi="仿宋" w:eastAsia="仿宋"/>
                <w:b/>
                <w:sz w:val="24"/>
                <w:szCs w:val="24"/>
              </w:rPr>
            </w:pPr>
          </w:p>
        </w:tc>
        <w:tc>
          <w:tcPr>
            <w:tcW w:w="1167" w:type="dxa"/>
            <w:vAlign w:val="center"/>
          </w:tcPr>
          <w:p w14:paraId="23EBCD0F">
            <w:pPr>
              <w:spacing w:after="0"/>
              <w:jc w:val="center"/>
              <w:rPr>
                <w:rFonts w:ascii="仿宋" w:hAnsi="仿宋" w:eastAsia="仿宋"/>
                <w:b/>
                <w:sz w:val="24"/>
                <w:szCs w:val="24"/>
              </w:rPr>
            </w:pPr>
            <w:r>
              <w:rPr>
                <w:rFonts w:hint="eastAsia" w:ascii="仿宋" w:hAnsi="仿宋" w:eastAsia="仿宋"/>
                <w:b/>
                <w:sz w:val="24"/>
                <w:szCs w:val="24"/>
              </w:rPr>
              <w:t>数据3</w:t>
            </w:r>
          </w:p>
        </w:tc>
        <w:tc>
          <w:tcPr>
            <w:tcW w:w="992" w:type="dxa"/>
            <w:vAlign w:val="center"/>
          </w:tcPr>
          <w:p w14:paraId="49ECBAF4">
            <w:pPr>
              <w:spacing w:after="0"/>
              <w:rPr>
                <w:rFonts w:ascii="仿宋" w:hAnsi="仿宋" w:eastAsia="仿宋"/>
                <w:sz w:val="24"/>
                <w:szCs w:val="24"/>
              </w:rPr>
            </w:pPr>
          </w:p>
        </w:tc>
        <w:tc>
          <w:tcPr>
            <w:tcW w:w="993" w:type="dxa"/>
          </w:tcPr>
          <w:p w14:paraId="67EC985A">
            <w:pPr>
              <w:spacing w:after="0"/>
              <w:rPr>
                <w:rFonts w:ascii="仿宋" w:hAnsi="仿宋" w:eastAsia="仿宋"/>
                <w:sz w:val="24"/>
                <w:szCs w:val="24"/>
              </w:rPr>
            </w:pPr>
          </w:p>
        </w:tc>
        <w:tc>
          <w:tcPr>
            <w:tcW w:w="3191" w:type="dxa"/>
            <w:vAlign w:val="center"/>
          </w:tcPr>
          <w:p w14:paraId="1D93AA34">
            <w:pPr>
              <w:spacing w:after="0"/>
              <w:rPr>
                <w:rFonts w:ascii="仿宋" w:hAnsi="仿宋" w:eastAsia="仿宋"/>
                <w:sz w:val="24"/>
                <w:szCs w:val="24"/>
              </w:rPr>
            </w:pPr>
          </w:p>
        </w:tc>
        <w:tc>
          <w:tcPr>
            <w:tcW w:w="1525" w:type="dxa"/>
            <w:vAlign w:val="center"/>
          </w:tcPr>
          <w:p w14:paraId="1C89A28D">
            <w:pPr>
              <w:spacing w:after="0"/>
              <w:rPr>
                <w:rFonts w:ascii="仿宋" w:hAnsi="仿宋" w:eastAsia="仿宋"/>
                <w:sz w:val="24"/>
                <w:szCs w:val="24"/>
              </w:rPr>
            </w:pPr>
          </w:p>
        </w:tc>
      </w:tr>
      <w:tr w14:paraId="1EA7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73E0689B">
            <w:pPr>
              <w:spacing w:after="0"/>
              <w:rPr>
                <w:rFonts w:ascii="仿宋" w:hAnsi="仿宋" w:eastAsia="仿宋"/>
                <w:b/>
                <w:sz w:val="24"/>
                <w:szCs w:val="24"/>
              </w:rPr>
            </w:pPr>
          </w:p>
        </w:tc>
        <w:tc>
          <w:tcPr>
            <w:tcW w:w="457" w:type="dxa"/>
            <w:vMerge w:val="continue"/>
            <w:vAlign w:val="center"/>
          </w:tcPr>
          <w:p w14:paraId="7FA664AE">
            <w:pPr>
              <w:spacing w:after="0"/>
              <w:rPr>
                <w:rFonts w:ascii="仿宋" w:hAnsi="仿宋" w:eastAsia="仿宋"/>
                <w:b/>
                <w:sz w:val="24"/>
                <w:szCs w:val="24"/>
              </w:rPr>
            </w:pPr>
          </w:p>
        </w:tc>
        <w:tc>
          <w:tcPr>
            <w:tcW w:w="1167" w:type="dxa"/>
            <w:vAlign w:val="center"/>
          </w:tcPr>
          <w:p w14:paraId="5CB4C4B3">
            <w:pPr>
              <w:spacing w:after="0"/>
              <w:jc w:val="center"/>
              <w:rPr>
                <w:rFonts w:ascii="仿宋" w:hAnsi="仿宋" w:eastAsia="仿宋"/>
                <w:b/>
                <w:sz w:val="24"/>
                <w:szCs w:val="24"/>
              </w:rPr>
            </w:pPr>
            <w:r>
              <w:rPr>
                <w:rFonts w:hint="eastAsia" w:ascii="仿宋" w:hAnsi="仿宋" w:eastAsia="仿宋"/>
                <w:b/>
                <w:sz w:val="24"/>
                <w:szCs w:val="24"/>
              </w:rPr>
              <w:t>数据4</w:t>
            </w:r>
          </w:p>
        </w:tc>
        <w:tc>
          <w:tcPr>
            <w:tcW w:w="992" w:type="dxa"/>
            <w:vAlign w:val="center"/>
          </w:tcPr>
          <w:p w14:paraId="7982BAC7">
            <w:pPr>
              <w:spacing w:after="0"/>
              <w:rPr>
                <w:rFonts w:ascii="仿宋" w:hAnsi="仿宋" w:eastAsia="仿宋"/>
                <w:sz w:val="24"/>
                <w:szCs w:val="24"/>
              </w:rPr>
            </w:pPr>
          </w:p>
        </w:tc>
        <w:tc>
          <w:tcPr>
            <w:tcW w:w="993" w:type="dxa"/>
          </w:tcPr>
          <w:p w14:paraId="75CA979C">
            <w:pPr>
              <w:spacing w:after="0"/>
              <w:rPr>
                <w:rFonts w:ascii="仿宋" w:hAnsi="仿宋" w:eastAsia="仿宋"/>
                <w:sz w:val="24"/>
                <w:szCs w:val="24"/>
              </w:rPr>
            </w:pPr>
          </w:p>
        </w:tc>
        <w:tc>
          <w:tcPr>
            <w:tcW w:w="3191" w:type="dxa"/>
            <w:vAlign w:val="center"/>
          </w:tcPr>
          <w:p w14:paraId="0C033B79">
            <w:pPr>
              <w:spacing w:after="0"/>
              <w:rPr>
                <w:rFonts w:ascii="仿宋" w:hAnsi="仿宋" w:eastAsia="仿宋"/>
                <w:sz w:val="24"/>
                <w:szCs w:val="24"/>
              </w:rPr>
            </w:pPr>
          </w:p>
        </w:tc>
        <w:tc>
          <w:tcPr>
            <w:tcW w:w="1525" w:type="dxa"/>
            <w:vAlign w:val="center"/>
          </w:tcPr>
          <w:p w14:paraId="65A02498">
            <w:pPr>
              <w:spacing w:after="0"/>
              <w:rPr>
                <w:rFonts w:ascii="仿宋" w:hAnsi="仿宋" w:eastAsia="仿宋"/>
                <w:sz w:val="24"/>
                <w:szCs w:val="24"/>
              </w:rPr>
            </w:pPr>
          </w:p>
        </w:tc>
      </w:tr>
      <w:tr w14:paraId="722F5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jc w:val="center"/>
        </w:trPr>
        <w:tc>
          <w:tcPr>
            <w:tcW w:w="457" w:type="dxa"/>
            <w:vMerge w:val="continue"/>
            <w:vAlign w:val="center"/>
          </w:tcPr>
          <w:p w14:paraId="57360F7E">
            <w:pPr>
              <w:spacing w:after="0"/>
              <w:rPr>
                <w:rFonts w:ascii="仿宋" w:hAnsi="仿宋" w:eastAsia="仿宋"/>
                <w:b/>
                <w:sz w:val="24"/>
                <w:szCs w:val="24"/>
              </w:rPr>
            </w:pPr>
          </w:p>
        </w:tc>
        <w:tc>
          <w:tcPr>
            <w:tcW w:w="457" w:type="dxa"/>
            <w:vMerge w:val="continue"/>
            <w:vAlign w:val="center"/>
          </w:tcPr>
          <w:p w14:paraId="392E536C">
            <w:pPr>
              <w:spacing w:after="0"/>
              <w:rPr>
                <w:rFonts w:ascii="仿宋" w:hAnsi="仿宋" w:eastAsia="仿宋"/>
                <w:b/>
                <w:sz w:val="24"/>
                <w:szCs w:val="24"/>
              </w:rPr>
            </w:pPr>
          </w:p>
        </w:tc>
        <w:tc>
          <w:tcPr>
            <w:tcW w:w="1167" w:type="dxa"/>
            <w:vAlign w:val="center"/>
          </w:tcPr>
          <w:p w14:paraId="6BCA2418">
            <w:pPr>
              <w:spacing w:after="0"/>
              <w:jc w:val="center"/>
              <w:rPr>
                <w:rFonts w:ascii="仿宋" w:hAnsi="仿宋" w:eastAsia="仿宋"/>
                <w:b/>
                <w:sz w:val="24"/>
                <w:szCs w:val="24"/>
              </w:rPr>
            </w:pPr>
            <w:r>
              <w:rPr>
                <w:rFonts w:hint="eastAsia" w:ascii="仿宋" w:hAnsi="仿宋" w:eastAsia="仿宋"/>
                <w:b/>
                <w:sz w:val="24"/>
                <w:szCs w:val="24"/>
              </w:rPr>
              <w:t>数据…</w:t>
            </w:r>
          </w:p>
        </w:tc>
        <w:tc>
          <w:tcPr>
            <w:tcW w:w="992" w:type="dxa"/>
            <w:vAlign w:val="center"/>
          </w:tcPr>
          <w:p w14:paraId="6CCF7A3F">
            <w:pPr>
              <w:spacing w:after="0"/>
              <w:rPr>
                <w:rFonts w:ascii="仿宋" w:hAnsi="仿宋" w:eastAsia="仿宋"/>
                <w:sz w:val="24"/>
                <w:szCs w:val="24"/>
              </w:rPr>
            </w:pPr>
          </w:p>
        </w:tc>
        <w:tc>
          <w:tcPr>
            <w:tcW w:w="993" w:type="dxa"/>
          </w:tcPr>
          <w:p w14:paraId="58752211">
            <w:pPr>
              <w:spacing w:after="0"/>
              <w:rPr>
                <w:rFonts w:ascii="仿宋" w:hAnsi="仿宋" w:eastAsia="仿宋"/>
                <w:sz w:val="24"/>
                <w:szCs w:val="24"/>
              </w:rPr>
            </w:pPr>
          </w:p>
        </w:tc>
        <w:tc>
          <w:tcPr>
            <w:tcW w:w="3191" w:type="dxa"/>
            <w:vAlign w:val="center"/>
          </w:tcPr>
          <w:p w14:paraId="1DC56474">
            <w:pPr>
              <w:spacing w:after="0"/>
              <w:rPr>
                <w:rFonts w:ascii="仿宋" w:hAnsi="仿宋" w:eastAsia="仿宋"/>
                <w:sz w:val="24"/>
                <w:szCs w:val="24"/>
              </w:rPr>
            </w:pPr>
          </w:p>
        </w:tc>
        <w:tc>
          <w:tcPr>
            <w:tcW w:w="1525" w:type="dxa"/>
            <w:vAlign w:val="center"/>
          </w:tcPr>
          <w:p w14:paraId="4DC971A1">
            <w:pPr>
              <w:spacing w:after="0"/>
              <w:rPr>
                <w:rFonts w:ascii="仿宋" w:hAnsi="仿宋" w:eastAsia="仿宋"/>
                <w:sz w:val="24"/>
                <w:szCs w:val="24"/>
              </w:rPr>
            </w:pPr>
          </w:p>
        </w:tc>
      </w:tr>
      <w:tr w14:paraId="65AB9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jc w:val="center"/>
        </w:trPr>
        <w:tc>
          <w:tcPr>
            <w:tcW w:w="457" w:type="dxa"/>
            <w:vMerge w:val="restart"/>
            <w:vAlign w:val="center"/>
          </w:tcPr>
          <w:p w14:paraId="2FFE1F0F">
            <w:pPr>
              <w:spacing w:after="0"/>
              <w:rPr>
                <w:rFonts w:ascii="仿宋" w:hAnsi="仿宋" w:eastAsia="仿宋"/>
                <w:b/>
                <w:sz w:val="24"/>
                <w:szCs w:val="24"/>
              </w:rPr>
            </w:pPr>
            <w:r>
              <w:rPr>
                <w:rFonts w:hint="eastAsia" w:ascii="仿宋" w:hAnsi="仿宋" w:eastAsia="仿宋"/>
                <w:b/>
                <w:sz w:val="24"/>
                <w:szCs w:val="24"/>
              </w:rPr>
              <w:t>排</w:t>
            </w:r>
          </w:p>
          <w:p w14:paraId="5B245A1D">
            <w:pPr>
              <w:spacing w:after="0"/>
              <w:rPr>
                <w:rFonts w:ascii="仿宋" w:hAnsi="仿宋" w:eastAsia="仿宋"/>
                <w:b/>
                <w:sz w:val="24"/>
                <w:szCs w:val="24"/>
              </w:rPr>
            </w:pPr>
            <w:r>
              <w:rPr>
                <w:rFonts w:hint="eastAsia" w:ascii="仿宋" w:hAnsi="仿宋" w:eastAsia="仿宋"/>
                <w:b/>
                <w:sz w:val="24"/>
                <w:szCs w:val="24"/>
              </w:rPr>
              <w:t>放</w:t>
            </w:r>
          </w:p>
          <w:p w14:paraId="1F3A7B91">
            <w:pPr>
              <w:spacing w:after="0"/>
              <w:rPr>
                <w:rFonts w:ascii="仿宋" w:hAnsi="仿宋" w:eastAsia="仿宋"/>
                <w:b/>
                <w:sz w:val="24"/>
                <w:szCs w:val="24"/>
              </w:rPr>
            </w:pPr>
            <w:r>
              <w:rPr>
                <w:rFonts w:hint="eastAsia" w:ascii="仿宋" w:hAnsi="仿宋" w:eastAsia="仿宋"/>
                <w:b/>
                <w:sz w:val="24"/>
                <w:szCs w:val="24"/>
              </w:rPr>
              <w:t>因</w:t>
            </w:r>
          </w:p>
          <w:p w14:paraId="6E29D414">
            <w:pPr>
              <w:spacing w:after="0"/>
              <w:rPr>
                <w:rFonts w:ascii="仿宋" w:hAnsi="仿宋" w:eastAsia="仿宋"/>
                <w:b/>
                <w:sz w:val="24"/>
                <w:szCs w:val="24"/>
              </w:rPr>
            </w:pPr>
            <w:r>
              <w:rPr>
                <w:rFonts w:hint="eastAsia" w:ascii="仿宋" w:hAnsi="仿宋" w:eastAsia="仿宋"/>
                <w:b/>
                <w:sz w:val="24"/>
                <w:szCs w:val="24"/>
              </w:rPr>
              <w:t>子</w:t>
            </w:r>
          </w:p>
        </w:tc>
        <w:tc>
          <w:tcPr>
            <w:tcW w:w="457" w:type="dxa"/>
            <w:vMerge w:val="restart"/>
            <w:vAlign w:val="center"/>
          </w:tcPr>
          <w:p w14:paraId="056087B1">
            <w:pPr>
              <w:spacing w:after="0"/>
              <w:rPr>
                <w:rFonts w:ascii="仿宋" w:hAnsi="仿宋" w:eastAsia="仿宋"/>
                <w:b/>
                <w:sz w:val="24"/>
                <w:szCs w:val="24"/>
              </w:rPr>
            </w:pPr>
            <w:r>
              <w:rPr>
                <w:rFonts w:hint="eastAsia" w:ascii="仿宋" w:hAnsi="仿宋" w:eastAsia="仿宋"/>
                <w:b/>
                <w:sz w:val="24"/>
                <w:szCs w:val="24"/>
              </w:rPr>
              <w:t>直</w:t>
            </w:r>
          </w:p>
          <w:p w14:paraId="25535A2A">
            <w:pPr>
              <w:spacing w:after="0"/>
              <w:rPr>
                <w:rFonts w:ascii="仿宋" w:hAnsi="仿宋" w:eastAsia="仿宋"/>
                <w:b/>
                <w:sz w:val="24"/>
                <w:szCs w:val="24"/>
              </w:rPr>
            </w:pPr>
            <w:r>
              <w:rPr>
                <w:rFonts w:hint="eastAsia" w:ascii="仿宋" w:hAnsi="仿宋" w:eastAsia="仿宋"/>
                <w:b/>
                <w:sz w:val="24"/>
                <w:szCs w:val="24"/>
              </w:rPr>
              <w:t>接</w:t>
            </w:r>
          </w:p>
          <w:p w14:paraId="7CF3224B">
            <w:pPr>
              <w:spacing w:after="0"/>
              <w:rPr>
                <w:rFonts w:ascii="仿宋" w:hAnsi="仿宋" w:eastAsia="仿宋"/>
                <w:b/>
                <w:sz w:val="24"/>
                <w:szCs w:val="24"/>
              </w:rPr>
            </w:pPr>
            <w:r>
              <w:rPr>
                <w:rFonts w:hint="eastAsia" w:ascii="仿宋" w:hAnsi="仿宋" w:eastAsia="仿宋"/>
                <w:b/>
                <w:sz w:val="24"/>
                <w:szCs w:val="24"/>
              </w:rPr>
              <w:t>排</w:t>
            </w:r>
          </w:p>
          <w:p w14:paraId="24291642">
            <w:pPr>
              <w:spacing w:after="0"/>
              <w:rPr>
                <w:rFonts w:ascii="仿宋" w:hAnsi="仿宋" w:eastAsia="仿宋"/>
                <w:b/>
                <w:sz w:val="24"/>
                <w:szCs w:val="24"/>
              </w:rPr>
            </w:pPr>
            <w:r>
              <w:rPr>
                <w:rFonts w:hint="eastAsia" w:ascii="仿宋" w:hAnsi="仿宋" w:eastAsia="仿宋"/>
                <w:b/>
                <w:sz w:val="24"/>
                <w:szCs w:val="24"/>
              </w:rPr>
              <w:t>放</w:t>
            </w:r>
          </w:p>
        </w:tc>
        <w:tc>
          <w:tcPr>
            <w:tcW w:w="1167" w:type="dxa"/>
            <w:vAlign w:val="center"/>
          </w:tcPr>
          <w:p w14:paraId="022C9E52">
            <w:pPr>
              <w:spacing w:after="0"/>
              <w:jc w:val="center"/>
              <w:rPr>
                <w:rFonts w:ascii="仿宋" w:hAnsi="仿宋" w:eastAsia="仿宋"/>
                <w:b/>
                <w:sz w:val="24"/>
                <w:szCs w:val="24"/>
              </w:rPr>
            </w:pPr>
            <w:r>
              <w:rPr>
                <w:rFonts w:hint="eastAsia" w:ascii="仿宋" w:hAnsi="仿宋" w:eastAsia="仿宋"/>
                <w:b/>
                <w:sz w:val="24"/>
                <w:szCs w:val="24"/>
              </w:rPr>
              <w:t>数据1</w:t>
            </w:r>
          </w:p>
        </w:tc>
        <w:tc>
          <w:tcPr>
            <w:tcW w:w="992" w:type="dxa"/>
            <w:vAlign w:val="center"/>
          </w:tcPr>
          <w:p w14:paraId="318E5656">
            <w:pPr>
              <w:spacing w:after="0"/>
              <w:rPr>
                <w:rFonts w:ascii="仿宋" w:hAnsi="仿宋" w:eastAsia="仿宋"/>
                <w:sz w:val="24"/>
                <w:szCs w:val="24"/>
              </w:rPr>
            </w:pPr>
          </w:p>
        </w:tc>
        <w:tc>
          <w:tcPr>
            <w:tcW w:w="993" w:type="dxa"/>
          </w:tcPr>
          <w:p w14:paraId="4CA05488">
            <w:pPr>
              <w:spacing w:after="0"/>
              <w:rPr>
                <w:rFonts w:ascii="仿宋" w:hAnsi="仿宋" w:eastAsia="仿宋"/>
                <w:sz w:val="24"/>
                <w:szCs w:val="24"/>
              </w:rPr>
            </w:pPr>
          </w:p>
        </w:tc>
        <w:tc>
          <w:tcPr>
            <w:tcW w:w="3191" w:type="dxa"/>
            <w:vAlign w:val="center"/>
          </w:tcPr>
          <w:p w14:paraId="7ACE1BB6">
            <w:pPr>
              <w:spacing w:after="0"/>
              <w:rPr>
                <w:rFonts w:ascii="仿宋" w:hAnsi="仿宋" w:eastAsia="仿宋"/>
                <w:sz w:val="24"/>
                <w:szCs w:val="24"/>
              </w:rPr>
            </w:pPr>
          </w:p>
        </w:tc>
        <w:tc>
          <w:tcPr>
            <w:tcW w:w="1525" w:type="dxa"/>
            <w:vAlign w:val="center"/>
          </w:tcPr>
          <w:p w14:paraId="64968784">
            <w:pPr>
              <w:spacing w:after="0"/>
              <w:rPr>
                <w:rFonts w:ascii="仿宋" w:hAnsi="仿宋" w:eastAsia="仿宋"/>
                <w:sz w:val="24"/>
                <w:szCs w:val="24"/>
              </w:rPr>
            </w:pPr>
          </w:p>
        </w:tc>
      </w:tr>
      <w:tr w14:paraId="1663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562D7D36">
            <w:pPr>
              <w:spacing w:after="0"/>
              <w:rPr>
                <w:rFonts w:ascii="仿宋" w:hAnsi="仿宋" w:eastAsia="仿宋"/>
                <w:b/>
                <w:sz w:val="24"/>
                <w:szCs w:val="24"/>
              </w:rPr>
            </w:pPr>
          </w:p>
        </w:tc>
        <w:tc>
          <w:tcPr>
            <w:tcW w:w="457" w:type="dxa"/>
            <w:vMerge w:val="continue"/>
            <w:vAlign w:val="center"/>
          </w:tcPr>
          <w:p w14:paraId="37396D8A">
            <w:pPr>
              <w:spacing w:after="0"/>
              <w:rPr>
                <w:rFonts w:ascii="仿宋" w:hAnsi="仿宋" w:eastAsia="仿宋"/>
                <w:b/>
                <w:sz w:val="24"/>
                <w:szCs w:val="24"/>
              </w:rPr>
            </w:pPr>
          </w:p>
        </w:tc>
        <w:tc>
          <w:tcPr>
            <w:tcW w:w="1167" w:type="dxa"/>
            <w:vAlign w:val="center"/>
          </w:tcPr>
          <w:p w14:paraId="742EBD96">
            <w:pPr>
              <w:spacing w:after="0"/>
              <w:jc w:val="center"/>
              <w:rPr>
                <w:rFonts w:ascii="仿宋" w:hAnsi="仿宋" w:eastAsia="仿宋"/>
                <w:b/>
                <w:sz w:val="24"/>
                <w:szCs w:val="24"/>
              </w:rPr>
            </w:pPr>
            <w:r>
              <w:rPr>
                <w:rFonts w:hint="eastAsia" w:ascii="仿宋" w:hAnsi="仿宋" w:eastAsia="仿宋"/>
                <w:b/>
                <w:sz w:val="24"/>
                <w:szCs w:val="24"/>
              </w:rPr>
              <w:t>数据2</w:t>
            </w:r>
          </w:p>
        </w:tc>
        <w:tc>
          <w:tcPr>
            <w:tcW w:w="992" w:type="dxa"/>
            <w:vAlign w:val="center"/>
          </w:tcPr>
          <w:p w14:paraId="52ADA094">
            <w:pPr>
              <w:spacing w:after="0"/>
              <w:rPr>
                <w:rFonts w:ascii="仿宋" w:hAnsi="仿宋" w:eastAsia="仿宋"/>
                <w:sz w:val="24"/>
                <w:szCs w:val="24"/>
              </w:rPr>
            </w:pPr>
          </w:p>
        </w:tc>
        <w:tc>
          <w:tcPr>
            <w:tcW w:w="993" w:type="dxa"/>
          </w:tcPr>
          <w:p w14:paraId="1B5F2479">
            <w:pPr>
              <w:spacing w:after="0"/>
              <w:rPr>
                <w:rFonts w:ascii="仿宋" w:hAnsi="仿宋" w:eastAsia="仿宋"/>
                <w:sz w:val="24"/>
                <w:szCs w:val="24"/>
              </w:rPr>
            </w:pPr>
          </w:p>
        </w:tc>
        <w:tc>
          <w:tcPr>
            <w:tcW w:w="3191" w:type="dxa"/>
            <w:vAlign w:val="center"/>
          </w:tcPr>
          <w:p w14:paraId="25623C43">
            <w:pPr>
              <w:spacing w:after="0"/>
              <w:rPr>
                <w:rFonts w:ascii="仿宋" w:hAnsi="仿宋" w:eastAsia="仿宋"/>
                <w:sz w:val="24"/>
                <w:szCs w:val="24"/>
              </w:rPr>
            </w:pPr>
          </w:p>
        </w:tc>
        <w:tc>
          <w:tcPr>
            <w:tcW w:w="1525" w:type="dxa"/>
            <w:vAlign w:val="center"/>
          </w:tcPr>
          <w:p w14:paraId="18FA3370">
            <w:pPr>
              <w:spacing w:after="0"/>
              <w:rPr>
                <w:rFonts w:ascii="仿宋" w:hAnsi="仿宋" w:eastAsia="仿宋"/>
                <w:sz w:val="24"/>
                <w:szCs w:val="24"/>
              </w:rPr>
            </w:pPr>
          </w:p>
        </w:tc>
      </w:tr>
      <w:tr w14:paraId="79A3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2D43D87E">
            <w:pPr>
              <w:spacing w:after="0"/>
              <w:rPr>
                <w:rFonts w:ascii="仿宋" w:hAnsi="仿宋" w:eastAsia="仿宋"/>
                <w:b/>
                <w:sz w:val="24"/>
                <w:szCs w:val="24"/>
              </w:rPr>
            </w:pPr>
          </w:p>
        </w:tc>
        <w:tc>
          <w:tcPr>
            <w:tcW w:w="457" w:type="dxa"/>
            <w:vMerge w:val="continue"/>
            <w:vAlign w:val="center"/>
          </w:tcPr>
          <w:p w14:paraId="21BDEE9E">
            <w:pPr>
              <w:spacing w:after="0"/>
              <w:rPr>
                <w:rFonts w:ascii="仿宋" w:hAnsi="仿宋" w:eastAsia="仿宋"/>
                <w:b/>
                <w:sz w:val="24"/>
                <w:szCs w:val="24"/>
              </w:rPr>
            </w:pPr>
          </w:p>
        </w:tc>
        <w:tc>
          <w:tcPr>
            <w:tcW w:w="1167" w:type="dxa"/>
            <w:vAlign w:val="center"/>
          </w:tcPr>
          <w:p w14:paraId="7658E52F">
            <w:pPr>
              <w:spacing w:after="0"/>
              <w:jc w:val="center"/>
              <w:rPr>
                <w:rFonts w:ascii="仿宋" w:hAnsi="仿宋" w:eastAsia="仿宋"/>
                <w:b/>
                <w:sz w:val="24"/>
                <w:szCs w:val="24"/>
              </w:rPr>
            </w:pPr>
            <w:r>
              <w:rPr>
                <w:rFonts w:hint="eastAsia" w:ascii="仿宋" w:hAnsi="仿宋" w:eastAsia="仿宋"/>
                <w:b/>
                <w:sz w:val="24"/>
                <w:szCs w:val="24"/>
              </w:rPr>
              <w:t>数据3</w:t>
            </w:r>
          </w:p>
        </w:tc>
        <w:tc>
          <w:tcPr>
            <w:tcW w:w="992" w:type="dxa"/>
            <w:vAlign w:val="center"/>
          </w:tcPr>
          <w:p w14:paraId="4DB23FF0">
            <w:pPr>
              <w:spacing w:after="0"/>
              <w:rPr>
                <w:rFonts w:ascii="仿宋" w:hAnsi="仿宋" w:eastAsia="仿宋"/>
                <w:sz w:val="24"/>
                <w:szCs w:val="24"/>
              </w:rPr>
            </w:pPr>
          </w:p>
        </w:tc>
        <w:tc>
          <w:tcPr>
            <w:tcW w:w="993" w:type="dxa"/>
          </w:tcPr>
          <w:p w14:paraId="65A226A6">
            <w:pPr>
              <w:spacing w:after="0"/>
              <w:rPr>
                <w:rFonts w:ascii="仿宋" w:hAnsi="仿宋" w:eastAsia="仿宋"/>
                <w:sz w:val="24"/>
                <w:szCs w:val="24"/>
              </w:rPr>
            </w:pPr>
          </w:p>
        </w:tc>
        <w:tc>
          <w:tcPr>
            <w:tcW w:w="3191" w:type="dxa"/>
            <w:vAlign w:val="center"/>
          </w:tcPr>
          <w:p w14:paraId="1D12C123">
            <w:pPr>
              <w:spacing w:after="0"/>
              <w:rPr>
                <w:rFonts w:ascii="仿宋" w:hAnsi="仿宋" w:eastAsia="仿宋"/>
                <w:sz w:val="24"/>
                <w:szCs w:val="24"/>
              </w:rPr>
            </w:pPr>
          </w:p>
        </w:tc>
        <w:tc>
          <w:tcPr>
            <w:tcW w:w="1525" w:type="dxa"/>
            <w:vAlign w:val="center"/>
          </w:tcPr>
          <w:p w14:paraId="3F4F02B2">
            <w:pPr>
              <w:spacing w:after="0"/>
              <w:rPr>
                <w:rFonts w:ascii="仿宋" w:hAnsi="仿宋" w:eastAsia="仿宋"/>
                <w:sz w:val="24"/>
                <w:szCs w:val="24"/>
              </w:rPr>
            </w:pPr>
          </w:p>
        </w:tc>
      </w:tr>
      <w:tr w14:paraId="680C3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1B4668BE">
            <w:pPr>
              <w:spacing w:after="0"/>
              <w:rPr>
                <w:rFonts w:ascii="仿宋" w:hAnsi="仿宋" w:eastAsia="仿宋"/>
                <w:b/>
                <w:sz w:val="24"/>
                <w:szCs w:val="24"/>
              </w:rPr>
            </w:pPr>
          </w:p>
        </w:tc>
        <w:tc>
          <w:tcPr>
            <w:tcW w:w="457" w:type="dxa"/>
            <w:vMerge w:val="continue"/>
            <w:vAlign w:val="center"/>
          </w:tcPr>
          <w:p w14:paraId="4C73A868">
            <w:pPr>
              <w:spacing w:after="0"/>
              <w:rPr>
                <w:rFonts w:ascii="仿宋" w:hAnsi="仿宋" w:eastAsia="仿宋"/>
                <w:b/>
                <w:sz w:val="24"/>
                <w:szCs w:val="24"/>
              </w:rPr>
            </w:pPr>
          </w:p>
        </w:tc>
        <w:tc>
          <w:tcPr>
            <w:tcW w:w="1167" w:type="dxa"/>
            <w:vAlign w:val="center"/>
          </w:tcPr>
          <w:p w14:paraId="4B0E73AF">
            <w:pPr>
              <w:spacing w:after="0"/>
              <w:jc w:val="center"/>
              <w:rPr>
                <w:rFonts w:ascii="仿宋" w:hAnsi="仿宋" w:eastAsia="仿宋"/>
                <w:b/>
                <w:sz w:val="24"/>
                <w:szCs w:val="24"/>
              </w:rPr>
            </w:pPr>
            <w:r>
              <w:rPr>
                <w:rFonts w:hint="eastAsia" w:ascii="仿宋" w:hAnsi="仿宋" w:eastAsia="仿宋"/>
                <w:b/>
                <w:sz w:val="24"/>
                <w:szCs w:val="24"/>
              </w:rPr>
              <w:t>数据4</w:t>
            </w:r>
          </w:p>
        </w:tc>
        <w:tc>
          <w:tcPr>
            <w:tcW w:w="992" w:type="dxa"/>
            <w:vAlign w:val="center"/>
          </w:tcPr>
          <w:p w14:paraId="28F69CB8">
            <w:pPr>
              <w:spacing w:after="0"/>
              <w:rPr>
                <w:rFonts w:ascii="仿宋" w:hAnsi="仿宋" w:eastAsia="仿宋"/>
                <w:sz w:val="24"/>
                <w:szCs w:val="24"/>
              </w:rPr>
            </w:pPr>
          </w:p>
        </w:tc>
        <w:tc>
          <w:tcPr>
            <w:tcW w:w="993" w:type="dxa"/>
          </w:tcPr>
          <w:p w14:paraId="69BC9698">
            <w:pPr>
              <w:spacing w:after="0"/>
              <w:rPr>
                <w:rFonts w:ascii="仿宋" w:hAnsi="仿宋" w:eastAsia="仿宋"/>
                <w:sz w:val="24"/>
                <w:szCs w:val="24"/>
              </w:rPr>
            </w:pPr>
          </w:p>
        </w:tc>
        <w:tc>
          <w:tcPr>
            <w:tcW w:w="3191" w:type="dxa"/>
            <w:vAlign w:val="center"/>
          </w:tcPr>
          <w:p w14:paraId="3D9AF94E">
            <w:pPr>
              <w:spacing w:after="0"/>
              <w:rPr>
                <w:rFonts w:ascii="仿宋" w:hAnsi="仿宋" w:eastAsia="仿宋"/>
                <w:sz w:val="24"/>
                <w:szCs w:val="24"/>
              </w:rPr>
            </w:pPr>
          </w:p>
        </w:tc>
        <w:tc>
          <w:tcPr>
            <w:tcW w:w="1525" w:type="dxa"/>
            <w:vAlign w:val="center"/>
          </w:tcPr>
          <w:p w14:paraId="7B8CC6F7">
            <w:pPr>
              <w:spacing w:after="0"/>
              <w:rPr>
                <w:rFonts w:ascii="仿宋" w:hAnsi="仿宋" w:eastAsia="仿宋"/>
                <w:sz w:val="24"/>
                <w:szCs w:val="24"/>
              </w:rPr>
            </w:pPr>
          </w:p>
        </w:tc>
      </w:tr>
      <w:tr w14:paraId="06C3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1879F361">
            <w:pPr>
              <w:spacing w:after="0"/>
              <w:rPr>
                <w:rFonts w:ascii="仿宋" w:hAnsi="仿宋" w:eastAsia="仿宋"/>
                <w:b/>
                <w:sz w:val="24"/>
                <w:szCs w:val="24"/>
              </w:rPr>
            </w:pPr>
          </w:p>
        </w:tc>
        <w:tc>
          <w:tcPr>
            <w:tcW w:w="457" w:type="dxa"/>
            <w:vMerge w:val="continue"/>
            <w:vAlign w:val="center"/>
          </w:tcPr>
          <w:p w14:paraId="1B244707">
            <w:pPr>
              <w:spacing w:after="0"/>
              <w:rPr>
                <w:rFonts w:ascii="仿宋" w:hAnsi="仿宋" w:eastAsia="仿宋"/>
                <w:b/>
                <w:sz w:val="24"/>
                <w:szCs w:val="24"/>
              </w:rPr>
            </w:pPr>
          </w:p>
        </w:tc>
        <w:tc>
          <w:tcPr>
            <w:tcW w:w="1167" w:type="dxa"/>
            <w:vAlign w:val="center"/>
          </w:tcPr>
          <w:p w14:paraId="45A5CA19">
            <w:pPr>
              <w:spacing w:after="0"/>
              <w:jc w:val="center"/>
              <w:rPr>
                <w:rFonts w:ascii="仿宋" w:hAnsi="仿宋" w:eastAsia="仿宋"/>
                <w:b/>
                <w:sz w:val="24"/>
                <w:szCs w:val="24"/>
              </w:rPr>
            </w:pPr>
            <w:r>
              <w:rPr>
                <w:rFonts w:hint="eastAsia" w:ascii="仿宋" w:hAnsi="仿宋" w:eastAsia="仿宋"/>
                <w:b/>
                <w:sz w:val="24"/>
                <w:szCs w:val="24"/>
              </w:rPr>
              <w:t>数据…</w:t>
            </w:r>
          </w:p>
        </w:tc>
        <w:tc>
          <w:tcPr>
            <w:tcW w:w="992" w:type="dxa"/>
            <w:vAlign w:val="center"/>
          </w:tcPr>
          <w:p w14:paraId="7DAFEF54">
            <w:pPr>
              <w:spacing w:after="0"/>
              <w:rPr>
                <w:rFonts w:ascii="仿宋" w:hAnsi="仿宋" w:eastAsia="仿宋"/>
                <w:sz w:val="24"/>
                <w:szCs w:val="24"/>
              </w:rPr>
            </w:pPr>
          </w:p>
        </w:tc>
        <w:tc>
          <w:tcPr>
            <w:tcW w:w="993" w:type="dxa"/>
          </w:tcPr>
          <w:p w14:paraId="4F1A3889">
            <w:pPr>
              <w:spacing w:after="0"/>
              <w:rPr>
                <w:rFonts w:ascii="仿宋" w:hAnsi="仿宋" w:eastAsia="仿宋"/>
                <w:sz w:val="24"/>
                <w:szCs w:val="24"/>
              </w:rPr>
            </w:pPr>
          </w:p>
        </w:tc>
        <w:tc>
          <w:tcPr>
            <w:tcW w:w="3191" w:type="dxa"/>
            <w:vAlign w:val="center"/>
          </w:tcPr>
          <w:p w14:paraId="529F4595">
            <w:pPr>
              <w:spacing w:after="0"/>
              <w:rPr>
                <w:rFonts w:ascii="仿宋" w:hAnsi="仿宋" w:eastAsia="仿宋"/>
                <w:sz w:val="24"/>
                <w:szCs w:val="24"/>
              </w:rPr>
            </w:pPr>
          </w:p>
        </w:tc>
        <w:tc>
          <w:tcPr>
            <w:tcW w:w="1525" w:type="dxa"/>
            <w:vAlign w:val="center"/>
          </w:tcPr>
          <w:p w14:paraId="38B2BD8F">
            <w:pPr>
              <w:spacing w:after="0"/>
              <w:rPr>
                <w:rFonts w:ascii="仿宋" w:hAnsi="仿宋" w:eastAsia="仿宋"/>
                <w:sz w:val="24"/>
                <w:szCs w:val="24"/>
              </w:rPr>
            </w:pPr>
          </w:p>
        </w:tc>
      </w:tr>
      <w:tr w14:paraId="69955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jc w:val="center"/>
        </w:trPr>
        <w:tc>
          <w:tcPr>
            <w:tcW w:w="457" w:type="dxa"/>
            <w:vMerge w:val="continue"/>
            <w:vAlign w:val="center"/>
          </w:tcPr>
          <w:p w14:paraId="00557015">
            <w:pPr>
              <w:spacing w:after="0"/>
              <w:rPr>
                <w:rFonts w:ascii="仿宋" w:hAnsi="仿宋" w:eastAsia="仿宋"/>
                <w:b/>
                <w:sz w:val="24"/>
                <w:szCs w:val="24"/>
              </w:rPr>
            </w:pPr>
          </w:p>
        </w:tc>
        <w:tc>
          <w:tcPr>
            <w:tcW w:w="457" w:type="dxa"/>
            <w:vMerge w:val="restart"/>
            <w:vAlign w:val="center"/>
          </w:tcPr>
          <w:p w14:paraId="43115CC8">
            <w:pPr>
              <w:spacing w:after="0"/>
              <w:rPr>
                <w:rFonts w:ascii="仿宋" w:hAnsi="仿宋" w:eastAsia="仿宋"/>
                <w:b/>
                <w:sz w:val="24"/>
                <w:szCs w:val="24"/>
              </w:rPr>
            </w:pPr>
            <w:r>
              <w:rPr>
                <w:rFonts w:hint="eastAsia" w:ascii="仿宋" w:hAnsi="仿宋" w:eastAsia="仿宋"/>
                <w:b/>
                <w:sz w:val="24"/>
                <w:szCs w:val="24"/>
              </w:rPr>
              <w:t>间接</w:t>
            </w:r>
          </w:p>
          <w:p w14:paraId="44CD665C">
            <w:pPr>
              <w:spacing w:after="0"/>
              <w:rPr>
                <w:rFonts w:ascii="仿宋" w:hAnsi="仿宋" w:eastAsia="仿宋"/>
                <w:b/>
                <w:sz w:val="24"/>
                <w:szCs w:val="24"/>
              </w:rPr>
            </w:pPr>
            <w:r>
              <w:rPr>
                <w:rFonts w:hint="eastAsia" w:ascii="仿宋" w:hAnsi="仿宋" w:eastAsia="仿宋"/>
                <w:b/>
                <w:sz w:val="24"/>
                <w:szCs w:val="24"/>
              </w:rPr>
              <w:t>排放</w:t>
            </w:r>
          </w:p>
        </w:tc>
        <w:tc>
          <w:tcPr>
            <w:tcW w:w="1167" w:type="dxa"/>
            <w:vAlign w:val="center"/>
          </w:tcPr>
          <w:p w14:paraId="5D763C7F">
            <w:pPr>
              <w:spacing w:after="0"/>
              <w:jc w:val="center"/>
              <w:rPr>
                <w:rFonts w:ascii="仿宋" w:hAnsi="仿宋" w:eastAsia="仿宋"/>
                <w:b/>
                <w:sz w:val="24"/>
                <w:szCs w:val="24"/>
              </w:rPr>
            </w:pPr>
            <w:r>
              <w:rPr>
                <w:rFonts w:hint="eastAsia" w:ascii="仿宋" w:hAnsi="仿宋" w:eastAsia="仿宋"/>
                <w:b/>
                <w:sz w:val="24"/>
                <w:szCs w:val="24"/>
              </w:rPr>
              <w:t>数据1</w:t>
            </w:r>
          </w:p>
        </w:tc>
        <w:tc>
          <w:tcPr>
            <w:tcW w:w="992" w:type="dxa"/>
            <w:vAlign w:val="center"/>
          </w:tcPr>
          <w:p w14:paraId="0A238F95">
            <w:pPr>
              <w:spacing w:after="0"/>
              <w:rPr>
                <w:rFonts w:ascii="仿宋" w:hAnsi="仿宋" w:eastAsia="仿宋"/>
                <w:sz w:val="24"/>
                <w:szCs w:val="24"/>
              </w:rPr>
            </w:pPr>
          </w:p>
        </w:tc>
        <w:tc>
          <w:tcPr>
            <w:tcW w:w="993" w:type="dxa"/>
          </w:tcPr>
          <w:p w14:paraId="53C5EDA4">
            <w:pPr>
              <w:spacing w:after="0"/>
              <w:rPr>
                <w:rFonts w:ascii="仿宋" w:hAnsi="仿宋" w:eastAsia="仿宋"/>
                <w:sz w:val="24"/>
                <w:szCs w:val="24"/>
              </w:rPr>
            </w:pPr>
          </w:p>
        </w:tc>
        <w:tc>
          <w:tcPr>
            <w:tcW w:w="3191" w:type="dxa"/>
            <w:vAlign w:val="center"/>
          </w:tcPr>
          <w:p w14:paraId="42EA1E49">
            <w:pPr>
              <w:spacing w:after="0"/>
              <w:rPr>
                <w:rFonts w:ascii="仿宋" w:hAnsi="仿宋" w:eastAsia="仿宋"/>
                <w:sz w:val="24"/>
                <w:szCs w:val="24"/>
              </w:rPr>
            </w:pPr>
          </w:p>
        </w:tc>
        <w:tc>
          <w:tcPr>
            <w:tcW w:w="1525" w:type="dxa"/>
            <w:vAlign w:val="center"/>
          </w:tcPr>
          <w:p w14:paraId="65A3B4EC">
            <w:pPr>
              <w:spacing w:after="0"/>
              <w:rPr>
                <w:rFonts w:ascii="仿宋" w:hAnsi="仿宋" w:eastAsia="仿宋"/>
                <w:sz w:val="24"/>
                <w:szCs w:val="24"/>
              </w:rPr>
            </w:pPr>
          </w:p>
        </w:tc>
      </w:tr>
      <w:tr w14:paraId="4CC3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04DC276E">
            <w:pPr>
              <w:spacing w:after="0"/>
              <w:rPr>
                <w:rFonts w:ascii="仿宋" w:hAnsi="仿宋" w:eastAsia="仿宋"/>
                <w:b/>
                <w:sz w:val="24"/>
                <w:szCs w:val="24"/>
              </w:rPr>
            </w:pPr>
          </w:p>
        </w:tc>
        <w:tc>
          <w:tcPr>
            <w:tcW w:w="457" w:type="dxa"/>
            <w:vMerge w:val="continue"/>
            <w:vAlign w:val="center"/>
          </w:tcPr>
          <w:p w14:paraId="41A7FED3">
            <w:pPr>
              <w:spacing w:after="0"/>
              <w:rPr>
                <w:rFonts w:ascii="仿宋" w:hAnsi="仿宋" w:eastAsia="仿宋"/>
                <w:b/>
                <w:sz w:val="24"/>
                <w:szCs w:val="24"/>
              </w:rPr>
            </w:pPr>
          </w:p>
        </w:tc>
        <w:tc>
          <w:tcPr>
            <w:tcW w:w="1167" w:type="dxa"/>
            <w:vAlign w:val="center"/>
          </w:tcPr>
          <w:p w14:paraId="5E5B9D1F">
            <w:pPr>
              <w:spacing w:after="0"/>
              <w:jc w:val="center"/>
              <w:rPr>
                <w:rFonts w:ascii="仿宋" w:hAnsi="仿宋" w:eastAsia="仿宋"/>
                <w:b/>
                <w:sz w:val="24"/>
                <w:szCs w:val="24"/>
              </w:rPr>
            </w:pPr>
            <w:r>
              <w:rPr>
                <w:rFonts w:hint="eastAsia" w:ascii="仿宋" w:hAnsi="仿宋" w:eastAsia="仿宋"/>
                <w:b/>
                <w:sz w:val="24"/>
                <w:szCs w:val="24"/>
              </w:rPr>
              <w:t>数据2</w:t>
            </w:r>
          </w:p>
        </w:tc>
        <w:tc>
          <w:tcPr>
            <w:tcW w:w="992" w:type="dxa"/>
            <w:vAlign w:val="center"/>
          </w:tcPr>
          <w:p w14:paraId="1B1DA888">
            <w:pPr>
              <w:spacing w:after="0"/>
              <w:rPr>
                <w:rFonts w:ascii="仿宋" w:hAnsi="仿宋" w:eastAsia="仿宋"/>
                <w:sz w:val="24"/>
                <w:szCs w:val="24"/>
              </w:rPr>
            </w:pPr>
          </w:p>
        </w:tc>
        <w:tc>
          <w:tcPr>
            <w:tcW w:w="993" w:type="dxa"/>
          </w:tcPr>
          <w:p w14:paraId="7DFCB80E">
            <w:pPr>
              <w:spacing w:after="0"/>
              <w:rPr>
                <w:rFonts w:ascii="仿宋" w:hAnsi="仿宋" w:eastAsia="仿宋"/>
                <w:sz w:val="24"/>
                <w:szCs w:val="24"/>
              </w:rPr>
            </w:pPr>
          </w:p>
        </w:tc>
        <w:tc>
          <w:tcPr>
            <w:tcW w:w="3191" w:type="dxa"/>
            <w:vAlign w:val="center"/>
          </w:tcPr>
          <w:p w14:paraId="3D86B5E9">
            <w:pPr>
              <w:spacing w:after="0"/>
              <w:rPr>
                <w:rFonts w:ascii="仿宋" w:hAnsi="仿宋" w:eastAsia="仿宋"/>
                <w:sz w:val="24"/>
                <w:szCs w:val="24"/>
              </w:rPr>
            </w:pPr>
          </w:p>
        </w:tc>
        <w:tc>
          <w:tcPr>
            <w:tcW w:w="1525" w:type="dxa"/>
            <w:vAlign w:val="center"/>
          </w:tcPr>
          <w:p w14:paraId="69B88AAE">
            <w:pPr>
              <w:spacing w:after="0"/>
              <w:rPr>
                <w:rFonts w:ascii="仿宋" w:hAnsi="仿宋" w:eastAsia="仿宋"/>
                <w:sz w:val="24"/>
                <w:szCs w:val="24"/>
              </w:rPr>
            </w:pPr>
          </w:p>
        </w:tc>
      </w:tr>
      <w:tr w14:paraId="6744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4DE4359C">
            <w:pPr>
              <w:spacing w:after="0"/>
              <w:rPr>
                <w:rFonts w:ascii="仿宋" w:hAnsi="仿宋" w:eastAsia="仿宋"/>
                <w:b/>
                <w:sz w:val="24"/>
                <w:szCs w:val="24"/>
              </w:rPr>
            </w:pPr>
          </w:p>
        </w:tc>
        <w:tc>
          <w:tcPr>
            <w:tcW w:w="457" w:type="dxa"/>
            <w:vMerge w:val="continue"/>
            <w:vAlign w:val="center"/>
          </w:tcPr>
          <w:p w14:paraId="55FCF0AE">
            <w:pPr>
              <w:spacing w:after="0"/>
              <w:rPr>
                <w:rFonts w:ascii="仿宋" w:hAnsi="仿宋" w:eastAsia="仿宋"/>
                <w:b/>
                <w:sz w:val="24"/>
                <w:szCs w:val="24"/>
              </w:rPr>
            </w:pPr>
          </w:p>
        </w:tc>
        <w:tc>
          <w:tcPr>
            <w:tcW w:w="1167" w:type="dxa"/>
            <w:vAlign w:val="center"/>
          </w:tcPr>
          <w:p w14:paraId="33B6A238">
            <w:pPr>
              <w:spacing w:after="0"/>
              <w:jc w:val="center"/>
              <w:rPr>
                <w:rFonts w:ascii="仿宋" w:hAnsi="仿宋" w:eastAsia="仿宋"/>
                <w:b/>
                <w:sz w:val="24"/>
                <w:szCs w:val="24"/>
              </w:rPr>
            </w:pPr>
            <w:r>
              <w:rPr>
                <w:rFonts w:hint="eastAsia" w:ascii="仿宋" w:hAnsi="仿宋" w:eastAsia="仿宋"/>
                <w:b/>
                <w:sz w:val="24"/>
                <w:szCs w:val="24"/>
              </w:rPr>
              <w:t>数据3</w:t>
            </w:r>
          </w:p>
        </w:tc>
        <w:tc>
          <w:tcPr>
            <w:tcW w:w="992" w:type="dxa"/>
            <w:vAlign w:val="center"/>
          </w:tcPr>
          <w:p w14:paraId="7B61EC9C">
            <w:pPr>
              <w:spacing w:after="0"/>
              <w:rPr>
                <w:rFonts w:ascii="仿宋" w:hAnsi="仿宋" w:eastAsia="仿宋"/>
                <w:sz w:val="24"/>
                <w:szCs w:val="24"/>
              </w:rPr>
            </w:pPr>
          </w:p>
        </w:tc>
        <w:tc>
          <w:tcPr>
            <w:tcW w:w="993" w:type="dxa"/>
          </w:tcPr>
          <w:p w14:paraId="2404DA7A">
            <w:pPr>
              <w:spacing w:after="0"/>
              <w:rPr>
                <w:rFonts w:ascii="仿宋" w:hAnsi="仿宋" w:eastAsia="仿宋"/>
                <w:sz w:val="24"/>
                <w:szCs w:val="24"/>
              </w:rPr>
            </w:pPr>
          </w:p>
        </w:tc>
        <w:tc>
          <w:tcPr>
            <w:tcW w:w="3191" w:type="dxa"/>
            <w:vAlign w:val="center"/>
          </w:tcPr>
          <w:p w14:paraId="629E4A4A">
            <w:pPr>
              <w:spacing w:after="0"/>
              <w:rPr>
                <w:rFonts w:ascii="仿宋" w:hAnsi="仿宋" w:eastAsia="仿宋"/>
                <w:sz w:val="24"/>
                <w:szCs w:val="24"/>
              </w:rPr>
            </w:pPr>
          </w:p>
        </w:tc>
        <w:tc>
          <w:tcPr>
            <w:tcW w:w="1525" w:type="dxa"/>
            <w:vAlign w:val="center"/>
          </w:tcPr>
          <w:p w14:paraId="4A7546F3">
            <w:pPr>
              <w:spacing w:after="0"/>
              <w:rPr>
                <w:rFonts w:ascii="仿宋" w:hAnsi="仿宋" w:eastAsia="仿宋"/>
                <w:sz w:val="24"/>
                <w:szCs w:val="24"/>
              </w:rPr>
            </w:pPr>
          </w:p>
        </w:tc>
      </w:tr>
      <w:tr w14:paraId="193D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3A56ACCD">
            <w:pPr>
              <w:spacing w:after="0"/>
              <w:rPr>
                <w:rFonts w:ascii="仿宋" w:hAnsi="仿宋" w:eastAsia="仿宋"/>
                <w:b/>
                <w:sz w:val="24"/>
                <w:szCs w:val="24"/>
              </w:rPr>
            </w:pPr>
          </w:p>
        </w:tc>
        <w:tc>
          <w:tcPr>
            <w:tcW w:w="457" w:type="dxa"/>
            <w:vMerge w:val="continue"/>
            <w:vAlign w:val="center"/>
          </w:tcPr>
          <w:p w14:paraId="31F2669F">
            <w:pPr>
              <w:spacing w:after="0"/>
              <w:rPr>
                <w:rFonts w:ascii="仿宋" w:hAnsi="仿宋" w:eastAsia="仿宋"/>
                <w:b/>
                <w:sz w:val="24"/>
                <w:szCs w:val="24"/>
              </w:rPr>
            </w:pPr>
          </w:p>
        </w:tc>
        <w:tc>
          <w:tcPr>
            <w:tcW w:w="1167" w:type="dxa"/>
            <w:vAlign w:val="center"/>
          </w:tcPr>
          <w:p w14:paraId="08969809">
            <w:pPr>
              <w:spacing w:after="0"/>
              <w:jc w:val="center"/>
              <w:rPr>
                <w:rFonts w:ascii="仿宋" w:hAnsi="仿宋" w:eastAsia="仿宋"/>
                <w:b/>
                <w:sz w:val="24"/>
                <w:szCs w:val="24"/>
              </w:rPr>
            </w:pPr>
            <w:r>
              <w:rPr>
                <w:rFonts w:hint="eastAsia" w:ascii="仿宋" w:hAnsi="仿宋" w:eastAsia="仿宋"/>
                <w:b/>
                <w:sz w:val="24"/>
                <w:szCs w:val="24"/>
              </w:rPr>
              <w:t>数据4</w:t>
            </w:r>
          </w:p>
        </w:tc>
        <w:tc>
          <w:tcPr>
            <w:tcW w:w="992" w:type="dxa"/>
            <w:vAlign w:val="center"/>
          </w:tcPr>
          <w:p w14:paraId="25636A8A">
            <w:pPr>
              <w:spacing w:after="0"/>
              <w:rPr>
                <w:rFonts w:ascii="仿宋" w:hAnsi="仿宋" w:eastAsia="仿宋"/>
                <w:sz w:val="24"/>
                <w:szCs w:val="24"/>
              </w:rPr>
            </w:pPr>
          </w:p>
        </w:tc>
        <w:tc>
          <w:tcPr>
            <w:tcW w:w="993" w:type="dxa"/>
          </w:tcPr>
          <w:p w14:paraId="0F4205F0">
            <w:pPr>
              <w:spacing w:after="0"/>
              <w:rPr>
                <w:rFonts w:ascii="仿宋" w:hAnsi="仿宋" w:eastAsia="仿宋"/>
                <w:sz w:val="24"/>
                <w:szCs w:val="24"/>
              </w:rPr>
            </w:pPr>
          </w:p>
        </w:tc>
        <w:tc>
          <w:tcPr>
            <w:tcW w:w="3191" w:type="dxa"/>
            <w:vAlign w:val="center"/>
          </w:tcPr>
          <w:p w14:paraId="60A807F3">
            <w:pPr>
              <w:spacing w:after="0"/>
              <w:rPr>
                <w:rFonts w:ascii="仿宋" w:hAnsi="仿宋" w:eastAsia="仿宋"/>
                <w:sz w:val="24"/>
                <w:szCs w:val="24"/>
              </w:rPr>
            </w:pPr>
          </w:p>
        </w:tc>
        <w:tc>
          <w:tcPr>
            <w:tcW w:w="1525" w:type="dxa"/>
            <w:vAlign w:val="center"/>
          </w:tcPr>
          <w:p w14:paraId="678E1932">
            <w:pPr>
              <w:spacing w:after="0"/>
              <w:rPr>
                <w:rFonts w:ascii="仿宋" w:hAnsi="仿宋" w:eastAsia="仿宋"/>
                <w:sz w:val="24"/>
                <w:szCs w:val="24"/>
              </w:rPr>
            </w:pPr>
          </w:p>
        </w:tc>
      </w:tr>
      <w:tr w14:paraId="04C8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457" w:type="dxa"/>
            <w:vMerge w:val="continue"/>
            <w:vAlign w:val="center"/>
          </w:tcPr>
          <w:p w14:paraId="7928546C">
            <w:pPr>
              <w:spacing w:after="0"/>
              <w:rPr>
                <w:rFonts w:ascii="仿宋" w:hAnsi="仿宋" w:eastAsia="仿宋"/>
                <w:b/>
                <w:sz w:val="24"/>
                <w:szCs w:val="24"/>
              </w:rPr>
            </w:pPr>
          </w:p>
        </w:tc>
        <w:tc>
          <w:tcPr>
            <w:tcW w:w="457" w:type="dxa"/>
            <w:vMerge w:val="continue"/>
            <w:vAlign w:val="center"/>
          </w:tcPr>
          <w:p w14:paraId="174079F8">
            <w:pPr>
              <w:spacing w:after="0"/>
              <w:rPr>
                <w:rFonts w:ascii="仿宋" w:hAnsi="仿宋" w:eastAsia="仿宋"/>
                <w:b/>
                <w:sz w:val="24"/>
                <w:szCs w:val="24"/>
              </w:rPr>
            </w:pPr>
          </w:p>
        </w:tc>
        <w:tc>
          <w:tcPr>
            <w:tcW w:w="1167" w:type="dxa"/>
            <w:vAlign w:val="center"/>
          </w:tcPr>
          <w:p w14:paraId="39929941">
            <w:pPr>
              <w:spacing w:after="0"/>
              <w:jc w:val="center"/>
              <w:rPr>
                <w:rFonts w:ascii="仿宋" w:hAnsi="仿宋" w:eastAsia="仿宋"/>
                <w:b/>
                <w:sz w:val="24"/>
                <w:szCs w:val="24"/>
              </w:rPr>
            </w:pPr>
            <w:r>
              <w:rPr>
                <w:rFonts w:hint="eastAsia" w:ascii="仿宋" w:hAnsi="仿宋" w:eastAsia="仿宋"/>
                <w:b/>
                <w:sz w:val="24"/>
                <w:szCs w:val="24"/>
              </w:rPr>
              <w:t>数据…</w:t>
            </w:r>
          </w:p>
        </w:tc>
        <w:tc>
          <w:tcPr>
            <w:tcW w:w="992" w:type="dxa"/>
            <w:vAlign w:val="center"/>
          </w:tcPr>
          <w:p w14:paraId="1A919DB2">
            <w:pPr>
              <w:spacing w:after="0"/>
              <w:rPr>
                <w:rFonts w:ascii="仿宋" w:hAnsi="仿宋" w:eastAsia="仿宋"/>
                <w:sz w:val="24"/>
                <w:szCs w:val="24"/>
              </w:rPr>
            </w:pPr>
          </w:p>
        </w:tc>
        <w:tc>
          <w:tcPr>
            <w:tcW w:w="993" w:type="dxa"/>
          </w:tcPr>
          <w:p w14:paraId="7B4DDE00">
            <w:pPr>
              <w:spacing w:after="0"/>
              <w:rPr>
                <w:rFonts w:ascii="仿宋" w:hAnsi="仿宋" w:eastAsia="仿宋"/>
                <w:sz w:val="24"/>
                <w:szCs w:val="24"/>
              </w:rPr>
            </w:pPr>
          </w:p>
        </w:tc>
        <w:tc>
          <w:tcPr>
            <w:tcW w:w="3191" w:type="dxa"/>
            <w:vAlign w:val="center"/>
          </w:tcPr>
          <w:p w14:paraId="73CCB0AF">
            <w:pPr>
              <w:spacing w:after="0"/>
              <w:rPr>
                <w:rFonts w:ascii="仿宋" w:hAnsi="仿宋" w:eastAsia="仿宋"/>
                <w:sz w:val="24"/>
                <w:szCs w:val="24"/>
              </w:rPr>
            </w:pPr>
          </w:p>
        </w:tc>
        <w:tc>
          <w:tcPr>
            <w:tcW w:w="1525" w:type="dxa"/>
            <w:vAlign w:val="center"/>
          </w:tcPr>
          <w:p w14:paraId="389C99CF">
            <w:pPr>
              <w:spacing w:after="0"/>
              <w:rPr>
                <w:rFonts w:ascii="仿宋" w:hAnsi="仿宋" w:eastAsia="仿宋"/>
                <w:sz w:val="24"/>
                <w:szCs w:val="24"/>
              </w:rPr>
            </w:pPr>
          </w:p>
        </w:tc>
      </w:tr>
      <w:tr w14:paraId="233BC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4" w:type="dxa"/>
            <w:gridSpan w:val="2"/>
            <w:vMerge w:val="restart"/>
            <w:vAlign w:val="center"/>
          </w:tcPr>
          <w:p w14:paraId="68AEEC34">
            <w:pPr>
              <w:spacing w:after="0"/>
              <w:rPr>
                <w:rFonts w:ascii="仿宋" w:hAnsi="仿宋" w:eastAsia="仿宋"/>
                <w:b/>
                <w:sz w:val="24"/>
                <w:szCs w:val="24"/>
              </w:rPr>
            </w:pPr>
            <w:r>
              <w:rPr>
                <w:rFonts w:hint="eastAsia" w:ascii="仿宋" w:hAnsi="仿宋" w:eastAsia="仿宋"/>
                <w:b/>
                <w:sz w:val="24"/>
                <w:szCs w:val="24"/>
              </w:rPr>
              <w:t>其他</w:t>
            </w:r>
          </w:p>
          <w:p w14:paraId="6F63EC01">
            <w:pPr>
              <w:spacing w:after="0"/>
              <w:jc w:val="both"/>
              <w:rPr>
                <w:rFonts w:ascii="仿宋" w:hAnsi="仿宋" w:eastAsia="仿宋"/>
                <w:b/>
                <w:sz w:val="24"/>
                <w:szCs w:val="24"/>
              </w:rPr>
            </w:pPr>
            <w:r>
              <w:rPr>
                <w:rFonts w:hint="eastAsia" w:ascii="仿宋" w:hAnsi="仿宋" w:eastAsia="仿宋"/>
                <w:b/>
                <w:sz w:val="24"/>
                <w:szCs w:val="24"/>
              </w:rPr>
              <w:t>数据</w:t>
            </w:r>
          </w:p>
        </w:tc>
        <w:tc>
          <w:tcPr>
            <w:tcW w:w="1167" w:type="dxa"/>
            <w:vAlign w:val="center"/>
          </w:tcPr>
          <w:p w14:paraId="3B72529C">
            <w:pPr>
              <w:spacing w:after="0"/>
              <w:jc w:val="center"/>
              <w:rPr>
                <w:rFonts w:ascii="仿宋" w:hAnsi="仿宋" w:eastAsia="仿宋"/>
                <w:b/>
                <w:sz w:val="24"/>
                <w:szCs w:val="24"/>
              </w:rPr>
            </w:pPr>
            <w:r>
              <w:rPr>
                <w:rFonts w:hint="eastAsia" w:ascii="仿宋" w:hAnsi="仿宋" w:eastAsia="仿宋"/>
                <w:b/>
                <w:sz w:val="24"/>
                <w:szCs w:val="24"/>
              </w:rPr>
              <w:t>数据1</w:t>
            </w:r>
          </w:p>
        </w:tc>
        <w:tc>
          <w:tcPr>
            <w:tcW w:w="992" w:type="dxa"/>
            <w:vAlign w:val="center"/>
          </w:tcPr>
          <w:p w14:paraId="4C693CBC">
            <w:pPr>
              <w:spacing w:after="0"/>
              <w:rPr>
                <w:rFonts w:ascii="仿宋" w:hAnsi="仿宋" w:eastAsia="仿宋"/>
                <w:sz w:val="24"/>
                <w:szCs w:val="24"/>
              </w:rPr>
            </w:pPr>
          </w:p>
        </w:tc>
        <w:tc>
          <w:tcPr>
            <w:tcW w:w="993" w:type="dxa"/>
          </w:tcPr>
          <w:p w14:paraId="7938CEAF">
            <w:pPr>
              <w:spacing w:after="0"/>
              <w:rPr>
                <w:rFonts w:ascii="仿宋" w:hAnsi="仿宋" w:eastAsia="仿宋"/>
                <w:sz w:val="24"/>
                <w:szCs w:val="24"/>
              </w:rPr>
            </w:pPr>
          </w:p>
        </w:tc>
        <w:tc>
          <w:tcPr>
            <w:tcW w:w="3191" w:type="dxa"/>
            <w:vAlign w:val="center"/>
          </w:tcPr>
          <w:p w14:paraId="15A28048">
            <w:pPr>
              <w:spacing w:after="0"/>
              <w:rPr>
                <w:rFonts w:ascii="仿宋" w:hAnsi="仿宋" w:eastAsia="仿宋"/>
                <w:sz w:val="24"/>
                <w:szCs w:val="24"/>
              </w:rPr>
            </w:pPr>
          </w:p>
        </w:tc>
        <w:tc>
          <w:tcPr>
            <w:tcW w:w="1525" w:type="dxa"/>
            <w:vAlign w:val="center"/>
          </w:tcPr>
          <w:p w14:paraId="7CA85E2B">
            <w:pPr>
              <w:spacing w:after="0"/>
              <w:rPr>
                <w:rFonts w:ascii="仿宋" w:hAnsi="仿宋" w:eastAsia="仿宋"/>
                <w:sz w:val="24"/>
                <w:szCs w:val="24"/>
              </w:rPr>
            </w:pPr>
          </w:p>
        </w:tc>
      </w:tr>
      <w:tr w14:paraId="422B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914" w:type="dxa"/>
            <w:gridSpan w:val="2"/>
            <w:vMerge w:val="continue"/>
            <w:vAlign w:val="center"/>
          </w:tcPr>
          <w:p w14:paraId="74385D9F">
            <w:pPr>
              <w:spacing w:after="0"/>
              <w:rPr>
                <w:rFonts w:ascii="仿宋" w:hAnsi="仿宋" w:eastAsia="仿宋"/>
                <w:b/>
                <w:sz w:val="24"/>
                <w:szCs w:val="24"/>
              </w:rPr>
            </w:pPr>
          </w:p>
        </w:tc>
        <w:tc>
          <w:tcPr>
            <w:tcW w:w="1167" w:type="dxa"/>
            <w:vAlign w:val="center"/>
          </w:tcPr>
          <w:p w14:paraId="1A89270E">
            <w:pPr>
              <w:spacing w:after="0"/>
              <w:jc w:val="center"/>
              <w:rPr>
                <w:rFonts w:ascii="仿宋" w:hAnsi="仿宋" w:eastAsia="仿宋"/>
                <w:b/>
                <w:sz w:val="24"/>
                <w:szCs w:val="24"/>
              </w:rPr>
            </w:pPr>
            <w:r>
              <w:rPr>
                <w:rFonts w:hint="eastAsia" w:ascii="仿宋" w:hAnsi="仿宋" w:eastAsia="仿宋"/>
                <w:b/>
                <w:sz w:val="24"/>
                <w:szCs w:val="24"/>
              </w:rPr>
              <w:t>数据2</w:t>
            </w:r>
          </w:p>
        </w:tc>
        <w:tc>
          <w:tcPr>
            <w:tcW w:w="992" w:type="dxa"/>
            <w:vAlign w:val="center"/>
          </w:tcPr>
          <w:p w14:paraId="2042D3C0">
            <w:pPr>
              <w:spacing w:after="0"/>
              <w:rPr>
                <w:rFonts w:ascii="仿宋" w:hAnsi="仿宋" w:eastAsia="仿宋"/>
                <w:sz w:val="24"/>
                <w:szCs w:val="24"/>
              </w:rPr>
            </w:pPr>
          </w:p>
        </w:tc>
        <w:tc>
          <w:tcPr>
            <w:tcW w:w="993" w:type="dxa"/>
          </w:tcPr>
          <w:p w14:paraId="08447D18">
            <w:pPr>
              <w:spacing w:after="0"/>
              <w:rPr>
                <w:rFonts w:ascii="仿宋" w:hAnsi="仿宋" w:eastAsia="仿宋"/>
                <w:sz w:val="24"/>
                <w:szCs w:val="24"/>
              </w:rPr>
            </w:pPr>
          </w:p>
        </w:tc>
        <w:tc>
          <w:tcPr>
            <w:tcW w:w="3191" w:type="dxa"/>
            <w:vAlign w:val="center"/>
          </w:tcPr>
          <w:p w14:paraId="0BF85EB0">
            <w:pPr>
              <w:spacing w:after="0"/>
              <w:rPr>
                <w:rFonts w:ascii="仿宋" w:hAnsi="仿宋" w:eastAsia="仿宋"/>
                <w:sz w:val="24"/>
                <w:szCs w:val="24"/>
              </w:rPr>
            </w:pPr>
          </w:p>
        </w:tc>
        <w:tc>
          <w:tcPr>
            <w:tcW w:w="1525" w:type="dxa"/>
            <w:vAlign w:val="center"/>
          </w:tcPr>
          <w:p w14:paraId="4F252883">
            <w:pPr>
              <w:spacing w:after="0"/>
              <w:rPr>
                <w:rFonts w:ascii="仿宋" w:hAnsi="仿宋" w:eastAsia="仿宋"/>
                <w:sz w:val="24"/>
                <w:szCs w:val="24"/>
              </w:rPr>
            </w:pPr>
          </w:p>
        </w:tc>
      </w:tr>
      <w:tr w14:paraId="1B41B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02F07462">
            <w:pPr>
              <w:spacing w:after="0"/>
              <w:rPr>
                <w:rFonts w:ascii="仿宋" w:hAnsi="仿宋" w:eastAsia="仿宋"/>
                <w:b/>
                <w:sz w:val="24"/>
                <w:szCs w:val="24"/>
              </w:rPr>
            </w:pPr>
          </w:p>
        </w:tc>
        <w:tc>
          <w:tcPr>
            <w:tcW w:w="1167" w:type="dxa"/>
            <w:vAlign w:val="center"/>
          </w:tcPr>
          <w:p w14:paraId="5F4C6113">
            <w:pPr>
              <w:spacing w:after="0"/>
              <w:jc w:val="center"/>
              <w:rPr>
                <w:rFonts w:ascii="仿宋" w:hAnsi="仿宋" w:eastAsia="仿宋"/>
                <w:b/>
                <w:sz w:val="24"/>
                <w:szCs w:val="24"/>
              </w:rPr>
            </w:pPr>
            <w:r>
              <w:rPr>
                <w:rFonts w:hint="eastAsia" w:ascii="仿宋" w:hAnsi="仿宋" w:eastAsia="仿宋"/>
                <w:b/>
                <w:sz w:val="24"/>
                <w:szCs w:val="24"/>
              </w:rPr>
              <w:t>数据3</w:t>
            </w:r>
          </w:p>
        </w:tc>
        <w:tc>
          <w:tcPr>
            <w:tcW w:w="992" w:type="dxa"/>
            <w:vAlign w:val="center"/>
          </w:tcPr>
          <w:p w14:paraId="0A3C6BB0">
            <w:pPr>
              <w:spacing w:after="0"/>
              <w:rPr>
                <w:rFonts w:ascii="仿宋" w:hAnsi="仿宋" w:eastAsia="仿宋"/>
                <w:sz w:val="24"/>
                <w:szCs w:val="24"/>
              </w:rPr>
            </w:pPr>
          </w:p>
        </w:tc>
        <w:tc>
          <w:tcPr>
            <w:tcW w:w="993" w:type="dxa"/>
          </w:tcPr>
          <w:p w14:paraId="598C542C">
            <w:pPr>
              <w:spacing w:after="0"/>
              <w:rPr>
                <w:rFonts w:ascii="仿宋" w:hAnsi="仿宋" w:eastAsia="仿宋"/>
                <w:sz w:val="24"/>
                <w:szCs w:val="24"/>
              </w:rPr>
            </w:pPr>
          </w:p>
        </w:tc>
        <w:tc>
          <w:tcPr>
            <w:tcW w:w="3191" w:type="dxa"/>
            <w:vAlign w:val="center"/>
          </w:tcPr>
          <w:p w14:paraId="4A23457C">
            <w:pPr>
              <w:spacing w:after="0"/>
              <w:rPr>
                <w:rFonts w:ascii="仿宋" w:hAnsi="仿宋" w:eastAsia="仿宋"/>
                <w:sz w:val="24"/>
                <w:szCs w:val="24"/>
              </w:rPr>
            </w:pPr>
          </w:p>
        </w:tc>
        <w:tc>
          <w:tcPr>
            <w:tcW w:w="1525" w:type="dxa"/>
            <w:vAlign w:val="center"/>
          </w:tcPr>
          <w:p w14:paraId="5A9ED136">
            <w:pPr>
              <w:spacing w:after="0"/>
              <w:rPr>
                <w:rFonts w:ascii="仿宋" w:hAnsi="仿宋" w:eastAsia="仿宋"/>
                <w:sz w:val="24"/>
                <w:szCs w:val="24"/>
              </w:rPr>
            </w:pPr>
          </w:p>
        </w:tc>
      </w:tr>
      <w:tr w14:paraId="3738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4FD6624C">
            <w:pPr>
              <w:spacing w:after="0"/>
              <w:rPr>
                <w:rFonts w:ascii="仿宋" w:hAnsi="仿宋" w:eastAsia="仿宋"/>
                <w:b/>
                <w:sz w:val="24"/>
                <w:szCs w:val="24"/>
              </w:rPr>
            </w:pPr>
          </w:p>
        </w:tc>
        <w:tc>
          <w:tcPr>
            <w:tcW w:w="1167" w:type="dxa"/>
            <w:vAlign w:val="center"/>
          </w:tcPr>
          <w:p w14:paraId="58380E80">
            <w:pPr>
              <w:spacing w:after="0"/>
              <w:jc w:val="center"/>
              <w:rPr>
                <w:rFonts w:ascii="仿宋" w:hAnsi="仿宋" w:eastAsia="仿宋"/>
                <w:b/>
                <w:sz w:val="24"/>
                <w:szCs w:val="24"/>
              </w:rPr>
            </w:pPr>
            <w:r>
              <w:rPr>
                <w:rFonts w:hint="eastAsia" w:ascii="仿宋" w:hAnsi="仿宋" w:eastAsia="仿宋"/>
                <w:b/>
                <w:sz w:val="24"/>
                <w:szCs w:val="24"/>
              </w:rPr>
              <w:t>数据4</w:t>
            </w:r>
          </w:p>
        </w:tc>
        <w:tc>
          <w:tcPr>
            <w:tcW w:w="992" w:type="dxa"/>
            <w:vAlign w:val="center"/>
          </w:tcPr>
          <w:p w14:paraId="2EDD0EE2">
            <w:pPr>
              <w:spacing w:after="0"/>
              <w:rPr>
                <w:rFonts w:ascii="仿宋" w:hAnsi="仿宋" w:eastAsia="仿宋"/>
                <w:sz w:val="24"/>
                <w:szCs w:val="24"/>
              </w:rPr>
            </w:pPr>
          </w:p>
        </w:tc>
        <w:tc>
          <w:tcPr>
            <w:tcW w:w="993" w:type="dxa"/>
          </w:tcPr>
          <w:p w14:paraId="7B165720">
            <w:pPr>
              <w:spacing w:after="0"/>
              <w:rPr>
                <w:rFonts w:ascii="仿宋" w:hAnsi="仿宋" w:eastAsia="仿宋"/>
                <w:sz w:val="24"/>
                <w:szCs w:val="24"/>
              </w:rPr>
            </w:pPr>
          </w:p>
        </w:tc>
        <w:tc>
          <w:tcPr>
            <w:tcW w:w="3191" w:type="dxa"/>
            <w:vAlign w:val="center"/>
          </w:tcPr>
          <w:p w14:paraId="4994CCF7">
            <w:pPr>
              <w:spacing w:after="0"/>
              <w:rPr>
                <w:rFonts w:ascii="仿宋" w:hAnsi="仿宋" w:eastAsia="仿宋"/>
                <w:sz w:val="24"/>
                <w:szCs w:val="24"/>
              </w:rPr>
            </w:pPr>
          </w:p>
        </w:tc>
        <w:tc>
          <w:tcPr>
            <w:tcW w:w="1525" w:type="dxa"/>
            <w:vAlign w:val="center"/>
          </w:tcPr>
          <w:p w14:paraId="7EF77764">
            <w:pPr>
              <w:spacing w:after="0"/>
              <w:rPr>
                <w:rFonts w:ascii="仿宋" w:hAnsi="仿宋" w:eastAsia="仿宋"/>
                <w:sz w:val="24"/>
                <w:szCs w:val="24"/>
              </w:rPr>
            </w:pPr>
          </w:p>
        </w:tc>
      </w:tr>
      <w:tr w14:paraId="6897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70807496">
            <w:pPr>
              <w:spacing w:after="0"/>
              <w:rPr>
                <w:rFonts w:ascii="仿宋" w:hAnsi="仿宋" w:eastAsia="仿宋"/>
                <w:b/>
                <w:sz w:val="24"/>
                <w:szCs w:val="24"/>
              </w:rPr>
            </w:pPr>
          </w:p>
        </w:tc>
        <w:tc>
          <w:tcPr>
            <w:tcW w:w="1167" w:type="dxa"/>
            <w:vAlign w:val="center"/>
          </w:tcPr>
          <w:p w14:paraId="2B8551C7">
            <w:pPr>
              <w:spacing w:after="0"/>
              <w:jc w:val="center"/>
              <w:rPr>
                <w:rFonts w:ascii="仿宋" w:hAnsi="仿宋" w:eastAsia="仿宋"/>
                <w:b/>
                <w:sz w:val="24"/>
                <w:szCs w:val="24"/>
              </w:rPr>
            </w:pPr>
            <w:r>
              <w:rPr>
                <w:rFonts w:hint="eastAsia" w:ascii="仿宋" w:hAnsi="仿宋" w:eastAsia="仿宋"/>
                <w:b/>
                <w:sz w:val="24"/>
                <w:szCs w:val="24"/>
              </w:rPr>
              <w:t>数据…</w:t>
            </w:r>
          </w:p>
        </w:tc>
        <w:tc>
          <w:tcPr>
            <w:tcW w:w="992" w:type="dxa"/>
            <w:vAlign w:val="center"/>
          </w:tcPr>
          <w:p w14:paraId="09AD54DD">
            <w:pPr>
              <w:spacing w:after="0"/>
              <w:rPr>
                <w:rFonts w:ascii="仿宋" w:hAnsi="仿宋" w:eastAsia="仿宋"/>
                <w:sz w:val="24"/>
                <w:szCs w:val="24"/>
              </w:rPr>
            </w:pPr>
          </w:p>
        </w:tc>
        <w:tc>
          <w:tcPr>
            <w:tcW w:w="993" w:type="dxa"/>
          </w:tcPr>
          <w:p w14:paraId="6871EE86">
            <w:pPr>
              <w:spacing w:after="0"/>
              <w:rPr>
                <w:rFonts w:ascii="仿宋" w:hAnsi="仿宋" w:eastAsia="仿宋"/>
                <w:sz w:val="24"/>
                <w:szCs w:val="24"/>
              </w:rPr>
            </w:pPr>
          </w:p>
        </w:tc>
        <w:tc>
          <w:tcPr>
            <w:tcW w:w="3191" w:type="dxa"/>
            <w:vAlign w:val="center"/>
          </w:tcPr>
          <w:p w14:paraId="19D080D7">
            <w:pPr>
              <w:spacing w:after="0"/>
              <w:rPr>
                <w:rFonts w:ascii="仿宋" w:hAnsi="仿宋" w:eastAsia="仿宋"/>
                <w:sz w:val="24"/>
                <w:szCs w:val="24"/>
              </w:rPr>
            </w:pPr>
          </w:p>
        </w:tc>
        <w:tc>
          <w:tcPr>
            <w:tcW w:w="1525" w:type="dxa"/>
            <w:vAlign w:val="center"/>
          </w:tcPr>
          <w:p w14:paraId="48E28406">
            <w:pPr>
              <w:spacing w:after="0"/>
              <w:rPr>
                <w:rFonts w:ascii="仿宋" w:hAnsi="仿宋" w:eastAsia="仿宋"/>
                <w:sz w:val="24"/>
                <w:szCs w:val="24"/>
              </w:rPr>
            </w:pPr>
          </w:p>
        </w:tc>
      </w:tr>
      <w:tr w14:paraId="4FF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4" w:type="dxa"/>
            <w:gridSpan w:val="2"/>
            <w:vMerge w:val="restart"/>
            <w:vAlign w:val="center"/>
          </w:tcPr>
          <w:p w14:paraId="1FEBAF84">
            <w:pPr>
              <w:spacing w:after="0"/>
              <w:rPr>
                <w:rFonts w:ascii="仿宋" w:hAnsi="仿宋" w:eastAsia="仿宋"/>
                <w:b/>
                <w:sz w:val="24"/>
                <w:szCs w:val="24"/>
              </w:rPr>
            </w:pPr>
            <w:r>
              <w:rPr>
                <w:rFonts w:hint="eastAsia" w:ascii="仿宋" w:hAnsi="仿宋" w:eastAsia="仿宋"/>
                <w:b/>
                <w:sz w:val="24"/>
                <w:szCs w:val="24"/>
              </w:rPr>
              <w:t>补充</w:t>
            </w:r>
          </w:p>
          <w:p w14:paraId="21EBCBBD">
            <w:pPr>
              <w:spacing w:after="0"/>
              <w:jc w:val="both"/>
              <w:rPr>
                <w:rFonts w:ascii="仿宋" w:hAnsi="仿宋" w:eastAsia="仿宋"/>
                <w:b/>
                <w:sz w:val="24"/>
                <w:szCs w:val="24"/>
              </w:rPr>
            </w:pPr>
            <w:r>
              <w:rPr>
                <w:rFonts w:hint="eastAsia" w:ascii="仿宋" w:hAnsi="仿宋" w:eastAsia="仿宋"/>
                <w:b/>
                <w:sz w:val="24"/>
                <w:szCs w:val="24"/>
              </w:rPr>
              <w:t>数据</w:t>
            </w:r>
          </w:p>
        </w:tc>
        <w:tc>
          <w:tcPr>
            <w:tcW w:w="1167" w:type="dxa"/>
            <w:vAlign w:val="center"/>
          </w:tcPr>
          <w:p w14:paraId="14F20062">
            <w:pPr>
              <w:spacing w:after="0"/>
              <w:jc w:val="center"/>
              <w:rPr>
                <w:rFonts w:ascii="仿宋" w:hAnsi="仿宋" w:eastAsia="仿宋"/>
                <w:b/>
                <w:sz w:val="24"/>
                <w:szCs w:val="24"/>
              </w:rPr>
            </w:pPr>
            <w:r>
              <w:rPr>
                <w:rFonts w:hint="eastAsia" w:ascii="仿宋" w:hAnsi="仿宋" w:eastAsia="仿宋"/>
                <w:b/>
                <w:sz w:val="24"/>
                <w:szCs w:val="24"/>
              </w:rPr>
              <w:t>数据</w:t>
            </w:r>
            <w:r>
              <w:rPr>
                <w:rFonts w:ascii="仿宋" w:hAnsi="仿宋" w:eastAsia="仿宋"/>
                <w:b/>
                <w:sz w:val="24"/>
                <w:szCs w:val="24"/>
              </w:rPr>
              <w:t>1</w:t>
            </w:r>
          </w:p>
        </w:tc>
        <w:tc>
          <w:tcPr>
            <w:tcW w:w="992" w:type="dxa"/>
            <w:vAlign w:val="center"/>
          </w:tcPr>
          <w:p w14:paraId="1E870D4F">
            <w:pPr>
              <w:spacing w:after="0"/>
              <w:rPr>
                <w:rFonts w:ascii="仿宋" w:hAnsi="仿宋" w:eastAsia="仿宋"/>
                <w:sz w:val="24"/>
                <w:szCs w:val="24"/>
              </w:rPr>
            </w:pPr>
          </w:p>
        </w:tc>
        <w:tc>
          <w:tcPr>
            <w:tcW w:w="993" w:type="dxa"/>
          </w:tcPr>
          <w:p w14:paraId="563F7BA0">
            <w:pPr>
              <w:spacing w:after="0"/>
              <w:rPr>
                <w:rFonts w:ascii="仿宋" w:hAnsi="仿宋" w:eastAsia="仿宋"/>
                <w:sz w:val="24"/>
                <w:szCs w:val="24"/>
              </w:rPr>
            </w:pPr>
          </w:p>
        </w:tc>
        <w:tc>
          <w:tcPr>
            <w:tcW w:w="3191" w:type="dxa"/>
            <w:vAlign w:val="center"/>
          </w:tcPr>
          <w:p w14:paraId="3AF32543">
            <w:pPr>
              <w:spacing w:after="0"/>
              <w:rPr>
                <w:rFonts w:ascii="仿宋" w:hAnsi="仿宋" w:eastAsia="仿宋"/>
                <w:sz w:val="24"/>
                <w:szCs w:val="24"/>
              </w:rPr>
            </w:pPr>
          </w:p>
        </w:tc>
        <w:tc>
          <w:tcPr>
            <w:tcW w:w="1525" w:type="dxa"/>
            <w:vAlign w:val="center"/>
          </w:tcPr>
          <w:p w14:paraId="73002B56">
            <w:pPr>
              <w:spacing w:after="0"/>
              <w:rPr>
                <w:rFonts w:ascii="仿宋" w:hAnsi="仿宋" w:eastAsia="仿宋"/>
                <w:sz w:val="24"/>
                <w:szCs w:val="24"/>
              </w:rPr>
            </w:pPr>
          </w:p>
        </w:tc>
      </w:tr>
      <w:tr w14:paraId="75FF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914" w:type="dxa"/>
            <w:gridSpan w:val="2"/>
            <w:vMerge w:val="continue"/>
            <w:vAlign w:val="center"/>
          </w:tcPr>
          <w:p w14:paraId="3535E802">
            <w:pPr>
              <w:spacing w:after="0"/>
              <w:rPr>
                <w:rFonts w:ascii="仿宋" w:hAnsi="仿宋" w:eastAsia="仿宋"/>
                <w:b/>
                <w:sz w:val="24"/>
                <w:szCs w:val="24"/>
              </w:rPr>
            </w:pPr>
          </w:p>
        </w:tc>
        <w:tc>
          <w:tcPr>
            <w:tcW w:w="1167" w:type="dxa"/>
            <w:vAlign w:val="center"/>
          </w:tcPr>
          <w:p w14:paraId="47E6C7D1">
            <w:pPr>
              <w:spacing w:after="0"/>
              <w:jc w:val="center"/>
              <w:rPr>
                <w:rFonts w:ascii="仿宋" w:hAnsi="仿宋" w:eastAsia="仿宋"/>
                <w:b/>
                <w:sz w:val="24"/>
                <w:szCs w:val="24"/>
              </w:rPr>
            </w:pPr>
            <w:r>
              <w:rPr>
                <w:rFonts w:hint="eastAsia" w:ascii="仿宋" w:hAnsi="仿宋" w:eastAsia="仿宋"/>
                <w:b/>
                <w:sz w:val="24"/>
                <w:szCs w:val="24"/>
              </w:rPr>
              <w:t>数据</w:t>
            </w:r>
            <w:r>
              <w:rPr>
                <w:rFonts w:ascii="仿宋" w:hAnsi="仿宋" w:eastAsia="仿宋"/>
                <w:b/>
                <w:sz w:val="24"/>
                <w:szCs w:val="24"/>
              </w:rPr>
              <w:t>2</w:t>
            </w:r>
          </w:p>
        </w:tc>
        <w:tc>
          <w:tcPr>
            <w:tcW w:w="992" w:type="dxa"/>
            <w:vAlign w:val="center"/>
          </w:tcPr>
          <w:p w14:paraId="256407AD">
            <w:pPr>
              <w:spacing w:after="0"/>
              <w:rPr>
                <w:rFonts w:ascii="仿宋" w:hAnsi="仿宋" w:eastAsia="仿宋"/>
                <w:sz w:val="24"/>
                <w:szCs w:val="24"/>
              </w:rPr>
            </w:pPr>
          </w:p>
        </w:tc>
        <w:tc>
          <w:tcPr>
            <w:tcW w:w="993" w:type="dxa"/>
          </w:tcPr>
          <w:p w14:paraId="069D7CEF">
            <w:pPr>
              <w:spacing w:after="0"/>
              <w:rPr>
                <w:rFonts w:ascii="仿宋" w:hAnsi="仿宋" w:eastAsia="仿宋"/>
                <w:sz w:val="24"/>
                <w:szCs w:val="24"/>
              </w:rPr>
            </w:pPr>
          </w:p>
        </w:tc>
        <w:tc>
          <w:tcPr>
            <w:tcW w:w="3191" w:type="dxa"/>
            <w:vAlign w:val="center"/>
          </w:tcPr>
          <w:p w14:paraId="278D8E48">
            <w:pPr>
              <w:spacing w:after="0"/>
              <w:rPr>
                <w:rFonts w:ascii="仿宋" w:hAnsi="仿宋" w:eastAsia="仿宋"/>
                <w:sz w:val="24"/>
                <w:szCs w:val="24"/>
              </w:rPr>
            </w:pPr>
          </w:p>
        </w:tc>
        <w:tc>
          <w:tcPr>
            <w:tcW w:w="1525" w:type="dxa"/>
            <w:vAlign w:val="center"/>
          </w:tcPr>
          <w:p w14:paraId="2CE0D468">
            <w:pPr>
              <w:spacing w:after="0"/>
              <w:rPr>
                <w:rFonts w:ascii="仿宋" w:hAnsi="仿宋" w:eastAsia="仿宋"/>
                <w:sz w:val="24"/>
                <w:szCs w:val="24"/>
              </w:rPr>
            </w:pPr>
          </w:p>
        </w:tc>
      </w:tr>
      <w:tr w14:paraId="6C7E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1B9C632C">
            <w:pPr>
              <w:spacing w:after="0"/>
              <w:rPr>
                <w:rFonts w:ascii="仿宋" w:hAnsi="仿宋" w:eastAsia="仿宋"/>
                <w:b/>
                <w:sz w:val="24"/>
                <w:szCs w:val="24"/>
              </w:rPr>
            </w:pPr>
          </w:p>
        </w:tc>
        <w:tc>
          <w:tcPr>
            <w:tcW w:w="1167" w:type="dxa"/>
            <w:vAlign w:val="center"/>
          </w:tcPr>
          <w:p w14:paraId="75C10154">
            <w:pPr>
              <w:spacing w:after="0"/>
              <w:jc w:val="center"/>
              <w:rPr>
                <w:rFonts w:ascii="仿宋" w:hAnsi="仿宋" w:eastAsia="仿宋"/>
                <w:b/>
                <w:sz w:val="24"/>
                <w:szCs w:val="24"/>
              </w:rPr>
            </w:pPr>
            <w:r>
              <w:rPr>
                <w:rFonts w:hint="eastAsia" w:ascii="仿宋" w:hAnsi="仿宋" w:eastAsia="仿宋"/>
                <w:b/>
                <w:sz w:val="24"/>
                <w:szCs w:val="24"/>
              </w:rPr>
              <w:t>数据</w:t>
            </w:r>
            <w:r>
              <w:rPr>
                <w:rFonts w:ascii="仿宋" w:hAnsi="仿宋" w:eastAsia="仿宋"/>
                <w:b/>
                <w:sz w:val="24"/>
                <w:szCs w:val="24"/>
              </w:rPr>
              <w:t>3</w:t>
            </w:r>
          </w:p>
        </w:tc>
        <w:tc>
          <w:tcPr>
            <w:tcW w:w="992" w:type="dxa"/>
            <w:vAlign w:val="center"/>
          </w:tcPr>
          <w:p w14:paraId="59D1FD61">
            <w:pPr>
              <w:spacing w:after="0"/>
              <w:rPr>
                <w:rFonts w:ascii="仿宋" w:hAnsi="仿宋" w:eastAsia="仿宋"/>
                <w:sz w:val="24"/>
                <w:szCs w:val="24"/>
              </w:rPr>
            </w:pPr>
          </w:p>
        </w:tc>
        <w:tc>
          <w:tcPr>
            <w:tcW w:w="993" w:type="dxa"/>
          </w:tcPr>
          <w:p w14:paraId="17E8ADB4">
            <w:pPr>
              <w:spacing w:after="0"/>
              <w:rPr>
                <w:rFonts w:ascii="仿宋" w:hAnsi="仿宋" w:eastAsia="仿宋"/>
                <w:sz w:val="24"/>
                <w:szCs w:val="24"/>
              </w:rPr>
            </w:pPr>
          </w:p>
        </w:tc>
        <w:tc>
          <w:tcPr>
            <w:tcW w:w="3191" w:type="dxa"/>
            <w:vAlign w:val="center"/>
          </w:tcPr>
          <w:p w14:paraId="44B4AE4F">
            <w:pPr>
              <w:spacing w:after="0"/>
              <w:rPr>
                <w:rFonts w:ascii="仿宋" w:hAnsi="仿宋" w:eastAsia="仿宋"/>
                <w:sz w:val="24"/>
                <w:szCs w:val="24"/>
              </w:rPr>
            </w:pPr>
          </w:p>
        </w:tc>
        <w:tc>
          <w:tcPr>
            <w:tcW w:w="1525" w:type="dxa"/>
            <w:vAlign w:val="center"/>
          </w:tcPr>
          <w:p w14:paraId="6972EEAB">
            <w:pPr>
              <w:spacing w:after="0"/>
              <w:rPr>
                <w:rFonts w:ascii="仿宋" w:hAnsi="仿宋" w:eastAsia="仿宋"/>
                <w:sz w:val="24"/>
                <w:szCs w:val="24"/>
              </w:rPr>
            </w:pPr>
          </w:p>
        </w:tc>
      </w:tr>
      <w:tr w14:paraId="121A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777A0799">
            <w:pPr>
              <w:spacing w:after="0"/>
              <w:rPr>
                <w:rFonts w:ascii="仿宋" w:hAnsi="仿宋" w:eastAsia="仿宋"/>
                <w:b/>
                <w:sz w:val="24"/>
                <w:szCs w:val="24"/>
              </w:rPr>
            </w:pPr>
          </w:p>
        </w:tc>
        <w:tc>
          <w:tcPr>
            <w:tcW w:w="1167" w:type="dxa"/>
            <w:vAlign w:val="center"/>
          </w:tcPr>
          <w:p w14:paraId="1E8D451B">
            <w:pPr>
              <w:spacing w:after="0"/>
              <w:jc w:val="center"/>
              <w:rPr>
                <w:rFonts w:ascii="仿宋" w:hAnsi="仿宋" w:eastAsia="仿宋"/>
                <w:b/>
                <w:sz w:val="24"/>
                <w:szCs w:val="24"/>
              </w:rPr>
            </w:pPr>
            <w:r>
              <w:rPr>
                <w:rFonts w:hint="eastAsia" w:ascii="仿宋" w:hAnsi="仿宋" w:eastAsia="仿宋"/>
                <w:b/>
                <w:sz w:val="24"/>
                <w:szCs w:val="24"/>
              </w:rPr>
              <w:t>数据</w:t>
            </w:r>
            <w:r>
              <w:rPr>
                <w:rFonts w:ascii="仿宋" w:hAnsi="仿宋" w:eastAsia="仿宋"/>
                <w:b/>
                <w:sz w:val="24"/>
                <w:szCs w:val="24"/>
              </w:rPr>
              <w:t>4</w:t>
            </w:r>
          </w:p>
        </w:tc>
        <w:tc>
          <w:tcPr>
            <w:tcW w:w="992" w:type="dxa"/>
            <w:vAlign w:val="center"/>
          </w:tcPr>
          <w:p w14:paraId="7147F246">
            <w:pPr>
              <w:spacing w:after="0"/>
              <w:rPr>
                <w:rFonts w:ascii="仿宋" w:hAnsi="仿宋" w:eastAsia="仿宋"/>
                <w:sz w:val="24"/>
                <w:szCs w:val="24"/>
              </w:rPr>
            </w:pPr>
          </w:p>
        </w:tc>
        <w:tc>
          <w:tcPr>
            <w:tcW w:w="993" w:type="dxa"/>
          </w:tcPr>
          <w:p w14:paraId="31276C70">
            <w:pPr>
              <w:spacing w:after="0"/>
              <w:rPr>
                <w:rFonts w:ascii="仿宋" w:hAnsi="仿宋" w:eastAsia="仿宋"/>
                <w:sz w:val="24"/>
                <w:szCs w:val="24"/>
              </w:rPr>
            </w:pPr>
          </w:p>
        </w:tc>
        <w:tc>
          <w:tcPr>
            <w:tcW w:w="3191" w:type="dxa"/>
            <w:vAlign w:val="center"/>
          </w:tcPr>
          <w:p w14:paraId="555E01D2">
            <w:pPr>
              <w:spacing w:after="0"/>
              <w:rPr>
                <w:rFonts w:ascii="仿宋" w:hAnsi="仿宋" w:eastAsia="仿宋"/>
                <w:sz w:val="24"/>
                <w:szCs w:val="24"/>
              </w:rPr>
            </w:pPr>
          </w:p>
        </w:tc>
        <w:tc>
          <w:tcPr>
            <w:tcW w:w="1525" w:type="dxa"/>
            <w:vAlign w:val="center"/>
          </w:tcPr>
          <w:p w14:paraId="7E0BCC34">
            <w:pPr>
              <w:spacing w:after="0"/>
              <w:rPr>
                <w:rFonts w:ascii="仿宋" w:hAnsi="仿宋" w:eastAsia="仿宋"/>
                <w:sz w:val="24"/>
                <w:szCs w:val="24"/>
              </w:rPr>
            </w:pPr>
          </w:p>
        </w:tc>
      </w:tr>
      <w:tr w14:paraId="2371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40E8F8E4">
            <w:pPr>
              <w:spacing w:after="0"/>
              <w:rPr>
                <w:rFonts w:ascii="仿宋" w:hAnsi="仿宋" w:eastAsia="仿宋"/>
                <w:b/>
                <w:sz w:val="24"/>
                <w:szCs w:val="24"/>
              </w:rPr>
            </w:pPr>
          </w:p>
        </w:tc>
        <w:tc>
          <w:tcPr>
            <w:tcW w:w="1167" w:type="dxa"/>
            <w:vAlign w:val="center"/>
          </w:tcPr>
          <w:p w14:paraId="7D44B062">
            <w:pPr>
              <w:spacing w:after="0"/>
              <w:jc w:val="center"/>
              <w:rPr>
                <w:rFonts w:ascii="仿宋" w:hAnsi="仿宋" w:eastAsia="仿宋"/>
                <w:b/>
                <w:sz w:val="24"/>
                <w:szCs w:val="24"/>
              </w:rPr>
            </w:pPr>
            <w:r>
              <w:rPr>
                <w:rFonts w:hint="eastAsia" w:ascii="仿宋" w:hAnsi="仿宋" w:eastAsia="仿宋"/>
                <w:b/>
                <w:sz w:val="24"/>
                <w:szCs w:val="24"/>
              </w:rPr>
              <w:t>数据…</w:t>
            </w:r>
          </w:p>
        </w:tc>
        <w:tc>
          <w:tcPr>
            <w:tcW w:w="992" w:type="dxa"/>
            <w:vAlign w:val="center"/>
          </w:tcPr>
          <w:p w14:paraId="37E377E1">
            <w:pPr>
              <w:spacing w:after="0"/>
              <w:rPr>
                <w:rFonts w:ascii="仿宋" w:hAnsi="仿宋" w:eastAsia="仿宋"/>
                <w:sz w:val="24"/>
                <w:szCs w:val="24"/>
              </w:rPr>
            </w:pPr>
          </w:p>
        </w:tc>
        <w:tc>
          <w:tcPr>
            <w:tcW w:w="993" w:type="dxa"/>
          </w:tcPr>
          <w:p w14:paraId="51871B46">
            <w:pPr>
              <w:spacing w:after="0"/>
              <w:rPr>
                <w:rFonts w:ascii="仿宋" w:hAnsi="仿宋" w:eastAsia="仿宋"/>
                <w:sz w:val="24"/>
                <w:szCs w:val="24"/>
              </w:rPr>
            </w:pPr>
          </w:p>
        </w:tc>
        <w:tc>
          <w:tcPr>
            <w:tcW w:w="3191" w:type="dxa"/>
            <w:vAlign w:val="center"/>
          </w:tcPr>
          <w:p w14:paraId="216A0348">
            <w:pPr>
              <w:spacing w:after="0"/>
              <w:rPr>
                <w:rFonts w:ascii="仿宋" w:hAnsi="仿宋" w:eastAsia="仿宋"/>
                <w:sz w:val="24"/>
                <w:szCs w:val="24"/>
              </w:rPr>
            </w:pPr>
          </w:p>
        </w:tc>
        <w:tc>
          <w:tcPr>
            <w:tcW w:w="1525" w:type="dxa"/>
            <w:vAlign w:val="center"/>
          </w:tcPr>
          <w:p w14:paraId="2D4656AF">
            <w:pPr>
              <w:spacing w:after="0"/>
              <w:rPr>
                <w:rFonts w:ascii="仿宋" w:hAnsi="仿宋" w:eastAsia="仿宋"/>
                <w:sz w:val="24"/>
                <w:szCs w:val="24"/>
              </w:rPr>
            </w:pPr>
          </w:p>
        </w:tc>
      </w:tr>
      <w:tr w14:paraId="6C45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914" w:type="dxa"/>
            <w:gridSpan w:val="2"/>
            <w:vMerge w:val="restart"/>
            <w:vAlign w:val="center"/>
          </w:tcPr>
          <w:p w14:paraId="56F32B10">
            <w:pPr>
              <w:spacing w:after="0"/>
              <w:rPr>
                <w:rFonts w:ascii="仿宋" w:hAnsi="仿宋" w:eastAsia="仿宋"/>
                <w:b/>
                <w:sz w:val="24"/>
                <w:szCs w:val="24"/>
              </w:rPr>
            </w:pPr>
            <w:r>
              <w:rPr>
                <w:rFonts w:hint="eastAsia" w:ascii="仿宋" w:hAnsi="仿宋" w:eastAsia="仿宋"/>
                <w:b/>
                <w:sz w:val="24"/>
                <w:szCs w:val="24"/>
              </w:rPr>
              <w:t>实时监测的数据</w:t>
            </w:r>
          </w:p>
        </w:tc>
        <w:tc>
          <w:tcPr>
            <w:tcW w:w="1167" w:type="dxa"/>
            <w:vAlign w:val="center"/>
          </w:tcPr>
          <w:p w14:paraId="3B02029F">
            <w:pPr>
              <w:spacing w:after="0"/>
              <w:jc w:val="center"/>
              <w:rPr>
                <w:rFonts w:ascii="仿宋" w:hAnsi="仿宋" w:eastAsia="仿宋"/>
                <w:b/>
                <w:sz w:val="24"/>
                <w:szCs w:val="24"/>
              </w:rPr>
            </w:pPr>
            <w:r>
              <w:rPr>
                <w:rFonts w:hint="eastAsia" w:ascii="仿宋" w:hAnsi="仿宋" w:eastAsia="仿宋"/>
                <w:b/>
                <w:sz w:val="24"/>
                <w:szCs w:val="24"/>
              </w:rPr>
              <w:t>数据1</w:t>
            </w:r>
          </w:p>
        </w:tc>
        <w:tc>
          <w:tcPr>
            <w:tcW w:w="992" w:type="dxa"/>
            <w:vAlign w:val="center"/>
          </w:tcPr>
          <w:p w14:paraId="58B5EA79">
            <w:pPr>
              <w:spacing w:after="0"/>
              <w:rPr>
                <w:rFonts w:ascii="仿宋" w:hAnsi="仿宋" w:eastAsia="仿宋"/>
                <w:sz w:val="24"/>
                <w:szCs w:val="24"/>
              </w:rPr>
            </w:pPr>
          </w:p>
        </w:tc>
        <w:tc>
          <w:tcPr>
            <w:tcW w:w="993" w:type="dxa"/>
          </w:tcPr>
          <w:p w14:paraId="35F41F8A">
            <w:pPr>
              <w:spacing w:after="0"/>
              <w:rPr>
                <w:rFonts w:ascii="仿宋" w:hAnsi="仿宋" w:eastAsia="仿宋"/>
                <w:sz w:val="24"/>
                <w:szCs w:val="24"/>
              </w:rPr>
            </w:pPr>
          </w:p>
        </w:tc>
        <w:tc>
          <w:tcPr>
            <w:tcW w:w="3191" w:type="dxa"/>
            <w:vAlign w:val="center"/>
          </w:tcPr>
          <w:p w14:paraId="65A95E9B">
            <w:pPr>
              <w:spacing w:after="0"/>
              <w:rPr>
                <w:rFonts w:ascii="仿宋" w:hAnsi="仿宋" w:eastAsia="仿宋"/>
                <w:sz w:val="24"/>
                <w:szCs w:val="24"/>
              </w:rPr>
            </w:pPr>
          </w:p>
        </w:tc>
        <w:tc>
          <w:tcPr>
            <w:tcW w:w="1525" w:type="dxa"/>
            <w:vAlign w:val="center"/>
          </w:tcPr>
          <w:p w14:paraId="1F7BE537">
            <w:pPr>
              <w:spacing w:after="0"/>
              <w:rPr>
                <w:rFonts w:ascii="仿宋" w:hAnsi="仿宋" w:eastAsia="仿宋"/>
                <w:sz w:val="24"/>
                <w:szCs w:val="24"/>
              </w:rPr>
            </w:pPr>
          </w:p>
        </w:tc>
      </w:tr>
      <w:tr w14:paraId="121DF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6E464012">
            <w:pPr>
              <w:spacing w:after="0"/>
              <w:rPr>
                <w:rFonts w:ascii="仿宋" w:hAnsi="仿宋" w:eastAsia="仿宋"/>
                <w:b/>
                <w:sz w:val="24"/>
                <w:szCs w:val="24"/>
              </w:rPr>
            </w:pPr>
          </w:p>
        </w:tc>
        <w:tc>
          <w:tcPr>
            <w:tcW w:w="1167" w:type="dxa"/>
            <w:vAlign w:val="center"/>
          </w:tcPr>
          <w:p w14:paraId="672527B3">
            <w:pPr>
              <w:spacing w:after="0"/>
              <w:jc w:val="center"/>
              <w:rPr>
                <w:rFonts w:ascii="仿宋" w:hAnsi="仿宋" w:eastAsia="仿宋"/>
                <w:b/>
                <w:sz w:val="24"/>
                <w:szCs w:val="24"/>
              </w:rPr>
            </w:pPr>
            <w:r>
              <w:rPr>
                <w:rFonts w:hint="eastAsia" w:ascii="仿宋" w:hAnsi="仿宋" w:eastAsia="仿宋"/>
                <w:b/>
                <w:sz w:val="24"/>
                <w:szCs w:val="24"/>
              </w:rPr>
              <w:t>数据2</w:t>
            </w:r>
          </w:p>
        </w:tc>
        <w:tc>
          <w:tcPr>
            <w:tcW w:w="992" w:type="dxa"/>
            <w:vAlign w:val="center"/>
          </w:tcPr>
          <w:p w14:paraId="3BDAAD7A">
            <w:pPr>
              <w:spacing w:after="0"/>
              <w:rPr>
                <w:rFonts w:ascii="仿宋" w:hAnsi="仿宋" w:eastAsia="仿宋"/>
                <w:sz w:val="24"/>
                <w:szCs w:val="24"/>
              </w:rPr>
            </w:pPr>
          </w:p>
        </w:tc>
        <w:tc>
          <w:tcPr>
            <w:tcW w:w="993" w:type="dxa"/>
          </w:tcPr>
          <w:p w14:paraId="36FD2C30">
            <w:pPr>
              <w:spacing w:after="0"/>
              <w:rPr>
                <w:rFonts w:ascii="仿宋" w:hAnsi="仿宋" w:eastAsia="仿宋"/>
                <w:sz w:val="24"/>
                <w:szCs w:val="24"/>
              </w:rPr>
            </w:pPr>
          </w:p>
        </w:tc>
        <w:tc>
          <w:tcPr>
            <w:tcW w:w="3191" w:type="dxa"/>
            <w:vAlign w:val="center"/>
          </w:tcPr>
          <w:p w14:paraId="6EAB8641">
            <w:pPr>
              <w:spacing w:after="0"/>
              <w:rPr>
                <w:rFonts w:ascii="仿宋" w:hAnsi="仿宋" w:eastAsia="仿宋"/>
                <w:sz w:val="24"/>
                <w:szCs w:val="24"/>
              </w:rPr>
            </w:pPr>
          </w:p>
        </w:tc>
        <w:tc>
          <w:tcPr>
            <w:tcW w:w="1525" w:type="dxa"/>
            <w:vAlign w:val="center"/>
          </w:tcPr>
          <w:p w14:paraId="40D7596A">
            <w:pPr>
              <w:spacing w:after="0"/>
              <w:rPr>
                <w:rFonts w:ascii="仿宋" w:hAnsi="仿宋" w:eastAsia="仿宋"/>
                <w:sz w:val="24"/>
                <w:szCs w:val="24"/>
              </w:rPr>
            </w:pPr>
          </w:p>
        </w:tc>
      </w:tr>
      <w:tr w14:paraId="6CEAC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224AEAA5">
            <w:pPr>
              <w:spacing w:after="0"/>
              <w:rPr>
                <w:rFonts w:ascii="仿宋" w:hAnsi="仿宋" w:eastAsia="仿宋"/>
                <w:b/>
                <w:sz w:val="24"/>
                <w:szCs w:val="24"/>
              </w:rPr>
            </w:pPr>
          </w:p>
        </w:tc>
        <w:tc>
          <w:tcPr>
            <w:tcW w:w="1167" w:type="dxa"/>
            <w:vAlign w:val="center"/>
          </w:tcPr>
          <w:p w14:paraId="220F681F">
            <w:pPr>
              <w:spacing w:after="0"/>
              <w:jc w:val="center"/>
              <w:rPr>
                <w:rFonts w:ascii="仿宋" w:hAnsi="仿宋" w:eastAsia="仿宋"/>
                <w:b/>
                <w:sz w:val="24"/>
                <w:szCs w:val="24"/>
              </w:rPr>
            </w:pPr>
            <w:r>
              <w:rPr>
                <w:rFonts w:hint="eastAsia" w:ascii="仿宋" w:hAnsi="仿宋" w:eastAsia="仿宋"/>
                <w:b/>
                <w:sz w:val="24"/>
                <w:szCs w:val="24"/>
              </w:rPr>
              <w:t>数据3</w:t>
            </w:r>
          </w:p>
        </w:tc>
        <w:tc>
          <w:tcPr>
            <w:tcW w:w="992" w:type="dxa"/>
            <w:vAlign w:val="center"/>
          </w:tcPr>
          <w:p w14:paraId="33E23E9A">
            <w:pPr>
              <w:spacing w:after="0"/>
              <w:rPr>
                <w:rFonts w:ascii="仿宋" w:hAnsi="仿宋" w:eastAsia="仿宋"/>
                <w:sz w:val="24"/>
                <w:szCs w:val="24"/>
              </w:rPr>
            </w:pPr>
          </w:p>
        </w:tc>
        <w:tc>
          <w:tcPr>
            <w:tcW w:w="993" w:type="dxa"/>
          </w:tcPr>
          <w:p w14:paraId="38B6C5DC">
            <w:pPr>
              <w:spacing w:after="0"/>
              <w:rPr>
                <w:rFonts w:ascii="仿宋" w:hAnsi="仿宋" w:eastAsia="仿宋"/>
                <w:sz w:val="24"/>
                <w:szCs w:val="24"/>
              </w:rPr>
            </w:pPr>
          </w:p>
        </w:tc>
        <w:tc>
          <w:tcPr>
            <w:tcW w:w="3191" w:type="dxa"/>
            <w:vAlign w:val="center"/>
          </w:tcPr>
          <w:p w14:paraId="0E1929C1">
            <w:pPr>
              <w:spacing w:after="0"/>
              <w:rPr>
                <w:rFonts w:ascii="仿宋" w:hAnsi="仿宋" w:eastAsia="仿宋"/>
                <w:sz w:val="24"/>
                <w:szCs w:val="24"/>
              </w:rPr>
            </w:pPr>
          </w:p>
        </w:tc>
        <w:tc>
          <w:tcPr>
            <w:tcW w:w="1525" w:type="dxa"/>
            <w:vAlign w:val="center"/>
          </w:tcPr>
          <w:p w14:paraId="42DC950C">
            <w:pPr>
              <w:spacing w:after="0"/>
              <w:rPr>
                <w:rFonts w:ascii="仿宋" w:hAnsi="仿宋" w:eastAsia="仿宋"/>
                <w:sz w:val="24"/>
                <w:szCs w:val="24"/>
              </w:rPr>
            </w:pPr>
          </w:p>
        </w:tc>
      </w:tr>
      <w:tr w14:paraId="5A1E9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241D7397">
            <w:pPr>
              <w:spacing w:after="0"/>
              <w:rPr>
                <w:rFonts w:ascii="仿宋" w:hAnsi="仿宋" w:eastAsia="仿宋"/>
                <w:b/>
                <w:sz w:val="24"/>
                <w:szCs w:val="24"/>
              </w:rPr>
            </w:pPr>
          </w:p>
        </w:tc>
        <w:tc>
          <w:tcPr>
            <w:tcW w:w="1167" w:type="dxa"/>
            <w:vAlign w:val="center"/>
          </w:tcPr>
          <w:p w14:paraId="082AD45B">
            <w:pPr>
              <w:spacing w:after="0"/>
              <w:jc w:val="center"/>
              <w:rPr>
                <w:rFonts w:ascii="仿宋" w:hAnsi="仿宋" w:eastAsia="仿宋"/>
                <w:b/>
                <w:sz w:val="24"/>
                <w:szCs w:val="24"/>
              </w:rPr>
            </w:pPr>
            <w:r>
              <w:rPr>
                <w:rFonts w:hint="eastAsia" w:ascii="仿宋" w:hAnsi="仿宋" w:eastAsia="仿宋"/>
                <w:b/>
                <w:sz w:val="24"/>
                <w:szCs w:val="24"/>
              </w:rPr>
              <w:t>数据4</w:t>
            </w:r>
          </w:p>
        </w:tc>
        <w:tc>
          <w:tcPr>
            <w:tcW w:w="992" w:type="dxa"/>
            <w:vAlign w:val="center"/>
          </w:tcPr>
          <w:p w14:paraId="70E44E91">
            <w:pPr>
              <w:spacing w:after="0"/>
              <w:rPr>
                <w:rFonts w:ascii="仿宋" w:hAnsi="仿宋" w:eastAsia="仿宋"/>
                <w:sz w:val="24"/>
                <w:szCs w:val="24"/>
              </w:rPr>
            </w:pPr>
          </w:p>
        </w:tc>
        <w:tc>
          <w:tcPr>
            <w:tcW w:w="993" w:type="dxa"/>
          </w:tcPr>
          <w:p w14:paraId="720BE86B">
            <w:pPr>
              <w:spacing w:after="0"/>
              <w:rPr>
                <w:rFonts w:ascii="仿宋" w:hAnsi="仿宋" w:eastAsia="仿宋"/>
                <w:sz w:val="24"/>
                <w:szCs w:val="24"/>
              </w:rPr>
            </w:pPr>
          </w:p>
        </w:tc>
        <w:tc>
          <w:tcPr>
            <w:tcW w:w="3191" w:type="dxa"/>
            <w:vAlign w:val="center"/>
          </w:tcPr>
          <w:p w14:paraId="2B9FD7C4">
            <w:pPr>
              <w:spacing w:after="0"/>
              <w:rPr>
                <w:rFonts w:ascii="仿宋" w:hAnsi="仿宋" w:eastAsia="仿宋"/>
                <w:sz w:val="24"/>
                <w:szCs w:val="24"/>
              </w:rPr>
            </w:pPr>
          </w:p>
        </w:tc>
        <w:tc>
          <w:tcPr>
            <w:tcW w:w="1525" w:type="dxa"/>
            <w:vAlign w:val="center"/>
          </w:tcPr>
          <w:p w14:paraId="0ED335DE">
            <w:pPr>
              <w:spacing w:after="0"/>
              <w:rPr>
                <w:rFonts w:ascii="仿宋" w:hAnsi="仿宋" w:eastAsia="仿宋"/>
                <w:sz w:val="24"/>
                <w:szCs w:val="24"/>
              </w:rPr>
            </w:pPr>
          </w:p>
        </w:tc>
      </w:tr>
      <w:tr w14:paraId="07DE9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 w:hRule="atLeast"/>
          <w:jc w:val="center"/>
        </w:trPr>
        <w:tc>
          <w:tcPr>
            <w:tcW w:w="914" w:type="dxa"/>
            <w:gridSpan w:val="2"/>
            <w:vMerge w:val="continue"/>
            <w:vAlign w:val="center"/>
          </w:tcPr>
          <w:p w14:paraId="33926691">
            <w:pPr>
              <w:spacing w:after="0"/>
              <w:rPr>
                <w:rFonts w:ascii="仿宋" w:hAnsi="仿宋" w:eastAsia="仿宋"/>
                <w:b/>
                <w:sz w:val="24"/>
                <w:szCs w:val="24"/>
              </w:rPr>
            </w:pPr>
          </w:p>
        </w:tc>
        <w:tc>
          <w:tcPr>
            <w:tcW w:w="1167" w:type="dxa"/>
            <w:vAlign w:val="center"/>
          </w:tcPr>
          <w:p w14:paraId="631542F6">
            <w:pPr>
              <w:spacing w:after="0"/>
              <w:jc w:val="center"/>
              <w:rPr>
                <w:rFonts w:ascii="仿宋" w:hAnsi="仿宋" w:eastAsia="仿宋"/>
                <w:b/>
                <w:sz w:val="24"/>
                <w:szCs w:val="24"/>
              </w:rPr>
            </w:pPr>
            <w:r>
              <w:rPr>
                <w:rFonts w:hint="eastAsia" w:ascii="仿宋" w:hAnsi="仿宋" w:eastAsia="仿宋"/>
                <w:b/>
                <w:sz w:val="24"/>
                <w:szCs w:val="24"/>
              </w:rPr>
              <w:t>数据…</w:t>
            </w:r>
          </w:p>
        </w:tc>
        <w:tc>
          <w:tcPr>
            <w:tcW w:w="992" w:type="dxa"/>
            <w:vAlign w:val="center"/>
          </w:tcPr>
          <w:p w14:paraId="11C5953D">
            <w:pPr>
              <w:spacing w:after="0"/>
              <w:rPr>
                <w:rFonts w:ascii="仿宋" w:hAnsi="仿宋" w:eastAsia="仿宋"/>
                <w:sz w:val="24"/>
                <w:szCs w:val="24"/>
              </w:rPr>
            </w:pPr>
          </w:p>
        </w:tc>
        <w:tc>
          <w:tcPr>
            <w:tcW w:w="993" w:type="dxa"/>
          </w:tcPr>
          <w:p w14:paraId="035961E3">
            <w:pPr>
              <w:spacing w:after="0"/>
              <w:rPr>
                <w:rFonts w:ascii="仿宋" w:hAnsi="仿宋" w:eastAsia="仿宋"/>
                <w:sz w:val="24"/>
                <w:szCs w:val="24"/>
              </w:rPr>
            </w:pPr>
          </w:p>
        </w:tc>
        <w:tc>
          <w:tcPr>
            <w:tcW w:w="3191" w:type="dxa"/>
            <w:vAlign w:val="center"/>
          </w:tcPr>
          <w:p w14:paraId="1E9E6ED0">
            <w:pPr>
              <w:spacing w:after="0"/>
              <w:rPr>
                <w:rFonts w:ascii="仿宋" w:hAnsi="仿宋" w:eastAsia="仿宋"/>
                <w:sz w:val="24"/>
                <w:szCs w:val="24"/>
              </w:rPr>
            </w:pPr>
          </w:p>
        </w:tc>
        <w:tc>
          <w:tcPr>
            <w:tcW w:w="1525" w:type="dxa"/>
            <w:vAlign w:val="center"/>
          </w:tcPr>
          <w:p w14:paraId="536948F9">
            <w:pPr>
              <w:spacing w:after="0"/>
              <w:rPr>
                <w:rFonts w:ascii="仿宋" w:hAnsi="仿宋" w:eastAsia="仿宋"/>
                <w:sz w:val="24"/>
                <w:szCs w:val="24"/>
              </w:rPr>
            </w:pPr>
          </w:p>
        </w:tc>
      </w:tr>
    </w:tbl>
    <w:p w14:paraId="1E648EEF">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3.3.2.1 活动水平数据的符合性</w:t>
      </w:r>
    </w:p>
    <w:p w14:paraId="098E9E1D">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核查重点碳排放单位报送二氧化碳直接和间接排放相关的活动水平数据及相应的表格。对每一个活动水平数据进行核查,核查的内容包括:单位、数据来源、监测方法、监测频次、记录频次、数据缺失处理、交叉核对内容，核查机构应对上述每一个核算数据的符合性进行报告。报告格式如下：</w:t>
      </w:r>
    </w:p>
    <w:p w14:paraId="50A028FB">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活动水平数据1（直接排放）：</w:t>
      </w:r>
    </w:p>
    <w:p w14:paraId="17866CE7">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单位</w:t>
      </w:r>
    </w:p>
    <w:p w14:paraId="16ACDFE6">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数据来源</w:t>
      </w:r>
    </w:p>
    <w:p w14:paraId="1B862289">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监测方法</w:t>
      </w:r>
    </w:p>
    <w:p w14:paraId="4B265510">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监测频次</w:t>
      </w:r>
    </w:p>
    <w:p w14:paraId="74608C2C">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记录频次</w:t>
      </w:r>
    </w:p>
    <w:p w14:paraId="10BD76B8">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数据缺失处理</w:t>
      </w:r>
    </w:p>
    <w:p w14:paraId="09F7F227">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交叉核对</w:t>
      </w:r>
    </w:p>
    <w:p w14:paraId="42E671B5">
      <w:pPr>
        <w:widowControl w:val="0"/>
        <w:numPr>
          <w:ilvl w:val="0"/>
          <w:numId w:val="1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确认的数值</w:t>
      </w:r>
    </w:p>
    <w:p w14:paraId="4AB31521">
      <w:pPr>
        <w:widowControl w:val="0"/>
        <w:numPr>
          <w:ilvl w:val="0"/>
          <w:numId w:val="16"/>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核查结论（简要描述不符合，如有。详细描述及纠正措施链接附件1）</w:t>
      </w:r>
    </w:p>
    <w:p w14:paraId="76C82ADA">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活动水平数据2（直接排放）：</w:t>
      </w:r>
    </w:p>
    <w:p w14:paraId="34CB0246">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活动水平数据1（间接排放）：</w:t>
      </w:r>
    </w:p>
    <w:p w14:paraId="5C50706C">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3.3.2.2 排放因子的符合性</w:t>
      </w:r>
    </w:p>
    <w:p w14:paraId="3A4D4615">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核查重点碳排放单位报送的排放因子数据及相应的表格以及各个行业的特定表格，应对每一个排放因子进行核查,核查的内容包括:单位、数据来源、监测方法、监测频次、记录频次、数据缺失处理、交叉核对内容，核查机构应对上述每一个核算数据的符合性进行报告。如果排放因子为缺省值,可适当删减上述核查内容。报告格式如下：</w:t>
      </w:r>
    </w:p>
    <w:p w14:paraId="04AA738A">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排放因子参数1（直接排放）：</w:t>
      </w:r>
    </w:p>
    <w:p w14:paraId="3881356B">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单位</w:t>
      </w:r>
    </w:p>
    <w:p w14:paraId="1BAE2620">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数据来源</w:t>
      </w:r>
    </w:p>
    <w:p w14:paraId="26941FA1">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监测方法</w:t>
      </w:r>
    </w:p>
    <w:p w14:paraId="7EC9592E">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监测频次</w:t>
      </w:r>
    </w:p>
    <w:p w14:paraId="6903633A">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记录频次</w:t>
      </w:r>
    </w:p>
    <w:p w14:paraId="30FF91D5">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数据缺失处理</w:t>
      </w:r>
    </w:p>
    <w:p w14:paraId="0A3E96FA">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交叉核对</w:t>
      </w:r>
    </w:p>
    <w:p w14:paraId="40D4E563">
      <w:pPr>
        <w:widowControl w:val="0"/>
        <w:numPr>
          <w:ilvl w:val="0"/>
          <w:numId w:val="17"/>
        </w:numPr>
        <w:spacing w:after="0" w:line="560" w:lineRule="exact"/>
        <w:ind w:hanging="180"/>
        <w:jc w:val="both"/>
        <w:rPr>
          <w:rFonts w:ascii="仿宋_GB2312" w:hAnsi="仿宋" w:eastAsia="仿宋_GB2312"/>
          <w:sz w:val="32"/>
          <w:szCs w:val="32"/>
        </w:rPr>
      </w:pPr>
      <w:r>
        <w:rPr>
          <w:rFonts w:hint="eastAsia" w:ascii="仿宋_GB2312" w:hAnsi="仿宋" w:eastAsia="仿宋_GB2312"/>
          <w:sz w:val="32"/>
          <w:szCs w:val="32"/>
        </w:rPr>
        <w:t>确认的数值</w:t>
      </w:r>
    </w:p>
    <w:p w14:paraId="69984B6E">
      <w:pPr>
        <w:widowControl w:val="0"/>
        <w:numPr>
          <w:ilvl w:val="0"/>
          <w:numId w:val="17"/>
        </w:numPr>
        <w:spacing w:after="0" w:line="560" w:lineRule="exact"/>
        <w:ind w:left="0" w:firstLine="660"/>
        <w:jc w:val="both"/>
        <w:rPr>
          <w:rFonts w:ascii="仿宋_GB2312" w:hAnsi="仿宋" w:eastAsia="仿宋_GB2312"/>
          <w:sz w:val="32"/>
          <w:szCs w:val="32"/>
        </w:rPr>
      </w:pPr>
      <w:r>
        <w:rPr>
          <w:rFonts w:hint="eastAsia" w:ascii="仿宋_GB2312" w:hAnsi="仿宋" w:eastAsia="仿宋_GB2312"/>
          <w:sz w:val="32"/>
          <w:szCs w:val="32"/>
        </w:rPr>
        <w:t>核查结论（简要描述不符合，如有。详细描述及纠正措施链接附件1）</w:t>
      </w:r>
    </w:p>
    <w:p w14:paraId="7134AD75">
      <w:pPr>
        <w:spacing w:after="0" w:line="560" w:lineRule="exact"/>
        <w:ind w:firstLine="660"/>
        <w:rPr>
          <w:rFonts w:ascii="仿宋_GB2312" w:hAnsi="仿宋" w:eastAsia="仿宋_GB2312"/>
          <w:b/>
          <w:sz w:val="32"/>
          <w:szCs w:val="32"/>
        </w:rPr>
      </w:pPr>
      <w:r>
        <w:rPr>
          <w:rFonts w:hint="eastAsia" w:ascii="仿宋_GB2312" w:hAnsi="仿宋" w:eastAsia="仿宋_GB2312"/>
          <w:b/>
          <w:sz w:val="32"/>
          <w:szCs w:val="32"/>
        </w:rPr>
        <w:t>排放因子参数2（直接排放）：</w:t>
      </w:r>
    </w:p>
    <w:p w14:paraId="73F9BC9F">
      <w:pPr>
        <w:spacing w:after="0" w:line="560" w:lineRule="exact"/>
        <w:ind w:firstLine="660"/>
        <w:rPr>
          <w:rFonts w:ascii="仿宋_GB2312" w:hAnsi="仿宋" w:eastAsia="仿宋_GB2312"/>
          <w:b/>
          <w:sz w:val="32"/>
          <w:szCs w:val="32"/>
        </w:rPr>
      </w:pPr>
      <w:r>
        <w:rPr>
          <w:rFonts w:hint="eastAsia" w:ascii="仿宋_GB2312" w:hAnsi="仿宋" w:eastAsia="仿宋_GB2312"/>
          <w:b/>
          <w:sz w:val="32"/>
          <w:szCs w:val="32"/>
        </w:rPr>
        <w:t>排放因子参数1（间接排放）：</w:t>
      </w:r>
    </w:p>
    <w:p w14:paraId="063F9BFC">
      <w:pPr>
        <w:spacing w:after="0" w:line="560" w:lineRule="exact"/>
        <w:ind w:firstLine="660"/>
        <w:outlineLvl w:val="0"/>
        <w:rPr>
          <w:rFonts w:ascii="仿宋_GB2312" w:hAnsi="仿宋" w:eastAsia="仿宋_GB2312"/>
          <w:b/>
          <w:sz w:val="32"/>
          <w:szCs w:val="32"/>
        </w:rPr>
      </w:pPr>
      <w:r>
        <w:rPr>
          <w:rFonts w:hint="eastAsia" w:ascii="仿宋_GB2312" w:hAnsi="仿宋" w:eastAsia="仿宋_GB2312"/>
          <w:b/>
          <w:sz w:val="32"/>
          <w:szCs w:val="32"/>
        </w:rPr>
        <w:t>3.3.2.3 其他数据及补充</w:t>
      </w:r>
      <w:r>
        <w:rPr>
          <w:rFonts w:ascii="仿宋_GB2312" w:hAnsi="仿宋" w:eastAsia="仿宋_GB2312"/>
          <w:b/>
          <w:sz w:val="32"/>
          <w:szCs w:val="32"/>
        </w:rPr>
        <w:t>信息</w:t>
      </w:r>
      <w:r>
        <w:rPr>
          <w:rFonts w:hint="eastAsia" w:ascii="仿宋_GB2312" w:hAnsi="仿宋" w:eastAsia="仿宋_GB2312"/>
          <w:b/>
          <w:sz w:val="32"/>
          <w:szCs w:val="32"/>
        </w:rPr>
        <w:t>的符合性</w:t>
      </w:r>
    </w:p>
    <w:p w14:paraId="27905923">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其它数据和补充信息包括石油化工</w:t>
      </w:r>
      <w:r>
        <w:rPr>
          <w:rFonts w:ascii="仿宋_GB2312" w:hAnsi="仿宋" w:eastAsia="仿宋_GB2312"/>
          <w:sz w:val="32"/>
          <w:szCs w:val="32"/>
        </w:rPr>
        <w:t>、</w:t>
      </w:r>
      <w:r>
        <w:rPr>
          <w:rFonts w:hint="eastAsia" w:ascii="仿宋_GB2312" w:hAnsi="仿宋" w:eastAsia="仿宋_GB2312"/>
          <w:sz w:val="32"/>
          <w:szCs w:val="32"/>
        </w:rPr>
        <w:t>热力生产和供应、水泥制造、其他服务业（物业、数据中心、通信）、其他行业（电网、汽车制造、生物药品制品制造、污水处理和再生水供应、自来水供应）等的</w:t>
      </w:r>
      <w:r>
        <w:rPr>
          <w:rFonts w:ascii="仿宋_GB2312" w:hAnsi="仿宋" w:eastAsia="仿宋_GB2312"/>
          <w:sz w:val="32"/>
          <w:szCs w:val="32"/>
        </w:rPr>
        <w:t>生产经营服务信息和碳排放补充信息</w:t>
      </w:r>
      <w:r>
        <w:rPr>
          <w:rFonts w:hint="eastAsia" w:ascii="仿宋_GB2312" w:hAnsi="仿宋" w:eastAsia="仿宋_GB2312"/>
          <w:sz w:val="32"/>
          <w:szCs w:val="32"/>
        </w:rPr>
        <w:t>，核查机构应对其它数据及补充数据信息进行核查。对涉及</w:t>
      </w:r>
      <w:bookmarkStart w:id="27" w:name="_GoBack"/>
      <w:bookmarkEnd w:id="27"/>
      <w:r>
        <w:rPr>
          <w:rFonts w:hint="eastAsia" w:ascii="仿宋_GB2312" w:hAnsi="仿宋" w:eastAsia="仿宋_GB2312"/>
          <w:sz w:val="32"/>
          <w:szCs w:val="32"/>
        </w:rPr>
        <w:t>的其它数据和补充信息的核查内容包括：数据的单位、数据来源、监测方法、监测频次、记录频次、参数交叉核对、数据缺失的处理方式等内容，核查机构应对其它数据和补充数据的每一个数据的符合性进行报告，若已经在核查报告中详细描述了核查过程且不降低核查质量的前提下，此处对于其它数据和补充信息的核查可以简化描述。</w:t>
      </w:r>
    </w:p>
    <w:p w14:paraId="6BDE1021">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其它数据和补充信息的符合性报告格式参考</w:t>
      </w:r>
      <w:r>
        <w:rPr>
          <w:rFonts w:ascii="仿宋_GB2312" w:hAnsi="仿宋" w:eastAsia="仿宋_GB2312"/>
          <w:sz w:val="32"/>
          <w:szCs w:val="32"/>
        </w:rPr>
        <w:t>3.3.2.1</w:t>
      </w:r>
      <w:r>
        <w:rPr>
          <w:rFonts w:hint="eastAsia" w:ascii="仿宋_GB2312" w:hAnsi="仿宋" w:eastAsia="仿宋_GB2312"/>
          <w:sz w:val="32"/>
          <w:szCs w:val="32"/>
        </w:rPr>
        <w:t>。</w:t>
      </w:r>
    </w:p>
    <w:p w14:paraId="59A4D96E">
      <w:pPr>
        <w:spacing w:after="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补充</w:t>
      </w:r>
      <w:r>
        <w:rPr>
          <w:rFonts w:ascii="仿宋_GB2312" w:hAnsi="仿宋" w:eastAsia="仿宋_GB2312"/>
          <w:sz w:val="32"/>
          <w:szCs w:val="32"/>
        </w:rPr>
        <w:t>数据表核查重点如下：</w:t>
      </w:r>
    </w:p>
    <w:p w14:paraId="1FAF3F44">
      <w:pPr>
        <w:spacing w:after="0" w:line="560" w:lineRule="exact"/>
        <w:ind w:firstLine="640" w:firstLineChars="200"/>
        <w:rPr>
          <w:rFonts w:ascii="仿宋_GB2312" w:hAnsi="仿宋" w:eastAsia="仿宋_GB2312"/>
          <w:sz w:val="32"/>
          <w:szCs w:val="32"/>
        </w:rPr>
      </w:pPr>
    </w:p>
    <w:p w14:paraId="42E38524">
      <w:pPr>
        <w:spacing w:after="0" w:line="560" w:lineRule="exact"/>
        <w:ind w:firstLine="640" w:firstLineChars="200"/>
        <w:rPr>
          <w:rFonts w:ascii="仿宋_GB2312" w:hAnsi="仿宋" w:eastAsia="仿宋_GB2312"/>
          <w:sz w:val="32"/>
          <w:szCs w:val="32"/>
        </w:rPr>
      </w:pPr>
    </w:p>
    <w:p w14:paraId="4D45108D">
      <w:pPr>
        <w:spacing w:after="0" w:line="560" w:lineRule="exact"/>
        <w:ind w:firstLine="643"/>
        <w:jc w:val="center"/>
        <w:rPr>
          <w:rFonts w:ascii="仿宋_GB2312" w:hAnsi="仿宋" w:eastAsia="仿宋_GB2312"/>
          <w:b/>
          <w:sz w:val="32"/>
          <w:szCs w:val="32"/>
          <w:lang w:val="en-US"/>
        </w:rPr>
      </w:pPr>
      <w:r>
        <w:rPr>
          <w:rFonts w:hint="eastAsia" w:ascii="仿宋_GB2312" w:hAnsi="仿宋" w:eastAsia="仿宋_GB2312"/>
          <w:b/>
          <w:sz w:val="32"/>
          <w:szCs w:val="32"/>
          <w:lang w:val="en-US"/>
        </w:rPr>
        <w:t>热力生产和供应企业补充</w:t>
      </w:r>
      <w:r>
        <w:rPr>
          <w:rFonts w:ascii="仿宋_GB2312" w:hAnsi="仿宋" w:eastAsia="仿宋_GB2312"/>
          <w:b/>
          <w:sz w:val="32"/>
          <w:szCs w:val="32"/>
          <w:lang w:val="en-US"/>
        </w:rPr>
        <w:t>数据表</w:t>
      </w:r>
    </w:p>
    <w:tbl>
      <w:tblPr>
        <w:tblStyle w:val="36"/>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6669"/>
      </w:tblGrid>
      <w:tr w14:paraId="4C7F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30" w:type="dxa"/>
            <w:vAlign w:val="center"/>
          </w:tcPr>
          <w:p w14:paraId="338AF3B7">
            <w:pPr>
              <w:spacing w:after="0" w:line="280" w:lineRule="exact"/>
              <w:jc w:val="center"/>
              <w:rPr>
                <w:rFonts w:ascii="仿宋_GB2312" w:hAnsi="仿宋" w:eastAsia="仿宋_GB2312"/>
                <w:b/>
                <w:bCs/>
                <w:sz w:val="24"/>
                <w:szCs w:val="24"/>
                <w:lang w:val="en-US"/>
              </w:rPr>
            </w:pPr>
            <w:r>
              <w:rPr>
                <w:rFonts w:hint="eastAsia" w:ascii="仿宋_GB2312" w:hAnsi="仿宋" w:eastAsia="仿宋_GB2312"/>
                <w:b/>
                <w:bCs/>
                <w:sz w:val="24"/>
                <w:szCs w:val="24"/>
                <w:lang w:val="en-US"/>
              </w:rPr>
              <w:t>报告</w:t>
            </w:r>
            <w:r>
              <w:rPr>
                <w:rFonts w:ascii="仿宋_GB2312" w:hAnsi="仿宋" w:eastAsia="仿宋_GB2312"/>
                <w:b/>
                <w:bCs/>
                <w:sz w:val="24"/>
                <w:szCs w:val="24"/>
                <w:lang w:val="en-US"/>
              </w:rPr>
              <w:t>参数</w:t>
            </w:r>
          </w:p>
        </w:tc>
        <w:tc>
          <w:tcPr>
            <w:tcW w:w="6669" w:type="dxa"/>
            <w:vAlign w:val="center"/>
          </w:tcPr>
          <w:p w14:paraId="7B459C66">
            <w:pPr>
              <w:spacing w:after="0" w:line="280" w:lineRule="exact"/>
              <w:ind w:firstLine="482"/>
              <w:jc w:val="center"/>
              <w:rPr>
                <w:rFonts w:ascii="仿宋_GB2312" w:hAnsi="仿宋" w:eastAsia="仿宋_GB2312"/>
                <w:b/>
                <w:bCs/>
                <w:sz w:val="24"/>
                <w:szCs w:val="24"/>
                <w:lang w:val="en-US"/>
              </w:rPr>
            </w:pPr>
            <w:r>
              <w:rPr>
                <w:rFonts w:hint="eastAsia" w:ascii="仿宋_GB2312" w:hAnsi="仿宋" w:eastAsia="仿宋_GB2312"/>
                <w:b/>
                <w:bCs/>
                <w:sz w:val="24"/>
                <w:szCs w:val="24"/>
                <w:lang w:val="en-US"/>
              </w:rPr>
              <w:t>核查要求</w:t>
            </w:r>
          </w:p>
        </w:tc>
      </w:tr>
      <w:tr w14:paraId="0482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2430" w:type="dxa"/>
            <w:vAlign w:val="center"/>
          </w:tcPr>
          <w:p w14:paraId="17127E57">
            <w:pPr>
              <w:spacing w:after="0" w:line="280" w:lineRule="exact"/>
              <w:ind w:firstLine="480"/>
              <w:rPr>
                <w:rFonts w:ascii="仿宋_GB2312" w:hAnsi="仿宋" w:eastAsia="仿宋_GB2312"/>
                <w:sz w:val="24"/>
                <w:szCs w:val="24"/>
                <w:lang w:val="en-US"/>
              </w:rPr>
            </w:pPr>
            <w:r>
              <w:rPr>
                <w:rFonts w:hint="eastAsia" w:ascii="仿宋_GB2312" w:hAnsi="仿宋" w:eastAsia="仿宋_GB2312"/>
                <w:sz w:val="24"/>
                <w:szCs w:val="24"/>
                <w:lang w:val="en-US"/>
              </w:rPr>
              <w:t>各热量数据</w:t>
            </w:r>
          </w:p>
        </w:tc>
        <w:tc>
          <w:tcPr>
            <w:tcW w:w="6669" w:type="dxa"/>
            <w:vAlign w:val="center"/>
          </w:tcPr>
          <w:p w14:paraId="77008284">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核查组首先应确定受核查方的供热类型（包括热源及热网类型，热源：燃气锅炉</w:t>
            </w:r>
            <w:r>
              <w:rPr>
                <w:rFonts w:ascii="仿宋_GB2312" w:hAnsi="仿宋" w:eastAsia="仿宋_GB2312"/>
                <w:sz w:val="24"/>
                <w:szCs w:val="24"/>
                <w:lang w:val="en-US"/>
              </w:rPr>
              <w:t>/燃煤锅炉/电锅炉/燃油锅炉/地源热泵/其他，热网：直供/间供），热量的数据来源是否与监测计划一致。如为计量数据，还应将报告的数据与热表抄表记录等数据交叉核对；如为计算数据，应确认计算方法的合理性，并保持各年度数据的可比性，计算用到的各</w:t>
            </w:r>
            <w:r>
              <w:rPr>
                <w:rFonts w:hint="eastAsia" w:ascii="仿宋_GB2312" w:hAnsi="仿宋" w:eastAsia="仿宋_GB2312"/>
                <w:sz w:val="24"/>
                <w:szCs w:val="24"/>
                <w:lang w:val="en-US"/>
              </w:rPr>
              <w:t>参数，均应确保其来源可信，如有测试报告，应附在核查报告中。</w:t>
            </w:r>
          </w:p>
        </w:tc>
      </w:tr>
      <w:tr w14:paraId="3110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2430" w:type="dxa"/>
            <w:vAlign w:val="center"/>
          </w:tcPr>
          <w:p w14:paraId="06186CE1">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不同用能单元（热源锅炉房、办公生活及其他）的直接排放量</w:t>
            </w:r>
          </w:p>
        </w:tc>
        <w:tc>
          <w:tcPr>
            <w:tcW w:w="6669" w:type="dxa"/>
            <w:vAlign w:val="center"/>
          </w:tcPr>
          <w:p w14:paraId="49584B50">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核查组应确认受核查方化石燃料消耗量的数据来源是否与监测计划一致，并通过能源平衡表、生产月报表等相关记录交叉核对。</w:t>
            </w:r>
          </w:p>
          <w:p w14:paraId="6487A600">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对于天然气等可单独计量的能源，还应将报告的数据与天然气抄表记录、财务数据等数据交叉核对。</w:t>
            </w:r>
          </w:p>
          <w:p w14:paraId="3B57DA59">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如重点排放单位使用化石燃料排放因子的缺省值，核查组应确认缺省值的数据、单位正确，如使用实测值，排放因子的核查应参考核查报告编写指南第</w:t>
            </w:r>
            <w:r>
              <w:rPr>
                <w:rFonts w:ascii="仿宋_GB2312" w:hAnsi="仿宋" w:eastAsia="仿宋_GB2312"/>
                <w:sz w:val="24"/>
                <w:szCs w:val="24"/>
                <w:lang w:val="en-US"/>
              </w:rPr>
              <w:t>3.3.2.2部分的要求。</w:t>
            </w:r>
          </w:p>
        </w:tc>
      </w:tr>
      <w:tr w14:paraId="7756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430" w:type="dxa"/>
            <w:vAlign w:val="center"/>
          </w:tcPr>
          <w:p w14:paraId="7D8B57AC">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不同用能单元（热源锅炉房、热力站、中继泵站、办公生活及其他）的间接排放量</w:t>
            </w:r>
          </w:p>
        </w:tc>
        <w:tc>
          <w:tcPr>
            <w:tcW w:w="6669" w:type="dxa"/>
            <w:vAlign w:val="center"/>
          </w:tcPr>
          <w:p w14:paraId="65B35444">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对于各用电单元单独计量的电量，应确认监测设备的校准、数据记录等活动是否符合监测计划的要求，并核对抄表记录、各车间能源消耗台账。</w:t>
            </w:r>
          </w:p>
          <w:p w14:paraId="326B6AA4">
            <w:pPr>
              <w:spacing w:after="0" w:line="280" w:lineRule="exact"/>
              <w:ind w:firstLine="480" w:firstLineChars="200"/>
              <w:jc w:val="both"/>
              <w:rPr>
                <w:rFonts w:ascii="仿宋_GB2312" w:hAnsi="仿宋" w:eastAsia="仿宋_GB2312"/>
                <w:sz w:val="24"/>
                <w:szCs w:val="24"/>
                <w:lang w:val="en-US"/>
              </w:rPr>
            </w:pPr>
            <w:r>
              <w:rPr>
                <w:rFonts w:hint="eastAsia" w:ascii="仿宋_GB2312" w:hAnsi="仿宋" w:eastAsia="仿宋_GB2312"/>
                <w:sz w:val="24"/>
                <w:szCs w:val="24"/>
                <w:lang w:val="en-US"/>
              </w:rPr>
              <w:t>如各用电单元对应的外购电力数据是通过拆分总外购电量计算得出，核查组应确认拆分的方式是否合理，并保持各年度数据的可比性。</w:t>
            </w:r>
          </w:p>
        </w:tc>
      </w:tr>
    </w:tbl>
    <w:p w14:paraId="03AABA0E">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水泥企业协同处置废弃物补充数据</w:t>
      </w:r>
    </w:p>
    <w:tbl>
      <w:tblPr>
        <w:tblStyle w:val="36"/>
        <w:tblW w:w="91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6686"/>
      </w:tblGrid>
      <w:tr w14:paraId="3AB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5" w:type="dxa"/>
          </w:tcPr>
          <w:p w14:paraId="796B6DE1">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686" w:type="dxa"/>
          </w:tcPr>
          <w:p w14:paraId="371B7789">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6C1D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5" w:type="dxa"/>
            <w:vAlign w:val="center"/>
          </w:tcPr>
          <w:p w14:paraId="0527EDF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协同处置废弃物的种类</w:t>
            </w:r>
          </w:p>
        </w:tc>
        <w:tc>
          <w:tcPr>
            <w:tcW w:w="6686" w:type="dxa"/>
          </w:tcPr>
          <w:p w14:paraId="47257040">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协同处置废弃物的种类和数量。废弃物的种类和数量的数据除来自企业生产月报表外，可通过废弃物进厂数据记录、电表数据记录、不同部分的耗电量记录、能源消耗台账等相关记录交叉核对。</w:t>
            </w:r>
          </w:p>
        </w:tc>
      </w:tr>
      <w:tr w14:paraId="5657C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5" w:type="dxa"/>
            <w:vAlign w:val="center"/>
          </w:tcPr>
          <w:p w14:paraId="570539A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协同处置废弃物的数量</w:t>
            </w:r>
          </w:p>
        </w:tc>
        <w:tc>
          <w:tcPr>
            <w:tcW w:w="6686" w:type="dxa"/>
          </w:tcPr>
          <w:p w14:paraId="00A0374C">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协同处置废弃物的种类和数量。废弃物的种类和数量的数据除来自企业生产月报表外，可通过废弃物进厂数据记录、电表数据记录、不同部分的耗电量记录、能源消耗台账等相关记录交叉核对。</w:t>
            </w:r>
          </w:p>
        </w:tc>
      </w:tr>
      <w:tr w14:paraId="1F2A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5" w:type="dxa"/>
            <w:vAlign w:val="center"/>
          </w:tcPr>
          <w:p w14:paraId="4ED6584E">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废弃物预处理部分的耗电量</w:t>
            </w:r>
          </w:p>
        </w:tc>
        <w:tc>
          <w:tcPr>
            <w:tcW w:w="6686" w:type="dxa"/>
          </w:tcPr>
          <w:p w14:paraId="4F25AACB">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核查组应确认受核查方废弃物预处理部分的耗电量的数据来源是否与监测计划一致，并通过生产月报表、电表数据记录、不同部分的耗电量记录、能源消耗台账等相关记录交叉核对。</w:t>
            </w:r>
          </w:p>
        </w:tc>
      </w:tr>
    </w:tbl>
    <w:p w14:paraId="376BB875">
      <w:pPr>
        <w:spacing w:after="0" w:line="560" w:lineRule="exact"/>
        <w:jc w:val="center"/>
        <w:rPr>
          <w:rFonts w:ascii="仿宋_GB2312" w:hAnsi="仿宋" w:eastAsia="仿宋_GB2312"/>
          <w:b/>
          <w:sz w:val="32"/>
          <w:szCs w:val="32"/>
          <w:lang w:val="en-US"/>
        </w:rPr>
      </w:pPr>
    </w:p>
    <w:p w14:paraId="68ACB33F">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石油化工企业补充</w:t>
      </w:r>
      <w:r>
        <w:rPr>
          <w:rFonts w:ascii="仿宋_GB2312" w:hAnsi="仿宋" w:eastAsia="仿宋_GB2312"/>
          <w:b/>
          <w:sz w:val="32"/>
          <w:szCs w:val="32"/>
          <w:lang w:val="en-US"/>
        </w:rPr>
        <w:t>数据表</w:t>
      </w:r>
    </w:p>
    <w:tbl>
      <w:tblPr>
        <w:tblStyle w:val="36"/>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7"/>
        <w:gridCol w:w="6665"/>
      </w:tblGrid>
      <w:tr w14:paraId="60992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blHeader/>
        </w:trPr>
        <w:tc>
          <w:tcPr>
            <w:tcW w:w="2247" w:type="dxa"/>
            <w:vAlign w:val="center"/>
          </w:tcPr>
          <w:p w14:paraId="7B9C2A79">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665" w:type="dxa"/>
            <w:vAlign w:val="center"/>
          </w:tcPr>
          <w:p w14:paraId="75A2B6B6">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78D6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2247" w:type="dxa"/>
            <w:vAlign w:val="center"/>
          </w:tcPr>
          <w:p w14:paraId="6C50AB23">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产品类别</w:t>
            </w:r>
          </w:p>
        </w:tc>
        <w:tc>
          <w:tcPr>
            <w:tcW w:w="6665" w:type="dxa"/>
          </w:tcPr>
          <w:p w14:paraId="0C12951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核查组应确定受核查方的主营产品类别，除原油及原料油加工、乙烯应单独报告外，企业生产的其他化工产品类别也应识别并报告。</w:t>
            </w:r>
          </w:p>
          <w:p w14:paraId="7E4A8073">
            <w:pPr>
              <w:spacing w:after="0" w:line="340" w:lineRule="exact"/>
              <w:ind w:firstLine="480" w:firstLineChars="200"/>
              <w:jc w:val="both"/>
              <w:rPr>
                <w:rFonts w:ascii="仿宋_GB2312" w:eastAsia="仿宋_GB2312"/>
              </w:rPr>
            </w:pPr>
            <w:r>
              <w:rPr>
                <w:rFonts w:hint="eastAsia" w:ascii="仿宋_GB2312" w:hAnsi="楷体" w:eastAsia="仿宋_GB2312"/>
                <w:sz w:val="24"/>
                <w:szCs w:val="24"/>
              </w:rPr>
              <w:t>受核查方以生产车间和/或工序为单位确定主营产品类别。</w:t>
            </w:r>
          </w:p>
        </w:tc>
      </w:tr>
      <w:tr w14:paraId="0F048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2247" w:type="dxa"/>
            <w:vAlign w:val="center"/>
          </w:tcPr>
          <w:p w14:paraId="6FED5305">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产品产量</w:t>
            </w:r>
          </w:p>
        </w:tc>
        <w:tc>
          <w:tcPr>
            <w:tcW w:w="6665" w:type="dxa"/>
          </w:tcPr>
          <w:p w14:paraId="5C6A3C33">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核查组应确认受核查方产品产量的数据来自企业产量报表外，还应与上报统计局的产量产值相关数据核对。</w:t>
            </w:r>
          </w:p>
        </w:tc>
      </w:tr>
      <w:tr w14:paraId="043EC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8" w:hRule="atLeast"/>
        </w:trPr>
        <w:tc>
          <w:tcPr>
            <w:tcW w:w="2247" w:type="dxa"/>
            <w:vAlign w:val="center"/>
          </w:tcPr>
          <w:p w14:paraId="30EEF980">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每类产品生产的直接排放-化石燃料燃烧排放量</w:t>
            </w:r>
          </w:p>
        </w:tc>
        <w:tc>
          <w:tcPr>
            <w:tcW w:w="6665" w:type="dxa"/>
          </w:tcPr>
          <w:p w14:paraId="41F694CB">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核查组应确认受核查方对每类产品生产过程化石燃料消耗量的数据来源是否与监测计划一致，并通过能源平衡表、生产月报表等相关记录交叉核对。</w:t>
            </w:r>
          </w:p>
          <w:p w14:paraId="12C6A91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5FABE3B5">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如受核查方使用化石燃料排放因子的缺省值，核查组应确认缺省值的数据、单位正确，如使用实测值，排放因子的核查应参考核查报告编写指南第3.3.2.2部分的要求。</w:t>
            </w:r>
          </w:p>
          <w:p w14:paraId="1195EC3E">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当两类或两类以上的主营产品车间/工序的化石燃料消耗量数据不能分开核算时，可以合并填写，核查组应在核查报告中说明。</w:t>
            </w:r>
          </w:p>
        </w:tc>
      </w:tr>
      <w:tr w14:paraId="68F5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3" w:hRule="atLeast"/>
        </w:trPr>
        <w:tc>
          <w:tcPr>
            <w:tcW w:w="2247" w:type="dxa"/>
            <w:vAlign w:val="center"/>
          </w:tcPr>
          <w:p w14:paraId="57A2508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每类产品生产的直接排放-过程排放量</w:t>
            </w:r>
          </w:p>
        </w:tc>
        <w:tc>
          <w:tcPr>
            <w:tcW w:w="6665" w:type="dxa"/>
          </w:tcPr>
          <w:p w14:paraId="1978A8E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首先应分别识别每类产品生产是否存在过程排放，例如原油加工核算催化剂烧焦、制氢过程产生的二氧化碳排放量，乙烯生产核算乙烯裂解过程产生的二氧化碳排放量，其他化工产品生产仅核算环氧乙烷、醋酸乙烯生产过程产生的二氧化碳排放量。</w:t>
            </w:r>
          </w:p>
          <w:p w14:paraId="7BB8DE1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核查组确认每类产品过程排放核算方法是否与</w:t>
            </w:r>
            <w:r>
              <w:rPr>
                <w:rFonts w:ascii="仿宋_GB2312" w:hAnsi="楷体" w:eastAsia="仿宋_GB2312"/>
                <w:sz w:val="24"/>
                <w:szCs w:val="24"/>
              </w:rPr>
              <w:t>地方标准或适用的核算和报告指南</w:t>
            </w:r>
            <w:r>
              <w:rPr>
                <w:rFonts w:hint="eastAsia" w:ascii="仿宋_GB2312" w:hAnsi="楷体" w:eastAsia="仿宋_GB2312"/>
                <w:sz w:val="24"/>
                <w:szCs w:val="24"/>
              </w:rPr>
              <w:t>一致，各项参数数据来源是否与监测计划一致。对于直接监测计量的数据，将报告的数据与抄表记录等数据交叉核对；对于实验室监测汇总的数据，应确认监测方法符合相关标准，数据汇总方式合理，计算中用到的各参数，均应确保其来源可信。</w:t>
            </w:r>
          </w:p>
        </w:tc>
      </w:tr>
      <w:tr w14:paraId="4A58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2BDC2BBE">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每类产品生产的间接排放量</w:t>
            </w:r>
          </w:p>
        </w:tc>
        <w:tc>
          <w:tcPr>
            <w:tcW w:w="6665" w:type="dxa"/>
          </w:tcPr>
          <w:p w14:paraId="2A0F9D1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对于各产品车间/工序单独计量的电量，应确认监测设备的校准、数据记录等活动是否符合监测计划的要求，并核对抄表记录、各车间能源消耗台账。</w:t>
            </w:r>
          </w:p>
          <w:p w14:paraId="0AA06C3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如各成品车间/工序消耗对应的外购电力数据是通过拆分全厂总外购电量计算得出，核查组应确认拆分的方式是否合理，并保持各年度数据的可比性。</w:t>
            </w:r>
          </w:p>
          <w:p w14:paraId="0ECB7B9E">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对于存在自发电的情况，核查组应根据企业实际情况确认其外购电与自发电分配的合理性，并保持各年度数据处理的一致性和可比性。</w:t>
            </w:r>
          </w:p>
          <w:p w14:paraId="1E129468">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当两类或两类以上的主营产品车间/工序生产消耗的外购电量数据不能分开核算时，可以合并填写，核查组应在核查报告中做原因说明。</w:t>
            </w:r>
          </w:p>
        </w:tc>
      </w:tr>
    </w:tbl>
    <w:p w14:paraId="752B990F">
      <w:pPr>
        <w:spacing w:after="0" w:line="560" w:lineRule="exact"/>
        <w:ind w:firstLine="640" w:firstLineChars="200"/>
        <w:jc w:val="center"/>
        <w:rPr>
          <w:rFonts w:ascii="仿宋_GB2312" w:hAnsi="仿宋" w:eastAsia="仿宋_GB2312"/>
          <w:sz w:val="32"/>
          <w:szCs w:val="32"/>
        </w:rPr>
      </w:pPr>
    </w:p>
    <w:p w14:paraId="5DF8D85B">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物业管理类企业补充</w:t>
      </w:r>
      <w:r>
        <w:rPr>
          <w:rFonts w:ascii="仿宋_GB2312" w:hAnsi="仿宋" w:eastAsia="仿宋_GB2312"/>
          <w:b/>
          <w:sz w:val="32"/>
          <w:szCs w:val="32"/>
          <w:lang w:val="en-US"/>
        </w:rPr>
        <w:t>数据表</w:t>
      </w:r>
    </w:p>
    <w:tbl>
      <w:tblPr>
        <w:tblStyle w:val="36"/>
        <w:tblW w:w="89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2"/>
        <w:gridCol w:w="6686"/>
      </w:tblGrid>
      <w:tr w14:paraId="6B9E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blHeader/>
        </w:trPr>
        <w:tc>
          <w:tcPr>
            <w:tcW w:w="2222" w:type="dxa"/>
            <w:vAlign w:val="center"/>
          </w:tcPr>
          <w:p w14:paraId="2C5FD61E">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686" w:type="dxa"/>
            <w:vAlign w:val="center"/>
          </w:tcPr>
          <w:p w14:paraId="0C43BC5D">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7367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atLeast"/>
        </w:trPr>
        <w:tc>
          <w:tcPr>
            <w:tcW w:w="2222" w:type="dxa"/>
            <w:vAlign w:val="center"/>
          </w:tcPr>
          <w:p w14:paraId="37B38DA0">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建筑面积</w:t>
            </w:r>
            <w:r>
              <w:rPr>
                <w:rFonts w:ascii="仿宋_GB2312" w:hAnsi="楷体" w:eastAsia="仿宋_GB2312"/>
                <w:sz w:val="24"/>
                <w:szCs w:val="24"/>
                <w:lang w:val="en-US"/>
              </w:rPr>
              <w:t>/实际物业管理面积</w:t>
            </w:r>
          </w:p>
        </w:tc>
        <w:tc>
          <w:tcPr>
            <w:tcW w:w="6686" w:type="dxa"/>
          </w:tcPr>
          <w:p w14:paraId="74FB1FE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通过查阅设计图纸、政府批复文件、竣工报告、房产证、能源审计报告、项目总平面图等资料并现场访问确定建筑面积。不同业态的建筑面积如果是估算获得，核查组需要求受核查方说明估算方法并提供相关资料依据，核查组应评估其合理性。</w:t>
            </w:r>
          </w:p>
        </w:tc>
      </w:tr>
      <w:tr w14:paraId="5F2D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2" w:hRule="atLeast"/>
        </w:trPr>
        <w:tc>
          <w:tcPr>
            <w:tcW w:w="2222" w:type="dxa"/>
            <w:vAlign w:val="center"/>
          </w:tcPr>
          <w:p w14:paraId="765BD864">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地下车库面积</w:t>
            </w:r>
          </w:p>
        </w:tc>
        <w:tc>
          <w:tcPr>
            <w:tcW w:w="6686" w:type="dxa"/>
          </w:tcPr>
          <w:p w14:paraId="3D34F1CB">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通过查阅设计图纸、政府批复文件、竣工报告、房产证、能源审计报告等资料并现场访问确定地下车库面积。不同业态的地下车库面积如果是估算获得，核查组需要求受核查方说明估算方法并提供相关资料依据，核查组应评估其合理性。</w:t>
            </w:r>
          </w:p>
        </w:tc>
      </w:tr>
      <w:tr w14:paraId="1E41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2" w:type="dxa"/>
            <w:vAlign w:val="center"/>
          </w:tcPr>
          <w:p w14:paraId="57A1A3C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产值</w:t>
            </w:r>
            <w:r>
              <w:rPr>
                <w:rFonts w:ascii="仿宋_GB2312" w:hAnsi="楷体" w:eastAsia="仿宋_GB2312"/>
                <w:sz w:val="24"/>
                <w:szCs w:val="24"/>
              </w:rPr>
              <w:t>/物业收入等财务数据</w:t>
            </w:r>
          </w:p>
        </w:tc>
        <w:tc>
          <w:tcPr>
            <w:tcW w:w="6686" w:type="dxa"/>
          </w:tcPr>
          <w:p w14:paraId="17F73819">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核查组应通过查阅资产负债表、利润分配表等财务报表获得各财务数据。核查组应查阅月度财务报表，确认年度数据的正确性。核查组应交叉核对上报统计部门的相关数据，如有差异，需解释说明差异原因。</w:t>
            </w:r>
          </w:p>
        </w:tc>
      </w:tr>
      <w:tr w14:paraId="5EDDF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2" w:type="dxa"/>
            <w:vAlign w:val="center"/>
          </w:tcPr>
          <w:p w14:paraId="0FF7D5A3">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入住率</w:t>
            </w:r>
            <w:r>
              <w:rPr>
                <w:rFonts w:ascii="仿宋_GB2312" w:hAnsi="楷体" w:eastAsia="仿宋_GB2312"/>
                <w:sz w:val="24"/>
                <w:szCs w:val="24"/>
              </w:rPr>
              <w:t>/入驻率/入园率</w:t>
            </w:r>
          </w:p>
        </w:tc>
        <w:tc>
          <w:tcPr>
            <w:tcW w:w="6686" w:type="dxa"/>
          </w:tcPr>
          <w:p w14:paraId="2D4E2362">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核查组应通过现场访问、查阅相关年报等方式获得该项数据。核查组应通过查阅入住登记表、租赁合同、物业费收缴明细、电费清单等方式，确认受核查方统计数据的正确性。</w:t>
            </w:r>
          </w:p>
        </w:tc>
      </w:tr>
      <w:tr w14:paraId="35813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2" w:type="dxa"/>
            <w:vAlign w:val="center"/>
          </w:tcPr>
          <w:p w14:paraId="3202CCE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基准年内项目实际运营天数</w:t>
            </w:r>
          </w:p>
        </w:tc>
        <w:tc>
          <w:tcPr>
            <w:tcW w:w="6686" w:type="dxa"/>
          </w:tcPr>
          <w:p w14:paraId="02E0823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核查组应通过现场访问、查阅相关工作运行记录等方式获取该项数据。核查组应查阅电费清单，能源统计台账，统计局报表等方式，确认受核查方基准年内项目实际运营的天数。</w:t>
            </w:r>
          </w:p>
        </w:tc>
      </w:tr>
    </w:tbl>
    <w:p w14:paraId="7666D4E2">
      <w:pPr>
        <w:spacing w:after="0" w:line="560" w:lineRule="exact"/>
        <w:ind w:firstLine="640" w:firstLineChars="200"/>
        <w:jc w:val="center"/>
        <w:rPr>
          <w:rFonts w:ascii="仿宋_GB2312" w:hAnsi="仿宋" w:eastAsia="仿宋_GB2312"/>
          <w:sz w:val="32"/>
          <w:szCs w:val="32"/>
          <w:lang w:val="en-US"/>
        </w:rPr>
      </w:pPr>
    </w:p>
    <w:p w14:paraId="634582CE">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数据中心企业补充数据表</w:t>
      </w:r>
    </w:p>
    <w:tbl>
      <w:tblPr>
        <w:tblStyle w:val="36"/>
        <w:tblW w:w="89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7"/>
        <w:gridCol w:w="6686"/>
      </w:tblGrid>
      <w:tr w14:paraId="2BBEB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2247" w:type="dxa"/>
          </w:tcPr>
          <w:p w14:paraId="3FA93D55">
            <w:pPr>
              <w:spacing w:after="0" w:line="340" w:lineRule="exact"/>
              <w:ind w:firstLine="41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686" w:type="dxa"/>
          </w:tcPr>
          <w:p w14:paraId="5EAC1EC7">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5DEA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3C3EA32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数据中心行业子类</w:t>
            </w:r>
          </w:p>
        </w:tc>
        <w:tc>
          <w:tcPr>
            <w:tcW w:w="6686" w:type="dxa"/>
            <w:vAlign w:val="center"/>
          </w:tcPr>
          <w:p w14:paraId="1AFD8199">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核查组应根据受核查方基本情况介绍判断其数据中心所属子类，明确受核查方数据中心与非数据中心设施划分方法。</w:t>
            </w:r>
          </w:p>
        </w:tc>
      </w:tr>
      <w:tr w14:paraId="4398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100828B8">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数据中心标准机架数量</w:t>
            </w:r>
          </w:p>
        </w:tc>
        <w:tc>
          <w:tcPr>
            <w:tcW w:w="6686" w:type="dxa"/>
            <w:vAlign w:val="center"/>
          </w:tcPr>
          <w:p w14:paraId="5CFDDDA1">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确认不同类型数据中心标准机架数量的数据来源是否与监测计划一致，核对相关证明材料。</w:t>
            </w:r>
          </w:p>
        </w:tc>
      </w:tr>
      <w:tr w14:paraId="4A51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0B396B8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数据中心总用电量</w:t>
            </w:r>
          </w:p>
        </w:tc>
        <w:tc>
          <w:tcPr>
            <w:tcW w:w="6686" w:type="dxa"/>
            <w:vAlign w:val="center"/>
          </w:tcPr>
          <w:p w14:paraId="39ACB06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确认不同类型数据中心总用电量</w:t>
            </w:r>
            <w:r>
              <w:rPr>
                <w:rFonts w:ascii="仿宋_GB2312" w:hAnsi="楷体" w:eastAsia="仿宋_GB2312"/>
                <w:sz w:val="24"/>
                <w:szCs w:val="24"/>
              </w:rPr>
              <w:t>的数据来源是否与监测计划一致，如为实测计量数据，还应将报告的数据与电能表抄表记录等数据交叉核对；如为计算数据，应确认计算方法的合理性，并保持各年度数据的可比性。</w:t>
            </w:r>
          </w:p>
        </w:tc>
      </w:tr>
      <w:tr w14:paraId="103C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7D14CD84">
            <w:pPr>
              <w:spacing w:after="0" w:line="340" w:lineRule="exact"/>
              <w:ind w:firstLine="480" w:firstLineChars="200"/>
              <w:jc w:val="both"/>
              <w:rPr>
                <w:rFonts w:ascii="仿宋_GB2312" w:hAnsi="楷体" w:eastAsia="仿宋_GB2312"/>
                <w:sz w:val="24"/>
                <w:szCs w:val="24"/>
              </w:rPr>
            </w:pPr>
            <w:r>
              <w:rPr>
                <w:rFonts w:ascii="仿宋_GB2312" w:hAnsi="楷体" w:eastAsia="仿宋_GB2312"/>
                <w:sz w:val="24"/>
                <w:szCs w:val="24"/>
              </w:rPr>
              <w:t>IT设备用电量</w:t>
            </w:r>
          </w:p>
        </w:tc>
        <w:tc>
          <w:tcPr>
            <w:tcW w:w="6686" w:type="dxa"/>
            <w:vAlign w:val="center"/>
          </w:tcPr>
          <w:p w14:paraId="69FB1BD2">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确认不同类型数据中心</w:t>
            </w:r>
            <w:r>
              <w:rPr>
                <w:rFonts w:ascii="仿宋_GB2312" w:hAnsi="楷体" w:eastAsia="仿宋_GB2312"/>
                <w:sz w:val="24"/>
                <w:szCs w:val="24"/>
              </w:rPr>
              <w:t>IT设备用电量的数据来源是否与监测计划一致，如为实测计量数据，还应将报告的数据与电能表抄表记录等数据交叉核对；如为计算数据，应确认计算方法的合理性，并保持各年度数据的可比性。</w:t>
            </w:r>
          </w:p>
        </w:tc>
      </w:tr>
      <w:tr w14:paraId="44BA1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50C8485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非数据中心设施建筑面积</w:t>
            </w:r>
          </w:p>
        </w:tc>
        <w:tc>
          <w:tcPr>
            <w:tcW w:w="6686" w:type="dxa"/>
            <w:vAlign w:val="center"/>
          </w:tcPr>
          <w:p w14:paraId="56EE0978">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确认非数据中心设施建筑面积的数据来源是否与监测计划一致，应将报告的数据与设施竣工验收等资料交叉核对。</w:t>
            </w:r>
          </w:p>
        </w:tc>
      </w:tr>
      <w:tr w14:paraId="6C81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2A9981F0">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不同子类（大型数据中心、中小型数据中心、该行业中非数据中心设施）的直接排放量</w:t>
            </w:r>
          </w:p>
        </w:tc>
        <w:tc>
          <w:tcPr>
            <w:tcW w:w="6686" w:type="dxa"/>
            <w:vAlign w:val="center"/>
          </w:tcPr>
          <w:p w14:paraId="1F975D9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核查组应确认受核查方化石燃料消耗量的数据来源是否与监测计划一致，并通过能源平衡表、生产月报表等相关记录交叉核对。</w:t>
            </w:r>
          </w:p>
          <w:p w14:paraId="21ECC16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对于柴油等可单独计量的能源，还应将报告的数据与库存数据、财务数据等交叉核对。</w:t>
            </w:r>
          </w:p>
          <w:p w14:paraId="16ED38D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sz w:val="24"/>
                <w:szCs w:val="24"/>
              </w:rPr>
              <w:t>3.3.2.2部分的要求。</w:t>
            </w:r>
          </w:p>
        </w:tc>
      </w:tr>
      <w:tr w14:paraId="71D2B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7" w:type="dxa"/>
            <w:vAlign w:val="center"/>
          </w:tcPr>
          <w:p w14:paraId="0266A0DE">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不同子类（大型数据中心、中小型数据中心、该行业中非数据中心设施）的间接排放量</w:t>
            </w:r>
          </w:p>
        </w:tc>
        <w:tc>
          <w:tcPr>
            <w:tcW w:w="6686" w:type="dxa"/>
            <w:vAlign w:val="center"/>
          </w:tcPr>
          <w:p w14:paraId="2155F311">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对于不同类型数据中心、非数据中心固定设施的用电量，应确认监测设备的校准、数据记录等活动是否符合监测计划的要求，并核对抄表记录、能源消耗台账。</w:t>
            </w:r>
          </w:p>
          <w:p w14:paraId="65383D6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如数据中心对应的外购电力数据是通过拆分总外购电量计算得出，核查组应确认拆分的方式是否合理，并保持各年度数据的可比性。</w:t>
            </w:r>
          </w:p>
        </w:tc>
      </w:tr>
    </w:tbl>
    <w:p w14:paraId="06210F08">
      <w:pPr>
        <w:spacing w:after="0" w:line="560" w:lineRule="exact"/>
        <w:ind w:firstLine="640" w:firstLineChars="200"/>
        <w:jc w:val="center"/>
        <w:rPr>
          <w:rFonts w:ascii="仿宋_GB2312" w:hAnsi="仿宋" w:eastAsia="仿宋_GB2312"/>
          <w:sz w:val="32"/>
          <w:szCs w:val="32"/>
          <w:lang w:val="en-US"/>
        </w:rPr>
      </w:pPr>
    </w:p>
    <w:p w14:paraId="1BC5AE0B">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通信企业补充数据表</w:t>
      </w:r>
    </w:p>
    <w:tbl>
      <w:tblPr>
        <w:tblStyle w:val="36"/>
        <w:tblW w:w="8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4"/>
        <w:gridCol w:w="6685"/>
      </w:tblGrid>
      <w:tr w14:paraId="0A15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blHeader/>
        </w:trPr>
        <w:tc>
          <w:tcPr>
            <w:tcW w:w="2244" w:type="dxa"/>
            <w:vAlign w:val="center"/>
          </w:tcPr>
          <w:p w14:paraId="4E46F78F">
            <w:pPr>
              <w:spacing w:after="0"/>
              <w:ind w:firstLine="41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685" w:type="dxa"/>
            <w:vAlign w:val="center"/>
          </w:tcPr>
          <w:p w14:paraId="42E4D9B8">
            <w:pPr>
              <w:spacing w:after="0"/>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099B5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4" w:type="dxa"/>
            <w:vAlign w:val="center"/>
          </w:tcPr>
          <w:p w14:paraId="79324598">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电信业务量</w:t>
            </w:r>
          </w:p>
        </w:tc>
        <w:tc>
          <w:tcPr>
            <w:tcW w:w="6685" w:type="dxa"/>
          </w:tcPr>
          <w:p w14:paraId="5BA280B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核查组首先应确定受核查方的业务类型（移动业务、移动语音业务、移动数据与互联网业务、移动增值及其他业务、固网业务、数据中心、非数据中心），各业务类型电信业务量的数据来源是否与监测计划一致。</w:t>
            </w:r>
          </w:p>
          <w:p w14:paraId="4B5F8A8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电信业务量的数据除来自企业报表外，还应与上报统计局的“邮电业主要指标”相关数据核对。</w:t>
            </w:r>
          </w:p>
        </w:tc>
      </w:tr>
      <w:tr w14:paraId="41D2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4" w:type="dxa"/>
            <w:vAlign w:val="center"/>
          </w:tcPr>
          <w:p w14:paraId="5E94B904">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数据中心标准机架数量</w:t>
            </w:r>
          </w:p>
        </w:tc>
        <w:tc>
          <w:tcPr>
            <w:tcW w:w="6685" w:type="dxa"/>
            <w:vAlign w:val="center"/>
          </w:tcPr>
          <w:p w14:paraId="11393266">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若涉及数据中心，则需核查以下内容：</w:t>
            </w:r>
          </w:p>
          <w:p w14:paraId="41D1AF81">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确认不同类型数据中心标准机架数量的数据来源是否与监测计划一致，核对相关证明材料。</w:t>
            </w:r>
          </w:p>
        </w:tc>
      </w:tr>
      <w:tr w14:paraId="39CC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4" w:type="dxa"/>
            <w:vAlign w:val="center"/>
          </w:tcPr>
          <w:p w14:paraId="2F128FA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数据中心总用电量</w:t>
            </w:r>
          </w:p>
        </w:tc>
        <w:tc>
          <w:tcPr>
            <w:tcW w:w="6685" w:type="dxa"/>
            <w:vAlign w:val="center"/>
          </w:tcPr>
          <w:p w14:paraId="4F52E012">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若涉及数据中心，则需核查以下内容：</w:t>
            </w:r>
          </w:p>
          <w:p w14:paraId="09EF0837">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确认不同类型数据中心总用电量的数据来源是否与监测计划一致，如为实测计量数据，还应将报告的数据与电能表抄表记录等数据交叉核对；如为计算数据，应确认计算方法的合理性，并保持各年度数据的可比性。</w:t>
            </w:r>
          </w:p>
        </w:tc>
      </w:tr>
      <w:tr w14:paraId="23DE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4" w:type="dxa"/>
            <w:vAlign w:val="center"/>
          </w:tcPr>
          <w:p w14:paraId="789B9FF2">
            <w:pPr>
              <w:spacing w:after="0" w:line="300" w:lineRule="auto"/>
              <w:ind w:firstLine="480" w:firstLineChars="200"/>
              <w:jc w:val="both"/>
              <w:rPr>
                <w:rFonts w:ascii="仿宋_GB2312" w:hAnsi="楷体" w:eastAsia="仿宋_GB2312"/>
                <w:sz w:val="24"/>
                <w:szCs w:val="24"/>
              </w:rPr>
            </w:pPr>
            <w:r>
              <w:rPr>
                <w:rFonts w:ascii="仿宋_GB2312" w:hAnsi="楷体" w:eastAsia="仿宋_GB2312"/>
                <w:sz w:val="24"/>
                <w:szCs w:val="24"/>
              </w:rPr>
              <w:t>IT设备用电量</w:t>
            </w:r>
          </w:p>
        </w:tc>
        <w:tc>
          <w:tcPr>
            <w:tcW w:w="6685" w:type="dxa"/>
            <w:vAlign w:val="center"/>
          </w:tcPr>
          <w:p w14:paraId="7DCE45B2">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若涉及数据中心，则需核查以下内容：</w:t>
            </w:r>
          </w:p>
          <w:p w14:paraId="20DB55D6">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核查组应根据受核查方基本情况介绍判断其数据中心所属子类，明确受核查方数据中心与非数据中心设施划分方法。确认不同类型数据中心</w:t>
            </w:r>
            <w:r>
              <w:rPr>
                <w:rFonts w:ascii="仿宋_GB2312" w:hAnsi="楷体" w:eastAsia="仿宋_GB2312"/>
                <w:sz w:val="24"/>
                <w:szCs w:val="24"/>
              </w:rPr>
              <w:t>IT设备用电量的数据来源是否与监测计划一致，如为实测计量数据，还应将报告的数据与电能表抄表记录等数据交叉核对；如为计算数据，应确认计算方法的合理性，并保持各年度数据的可比性。</w:t>
            </w:r>
          </w:p>
        </w:tc>
      </w:tr>
      <w:tr w14:paraId="3163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5" w:hRule="atLeast"/>
        </w:trPr>
        <w:tc>
          <w:tcPr>
            <w:tcW w:w="2244" w:type="dxa"/>
            <w:vAlign w:val="center"/>
          </w:tcPr>
          <w:p w14:paraId="1443B657">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每种业务类型的直接排放量（移动业务、固网业务、数据中心、非数据中心）</w:t>
            </w:r>
          </w:p>
        </w:tc>
        <w:tc>
          <w:tcPr>
            <w:tcW w:w="6685" w:type="dxa"/>
          </w:tcPr>
          <w:p w14:paraId="2CED70B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核查组应确认受核查方化石燃料消耗量的数据来源是否与监测计划一致，并通过能源平衡表、生产月报表等相关记录交叉核对。</w:t>
            </w:r>
          </w:p>
          <w:p w14:paraId="709A3199">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311D6716">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sz w:val="24"/>
                <w:szCs w:val="24"/>
              </w:rPr>
              <w:t>3.3.2.2部分的要求。</w:t>
            </w:r>
          </w:p>
        </w:tc>
      </w:tr>
      <w:tr w14:paraId="7E04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8" w:hRule="atLeast"/>
        </w:trPr>
        <w:tc>
          <w:tcPr>
            <w:tcW w:w="2244" w:type="dxa"/>
            <w:vAlign w:val="center"/>
          </w:tcPr>
          <w:p w14:paraId="65C4F6C7">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每种业务类型的间接排放量（移动业务、固网业务、数据中心、非数据中心）</w:t>
            </w:r>
          </w:p>
        </w:tc>
        <w:tc>
          <w:tcPr>
            <w:tcW w:w="6685" w:type="dxa"/>
          </w:tcPr>
          <w:p w14:paraId="2CCD209D">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对于各业务类型单独计量的电量，应确认监测设备的校准、数据记录等活动是否符合监测计划的要求，并核对抄表记录、各车间能源消耗台账。</w:t>
            </w:r>
          </w:p>
          <w:p w14:paraId="2B826743">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如各业务类型对应的外购电力数据是通过拆分总外购电量计算得出，核查组应确认拆分的方式是否合理，并保持各年度数据的可比性。</w:t>
            </w:r>
          </w:p>
        </w:tc>
      </w:tr>
    </w:tbl>
    <w:p w14:paraId="06315883">
      <w:pPr>
        <w:spacing w:after="0" w:line="560" w:lineRule="exact"/>
        <w:ind w:firstLine="640" w:firstLineChars="200"/>
        <w:jc w:val="center"/>
        <w:rPr>
          <w:rFonts w:ascii="仿宋_GB2312" w:hAnsi="仿宋" w:eastAsia="仿宋_GB2312"/>
          <w:sz w:val="32"/>
          <w:szCs w:val="32"/>
        </w:rPr>
      </w:pPr>
    </w:p>
    <w:p w14:paraId="395FEFDD">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电网企业补充数据表</w:t>
      </w:r>
    </w:p>
    <w:tbl>
      <w:tblPr>
        <w:tblStyle w:val="36"/>
        <w:tblW w:w="89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7"/>
        <w:gridCol w:w="6686"/>
      </w:tblGrid>
      <w:tr w14:paraId="7BCF6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247" w:type="dxa"/>
            <w:vAlign w:val="center"/>
          </w:tcPr>
          <w:p w14:paraId="4564A890">
            <w:pPr>
              <w:spacing w:after="0" w:line="340" w:lineRule="exact"/>
              <w:ind w:firstLine="41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686" w:type="dxa"/>
            <w:vAlign w:val="center"/>
          </w:tcPr>
          <w:p w14:paraId="1192F8BB">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28E9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2247" w:type="dxa"/>
            <w:vAlign w:val="center"/>
          </w:tcPr>
          <w:p w14:paraId="7D3062E6">
            <w:pPr>
              <w:spacing w:after="0" w:line="340" w:lineRule="exact"/>
              <w:ind w:firstLine="480" w:firstLineChars="200"/>
              <w:rPr>
                <w:rFonts w:ascii="仿宋_GB2312" w:hAnsi="楷体" w:eastAsia="仿宋_GB2312"/>
                <w:sz w:val="24"/>
                <w:szCs w:val="24"/>
              </w:rPr>
            </w:pPr>
            <w:r>
              <w:rPr>
                <w:rFonts w:hint="eastAsia" w:ascii="仿宋_GB2312" w:hAnsi="楷体" w:eastAsia="仿宋_GB2312"/>
                <w:sz w:val="24"/>
                <w:szCs w:val="24"/>
                <w:lang w:val="en-US"/>
              </w:rPr>
              <w:t>供电量</w:t>
            </w:r>
          </w:p>
        </w:tc>
        <w:tc>
          <w:tcPr>
            <w:tcW w:w="6686" w:type="dxa"/>
            <w:vAlign w:val="center"/>
          </w:tcPr>
          <w:p w14:paraId="736E602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lang w:val="en-US"/>
              </w:rPr>
              <w:t>供电量数据除来自企业统计</w:t>
            </w:r>
            <w:r>
              <w:rPr>
                <w:rFonts w:hint="eastAsia" w:ascii="仿宋_GB2312" w:hAnsi="楷体" w:eastAsia="仿宋_GB2312"/>
                <w:sz w:val="24"/>
                <w:szCs w:val="24"/>
              </w:rPr>
              <w:t>报表外，还应与上报统计局的相关数据核对</w:t>
            </w:r>
          </w:p>
        </w:tc>
      </w:tr>
      <w:tr w14:paraId="73C0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4" w:hRule="atLeast"/>
        </w:trPr>
        <w:tc>
          <w:tcPr>
            <w:tcW w:w="2247" w:type="dxa"/>
            <w:vAlign w:val="center"/>
          </w:tcPr>
          <w:p w14:paraId="575D9A41">
            <w:pPr>
              <w:spacing w:after="0" w:line="340" w:lineRule="exact"/>
              <w:ind w:firstLine="480" w:firstLineChars="200"/>
              <w:rPr>
                <w:rFonts w:ascii="仿宋_GB2312" w:hAnsi="楷体" w:eastAsia="仿宋_GB2312"/>
                <w:sz w:val="24"/>
                <w:szCs w:val="24"/>
              </w:rPr>
            </w:pPr>
            <w:r>
              <w:rPr>
                <w:rFonts w:hint="eastAsia" w:ascii="仿宋_GB2312" w:hAnsi="楷体" w:eastAsia="仿宋_GB2312"/>
                <w:sz w:val="24"/>
                <w:szCs w:val="24"/>
                <w:lang w:val="en-US"/>
              </w:rPr>
              <w:t>售电量</w:t>
            </w:r>
          </w:p>
        </w:tc>
        <w:tc>
          <w:tcPr>
            <w:tcW w:w="6686" w:type="dxa"/>
            <w:vAlign w:val="center"/>
          </w:tcPr>
          <w:p w14:paraId="1FB35A9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lang w:val="en-US"/>
              </w:rPr>
              <w:t>售电量</w:t>
            </w:r>
            <w:r>
              <w:rPr>
                <w:rFonts w:hint="eastAsia" w:ascii="仿宋_GB2312" w:hAnsi="楷体" w:eastAsia="仿宋_GB2312"/>
                <w:sz w:val="24"/>
                <w:szCs w:val="24"/>
              </w:rPr>
              <w:t>数据除来自企业</w:t>
            </w:r>
            <w:r>
              <w:rPr>
                <w:rFonts w:hint="eastAsia" w:ascii="仿宋_GB2312" w:hAnsi="楷体" w:eastAsia="仿宋_GB2312"/>
                <w:sz w:val="24"/>
                <w:szCs w:val="24"/>
                <w:lang w:val="en-US"/>
              </w:rPr>
              <w:t>统计</w:t>
            </w:r>
            <w:r>
              <w:rPr>
                <w:rFonts w:hint="eastAsia" w:ascii="仿宋_GB2312" w:hAnsi="楷体" w:eastAsia="仿宋_GB2312"/>
                <w:sz w:val="24"/>
                <w:szCs w:val="24"/>
              </w:rPr>
              <w:t>报表外，还应</w:t>
            </w:r>
            <w:r>
              <w:rPr>
                <w:rFonts w:hint="eastAsia" w:ascii="仿宋_GB2312" w:hAnsi="楷体" w:eastAsia="仿宋_GB2312"/>
                <w:sz w:val="24"/>
                <w:szCs w:val="24"/>
                <w:lang w:val="en-US"/>
              </w:rPr>
              <w:t>与根据外省输入电量数据、上网电量数据、外省输出电量数据计算出的售电量数据进行交叉核对；</w:t>
            </w:r>
            <w:r>
              <w:rPr>
                <w:rFonts w:hint="eastAsia" w:ascii="仿宋_GB2312" w:hAnsi="楷体" w:eastAsia="仿宋_GB2312"/>
                <w:sz w:val="24"/>
                <w:szCs w:val="24"/>
              </w:rPr>
              <w:t>与上报统计局相关数据核对</w:t>
            </w:r>
            <w:r>
              <w:rPr>
                <w:rFonts w:hint="eastAsia" w:ascii="仿宋_GB2312" w:hAnsi="楷体" w:eastAsia="仿宋_GB2312"/>
                <w:sz w:val="24"/>
                <w:szCs w:val="24"/>
                <w:lang w:val="en-US"/>
              </w:rPr>
              <w:t>。</w:t>
            </w:r>
          </w:p>
        </w:tc>
      </w:tr>
    </w:tbl>
    <w:p w14:paraId="506FD3C4">
      <w:pPr>
        <w:spacing w:after="0" w:line="560" w:lineRule="exact"/>
        <w:ind w:firstLine="643" w:firstLineChars="200"/>
        <w:jc w:val="center"/>
        <w:rPr>
          <w:rFonts w:ascii="仿宋_GB2312" w:hAnsi="仿宋" w:eastAsia="仿宋_GB2312"/>
          <w:b/>
          <w:sz w:val="32"/>
          <w:szCs w:val="32"/>
          <w:lang w:val="en-US"/>
        </w:rPr>
      </w:pPr>
    </w:p>
    <w:p w14:paraId="6C6AE655">
      <w:pPr>
        <w:spacing w:after="0" w:line="560" w:lineRule="exact"/>
        <w:ind w:firstLine="643" w:firstLineChars="200"/>
        <w:jc w:val="center"/>
        <w:rPr>
          <w:rFonts w:ascii="仿宋_GB2312" w:hAnsi="仿宋" w:eastAsia="仿宋_GB2312"/>
          <w:b/>
          <w:sz w:val="32"/>
          <w:szCs w:val="32"/>
          <w:lang w:val="en-US"/>
        </w:rPr>
      </w:pPr>
    </w:p>
    <w:p w14:paraId="11F5F58A">
      <w:pPr>
        <w:spacing w:after="0" w:line="560" w:lineRule="exact"/>
        <w:ind w:firstLine="643" w:firstLineChars="200"/>
        <w:jc w:val="center"/>
        <w:rPr>
          <w:rFonts w:ascii="仿宋_GB2312" w:hAnsi="仿宋" w:eastAsia="仿宋_GB2312"/>
          <w:sz w:val="32"/>
          <w:szCs w:val="32"/>
        </w:rPr>
      </w:pPr>
      <w:r>
        <w:rPr>
          <w:rFonts w:hint="eastAsia" w:ascii="仿宋_GB2312" w:hAnsi="仿宋" w:eastAsia="仿宋_GB2312"/>
          <w:b/>
          <w:sz w:val="32"/>
          <w:szCs w:val="32"/>
          <w:lang w:val="en-US"/>
        </w:rPr>
        <w:t>汽车制造企业补充数据表</w:t>
      </w:r>
    </w:p>
    <w:tbl>
      <w:tblPr>
        <w:tblStyle w:val="36"/>
        <w:tblW w:w="89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4"/>
        <w:gridCol w:w="6689"/>
      </w:tblGrid>
      <w:tr w14:paraId="10729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blHeader/>
        </w:trPr>
        <w:tc>
          <w:tcPr>
            <w:tcW w:w="2244" w:type="dxa"/>
            <w:vAlign w:val="center"/>
          </w:tcPr>
          <w:p w14:paraId="76587CE2">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689" w:type="dxa"/>
            <w:vAlign w:val="center"/>
          </w:tcPr>
          <w:p w14:paraId="643A9402">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4C194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8" w:hRule="atLeast"/>
        </w:trPr>
        <w:tc>
          <w:tcPr>
            <w:tcW w:w="2244" w:type="dxa"/>
            <w:vAlign w:val="center"/>
          </w:tcPr>
          <w:p w14:paraId="4474D37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产品种类</w:t>
            </w:r>
          </w:p>
        </w:tc>
        <w:tc>
          <w:tcPr>
            <w:tcW w:w="6689" w:type="dxa"/>
          </w:tcPr>
          <w:p w14:paraId="7171E4B4">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核查组首先应确定受核查方的产品种类，确认受核查方对汽车的分类是否符合相关标准的要求。</w:t>
            </w:r>
          </w:p>
          <w:p w14:paraId="6C06DFF1">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整车的产品种类分为：</w:t>
            </w:r>
          </w:p>
          <w:p w14:paraId="24ED754F">
            <w:pPr>
              <w:pStyle w:val="50"/>
              <w:widowControl w:val="0"/>
              <w:numPr>
                <w:ilvl w:val="0"/>
                <w:numId w:val="18"/>
              </w:numPr>
              <w:spacing w:after="0" w:line="300" w:lineRule="auto"/>
              <w:contextualSpacing w:val="0"/>
              <w:jc w:val="both"/>
              <w:rPr>
                <w:rFonts w:ascii="仿宋_GB2312" w:hAnsi="楷体" w:eastAsia="仿宋_GB2312"/>
                <w:sz w:val="24"/>
                <w:szCs w:val="24"/>
              </w:rPr>
            </w:pPr>
            <w:r>
              <w:rPr>
                <w:rFonts w:hint="eastAsia" w:ascii="仿宋_GB2312" w:hAnsi="楷体" w:eastAsia="仿宋_GB2312"/>
                <w:sz w:val="24"/>
                <w:szCs w:val="24"/>
              </w:rPr>
              <w:t>普通轿车及普通运动型乘用车；</w:t>
            </w:r>
          </w:p>
          <w:p w14:paraId="1297D16D">
            <w:pPr>
              <w:pStyle w:val="50"/>
              <w:widowControl w:val="0"/>
              <w:numPr>
                <w:ilvl w:val="0"/>
                <w:numId w:val="18"/>
              </w:numPr>
              <w:spacing w:after="0" w:line="300" w:lineRule="auto"/>
              <w:contextualSpacing w:val="0"/>
              <w:jc w:val="both"/>
              <w:rPr>
                <w:rFonts w:ascii="仿宋_GB2312" w:hAnsi="楷体" w:eastAsia="仿宋_GB2312"/>
                <w:sz w:val="24"/>
                <w:szCs w:val="24"/>
              </w:rPr>
            </w:pPr>
            <w:r>
              <w:rPr>
                <w:rFonts w:hint="eastAsia" w:ascii="仿宋_GB2312" w:hAnsi="楷体" w:eastAsia="仿宋_GB2312"/>
                <w:sz w:val="24"/>
                <w:szCs w:val="24"/>
              </w:rPr>
              <w:t>高级轿车及高级运动型乘用车；</w:t>
            </w:r>
          </w:p>
          <w:p w14:paraId="512F811D">
            <w:pPr>
              <w:pStyle w:val="50"/>
              <w:widowControl w:val="0"/>
              <w:numPr>
                <w:ilvl w:val="0"/>
                <w:numId w:val="18"/>
              </w:numPr>
              <w:spacing w:after="0" w:line="300" w:lineRule="auto"/>
              <w:contextualSpacing w:val="0"/>
              <w:jc w:val="both"/>
              <w:rPr>
                <w:rFonts w:ascii="仿宋_GB2312" w:hAnsi="楷体" w:eastAsia="仿宋_GB2312"/>
                <w:sz w:val="24"/>
                <w:szCs w:val="24"/>
              </w:rPr>
            </w:pPr>
            <w:r>
              <w:rPr>
                <w:rFonts w:hint="eastAsia" w:ascii="仿宋_GB2312" w:hAnsi="楷体" w:eastAsia="仿宋_GB2312"/>
                <w:sz w:val="24"/>
                <w:szCs w:val="24"/>
              </w:rPr>
              <w:t>中、重型载货汽车；</w:t>
            </w:r>
          </w:p>
          <w:p w14:paraId="1C47D548">
            <w:pPr>
              <w:pStyle w:val="50"/>
              <w:widowControl w:val="0"/>
              <w:numPr>
                <w:ilvl w:val="0"/>
                <w:numId w:val="18"/>
              </w:numPr>
              <w:spacing w:after="0" w:line="300" w:lineRule="auto"/>
              <w:contextualSpacing w:val="0"/>
              <w:jc w:val="both"/>
              <w:rPr>
                <w:rFonts w:ascii="仿宋_GB2312" w:hAnsi="楷体" w:eastAsia="仿宋_GB2312"/>
                <w:sz w:val="24"/>
                <w:szCs w:val="24"/>
              </w:rPr>
            </w:pPr>
            <w:r>
              <w:rPr>
                <w:rFonts w:hint="eastAsia" w:ascii="仿宋_GB2312" w:hAnsi="楷体" w:eastAsia="仿宋_GB2312"/>
                <w:sz w:val="24"/>
                <w:szCs w:val="24"/>
              </w:rPr>
              <w:t>纯电动汽车</w:t>
            </w:r>
          </w:p>
          <w:p w14:paraId="74C33363">
            <w:pPr>
              <w:spacing w:after="0" w:line="300" w:lineRule="auto"/>
              <w:ind w:left="480"/>
              <w:jc w:val="both"/>
              <w:rPr>
                <w:rFonts w:ascii="仿宋_GB2312" w:hAnsi="楷体" w:eastAsia="仿宋_GB2312"/>
                <w:sz w:val="24"/>
                <w:szCs w:val="24"/>
              </w:rPr>
            </w:pPr>
            <w:r>
              <w:rPr>
                <w:rFonts w:hint="eastAsia" w:ascii="仿宋_GB2312" w:hAnsi="楷体" w:eastAsia="仿宋_GB2312"/>
                <w:sz w:val="24"/>
                <w:szCs w:val="24"/>
              </w:rPr>
              <w:t>汽车发动机的产品种类分为：</w:t>
            </w:r>
          </w:p>
          <w:p w14:paraId="012CA76D">
            <w:pPr>
              <w:pStyle w:val="50"/>
              <w:widowControl w:val="0"/>
              <w:numPr>
                <w:ilvl w:val="0"/>
                <w:numId w:val="18"/>
              </w:numPr>
              <w:spacing w:after="0" w:line="300" w:lineRule="auto"/>
              <w:contextualSpacing w:val="0"/>
              <w:jc w:val="both"/>
              <w:rPr>
                <w:rFonts w:ascii="仿宋_GB2312" w:hAnsi="楷体" w:eastAsia="仿宋_GB2312"/>
                <w:sz w:val="24"/>
                <w:szCs w:val="24"/>
              </w:rPr>
            </w:pPr>
            <w:r>
              <w:rPr>
                <w:rFonts w:hint="eastAsia" w:ascii="仿宋_GB2312" w:hAnsi="楷体" w:eastAsia="仿宋_GB2312"/>
                <w:sz w:val="24"/>
                <w:szCs w:val="24"/>
              </w:rPr>
              <w:t>汽油发动机</w:t>
            </w:r>
          </w:p>
          <w:p w14:paraId="05F941BA">
            <w:pPr>
              <w:pStyle w:val="50"/>
              <w:widowControl w:val="0"/>
              <w:numPr>
                <w:ilvl w:val="0"/>
                <w:numId w:val="18"/>
              </w:numPr>
              <w:spacing w:after="0" w:line="300" w:lineRule="auto"/>
              <w:contextualSpacing w:val="0"/>
              <w:jc w:val="both"/>
              <w:rPr>
                <w:rFonts w:ascii="仿宋_GB2312" w:eastAsia="仿宋_GB2312"/>
              </w:rPr>
            </w:pPr>
            <w:r>
              <w:rPr>
                <w:rFonts w:hint="eastAsia" w:ascii="仿宋_GB2312" w:hAnsi="楷体" w:eastAsia="仿宋_GB2312"/>
                <w:sz w:val="24"/>
                <w:szCs w:val="24"/>
              </w:rPr>
              <w:t>柴油发动机</w:t>
            </w:r>
          </w:p>
        </w:tc>
      </w:tr>
      <w:tr w14:paraId="31396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2244" w:type="dxa"/>
            <w:vAlign w:val="center"/>
          </w:tcPr>
          <w:p w14:paraId="22F616D3">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产品产量</w:t>
            </w:r>
          </w:p>
        </w:tc>
        <w:tc>
          <w:tcPr>
            <w:tcW w:w="6689" w:type="dxa"/>
          </w:tcPr>
          <w:p w14:paraId="47852521">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汽车产量的数据除来自企业产量报表外，还应与上报统计局的产量产值相关数据核对</w:t>
            </w:r>
          </w:p>
        </w:tc>
      </w:tr>
      <w:tr w14:paraId="58DBF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4" w:type="dxa"/>
            <w:vAlign w:val="center"/>
          </w:tcPr>
          <w:p w14:paraId="06F44DD7">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每类产品的直接排放量</w:t>
            </w:r>
          </w:p>
        </w:tc>
        <w:tc>
          <w:tcPr>
            <w:tcW w:w="6689" w:type="dxa"/>
          </w:tcPr>
          <w:p w14:paraId="308DD7D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核查组应确认受核查方对化石燃料消耗量的数据来源是否与监测计划一致，并通过能源平衡表、生产月报表等相关记录交叉核对。</w:t>
            </w:r>
          </w:p>
          <w:p w14:paraId="42136E5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6CFFA103">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如重点排放单位使用化石燃料排放因子的缺省值，核查组应确认缺省值的数据、单位正确，如使用实测值，排放因子的核查应参考核查报告编写指南第3.3.2.2部分的要求。</w:t>
            </w:r>
          </w:p>
          <w:p w14:paraId="1F071EF0">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对于混线生产的情况，可根据下式估算第i类产品的直接排放量：</w:t>
            </w:r>
          </w:p>
          <w:p w14:paraId="432AF383">
            <w:pPr>
              <w:spacing w:after="0" w:line="300" w:lineRule="auto"/>
              <w:ind w:firstLine="360" w:firstLineChars="200"/>
              <w:jc w:val="both"/>
              <w:rPr>
                <w:rFonts w:ascii="仿宋_GB2312" w:hAnsi="楷体" w:eastAsia="仿宋_GB2312"/>
                <w:sz w:val="24"/>
                <w:szCs w:val="24"/>
              </w:rPr>
            </w:pPr>
            <w:r>
              <w:rPr>
                <w:rFonts w:hint="eastAsia" w:ascii="仿宋_GB2312" w:hAnsi="Times New Roman" w:eastAsia="仿宋_GB2312"/>
                <w:position w:val="-26"/>
                <w:sz w:val="18"/>
                <w:szCs w:val="18"/>
              </w:rPr>
              <w:object>
                <v:shape id="_x0000_i1025" o:spt="75" type="#_x0000_t75" style="height:27.65pt;width:236.45pt;" o:ole="t" filled="f" o:preferrelative="t" stroked="f" coordsize="21600,21600">
                  <v:path/>
                  <v:fill on="f" focussize="0,0"/>
                  <v:stroke on="f" joinstyle="miter"/>
                  <v:imagedata r:id="rId21" o:title=""/>
                  <o:lock v:ext="edit" aspectratio="t"/>
                  <w10:wrap type="none"/>
                  <w10:anchorlock/>
                </v:shape>
                <o:OLEObject Type="Embed" ProgID="Equation.KSEE3" ShapeID="_x0000_i1025" DrawAspect="Content" ObjectID="_1468075725" r:id="rId20">
                  <o:LockedField>false</o:LockedField>
                </o:OLEObject>
              </w:object>
            </w:r>
          </w:p>
          <w:p w14:paraId="212D6908">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对于以发动机为主要产品的生产线生产发动机零配件的情况，如核查组确认无法拆分或合理估算生产发动机产生的直接排放量，则该生产线的直接排放量均计为生产发动机产生的直接排放。</w:t>
            </w:r>
          </w:p>
        </w:tc>
      </w:tr>
      <w:tr w14:paraId="0A0F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44" w:type="dxa"/>
            <w:vAlign w:val="center"/>
          </w:tcPr>
          <w:p w14:paraId="05ACFE5A">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每类产品的间接排放量</w:t>
            </w:r>
          </w:p>
        </w:tc>
        <w:tc>
          <w:tcPr>
            <w:tcW w:w="6689" w:type="dxa"/>
          </w:tcPr>
          <w:p w14:paraId="2E723E84">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对于各生产线单独计量的电量，应确认监测设备的校准、数据记录等活动是否符合监测计划的要求，并核对抄表记录、各车间能源消耗台账。</w:t>
            </w:r>
          </w:p>
          <w:p w14:paraId="3A2B8539">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如各生产线对应的外购电力数据是通过拆分全厂总外购电量计算得出，核查组应确认拆分的方式是否合理，并保持各年度数据的可比性。</w:t>
            </w:r>
          </w:p>
          <w:p w14:paraId="61B49C9B">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对于混线生产的情况，可根据下式估算第i类产品的间接排放量：</w:t>
            </w:r>
          </w:p>
          <w:p w14:paraId="58FF140F">
            <w:pPr>
              <w:spacing w:after="0" w:line="300" w:lineRule="auto"/>
              <w:ind w:firstLine="360" w:firstLineChars="200"/>
              <w:jc w:val="both"/>
              <w:rPr>
                <w:rFonts w:ascii="仿宋_GB2312" w:hAnsi="楷体" w:eastAsia="仿宋_GB2312"/>
                <w:sz w:val="24"/>
                <w:szCs w:val="24"/>
              </w:rPr>
            </w:pPr>
            <w:r>
              <w:rPr>
                <w:rFonts w:hint="eastAsia" w:ascii="仿宋_GB2312" w:hAnsi="Times New Roman" w:eastAsia="仿宋_GB2312"/>
                <w:position w:val="-26"/>
                <w:sz w:val="18"/>
                <w:szCs w:val="18"/>
              </w:rPr>
              <w:object>
                <v:shape id="_x0000_i1026" o:spt="75" type="#_x0000_t75" style="height:27.65pt;width:250pt;" o:ole="t" filled="f" o:preferrelative="t" stroked="f" coordsize="21600,21600">
                  <v:path/>
                  <v:fill on="f" focussize="0,0"/>
                  <v:stroke on="f" joinstyle="miter"/>
                  <v:imagedata r:id="rId23" o:title=""/>
                  <o:lock v:ext="edit" aspectratio="t"/>
                  <w10:wrap type="none"/>
                  <w10:anchorlock/>
                </v:shape>
                <o:OLEObject Type="Embed" ProgID="Equation.KSEE3" ShapeID="_x0000_i1026" DrawAspect="Content" ObjectID="_1468075726" r:id="rId22">
                  <o:LockedField>false</o:LockedField>
                </o:OLEObject>
              </w:object>
            </w:r>
          </w:p>
          <w:p w14:paraId="35E5E405">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对于以发动机为主要产品的生产线生产发动机零配件的情况，如核查组确认无法拆分或合理估算生产发动机产生的间接排放量，则该生产线的间接排放量均计为生产发动机产生的间接排放。</w:t>
            </w:r>
          </w:p>
        </w:tc>
      </w:tr>
    </w:tbl>
    <w:p w14:paraId="27F2B9B4">
      <w:pPr>
        <w:spacing w:after="0" w:line="560" w:lineRule="exact"/>
        <w:ind w:firstLine="640" w:firstLineChars="200"/>
        <w:jc w:val="center"/>
        <w:rPr>
          <w:rFonts w:ascii="仿宋_GB2312" w:hAnsi="仿宋" w:eastAsia="仿宋_GB2312"/>
          <w:sz w:val="32"/>
          <w:szCs w:val="32"/>
        </w:rPr>
      </w:pPr>
    </w:p>
    <w:p w14:paraId="44303DE8">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生物药品制品制造企业补充数据表</w:t>
      </w:r>
    </w:p>
    <w:tbl>
      <w:tblPr>
        <w:tblStyle w:val="36"/>
        <w:tblW w:w="89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6"/>
        <w:gridCol w:w="6729"/>
      </w:tblGrid>
      <w:tr w14:paraId="7317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blHeader/>
        </w:trPr>
        <w:tc>
          <w:tcPr>
            <w:tcW w:w="2226" w:type="dxa"/>
            <w:vAlign w:val="center"/>
          </w:tcPr>
          <w:p w14:paraId="2F7A953C">
            <w:pPr>
              <w:spacing w:after="0" w:line="340" w:lineRule="exact"/>
              <w:ind w:firstLine="41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729" w:type="dxa"/>
            <w:vAlign w:val="center"/>
          </w:tcPr>
          <w:p w14:paraId="0FC7B297">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26AE8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6" w:type="dxa"/>
            <w:vAlign w:val="center"/>
          </w:tcPr>
          <w:p w14:paraId="7EC9D669">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生物化学药品制造（血液制品等）产量</w:t>
            </w:r>
          </w:p>
        </w:tc>
        <w:tc>
          <w:tcPr>
            <w:tcW w:w="6729" w:type="dxa"/>
          </w:tcPr>
          <w:p w14:paraId="470A0A2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核查组应确定受核查方的药品产量。药品产量的数据除来自企业产量报表外，还应与上报统计局的产量产值相关数据核对、检验。</w:t>
            </w:r>
          </w:p>
        </w:tc>
      </w:tr>
      <w:tr w14:paraId="04553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trPr>
        <w:tc>
          <w:tcPr>
            <w:tcW w:w="2226" w:type="dxa"/>
          </w:tcPr>
          <w:p w14:paraId="6CBCD7A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生物化学药品制造（血液制品等）产值</w:t>
            </w:r>
          </w:p>
        </w:tc>
        <w:tc>
          <w:tcPr>
            <w:tcW w:w="6729" w:type="dxa"/>
          </w:tcPr>
          <w:p w14:paraId="3BF9CC1A">
            <w:pPr>
              <w:spacing w:after="0" w:line="340" w:lineRule="exact"/>
              <w:jc w:val="both"/>
              <w:rPr>
                <w:rFonts w:ascii="仿宋_GB2312" w:hAnsi="楷体" w:eastAsia="仿宋_GB2312"/>
                <w:sz w:val="24"/>
                <w:szCs w:val="24"/>
              </w:rPr>
            </w:pPr>
            <w:r>
              <w:rPr>
                <w:rFonts w:hint="eastAsia" w:ascii="仿宋_GB2312" w:hAnsi="楷体" w:eastAsia="仿宋_GB2312"/>
                <w:sz w:val="24"/>
                <w:szCs w:val="24"/>
              </w:rPr>
              <w:t>核查组应确定受核查方的药品产值。产值的数据除来自企业财务相关报表外，还应与上报统计局的产值相关数据核对、检验。</w:t>
            </w:r>
          </w:p>
        </w:tc>
      </w:tr>
      <w:tr w14:paraId="53A8C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6" w:type="dxa"/>
            <w:vAlign w:val="center"/>
          </w:tcPr>
          <w:p w14:paraId="4DAEFEDB">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生物化学药品制造（血液制品等）的直接排放量</w:t>
            </w:r>
          </w:p>
        </w:tc>
        <w:tc>
          <w:tcPr>
            <w:tcW w:w="6729" w:type="dxa"/>
          </w:tcPr>
          <w:p w14:paraId="46656E71">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核查组应确认受核查方对化石燃料消耗量的数据来源是否与监测计划一致，并通过能源平衡表、生产月报表等相关记录交叉核对。</w:t>
            </w:r>
          </w:p>
          <w:p w14:paraId="52AEE512">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26F0251D">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sz w:val="24"/>
                <w:szCs w:val="24"/>
              </w:rPr>
              <w:t>3.3.2.2部分的要求。</w:t>
            </w:r>
          </w:p>
        </w:tc>
      </w:tr>
      <w:tr w14:paraId="79CF0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5" w:hRule="atLeast"/>
        </w:trPr>
        <w:tc>
          <w:tcPr>
            <w:tcW w:w="2226" w:type="dxa"/>
            <w:vAlign w:val="center"/>
          </w:tcPr>
          <w:p w14:paraId="6CB35E84">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生物化学药品制造（血液制品等）的间接排放量</w:t>
            </w:r>
          </w:p>
        </w:tc>
        <w:tc>
          <w:tcPr>
            <w:tcW w:w="6729" w:type="dxa"/>
          </w:tcPr>
          <w:p w14:paraId="47062A78">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对于企业生产系统、辅助生产系统单独计量的电量，应确认监测设备的校准、数据记录等活动是否符合监测计划的要求，并核对抄表记录、各系统设施能源消耗台账。</w:t>
            </w:r>
          </w:p>
          <w:p w14:paraId="41189ED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如各药品对应的外购电力数据是通过拆分总外购电量计算得出，核查组应确认拆分的方式是否合理，并保持各年度数据的可比性。</w:t>
            </w:r>
          </w:p>
        </w:tc>
      </w:tr>
      <w:tr w14:paraId="15B96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trPr>
        <w:tc>
          <w:tcPr>
            <w:tcW w:w="2226" w:type="dxa"/>
            <w:vAlign w:val="center"/>
          </w:tcPr>
          <w:p w14:paraId="4DD9DD6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基因工程药物和疫苗制造产量</w:t>
            </w:r>
          </w:p>
        </w:tc>
        <w:tc>
          <w:tcPr>
            <w:tcW w:w="6729" w:type="dxa"/>
          </w:tcPr>
          <w:p w14:paraId="3854818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核查组应确定受核查方的药品产量。药品产量的数据除来自企业产量报表外，还应与上报统计局的产量产值相关数据核对、检验。</w:t>
            </w:r>
          </w:p>
        </w:tc>
      </w:tr>
      <w:tr w14:paraId="3E05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6" w:type="dxa"/>
          </w:tcPr>
          <w:p w14:paraId="2D1CC5A1">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基因工程药物和疫苗制造产值</w:t>
            </w:r>
          </w:p>
        </w:tc>
        <w:tc>
          <w:tcPr>
            <w:tcW w:w="6729" w:type="dxa"/>
          </w:tcPr>
          <w:p w14:paraId="03CC3C94">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核查组应确定受核查方的药品产值。产值的数据除来自企业财务相关报表外，还应与上报统计局的产值相关数据核对、检验。</w:t>
            </w:r>
          </w:p>
        </w:tc>
      </w:tr>
      <w:tr w14:paraId="41735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6" w:hRule="atLeast"/>
        </w:trPr>
        <w:tc>
          <w:tcPr>
            <w:tcW w:w="2226" w:type="dxa"/>
            <w:vAlign w:val="center"/>
          </w:tcPr>
          <w:p w14:paraId="0F16342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基因工程药物和疫苗制造的直接排放量</w:t>
            </w:r>
          </w:p>
        </w:tc>
        <w:tc>
          <w:tcPr>
            <w:tcW w:w="6729" w:type="dxa"/>
          </w:tcPr>
          <w:p w14:paraId="0255C760">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核查组应确认受核查方对化石燃料消耗量的数据来源是否与监测计划一致，并通过能源平衡表、生产月报表等相关记录交叉核对。</w:t>
            </w:r>
          </w:p>
          <w:p w14:paraId="6527A9B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对于天然气等可单独计量的数据，还应将报告的数据与天然气抄表记录、财务数据等数据交叉核对。</w:t>
            </w:r>
          </w:p>
          <w:p w14:paraId="2BB3BA33">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如重点排放单位使用化石燃料排放因子的缺省值，核查组应确认缺省值的数据、单位正确，如使用实测值，排放因子的核查应参考核查报告编写指南第</w:t>
            </w:r>
            <w:r>
              <w:rPr>
                <w:rFonts w:ascii="仿宋_GB2312" w:hAnsi="楷体" w:eastAsia="仿宋_GB2312"/>
                <w:sz w:val="24"/>
                <w:szCs w:val="24"/>
              </w:rPr>
              <w:t>3.3.2.2部分的要求。</w:t>
            </w:r>
          </w:p>
        </w:tc>
      </w:tr>
      <w:tr w14:paraId="1E91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5" w:hRule="atLeast"/>
        </w:trPr>
        <w:tc>
          <w:tcPr>
            <w:tcW w:w="2226" w:type="dxa"/>
            <w:vAlign w:val="center"/>
          </w:tcPr>
          <w:p w14:paraId="0C1BBF8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基因工程药物和疫苗制造的间接排放量</w:t>
            </w:r>
          </w:p>
        </w:tc>
        <w:tc>
          <w:tcPr>
            <w:tcW w:w="6729" w:type="dxa"/>
          </w:tcPr>
          <w:p w14:paraId="0438FF08">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对于企业生产系统、辅助生产系统单独计量的电量，应确认监测设备的校准、数据记录等活动是否符合监测计划的要求，并核对抄表记录、各系统设施能源消耗台账。</w:t>
            </w:r>
          </w:p>
          <w:p w14:paraId="2EF631C9">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如各药品对应的外购电力数据是通过拆分总外购电量计算得出，核查组应确认拆分的方式是否合理，并保持各年度数据的可比性。</w:t>
            </w:r>
          </w:p>
        </w:tc>
      </w:tr>
      <w:tr w14:paraId="1879F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6" w:type="dxa"/>
            <w:vAlign w:val="center"/>
          </w:tcPr>
          <w:p w14:paraId="76F6CB9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办公及其他设施的直接排放量</w:t>
            </w:r>
          </w:p>
        </w:tc>
        <w:tc>
          <w:tcPr>
            <w:tcW w:w="6729" w:type="dxa"/>
          </w:tcPr>
          <w:p w14:paraId="3F563F5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对于办公及其他设施的不同种类的化石燃料消耗量，应确认数据来源是否与监测计划一致，并核对抄表记录、各车间能源消耗台账。</w:t>
            </w:r>
          </w:p>
        </w:tc>
      </w:tr>
      <w:tr w14:paraId="6CE7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6" w:type="dxa"/>
            <w:vAlign w:val="center"/>
          </w:tcPr>
          <w:p w14:paraId="5C0E1AB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办公及其他设施的间接排放量</w:t>
            </w:r>
          </w:p>
        </w:tc>
        <w:tc>
          <w:tcPr>
            <w:tcW w:w="6729" w:type="dxa"/>
          </w:tcPr>
          <w:p w14:paraId="72F9F48E">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核查组应确认受核查方办公及其他设施的耗电量的数据来源是否与监测计划一致，并通过生产月报表、电表数据记录、设施的耗电量记录、能源消耗台账等相关记录交叉核对。</w:t>
            </w:r>
          </w:p>
        </w:tc>
      </w:tr>
    </w:tbl>
    <w:p w14:paraId="3805B497">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污水处理和再生水供应业企业补充数据表</w:t>
      </w:r>
    </w:p>
    <w:tbl>
      <w:tblPr>
        <w:tblStyle w:val="36"/>
        <w:tblW w:w="89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8"/>
        <w:gridCol w:w="6711"/>
      </w:tblGrid>
      <w:tr w14:paraId="24F88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2248" w:type="dxa"/>
            <w:vAlign w:val="center"/>
          </w:tcPr>
          <w:p w14:paraId="66274011">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711" w:type="dxa"/>
            <w:vAlign w:val="center"/>
          </w:tcPr>
          <w:p w14:paraId="5A56918B">
            <w:pPr>
              <w:spacing w:after="0" w:line="340" w:lineRule="exact"/>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7939F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2248" w:type="dxa"/>
            <w:vAlign w:val="center"/>
          </w:tcPr>
          <w:p w14:paraId="41FC9F85">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污水处理的数量</w:t>
            </w:r>
          </w:p>
        </w:tc>
        <w:tc>
          <w:tcPr>
            <w:tcW w:w="6711" w:type="dxa"/>
          </w:tcPr>
          <w:p w14:paraId="385A5E5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核查组应确定受核查方的污水处理数量。污水处理数量除来自企业产量报表外，还应与上报统计局的产量产值相关数据核对。</w:t>
            </w:r>
          </w:p>
        </w:tc>
      </w:tr>
      <w:tr w14:paraId="3BF83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2248" w:type="dxa"/>
            <w:vAlign w:val="center"/>
          </w:tcPr>
          <w:p w14:paraId="6DD9762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再生水的数量</w:t>
            </w:r>
          </w:p>
        </w:tc>
        <w:tc>
          <w:tcPr>
            <w:tcW w:w="6711" w:type="dxa"/>
          </w:tcPr>
          <w:p w14:paraId="540A472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核查组应确定受核查方的再生水数量。再生水数量的数据除来自企业产量报表外，还应与上报统计局的产量产值相关数据核对。</w:t>
            </w:r>
          </w:p>
        </w:tc>
      </w:tr>
      <w:tr w14:paraId="4082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4" w:hRule="atLeast"/>
        </w:trPr>
        <w:tc>
          <w:tcPr>
            <w:tcW w:w="2248" w:type="dxa"/>
            <w:vAlign w:val="center"/>
          </w:tcPr>
          <w:p w14:paraId="0212FB08">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污水处理和再生水设施的间接排放量</w:t>
            </w:r>
          </w:p>
        </w:tc>
        <w:tc>
          <w:tcPr>
            <w:tcW w:w="6711" w:type="dxa"/>
          </w:tcPr>
          <w:p w14:paraId="456B370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污水处理和再生水设施的耗电量的数据来源是否与监测计划一致，并通过生产月报表、电表数据记录、车间的耗电量记录、能源消耗台账等相关记录交叉核对。企业的污水处理和再生水设施的间接排放量包括企业办公及其他设施的排放量。</w:t>
            </w:r>
          </w:p>
        </w:tc>
      </w:tr>
      <w:tr w14:paraId="6711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trPr>
        <w:tc>
          <w:tcPr>
            <w:tcW w:w="2248" w:type="dxa"/>
            <w:vAlign w:val="center"/>
          </w:tcPr>
          <w:p w14:paraId="01465A9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污水处理和再生水设施的直接排放量</w:t>
            </w:r>
          </w:p>
        </w:tc>
        <w:tc>
          <w:tcPr>
            <w:tcW w:w="6711" w:type="dxa"/>
          </w:tcPr>
          <w:p w14:paraId="51A9852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污水处理和再生水设施的不同种类的化石燃料消耗量，应确认数据来源是否与监测计划一致，并核对抄表记录、各车间能源消耗台账。企业的污水处理和再生水设施的直接排放量包括企业办公及其他设施的排放量。</w:t>
            </w:r>
          </w:p>
        </w:tc>
      </w:tr>
      <w:tr w14:paraId="24F1B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2248" w:type="dxa"/>
            <w:vAlign w:val="center"/>
          </w:tcPr>
          <w:p w14:paraId="2B6DA901">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污水处理和再生水设施采用的生产工艺</w:t>
            </w:r>
          </w:p>
        </w:tc>
        <w:tc>
          <w:tcPr>
            <w:tcW w:w="6711" w:type="dxa"/>
          </w:tcPr>
          <w:p w14:paraId="38C18A86">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说明污水处理和再生水设施采用的生产工艺。</w:t>
            </w:r>
          </w:p>
        </w:tc>
      </w:tr>
      <w:tr w14:paraId="07EF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2248" w:type="dxa"/>
            <w:vAlign w:val="center"/>
          </w:tcPr>
          <w:p w14:paraId="5B1BB6BB">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污泥深度处理的数量</w:t>
            </w:r>
          </w:p>
        </w:tc>
        <w:tc>
          <w:tcPr>
            <w:tcW w:w="6711" w:type="dxa"/>
          </w:tcPr>
          <w:p w14:paraId="2665262F">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核查组应确定受核查方的污泥处理数量。污泥处理数量的数据除来自企业生产记录外，还应与企业报表的相关数据核对。</w:t>
            </w:r>
          </w:p>
        </w:tc>
      </w:tr>
      <w:tr w14:paraId="48DB8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2248" w:type="dxa"/>
            <w:vAlign w:val="center"/>
          </w:tcPr>
          <w:p w14:paraId="262FE5E3">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污泥深度处理设施的间接排放量</w:t>
            </w:r>
          </w:p>
        </w:tc>
        <w:tc>
          <w:tcPr>
            <w:tcW w:w="6711" w:type="dxa"/>
          </w:tcPr>
          <w:p w14:paraId="3B670FF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核查组应确认受核查方污泥处理设施的耗电量的数据来源是否与监测计划一致，并通过生产月报表、电表数据记录、车间的耗电量记录、能源消耗台账等相关记录交叉核对。</w:t>
            </w:r>
          </w:p>
        </w:tc>
      </w:tr>
      <w:tr w14:paraId="2DA6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2248" w:type="dxa"/>
            <w:vAlign w:val="center"/>
          </w:tcPr>
          <w:p w14:paraId="6EC02C2B">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污泥深度处理设施的直接排放量</w:t>
            </w:r>
          </w:p>
        </w:tc>
        <w:tc>
          <w:tcPr>
            <w:tcW w:w="6711" w:type="dxa"/>
          </w:tcPr>
          <w:p w14:paraId="04BDCFA7">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对于污泥处理设施的不同种类的化石燃料消耗量，应确认数据来源是否与监测计划一致，并核对抄表记录、各车间能源消耗台账。</w:t>
            </w:r>
          </w:p>
        </w:tc>
      </w:tr>
      <w:tr w14:paraId="0F12E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2248" w:type="dxa"/>
            <w:vAlign w:val="center"/>
          </w:tcPr>
          <w:p w14:paraId="01CABAAA">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污泥深度处理设施采用的工艺</w:t>
            </w:r>
          </w:p>
        </w:tc>
        <w:tc>
          <w:tcPr>
            <w:tcW w:w="6711" w:type="dxa"/>
          </w:tcPr>
          <w:p w14:paraId="2714CFCE">
            <w:pPr>
              <w:spacing w:after="0" w:line="340" w:lineRule="exact"/>
              <w:ind w:firstLine="480" w:firstLineChars="200"/>
              <w:jc w:val="both"/>
              <w:rPr>
                <w:rFonts w:ascii="仿宋_GB2312" w:hAnsi="楷体" w:eastAsia="仿宋_GB2312"/>
                <w:sz w:val="24"/>
                <w:szCs w:val="24"/>
              </w:rPr>
            </w:pPr>
            <w:r>
              <w:rPr>
                <w:rFonts w:hint="eastAsia" w:ascii="仿宋_GB2312" w:hAnsi="楷体" w:eastAsia="仿宋_GB2312"/>
                <w:sz w:val="24"/>
                <w:szCs w:val="24"/>
              </w:rPr>
              <w:t>说明污泥处理设施采用的生产工艺</w:t>
            </w:r>
          </w:p>
        </w:tc>
      </w:tr>
    </w:tbl>
    <w:p w14:paraId="60DC6725">
      <w:pPr>
        <w:pStyle w:val="147"/>
        <w:snapToGrid w:val="0"/>
        <w:spacing w:line="320" w:lineRule="exact"/>
        <w:ind w:firstLine="420" w:firstLineChars="200"/>
        <w:rPr>
          <w:rFonts w:ascii="仿宋" w:hAnsi="仿宋" w:eastAsia="仿宋" w:cs="Times New Roman"/>
          <w:color w:val="auto"/>
          <w:sz w:val="21"/>
          <w:szCs w:val="21"/>
        </w:rPr>
      </w:pPr>
      <w:r>
        <w:rPr>
          <w:rFonts w:hint="eastAsia" w:ascii="仿宋" w:hAnsi="仿宋" w:eastAsia="仿宋" w:cs="Times New Roman"/>
          <w:color w:val="auto"/>
          <w:sz w:val="21"/>
          <w:szCs w:val="21"/>
        </w:rPr>
        <w:t>注：</w:t>
      </w:r>
      <w:r>
        <w:rPr>
          <w:rFonts w:ascii="仿宋" w:hAnsi="仿宋" w:eastAsia="仿宋" w:cs="Times New Roman"/>
          <w:color w:val="auto"/>
          <w:sz w:val="21"/>
          <w:szCs w:val="21"/>
        </w:rPr>
        <w:t>污泥</w:t>
      </w:r>
      <w:r>
        <w:rPr>
          <w:rFonts w:hint="eastAsia" w:ascii="仿宋" w:hAnsi="仿宋" w:eastAsia="仿宋" w:cs="Times New Roman"/>
          <w:color w:val="auto"/>
          <w:sz w:val="21"/>
          <w:szCs w:val="21"/>
        </w:rPr>
        <w:t>深度</w:t>
      </w:r>
      <w:r>
        <w:rPr>
          <w:rFonts w:ascii="仿宋" w:hAnsi="仿宋" w:eastAsia="仿宋" w:cs="Times New Roman"/>
          <w:color w:val="auto"/>
          <w:sz w:val="21"/>
          <w:szCs w:val="21"/>
        </w:rPr>
        <w:t>处理设施</w:t>
      </w:r>
      <w:r>
        <w:rPr>
          <w:rFonts w:hint="eastAsia" w:ascii="仿宋" w:hAnsi="仿宋" w:eastAsia="仿宋" w:cs="Times New Roman"/>
          <w:color w:val="auto"/>
          <w:sz w:val="21"/>
          <w:szCs w:val="21"/>
        </w:rPr>
        <w:t>排放</w:t>
      </w:r>
      <w:r>
        <w:rPr>
          <w:rFonts w:ascii="仿宋" w:hAnsi="仿宋" w:eastAsia="仿宋" w:cs="Times New Roman"/>
          <w:color w:val="auto"/>
          <w:sz w:val="21"/>
          <w:szCs w:val="21"/>
        </w:rPr>
        <w:t>边界</w:t>
      </w:r>
      <w:r>
        <w:rPr>
          <w:rFonts w:hint="eastAsia" w:ascii="仿宋" w:hAnsi="仿宋" w:eastAsia="仿宋" w:cs="Times New Roman"/>
          <w:color w:val="auto"/>
          <w:sz w:val="21"/>
          <w:szCs w:val="21"/>
        </w:rPr>
        <w:t>确定：</w:t>
      </w:r>
      <w:r>
        <w:rPr>
          <w:rFonts w:ascii="仿宋" w:hAnsi="仿宋" w:eastAsia="仿宋" w:cs="Times New Roman"/>
          <w:color w:val="auto"/>
          <w:sz w:val="21"/>
          <w:szCs w:val="21"/>
        </w:rPr>
        <w:t>污泥脱水部分</w:t>
      </w:r>
      <w:r>
        <w:rPr>
          <w:rFonts w:hint="eastAsia" w:ascii="仿宋" w:hAnsi="仿宋" w:eastAsia="仿宋" w:cs="Times New Roman"/>
          <w:color w:val="auto"/>
          <w:sz w:val="21"/>
          <w:szCs w:val="21"/>
        </w:rPr>
        <w:t>的排放量，包含在污水处理及再生水设施的排放中；</w:t>
      </w:r>
      <w:r>
        <w:rPr>
          <w:rFonts w:ascii="仿宋" w:hAnsi="仿宋" w:eastAsia="仿宋" w:cs="Times New Roman"/>
          <w:color w:val="auto"/>
          <w:sz w:val="21"/>
          <w:szCs w:val="21"/>
        </w:rPr>
        <w:t>脱水后的泥饼进行深度处理</w:t>
      </w:r>
      <w:r>
        <w:rPr>
          <w:rFonts w:hint="eastAsia" w:ascii="仿宋" w:hAnsi="仿宋" w:eastAsia="仿宋" w:cs="Times New Roman"/>
          <w:color w:val="auto"/>
          <w:sz w:val="21"/>
          <w:szCs w:val="21"/>
        </w:rPr>
        <w:t>产生的排放量</w:t>
      </w:r>
      <w:r>
        <w:rPr>
          <w:rFonts w:ascii="仿宋" w:hAnsi="仿宋" w:eastAsia="仿宋" w:cs="Times New Roman"/>
          <w:color w:val="auto"/>
          <w:sz w:val="21"/>
          <w:szCs w:val="21"/>
        </w:rPr>
        <w:t>作为污泥处理</w:t>
      </w:r>
      <w:r>
        <w:rPr>
          <w:rFonts w:hint="eastAsia" w:ascii="仿宋" w:hAnsi="仿宋" w:eastAsia="仿宋" w:cs="Times New Roman"/>
          <w:color w:val="auto"/>
          <w:sz w:val="21"/>
          <w:szCs w:val="21"/>
        </w:rPr>
        <w:t>深度</w:t>
      </w:r>
      <w:r>
        <w:rPr>
          <w:rFonts w:ascii="仿宋" w:hAnsi="仿宋" w:eastAsia="仿宋" w:cs="Times New Roman"/>
          <w:color w:val="auto"/>
          <w:sz w:val="21"/>
          <w:szCs w:val="21"/>
        </w:rPr>
        <w:t>设施</w:t>
      </w:r>
      <w:r>
        <w:rPr>
          <w:rFonts w:hint="eastAsia" w:ascii="仿宋" w:hAnsi="仿宋" w:eastAsia="仿宋" w:cs="Times New Roman"/>
          <w:color w:val="auto"/>
          <w:sz w:val="21"/>
          <w:szCs w:val="21"/>
        </w:rPr>
        <w:t>的</w:t>
      </w:r>
      <w:r>
        <w:rPr>
          <w:rFonts w:ascii="仿宋" w:hAnsi="仿宋" w:eastAsia="仿宋" w:cs="Times New Roman"/>
          <w:color w:val="auto"/>
          <w:sz w:val="21"/>
          <w:szCs w:val="21"/>
        </w:rPr>
        <w:t>排放量</w:t>
      </w:r>
      <w:r>
        <w:rPr>
          <w:rFonts w:hint="eastAsia" w:ascii="仿宋" w:hAnsi="仿宋" w:eastAsia="仿宋" w:cs="Times New Roman"/>
          <w:color w:val="auto"/>
          <w:sz w:val="21"/>
          <w:szCs w:val="21"/>
        </w:rPr>
        <w:t>。</w:t>
      </w:r>
    </w:p>
    <w:p w14:paraId="0480F986">
      <w:pPr>
        <w:spacing w:after="0" w:line="560" w:lineRule="exact"/>
        <w:jc w:val="center"/>
        <w:rPr>
          <w:rFonts w:ascii="仿宋_GB2312" w:hAnsi="仿宋" w:eastAsia="仿宋_GB2312"/>
          <w:b/>
          <w:sz w:val="32"/>
          <w:szCs w:val="32"/>
          <w:lang w:val="en-US"/>
        </w:rPr>
      </w:pPr>
    </w:p>
    <w:p w14:paraId="4FB54459">
      <w:pPr>
        <w:spacing w:after="0" w:line="560" w:lineRule="exact"/>
        <w:jc w:val="center"/>
        <w:rPr>
          <w:rFonts w:ascii="仿宋_GB2312" w:hAnsi="仿宋" w:eastAsia="仿宋_GB2312"/>
          <w:b/>
          <w:sz w:val="32"/>
          <w:szCs w:val="32"/>
          <w:lang w:val="en-US"/>
        </w:rPr>
      </w:pPr>
      <w:r>
        <w:rPr>
          <w:rFonts w:hint="eastAsia" w:ascii="仿宋_GB2312" w:hAnsi="仿宋" w:eastAsia="仿宋_GB2312"/>
          <w:b/>
          <w:sz w:val="32"/>
          <w:szCs w:val="32"/>
          <w:lang w:val="en-US"/>
        </w:rPr>
        <w:t>自来水供应业企业补充数据表</w:t>
      </w:r>
    </w:p>
    <w:tbl>
      <w:tblPr>
        <w:tblStyle w:val="36"/>
        <w:tblW w:w="90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4"/>
        <w:gridCol w:w="6772"/>
      </w:tblGrid>
      <w:tr w14:paraId="1F50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tcPr>
          <w:p w14:paraId="0BDAEF0F">
            <w:pPr>
              <w:spacing w:after="0" w:line="300" w:lineRule="auto"/>
              <w:ind w:firstLine="359"/>
              <w:jc w:val="center"/>
              <w:rPr>
                <w:rFonts w:ascii="仿宋_GB2312" w:hAnsi="楷体" w:eastAsia="仿宋_GB2312"/>
                <w:b/>
                <w:bCs/>
                <w:sz w:val="24"/>
                <w:szCs w:val="24"/>
              </w:rPr>
            </w:pPr>
            <w:r>
              <w:rPr>
                <w:rFonts w:hint="eastAsia" w:ascii="仿宋_GB2312" w:hAnsi="楷体" w:eastAsia="仿宋_GB2312"/>
                <w:b/>
                <w:bCs/>
                <w:sz w:val="24"/>
                <w:szCs w:val="24"/>
              </w:rPr>
              <w:t>报告参数</w:t>
            </w:r>
          </w:p>
        </w:tc>
        <w:tc>
          <w:tcPr>
            <w:tcW w:w="6772" w:type="dxa"/>
          </w:tcPr>
          <w:p w14:paraId="09E011B5">
            <w:pPr>
              <w:spacing w:after="0" w:line="300" w:lineRule="auto"/>
              <w:jc w:val="center"/>
              <w:rPr>
                <w:rFonts w:ascii="仿宋_GB2312" w:hAnsi="楷体" w:eastAsia="仿宋_GB2312"/>
                <w:b/>
                <w:bCs/>
                <w:sz w:val="24"/>
                <w:szCs w:val="24"/>
              </w:rPr>
            </w:pPr>
            <w:r>
              <w:rPr>
                <w:rFonts w:hint="eastAsia" w:ascii="仿宋_GB2312" w:hAnsi="楷体" w:eastAsia="仿宋_GB2312"/>
                <w:b/>
                <w:bCs/>
                <w:sz w:val="24"/>
                <w:szCs w:val="24"/>
              </w:rPr>
              <w:t>核查要求</w:t>
            </w:r>
          </w:p>
        </w:tc>
      </w:tr>
      <w:tr w14:paraId="31C9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vAlign w:val="center"/>
          </w:tcPr>
          <w:p w14:paraId="1470B134">
            <w:pPr>
              <w:spacing w:after="0" w:line="300" w:lineRule="auto"/>
              <w:ind w:firstLine="480" w:firstLineChars="200"/>
              <w:rPr>
                <w:rFonts w:ascii="仿宋_GB2312" w:hAnsi="楷体" w:eastAsia="仿宋_GB2312"/>
                <w:sz w:val="24"/>
                <w:szCs w:val="24"/>
              </w:rPr>
            </w:pPr>
            <w:r>
              <w:rPr>
                <w:rFonts w:hint="eastAsia" w:ascii="仿宋_GB2312" w:hAnsi="楷体" w:eastAsia="仿宋_GB2312"/>
                <w:sz w:val="24"/>
                <w:szCs w:val="24"/>
              </w:rPr>
              <w:t>自来水产量</w:t>
            </w:r>
          </w:p>
        </w:tc>
        <w:tc>
          <w:tcPr>
            <w:tcW w:w="6772" w:type="dxa"/>
          </w:tcPr>
          <w:p w14:paraId="50768F35">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核查组应确定受核查方的自来水产量。自来水产量的数据除来自企业产量报表外，还应与上报统计局的产量产值相关数据核对。</w:t>
            </w:r>
          </w:p>
        </w:tc>
      </w:tr>
      <w:tr w14:paraId="24E8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vAlign w:val="center"/>
          </w:tcPr>
          <w:p w14:paraId="6678CD46">
            <w:pPr>
              <w:spacing w:after="0" w:line="300" w:lineRule="auto"/>
              <w:ind w:firstLine="480" w:firstLineChars="200"/>
              <w:rPr>
                <w:rFonts w:ascii="仿宋_GB2312" w:hAnsi="楷体" w:eastAsia="仿宋_GB2312"/>
                <w:sz w:val="24"/>
                <w:szCs w:val="24"/>
              </w:rPr>
            </w:pPr>
            <w:r>
              <w:rPr>
                <w:rFonts w:hint="eastAsia" w:ascii="仿宋_GB2312" w:hAnsi="楷体" w:eastAsia="仿宋_GB2312"/>
                <w:sz w:val="24"/>
                <w:szCs w:val="24"/>
              </w:rPr>
              <w:t>输入的地下水、地表水的数量</w:t>
            </w:r>
          </w:p>
        </w:tc>
        <w:tc>
          <w:tcPr>
            <w:tcW w:w="6772" w:type="dxa"/>
          </w:tcPr>
          <w:p w14:paraId="2B3EF9EA">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核查组应确认受核查方输入的地下水、地表水的数量的数据来源是否与监测计划一致，并通过生产月报表、水源地分公司输出水的水表数据记录、输入地下水/地表水的水泵耗电量等相关记录交叉核对。</w:t>
            </w:r>
          </w:p>
        </w:tc>
      </w:tr>
      <w:tr w14:paraId="123E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vAlign w:val="center"/>
          </w:tcPr>
          <w:p w14:paraId="72F3D1BF">
            <w:pPr>
              <w:spacing w:after="0" w:line="300" w:lineRule="auto"/>
              <w:ind w:firstLine="480" w:firstLineChars="200"/>
              <w:rPr>
                <w:rFonts w:ascii="仿宋_GB2312" w:hAnsi="楷体" w:eastAsia="仿宋_GB2312"/>
                <w:sz w:val="24"/>
                <w:szCs w:val="24"/>
              </w:rPr>
            </w:pPr>
            <w:r>
              <w:rPr>
                <w:rFonts w:hint="eastAsia" w:ascii="仿宋_GB2312" w:hAnsi="楷体" w:eastAsia="仿宋_GB2312"/>
                <w:sz w:val="24"/>
                <w:szCs w:val="24"/>
              </w:rPr>
              <w:t>输入地下水/地表水的水泵耗电量</w:t>
            </w:r>
          </w:p>
        </w:tc>
        <w:tc>
          <w:tcPr>
            <w:tcW w:w="6772" w:type="dxa"/>
          </w:tcPr>
          <w:p w14:paraId="698FDE7A">
            <w:pPr>
              <w:spacing w:after="0" w:line="300" w:lineRule="auto"/>
              <w:ind w:firstLine="480" w:firstLineChars="200"/>
              <w:jc w:val="both"/>
              <w:rPr>
                <w:rFonts w:ascii="仿宋_GB2312" w:hAnsi="楷体" w:eastAsia="仿宋_GB2312"/>
                <w:sz w:val="24"/>
                <w:szCs w:val="24"/>
              </w:rPr>
            </w:pPr>
            <w:r>
              <w:rPr>
                <w:rFonts w:hint="eastAsia" w:ascii="仿宋_GB2312" w:hAnsi="楷体" w:eastAsia="仿宋_GB2312"/>
                <w:sz w:val="24"/>
                <w:szCs w:val="24"/>
              </w:rPr>
              <w:t>对于各分水厂用于不同来源水量抽取的水泵单独计量的电量，应确认监测设备的校准、数据记录等活动是否符合监测计划的要求，并核对抄表记录、各车间能源消耗台账。</w:t>
            </w:r>
          </w:p>
        </w:tc>
      </w:tr>
    </w:tbl>
    <w:p w14:paraId="52E11FC1">
      <w:pPr>
        <w:spacing w:after="0" w:line="560" w:lineRule="exact"/>
        <w:rPr>
          <w:rFonts w:ascii="仿宋_GB2312" w:hAnsi="仿宋" w:eastAsia="仿宋_GB2312"/>
          <w:b/>
          <w:sz w:val="32"/>
          <w:szCs w:val="32"/>
        </w:rPr>
        <w:sectPr>
          <w:footerReference r:id="rId6" w:type="default"/>
          <w:pgSz w:w="11906" w:h="16838"/>
          <w:pgMar w:top="2098" w:right="1474" w:bottom="1984" w:left="1587" w:header="851" w:footer="1587" w:gutter="0"/>
          <w:pgNumType w:fmt="decimal" w:start="1"/>
          <w:cols w:space="0" w:num="1"/>
          <w:docGrid w:type="lines" w:linePitch="312" w:charSpace="0"/>
        </w:sectPr>
      </w:pPr>
    </w:p>
    <w:p w14:paraId="1B70373B">
      <w:pPr>
        <w:ind w:firstLine="480" w:firstLineChars="150"/>
        <w:jc w:val="center"/>
        <w:rPr>
          <w:rFonts w:ascii="黑体" w:hAnsi="黑体" w:eastAsia="黑体"/>
          <w:bCs/>
          <w:sz w:val="32"/>
          <w:szCs w:val="28"/>
        </w:rPr>
      </w:pPr>
      <w:r>
        <w:rPr>
          <w:rFonts w:hint="eastAsia" w:ascii="黑体" w:hAnsi="黑体" w:eastAsia="黑体"/>
          <w:bCs/>
          <w:sz w:val="32"/>
          <w:szCs w:val="28"/>
        </w:rPr>
        <w:t>出租车客运企业补充数据表</w:t>
      </w:r>
    </w:p>
    <w:tbl>
      <w:tblPr>
        <w:tblStyle w:val="35"/>
        <w:tblW w:w="14154" w:type="dxa"/>
        <w:tblInd w:w="0" w:type="dxa"/>
        <w:tblLayout w:type="fixed"/>
        <w:tblCellMar>
          <w:top w:w="0" w:type="dxa"/>
          <w:left w:w="108" w:type="dxa"/>
          <w:bottom w:w="0" w:type="dxa"/>
          <w:right w:w="108" w:type="dxa"/>
        </w:tblCellMar>
      </w:tblPr>
      <w:tblGrid>
        <w:gridCol w:w="389"/>
        <w:gridCol w:w="566"/>
        <w:gridCol w:w="419"/>
        <w:gridCol w:w="572"/>
        <w:gridCol w:w="424"/>
        <w:gridCol w:w="566"/>
        <w:gridCol w:w="566"/>
        <w:gridCol w:w="708"/>
        <w:gridCol w:w="424"/>
        <w:gridCol w:w="569"/>
        <w:gridCol w:w="563"/>
        <w:gridCol w:w="568"/>
        <w:gridCol w:w="566"/>
        <w:gridCol w:w="566"/>
        <w:gridCol w:w="708"/>
        <w:gridCol w:w="708"/>
        <w:gridCol w:w="711"/>
        <w:gridCol w:w="705"/>
        <w:gridCol w:w="852"/>
        <w:gridCol w:w="847"/>
        <w:gridCol w:w="713"/>
        <w:gridCol w:w="714"/>
        <w:gridCol w:w="730"/>
      </w:tblGrid>
      <w:tr w14:paraId="101C9E65">
        <w:tblPrEx>
          <w:tblCellMar>
            <w:top w:w="0" w:type="dxa"/>
            <w:left w:w="108" w:type="dxa"/>
            <w:bottom w:w="0" w:type="dxa"/>
            <w:right w:w="108" w:type="dxa"/>
          </w:tblCellMar>
        </w:tblPrEx>
        <w:trPr>
          <w:trHeight w:val="229" w:hRule="atLeast"/>
        </w:trPr>
        <w:tc>
          <w:tcPr>
            <w:tcW w:w="389" w:type="dxa"/>
            <w:vMerge w:val="restart"/>
            <w:tcBorders>
              <w:top w:val="single" w:color="auto" w:sz="4" w:space="0"/>
              <w:left w:val="single" w:color="000000" w:sz="8" w:space="0"/>
              <w:right w:val="single" w:color="000000" w:sz="8" w:space="0"/>
            </w:tcBorders>
            <w:shd w:val="clear" w:color="auto" w:fill="auto"/>
            <w:vAlign w:val="center"/>
          </w:tcPr>
          <w:p w14:paraId="2044B2EF">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序号</w:t>
            </w:r>
          </w:p>
        </w:tc>
        <w:tc>
          <w:tcPr>
            <w:tcW w:w="566" w:type="dxa"/>
            <w:vMerge w:val="restart"/>
            <w:tcBorders>
              <w:top w:val="single" w:color="auto" w:sz="4" w:space="0"/>
              <w:left w:val="single" w:color="000000" w:sz="8" w:space="0"/>
              <w:right w:val="single" w:color="000000" w:sz="8" w:space="0"/>
            </w:tcBorders>
            <w:shd w:val="clear" w:color="auto" w:fill="auto"/>
            <w:vAlign w:val="center"/>
          </w:tcPr>
          <w:p w14:paraId="5A872893">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车辆营运属性</w:t>
            </w:r>
          </w:p>
        </w:tc>
        <w:tc>
          <w:tcPr>
            <w:tcW w:w="419" w:type="dxa"/>
            <w:vMerge w:val="restart"/>
            <w:tcBorders>
              <w:top w:val="single" w:color="auto" w:sz="4" w:space="0"/>
              <w:left w:val="single" w:color="000000" w:sz="8" w:space="0"/>
              <w:right w:val="single" w:color="000000" w:sz="8" w:space="0"/>
            </w:tcBorders>
            <w:shd w:val="clear" w:color="auto" w:fill="auto"/>
            <w:vAlign w:val="center"/>
          </w:tcPr>
          <w:p w14:paraId="11444E84">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能源类型</w:t>
            </w:r>
          </w:p>
        </w:tc>
        <w:tc>
          <w:tcPr>
            <w:tcW w:w="572" w:type="dxa"/>
            <w:vMerge w:val="restart"/>
            <w:tcBorders>
              <w:top w:val="single" w:color="auto" w:sz="4" w:space="0"/>
              <w:left w:val="single" w:color="000000" w:sz="8" w:space="0"/>
              <w:right w:val="single" w:color="000000" w:sz="8" w:space="0"/>
            </w:tcBorders>
            <w:shd w:val="clear" w:color="auto" w:fill="auto"/>
            <w:vAlign w:val="center"/>
          </w:tcPr>
          <w:p w14:paraId="456ABCB7">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车辆排量（升）</w:t>
            </w:r>
          </w:p>
        </w:tc>
        <w:tc>
          <w:tcPr>
            <w:tcW w:w="424" w:type="dxa"/>
            <w:vMerge w:val="restart"/>
            <w:tcBorders>
              <w:top w:val="single" w:color="auto" w:sz="4" w:space="0"/>
              <w:left w:val="single" w:color="000000" w:sz="8" w:space="0"/>
              <w:right w:val="single" w:color="000000" w:sz="8" w:space="0"/>
            </w:tcBorders>
            <w:shd w:val="clear" w:color="auto" w:fill="auto"/>
            <w:vAlign w:val="center"/>
          </w:tcPr>
          <w:p w14:paraId="28842A20">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车辆厂牌</w:t>
            </w:r>
          </w:p>
        </w:tc>
        <w:tc>
          <w:tcPr>
            <w:tcW w:w="566" w:type="dxa"/>
            <w:vMerge w:val="restart"/>
            <w:tcBorders>
              <w:top w:val="single" w:color="auto" w:sz="4" w:space="0"/>
              <w:left w:val="single" w:color="000000" w:sz="8" w:space="0"/>
              <w:right w:val="single" w:color="000000" w:sz="8" w:space="0"/>
            </w:tcBorders>
            <w:shd w:val="clear" w:color="auto" w:fill="auto"/>
            <w:vAlign w:val="center"/>
          </w:tcPr>
          <w:p w14:paraId="0E89FE1C">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车辆排放标准</w:t>
            </w:r>
          </w:p>
        </w:tc>
        <w:tc>
          <w:tcPr>
            <w:tcW w:w="566" w:type="dxa"/>
            <w:vMerge w:val="restart"/>
            <w:tcBorders>
              <w:top w:val="single" w:color="auto" w:sz="4" w:space="0"/>
              <w:left w:val="single" w:color="000000" w:sz="8" w:space="0"/>
              <w:right w:val="single" w:color="000000" w:sz="8" w:space="0"/>
            </w:tcBorders>
            <w:shd w:val="clear" w:color="auto" w:fill="auto"/>
            <w:vAlign w:val="center"/>
          </w:tcPr>
          <w:p w14:paraId="49AF1ED2">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车辆数</w:t>
            </w:r>
          </w:p>
        </w:tc>
        <w:tc>
          <w:tcPr>
            <w:tcW w:w="2832" w:type="dxa"/>
            <w:gridSpan w:val="5"/>
            <w:tcBorders>
              <w:top w:val="single" w:color="auto" w:sz="4" w:space="0"/>
              <w:left w:val="nil"/>
              <w:bottom w:val="single" w:color="000000" w:sz="8" w:space="0"/>
              <w:right w:val="single" w:color="000000" w:sz="8" w:space="0"/>
            </w:tcBorders>
            <w:shd w:val="clear" w:color="auto" w:fill="auto"/>
            <w:vAlign w:val="center"/>
          </w:tcPr>
          <w:p w14:paraId="4363A7DE">
            <w:pPr>
              <w:ind w:firstLine="314"/>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年度累计行驶里程</w:t>
            </w:r>
            <w:r>
              <w:rPr>
                <w:rFonts w:cs="宋体" w:asciiTheme="minorEastAsia" w:hAnsiTheme="minorEastAsia" w:eastAsiaTheme="minorEastAsia"/>
                <w:b/>
                <w:color w:val="000000"/>
                <w:sz w:val="21"/>
                <w:szCs w:val="21"/>
              </w:rPr>
              <w:t>(km)</w:t>
            </w:r>
          </w:p>
        </w:tc>
        <w:tc>
          <w:tcPr>
            <w:tcW w:w="566" w:type="dxa"/>
            <w:vMerge w:val="restart"/>
            <w:tcBorders>
              <w:top w:val="single" w:color="auto" w:sz="4" w:space="0"/>
              <w:left w:val="single" w:color="000000" w:sz="8" w:space="0"/>
              <w:right w:val="single" w:color="000000" w:sz="8" w:space="0"/>
            </w:tcBorders>
            <w:shd w:val="clear" w:color="auto" w:fill="auto"/>
            <w:vAlign w:val="center"/>
          </w:tcPr>
          <w:p w14:paraId="5667F93E">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客运量</w:t>
            </w:r>
          </w:p>
        </w:tc>
        <w:tc>
          <w:tcPr>
            <w:tcW w:w="566" w:type="dxa"/>
            <w:vMerge w:val="restart"/>
            <w:tcBorders>
              <w:top w:val="single" w:color="auto" w:sz="4" w:space="0"/>
              <w:left w:val="single" w:color="000000" w:sz="8" w:space="0"/>
              <w:right w:val="single" w:color="auto" w:sz="4" w:space="0"/>
            </w:tcBorders>
            <w:shd w:val="clear" w:color="auto" w:fill="auto"/>
            <w:vAlign w:val="center"/>
          </w:tcPr>
          <w:p w14:paraId="3BAFABD0">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客运周转量</w:t>
            </w:r>
          </w:p>
        </w:tc>
        <w:tc>
          <w:tcPr>
            <w:tcW w:w="2127" w:type="dxa"/>
            <w:gridSpan w:val="3"/>
            <w:tcBorders>
              <w:top w:val="single" w:color="auto" w:sz="4" w:space="0"/>
              <w:left w:val="single" w:color="auto" w:sz="4" w:space="0"/>
              <w:bottom w:val="single" w:color="auto" w:sz="4" w:space="0"/>
              <w:right w:val="single" w:color="auto" w:sz="4" w:space="0"/>
            </w:tcBorders>
            <w:shd w:val="clear" w:color="auto" w:fill="auto"/>
          </w:tcPr>
          <w:p w14:paraId="79A84A49">
            <w:pPr>
              <w:ind w:firstLine="314"/>
              <w:jc w:val="center"/>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百公里单耗</w:t>
            </w:r>
          </w:p>
        </w:tc>
        <w:tc>
          <w:tcPr>
            <w:tcW w:w="3831" w:type="dxa"/>
            <w:gridSpan w:val="5"/>
            <w:tcBorders>
              <w:top w:val="single" w:color="auto" w:sz="4" w:space="0"/>
              <w:left w:val="single" w:color="auto" w:sz="4" w:space="0"/>
              <w:bottom w:val="single" w:color="000000" w:sz="8" w:space="0"/>
              <w:right w:val="single" w:color="000000" w:sz="8" w:space="0"/>
            </w:tcBorders>
            <w:shd w:val="clear" w:color="auto" w:fill="auto"/>
            <w:vAlign w:val="center"/>
          </w:tcPr>
          <w:p w14:paraId="66351F5B">
            <w:pPr>
              <w:ind w:firstLine="314"/>
              <w:jc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能源消耗量</w:t>
            </w:r>
          </w:p>
        </w:tc>
        <w:tc>
          <w:tcPr>
            <w:tcW w:w="730" w:type="dxa"/>
            <w:vMerge w:val="restart"/>
            <w:tcBorders>
              <w:top w:val="single" w:color="auto" w:sz="4" w:space="0"/>
              <w:left w:val="single" w:color="000000" w:sz="8" w:space="0"/>
              <w:right w:val="single" w:color="000000" w:sz="8" w:space="0"/>
            </w:tcBorders>
            <w:shd w:val="clear" w:color="auto" w:fill="auto"/>
            <w:vAlign w:val="center"/>
          </w:tcPr>
          <w:p w14:paraId="47721473">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累计碳排放量（吨）</w:t>
            </w:r>
          </w:p>
        </w:tc>
      </w:tr>
      <w:tr w14:paraId="138CAE31">
        <w:tblPrEx>
          <w:tblCellMar>
            <w:top w:w="0" w:type="dxa"/>
            <w:left w:w="108" w:type="dxa"/>
            <w:bottom w:w="0" w:type="dxa"/>
            <w:right w:w="108" w:type="dxa"/>
          </w:tblCellMar>
        </w:tblPrEx>
        <w:trPr>
          <w:trHeight w:val="576" w:hRule="atLeast"/>
        </w:trPr>
        <w:tc>
          <w:tcPr>
            <w:tcW w:w="389" w:type="dxa"/>
            <w:vMerge w:val="continue"/>
            <w:tcBorders>
              <w:left w:val="single" w:color="000000" w:sz="8" w:space="0"/>
              <w:right w:val="single" w:color="000000" w:sz="8" w:space="0"/>
            </w:tcBorders>
            <w:shd w:val="clear" w:color="auto" w:fill="auto"/>
            <w:vAlign w:val="center"/>
          </w:tcPr>
          <w:p w14:paraId="2F6E6EE2">
            <w:pPr>
              <w:ind w:firstLine="313"/>
              <w:rPr>
                <w:rFonts w:cs="宋体" w:asciiTheme="minorEastAsia" w:hAnsiTheme="minorEastAsia" w:eastAsiaTheme="minorEastAsia"/>
                <w:color w:val="000000"/>
                <w:sz w:val="21"/>
                <w:szCs w:val="21"/>
              </w:rPr>
            </w:pPr>
          </w:p>
        </w:tc>
        <w:tc>
          <w:tcPr>
            <w:tcW w:w="566" w:type="dxa"/>
            <w:vMerge w:val="continue"/>
            <w:tcBorders>
              <w:left w:val="single" w:color="000000" w:sz="8" w:space="0"/>
              <w:right w:val="single" w:color="000000" w:sz="8" w:space="0"/>
            </w:tcBorders>
            <w:shd w:val="clear" w:color="auto" w:fill="auto"/>
          </w:tcPr>
          <w:p w14:paraId="5A8EB02F">
            <w:pPr>
              <w:ind w:firstLine="313"/>
              <w:rPr>
                <w:rFonts w:cs="宋体" w:asciiTheme="minorEastAsia" w:hAnsiTheme="minorEastAsia" w:eastAsiaTheme="minorEastAsia"/>
                <w:color w:val="000000"/>
                <w:sz w:val="21"/>
                <w:szCs w:val="21"/>
              </w:rPr>
            </w:pPr>
          </w:p>
        </w:tc>
        <w:tc>
          <w:tcPr>
            <w:tcW w:w="419" w:type="dxa"/>
            <w:vMerge w:val="continue"/>
            <w:tcBorders>
              <w:left w:val="single" w:color="000000" w:sz="8" w:space="0"/>
              <w:right w:val="single" w:color="000000" w:sz="8" w:space="0"/>
            </w:tcBorders>
            <w:shd w:val="clear" w:color="auto" w:fill="auto"/>
            <w:vAlign w:val="center"/>
          </w:tcPr>
          <w:p w14:paraId="5ACB0DD9">
            <w:pPr>
              <w:ind w:firstLine="313"/>
              <w:rPr>
                <w:rFonts w:cs="宋体" w:asciiTheme="minorEastAsia" w:hAnsiTheme="minorEastAsia" w:eastAsiaTheme="minorEastAsia"/>
                <w:color w:val="000000"/>
                <w:sz w:val="21"/>
                <w:szCs w:val="21"/>
              </w:rPr>
            </w:pPr>
          </w:p>
        </w:tc>
        <w:tc>
          <w:tcPr>
            <w:tcW w:w="572" w:type="dxa"/>
            <w:vMerge w:val="continue"/>
            <w:tcBorders>
              <w:left w:val="single" w:color="000000" w:sz="8" w:space="0"/>
              <w:right w:val="single" w:color="000000" w:sz="8" w:space="0"/>
            </w:tcBorders>
            <w:shd w:val="clear" w:color="auto" w:fill="auto"/>
            <w:vAlign w:val="center"/>
          </w:tcPr>
          <w:p w14:paraId="209162C4">
            <w:pPr>
              <w:ind w:firstLine="313"/>
              <w:rPr>
                <w:rFonts w:cs="宋体" w:asciiTheme="minorEastAsia" w:hAnsiTheme="minorEastAsia" w:eastAsiaTheme="minorEastAsia"/>
                <w:color w:val="000000"/>
                <w:sz w:val="21"/>
                <w:szCs w:val="21"/>
              </w:rPr>
            </w:pPr>
          </w:p>
        </w:tc>
        <w:tc>
          <w:tcPr>
            <w:tcW w:w="424" w:type="dxa"/>
            <w:vMerge w:val="continue"/>
            <w:tcBorders>
              <w:left w:val="single" w:color="000000" w:sz="8" w:space="0"/>
              <w:right w:val="single" w:color="000000" w:sz="8" w:space="0"/>
            </w:tcBorders>
            <w:shd w:val="clear" w:color="auto" w:fill="auto"/>
            <w:vAlign w:val="center"/>
          </w:tcPr>
          <w:p w14:paraId="4BB0355C">
            <w:pPr>
              <w:ind w:firstLine="313"/>
              <w:rPr>
                <w:rFonts w:cs="宋体" w:asciiTheme="minorEastAsia" w:hAnsiTheme="minorEastAsia" w:eastAsiaTheme="minorEastAsia"/>
                <w:color w:val="000000"/>
                <w:sz w:val="21"/>
                <w:szCs w:val="21"/>
              </w:rPr>
            </w:pPr>
          </w:p>
        </w:tc>
        <w:tc>
          <w:tcPr>
            <w:tcW w:w="566" w:type="dxa"/>
            <w:vMerge w:val="continue"/>
            <w:tcBorders>
              <w:left w:val="single" w:color="000000" w:sz="8" w:space="0"/>
              <w:right w:val="single" w:color="000000" w:sz="8" w:space="0"/>
            </w:tcBorders>
            <w:shd w:val="clear" w:color="auto" w:fill="auto"/>
            <w:vAlign w:val="center"/>
          </w:tcPr>
          <w:p w14:paraId="6697E9A7">
            <w:pPr>
              <w:ind w:firstLine="313"/>
              <w:rPr>
                <w:rFonts w:cs="宋体" w:asciiTheme="minorEastAsia" w:hAnsiTheme="minorEastAsia" w:eastAsiaTheme="minorEastAsia"/>
                <w:color w:val="000000"/>
                <w:sz w:val="21"/>
                <w:szCs w:val="21"/>
              </w:rPr>
            </w:pPr>
          </w:p>
        </w:tc>
        <w:tc>
          <w:tcPr>
            <w:tcW w:w="566" w:type="dxa"/>
            <w:vMerge w:val="continue"/>
            <w:tcBorders>
              <w:left w:val="single" w:color="000000" w:sz="8" w:space="0"/>
              <w:right w:val="single" w:color="000000" w:sz="8" w:space="0"/>
            </w:tcBorders>
            <w:shd w:val="clear" w:color="auto" w:fill="auto"/>
            <w:vAlign w:val="center"/>
          </w:tcPr>
          <w:p w14:paraId="72473600">
            <w:pPr>
              <w:ind w:firstLine="313"/>
              <w:rPr>
                <w:rFonts w:cs="宋体" w:asciiTheme="minorEastAsia" w:hAnsiTheme="minorEastAsia" w:eastAsiaTheme="minorEastAsia"/>
                <w:color w:val="000000"/>
                <w:sz w:val="21"/>
                <w:szCs w:val="21"/>
              </w:rPr>
            </w:pPr>
          </w:p>
        </w:tc>
        <w:tc>
          <w:tcPr>
            <w:tcW w:w="708" w:type="dxa"/>
            <w:vMerge w:val="restart"/>
            <w:tcBorders>
              <w:top w:val="nil"/>
              <w:left w:val="nil"/>
              <w:right w:val="single" w:color="000000" w:sz="8" w:space="0"/>
            </w:tcBorders>
            <w:shd w:val="clear" w:color="auto" w:fill="auto"/>
            <w:vAlign w:val="center"/>
          </w:tcPr>
          <w:p w14:paraId="1BA872CA">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累计里程</w:t>
            </w:r>
          </w:p>
        </w:tc>
        <w:tc>
          <w:tcPr>
            <w:tcW w:w="424" w:type="dxa"/>
            <w:vMerge w:val="restart"/>
            <w:tcBorders>
              <w:top w:val="nil"/>
              <w:left w:val="nil"/>
              <w:right w:val="single" w:color="000000" w:sz="8" w:space="0"/>
            </w:tcBorders>
            <w:shd w:val="clear" w:color="auto" w:fill="auto"/>
            <w:vAlign w:val="center"/>
          </w:tcPr>
          <w:p w14:paraId="503F4FA0">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京内里程</w:t>
            </w:r>
          </w:p>
        </w:tc>
        <w:tc>
          <w:tcPr>
            <w:tcW w:w="569" w:type="dxa"/>
            <w:vMerge w:val="restart"/>
            <w:tcBorders>
              <w:top w:val="nil"/>
              <w:left w:val="nil"/>
              <w:right w:val="single" w:color="000000" w:sz="8" w:space="0"/>
            </w:tcBorders>
            <w:shd w:val="clear" w:color="auto" w:fill="auto"/>
            <w:vAlign w:val="center"/>
          </w:tcPr>
          <w:p w14:paraId="4C247D70">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天津、河北里程</w:t>
            </w:r>
          </w:p>
        </w:tc>
        <w:tc>
          <w:tcPr>
            <w:tcW w:w="563" w:type="dxa"/>
            <w:vMerge w:val="restart"/>
            <w:tcBorders>
              <w:top w:val="nil"/>
              <w:left w:val="nil"/>
              <w:right w:val="single" w:color="000000" w:sz="8" w:space="0"/>
            </w:tcBorders>
            <w:shd w:val="clear" w:color="auto" w:fill="auto"/>
            <w:vAlign w:val="center"/>
          </w:tcPr>
          <w:p w14:paraId="52554042">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京津冀外里程</w:t>
            </w:r>
          </w:p>
        </w:tc>
        <w:tc>
          <w:tcPr>
            <w:tcW w:w="568" w:type="dxa"/>
            <w:vMerge w:val="restart"/>
            <w:tcBorders>
              <w:top w:val="nil"/>
              <w:left w:val="nil"/>
              <w:right w:val="single" w:color="000000" w:sz="8" w:space="0"/>
            </w:tcBorders>
            <w:shd w:val="clear" w:color="auto" w:fill="auto"/>
            <w:vAlign w:val="center"/>
          </w:tcPr>
          <w:p w14:paraId="1C0BE830">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数据获取方式</w:t>
            </w:r>
          </w:p>
        </w:tc>
        <w:tc>
          <w:tcPr>
            <w:tcW w:w="566" w:type="dxa"/>
            <w:vMerge w:val="continue"/>
            <w:tcBorders>
              <w:left w:val="single" w:color="000000" w:sz="8" w:space="0"/>
              <w:right w:val="single" w:color="000000" w:sz="8" w:space="0"/>
            </w:tcBorders>
            <w:shd w:val="clear" w:color="auto" w:fill="auto"/>
            <w:vAlign w:val="center"/>
          </w:tcPr>
          <w:p w14:paraId="7EDE175E">
            <w:pPr>
              <w:ind w:firstLine="314"/>
              <w:rPr>
                <w:rFonts w:cs="宋体" w:asciiTheme="minorEastAsia" w:hAnsiTheme="minorEastAsia" w:eastAsiaTheme="minorEastAsia"/>
                <w:b/>
                <w:color w:val="000000"/>
                <w:sz w:val="21"/>
                <w:szCs w:val="21"/>
              </w:rPr>
            </w:pPr>
          </w:p>
        </w:tc>
        <w:tc>
          <w:tcPr>
            <w:tcW w:w="566" w:type="dxa"/>
            <w:vMerge w:val="continue"/>
            <w:tcBorders>
              <w:left w:val="single" w:color="000000" w:sz="8" w:space="0"/>
              <w:right w:val="single" w:color="auto" w:sz="4" w:space="0"/>
            </w:tcBorders>
            <w:shd w:val="clear" w:color="auto" w:fill="auto"/>
            <w:vAlign w:val="center"/>
          </w:tcPr>
          <w:p w14:paraId="05A1D503">
            <w:pPr>
              <w:ind w:firstLine="314"/>
              <w:rPr>
                <w:rFonts w:cs="宋体" w:asciiTheme="minorEastAsia" w:hAnsiTheme="minorEastAsia" w:eastAsiaTheme="minorEastAsia"/>
                <w:b/>
                <w:color w:val="000000"/>
                <w:sz w:val="21"/>
                <w:szCs w:val="21"/>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DE29E">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数据结果</w:t>
            </w:r>
          </w:p>
        </w:tc>
        <w:tc>
          <w:tcPr>
            <w:tcW w:w="711" w:type="dxa"/>
            <w:vMerge w:val="restart"/>
            <w:tcBorders>
              <w:top w:val="single" w:color="auto" w:sz="4" w:space="0"/>
              <w:left w:val="single" w:color="auto" w:sz="4" w:space="0"/>
              <w:right w:val="single" w:color="auto" w:sz="4" w:space="0"/>
            </w:tcBorders>
            <w:shd w:val="clear" w:color="auto" w:fill="auto"/>
            <w:vAlign w:val="center"/>
          </w:tcPr>
          <w:p w14:paraId="4201AF65">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数据获取方式</w:t>
            </w:r>
          </w:p>
        </w:tc>
        <w:tc>
          <w:tcPr>
            <w:tcW w:w="705" w:type="dxa"/>
            <w:vMerge w:val="restart"/>
            <w:tcBorders>
              <w:top w:val="single" w:color="auto" w:sz="4" w:space="0"/>
              <w:left w:val="single" w:color="auto" w:sz="4" w:space="0"/>
              <w:right w:val="single" w:color="auto" w:sz="4" w:space="0"/>
            </w:tcBorders>
            <w:shd w:val="clear" w:color="auto" w:fill="auto"/>
            <w:vAlign w:val="center"/>
          </w:tcPr>
          <w:p w14:paraId="1267AFB5">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汽油（吨）</w:t>
            </w:r>
          </w:p>
        </w:tc>
        <w:tc>
          <w:tcPr>
            <w:tcW w:w="852" w:type="dxa"/>
            <w:vMerge w:val="restart"/>
            <w:tcBorders>
              <w:top w:val="single" w:color="auto" w:sz="4" w:space="0"/>
              <w:left w:val="single" w:color="auto" w:sz="4" w:space="0"/>
              <w:right w:val="single" w:color="auto" w:sz="4" w:space="0"/>
            </w:tcBorders>
            <w:shd w:val="clear" w:color="auto" w:fill="auto"/>
            <w:vAlign w:val="center"/>
          </w:tcPr>
          <w:p w14:paraId="4071528F">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电（千瓦时）</w:t>
            </w:r>
          </w:p>
        </w:tc>
        <w:tc>
          <w:tcPr>
            <w:tcW w:w="847" w:type="dxa"/>
            <w:vMerge w:val="restart"/>
            <w:tcBorders>
              <w:top w:val="single" w:color="auto" w:sz="4" w:space="0"/>
              <w:left w:val="single" w:color="auto" w:sz="4" w:space="0"/>
              <w:right w:val="single" w:color="auto" w:sz="4" w:space="0"/>
            </w:tcBorders>
            <w:shd w:val="clear" w:color="auto" w:fill="auto"/>
            <w:vAlign w:val="center"/>
          </w:tcPr>
          <w:p w14:paraId="0B97DE2A">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天然气（立方米）</w:t>
            </w:r>
          </w:p>
        </w:tc>
        <w:tc>
          <w:tcPr>
            <w:tcW w:w="713" w:type="dxa"/>
            <w:vMerge w:val="restart"/>
            <w:tcBorders>
              <w:top w:val="single" w:color="auto" w:sz="4" w:space="0"/>
              <w:left w:val="single" w:color="auto" w:sz="4" w:space="0"/>
              <w:right w:val="single" w:color="auto" w:sz="4" w:space="0"/>
            </w:tcBorders>
            <w:shd w:val="clear" w:color="auto" w:fill="auto"/>
            <w:vAlign w:val="center"/>
          </w:tcPr>
          <w:p w14:paraId="4BD241FF">
            <w:pPr>
              <w:jc w:val="both"/>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柴油（吨）</w:t>
            </w:r>
          </w:p>
        </w:tc>
        <w:tc>
          <w:tcPr>
            <w:tcW w:w="714" w:type="dxa"/>
            <w:vMerge w:val="restart"/>
            <w:tcBorders>
              <w:top w:val="single" w:color="auto" w:sz="4" w:space="0"/>
              <w:left w:val="single" w:color="auto" w:sz="4" w:space="0"/>
              <w:right w:val="single" w:color="000000" w:sz="8" w:space="0"/>
            </w:tcBorders>
            <w:shd w:val="clear" w:color="auto" w:fill="auto"/>
            <w:vAlign w:val="center"/>
          </w:tcPr>
          <w:p w14:paraId="18C613AB">
            <w:pP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数据获取方式</w:t>
            </w:r>
          </w:p>
        </w:tc>
        <w:tc>
          <w:tcPr>
            <w:tcW w:w="730" w:type="dxa"/>
            <w:vMerge w:val="continue"/>
            <w:tcBorders>
              <w:left w:val="single" w:color="000000" w:sz="8" w:space="0"/>
              <w:right w:val="single" w:color="000000" w:sz="8" w:space="0"/>
            </w:tcBorders>
            <w:shd w:val="clear" w:color="auto" w:fill="auto"/>
            <w:vAlign w:val="center"/>
          </w:tcPr>
          <w:p w14:paraId="20C0E12E">
            <w:pPr>
              <w:ind w:firstLine="313"/>
              <w:rPr>
                <w:rFonts w:cs="宋体" w:asciiTheme="minorEastAsia" w:hAnsiTheme="minorEastAsia" w:eastAsiaTheme="minorEastAsia"/>
                <w:color w:val="000000"/>
                <w:sz w:val="21"/>
                <w:szCs w:val="21"/>
              </w:rPr>
            </w:pPr>
          </w:p>
        </w:tc>
      </w:tr>
      <w:tr w14:paraId="7738FD52">
        <w:tblPrEx>
          <w:tblCellMar>
            <w:top w:w="0" w:type="dxa"/>
            <w:left w:w="108" w:type="dxa"/>
            <w:bottom w:w="0" w:type="dxa"/>
            <w:right w:w="108" w:type="dxa"/>
          </w:tblCellMar>
        </w:tblPrEx>
        <w:trPr>
          <w:trHeight w:val="1653" w:hRule="atLeast"/>
        </w:trPr>
        <w:tc>
          <w:tcPr>
            <w:tcW w:w="389" w:type="dxa"/>
            <w:vMerge w:val="continue"/>
            <w:tcBorders>
              <w:left w:val="single" w:color="000000" w:sz="8" w:space="0"/>
              <w:bottom w:val="single" w:color="auto" w:sz="4" w:space="0"/>
              <w:right w:val="single" w:color="000000" w:sz="8" w:space="0"/>
            </w:tcBorders>
            <w:shd w:val="clear" w:color="auto" w:fill="auto"/>
            <w:vAlign w:val="center"/>
          </w:tcPr>
          <w:p w14:paraId="640ACA47">
            <w:pPr>
              <w:ind w:firstLine="313"/>
              <w:rPr>
                <w:rFonts w:cs="宋体" w:asciiTheme="minorEastAsia" w:hAnsiTheme="minorEastAsia" w:eastAsiaTheme="minorEastAsia"/>
                <w:color w:val="000000"/>
                <w:sz w:val="21"/>
                <w:szCs w:val="21"/>
              </w:rPr>
            </w:pPr>
          </w:p>
        </w:tc>
        <w:tc>
          <w:tcPr>
            <w:tcW w:w="566" w:type="dxa"/>
            <w:vMerge w:val="continue"/>
            <w:tcBorders>
              <w:left w:val="single" w:color="000000" w:sz="8" w:space="0"/>
              <w:bottom w:val="single" w:color="auto" w:sz="4" w:space="0"/>
              <w:right w:val="single" w:color="000000" w:sz="8" w:space="0"/>
            </w:tcBorders>
            <w:shd w:val="clear" w:color="auto" w:fill="auto"/>
          </w:tcPr>
          <w:p w14:paraId="1383549F">
            <w:pPr>
              <w:ind w:firstLine="313"/>
              <w:rPr>
                <w:rFonts w:cs="宋体" w:asciiTheme="minorEastAsia" w:hAnsiTheme="minorEastAsia" w:eastAsiaTheme="minorEastAsia"/>
                <w:color w:val="000000"/>
                <w:sz w:val="21"/>
                <w:szCs w:val="21"/>
              </w:rPr>
            </w:pPr>
          </w:p>
        </w:tc>
        <w:tc>
          <w:tcPr>
            <w:tcW w:w="419" w:type="dxa"/>
            <w:vMerge w:val="continue"/>
            <w:tcBorders>
              <w:left w:val="single" w:color="000000" w:sz="8" w:space="0"/>
              <w:bottom w:val="single" w:color="auto" w:sz="4" w:space="0"/>
              <w:right w:val="single" w:color="000000" w:sz="8" w:space="0"/>
            </w:tcBorders>
            <w:shd w:val="clear" w:color="auto" w:fill="auto"/>
            <w:vAlign w:val="center"/>
          </w:tcPr>
          <w:p w14:paraId="634DF1F9">
            <w:pPr>
              <w:ind w:firstLine="313"/>
              <w:rPr>
                <w:rFonts w:cs="宋体" w:asciiTheme="minorEastAsia" w:hAnsiTheme="minorEastAsia" w:eastAsiaTheme="minorEastAsia"/>
                <w:color w:val="000000"/>
                <w:sz w:val="21"/>
                <w:szCs w:val="21"/>
              </w:rPr>
            </w:pPr>
          </w:p>
        </w:tc>
        <w:tc>
          <w:tcPr>
            <w:tcW w:w="572" w:type="dxa"/>
            <w:vMerge w:val="continue"/>
            <w:tcBorders>
              <w:left w:val="single" w:color="000000" w:sz="8" w:space="0"/>
              <w:bottom w:val="single" w:color="auto" w:sz="4" w:space="0"/>
              <w:right w:val="single" w:color="000000" w:sz="8" w:space="0"/>
            </w:tcBorders>
            <w:shd w:val="clear" w:color="auto" w:fill="auto"/>
            <w:vAlign w:val="center"/>
          </w:tcPr>
          <w:p w14:paraId="6176CCC9">
            <w:pPr>
              <w:ind w:firstLine="313"/>
              <w:rPr>
                <w:rFonts w:cs="宋体" w:asciiTheme="minorEastAsia" w:hAnsiTheme="minorEastAsia" w:eastAsiaTheme="minorEastAsia"/>
                <w:color w:val="000000"/>
                <w:sz w:val="21"/>
                <w:szCs w:val="21"/>
              </w:rPr>
            </w:pPr>
          </w:p>
        </w:tc>
        <w:tc>
          <w:tcPr>
            <w:tcW w:w="424" w:type="dxa"/>
            <w:vMerge w:val="continue"/>
            <w:tcBorders>
              <w:left w:val="single" w:color="000000" w:sz="8" w:space="0"/>
              <w:bottom w:val="single" w:color="auto" w:sz="4" w:space="0"/>
              <w:right w:val="single" w:color="000000" w:sz="8" w:space="0"/>
            </w:tcBorders>
            <w:shd w:val="clear" w:color="auto" w:fill="auto"/>
            <w:vAlign w:val="center"/>
          </w:tcPr>
          <w:p w14:paraId="1AD44A64">
            <w:pPr>
              <w:ind w:firstLine="313"/>
              <w:rPr>
                <w:rFonts w:cs="宋体" w:asciiTheme="minorEastAsia" w:hAnsiTheme="minorEastAsia" w:eastAsiaTheme="minorEastAsia"/>
                <w:color w:val="000000"/>
                <w:sz w:val="21"/>
                <w:szCs w:val="21"/>
              </w:rPr>
            </w:pPr>
          </w:p>
        </w:tc>
        <w:tc>
          <w:tcPr>
            <w:tcW w:w="566" w:type="dxa"/>
            <w:vMerge w:val="continue"/>
            <w:tcBorders>
              <w:left w:val="single" w:color="000000" w:sz="8" w:space="0"/>
              <w:bottom w:val="single" w:color="auto" w:sz="4" w:space="0"/>
              <w:right w:val="single" w:color="000000" w:sz="8" w:space="0"/>
            </w:tcBorders>
            <w:shd w:val="clear" w:color="auto" w:fill="auto"/>
            <w:vAlign w:val="center"/>
          </w:tcPr>
          <w:p w14:paraId="45B18DF7">
            <w:pPr>
              <w:ind w:firstLine="313"/>
              <w:rPr>
                <w:rFonts w:cs="宋体" w:asciiTheme="minorEastAsia" w:hAnsiTheme="minorEastAsia" w:eastAsiaTheme="minorEastAsia"/>
                <w:color w:val="000000"/>
                <w:sz w:val="21"/>
                <w:szCs w:val="21"/>
              </w:rPr>
            </w:pPr>
          </w:p>
        </w:tc>
        <w:tc>
          <w:tcPr>
            <w:tcW w:w="566" w:type="dxa"/>
            <w:vMerge w:val="continue"/>
            <w:tcBorders>
              <w:left w:val="single" w:color="000000" w:sz="8" w:space="0"/>
              <w:bottom w:val="single" w:color="auto" w:sz="4" w:space="0"/>
              <w:right w:val="single" w:color="000000" w:sz="8" w:space="0"/>
            </w:tcBorders>
            <w:shd w:val="clear" w:color="auto" w:fill="auto"/>
            <w:vAlign w:val="center"/>
          </w:tcPr>
          <w:p w14:paraId="139B5A55">
            <w:pPr>
              <w:ind w:firstLine="313"/>
              <w:rPr>
                <w:rFonts w:cs="宋体" w:asciiTheme="minorEastAsia" w:hAnsiTheme="minorEastAsia" w:eastAsiaTheme="minorEastAsia"/>
                <w:color w:val="000000"/>
                <w:sz w:val="21"/>
                <w:szCs w:val="21"/>
              </w:rPr>
            </w:pPr>
          </w:p>
        </w:tc>
        <w:tc>
          <w:tcPr>
            <w:tcW w:w="708" w:type="dxa"/>
            <w:vMerge w:val="continue"/>
            <w:tcBorders>
              <w:left w:val="nil"/>
              <w:bottom w:val="single" w:color="auto" w:sz="4" w:space="0"/>
              <w:right w:val="single" w:color="000000" w:sz="8" w:space="0"/>
            </w:tcBorders>
            <w:shd w:val="clear" w:color="auto" w:fill="auto"/>
            <w:vAlign w:val="center"/>
          </w:tcPr>
          <w:p w14:paraId="70DFEBF2">
            <w:pPr>
              <w:ind w:firstLine="313"/>
              <w:jc w:val="center"/>
              <w:rPr>
                <w:rFonts w:cs="宋体" w:asciiTheme="minorEastAsia" w:hAnsiTheme="minorEastAsia" w:eastAsiaTheme="minorEastAsia"/>
                <w:color w:val="000000"/>
                <w:sz w:val="21"/>
                <w:szCs w:val="21"/>
              </w:rPr>
            </w:pPr>
          </w:p>
        </w:tc>
        <w:tc>
          <w:tcPr>
            <w:tcW w:w="424" w:type="dxa"/>
            <w:vMerge w:val="continue"/>
            <w:tcBorders>
              <w:left w:val="nil"/>
              <w:bottom w:val="single" w:color="auto" w:sz="4" w:space="0"/>
              <w:right w:val="single" w:color="000000" w:sz="8" w:space="0"/>
            </w:tcBorders>
            <w:shd w:val="clear" w:color="auto" w:fill="auto"/>
            <w:vAlign w:val="center"/>
          </w:tcPr>
          <w:p w14:paraId="68E21647">
            <w:pPr>
              <w:ind w:firstLine="313"/>
              <w:jc w:val="center"/>
              <w:rPr>
                <w:rFonts w:cs="宋体" w:asciiTheme="minorEastAsia" w:hAnsiTheme="minorEastAsia" w:eastAsiaTheme="minorEastAsia"/>
                <w:color w:val="000000"/>
                <w:sz w:val="21"/>
                <w:szCs w:val="21"/>
              </w:rPr>
            </w:pPr>
          </w:p>
        </w:tc>
        <w:tc>
          <w:tcPr>
            <w:tcW w:w="569" w:type="dxa"/>
            <w:vMerge w:val="continue"/>
            <w:tcBorders>
              <w:left w:val="nil"/>
              <w:bottom w:val="single" w:color="auto" w:sz="4" w:space="0"/>
              <w:right w:val="single" w:color="000000" w:sz="8" w:space="0"/>
            </w:tcBorders>
            <w:shd w:val="clear" w:color="auto" w:fill="auto"/>
            <w:vAlign w:val="center"/>
          </w:tcPr>
          <w:p w14:paraId="5298E5D5">
            <w:pPr>
              <w:ind w:firstLine="313"/>
              <w:jc w:val="center"/>
              <w:rPr>
                <w:rFonts w:cs="宋体" w:asciiTheme="minorEastAsia" w:hAnsiTheme="minorEastAsia" w:eastAsiaTheme="minorEastAsia"/>
                <w:color w:val="000000"/>
                <w:sz w:val="21"/>
                <w:szCs w:val="21"/>
              </w:rPr>
            </w:pPr>
          </w:p>
        </w:tc>
        <w:tc>
          <w:tcPr>
            <w:tcW w:w="563" w:type="dxa"/>
            <w:vMerge w:val="continue"/>
            <w:tcBorders>
              <w:left w:val="nil"/>
              <w:bottom w:val="single" w:color="auto" w:sz="4" w:space="0"/>
              <w:right w:val="single" w:color="000000" w:sz="8" w:space="0"/>
            </w:tcBorders>
            <w:shd w:val="clear" w:color="auto" w:fill="auto"/>
            <w:vAlign w:val="center"/>
          </w:tcPr>
          <w:p w14:paraId="21200C17">
            <w:pPr>
              <w:ind w:firstLine="313"/>
              <w:jc w:val="center"/>
              <w:rPr>
                <w:rFonts w:cs="宋体" w:asciiTheme="minorEastAsia" w:hAnsiTheme="minorEastAsia" w:eastAsiaTheme="minorEastAsia"/>
                <w:color w:val="000000"/>
                <w:sz w:val="21"/>
                <w:szCs w:val="21"/>
              </w:rPr>
            </w:pPr>
          </w:p>
        </w:tc>
        <w:tc>
          <w:tcPr>
            <w:tcW w:w="568" w:type="dxa"/>
            <w:vMerge w:val="continue"/>
            <w:tcBorders>
              <w:left w:val="nil"/>
              <w:bottom w:val="single" w:color="auto" w:sz="4" w:space="0"/>
              <w:right w:val="single" w:color="000000" w:sz="8" w:space="0"/>
            </w:tcBorders>
            <w:shd w:val="clear" w:color="auto" w:fill="auto"/>
            <w:vAlign w:val="center"/>
          </w:tcPr>
          <w:p w14:paraId="3C9F0016">
            <w:pPr>
              <w:ind w:firstLine="313"/>
              <w:jc w:val="center"/>
              <w:rPr>
                <w:rFonts w:cs="宋体" w:asciiTheme="minorEastAsia" w:hAnsiTheme="minorEastAsia" w:eastAsiaTheme="minorEastAsia"/>
                <w:color w:val="000000"/>
                <w:sz w:val="21"/>
                <w:szCs w:val="21"/>
              </w:rPr>
            </w:pPr>
          </w:p>
        </w:tc>
        <w:tc>
          <w:tcPr>
            <w:tcW w:w="566" w:type="dxa"/>
            <w:vMerge w:val="continue"/>
            <w:tcBorders>
              <w:left w:val="single" w:color="000000" w:sz="8" w:space="0"/>
              <w:bottom w:val="single" w:color="auto" w:sz="4" w:space="0"/>
              <w:right w:val="single" w:color="000000" w:sz="8" w:space="0"/>
            </w:tcBorders>
            <w:shd w:val="clear" w:color="auto" w:fill="auto"/>
            <w:vAlign w:val="center"/>
          </w:tcPr>
          <w:p w14:paraId="17BE2275">
            <w:pPr>
              <w:ind w:firstLine="313"/>
              <w:rPr>
                <w:rFonts w:cs="宋体" w:asciiTheme="minorEastAsia" w:hAnsiTheme="minorEastAsia" w:eastAsiaTheme="minorEastAsia"/>
                <w:color w:val="000000"/>
                <w:sz w:val="21"/>
                <w:szCs w:val="21"/>
              </w:rPr>
            </w:pPr>
          </w:p>
        </w:tc>
        <w:tc>
          <w:tcPr>
            <w:tcW w:w="566" w:type="dxa"/>
            <w:vMerge w:val="continue"/>
            <w:tcBorders>
              <w:left w:val="single" w:color="000000" w:sz="8" w:space="0"/>
              <w:bottom w:val="single" w:color="auto" w:sz="4" w:space="0"/>
              <w:right w:val="single" w:color="auto" w:sz="4" w:space="0"/>
            </w:tcBorders>
            <w:shd w:val="clear" w:color="auto" w:fill="auto"/>
            <w:vAlign w:val="center"/>
          </w:tcPr>
          <w:p w14:paraId="61ECE0C0">
            <w:pPr>
              <w:ind w:firstLine="313"/>
              <w:rPr>
                <w:rFonts w:cs="宋体" w:asciiTheme="minorEastAsia" w:hAnsiTheme="minorEastAsia" w:eastAsiaTheme="minorEastAsia"/>
                <w:color w:val="00000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543799">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百公里能耗缺省值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5A843C">
            <w:pPr>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百公里碳排放缺省值</w:t>
            </w:r>
          </w:p>
        </w:tc>
        <w:tc>
          <w:tcPr>
            <w:tcW w:w="711" w:type="dxa"/>
            <w:vMerge w:val="continue"/>
            <w:tcBorders>
              <w:left w:val="single" w:color="auto" w:sz="4" w:space="0"/>
              <w:right w:val="single" w:color="auto" w:sz="4" w:space="0"/>
            </w:tcBorders>
            <w:shd w:val="clear" w:color="auto" w:fill="auto"/>
            <w:vAlign w:val="center"/>
          </w:tcPr>
          <w:p w14:paraId="51596820">
            <w:pPr>
              <w:ind w:firstLine="313"/>
              <w:jc w:val="center"/>
              <w:rPr>
                <w:rFonts w:cs="宋体" w:asciiTheme="minorEastAsia" w:hAnsiTheme="minorEastAsia" w:eastAsiaTheme="minorEastAsia"/>
                <w:bCs/>
                <w:sz w:val="21"/>
                <w:szCs w:val="21"/>
              </w:rPr>
            </w:pPr>
          </w:p>
        </w:tc>
        <w:tc>
          <w:tcPr>
            <w:tcW w:w="705" w:type="dxa"/>
            <w:vMerge w:val="continue"/>
            <w:tcBorders>
              <w:left w:val="single" w:color="auto" w:sz="4" w:space="0"/>
              <w:right w:val="single" w:color="auto" w:sz="4" w:space="0"/>
            </w:tcBorders>
            <w:shd w:val="clear" w:color="auto" w:fill="auto"/>
            <w:vAlign w:val="center"/>
          </w:tcPr>
          <w:p w14:paraId="129C1889">
            <w:pPr>
              <w:ind w:firstLine="313"/>
              <w:jc w:val="center"/>
              <w:rPr>
                <w:rFonts w:cs="宋体" w:asciiTheme="minorEastAsia" w:hAnsiTheme="minorEastAsia" w:eastAsiaTheme="minorEastAsia"/>
                <w:color w:val="000000"/>
                <w:sz w:val="21"/>
                <w:szCs w:val="21"/>
              </w:rPr>
            </w:pPr>
          </w:p>
        </w:tc>
        <w:tc>
          <w:tcPr>
            <w:tcW w:w="852" w:type="dxa"/>
            <w:vMerge w:val="continue"/>
            <w:tcBorders>
              <w:left w:val="single" w:color="auto" w:sz="4" w:space="0"/>
              <w:right w:val="single" w:color="auto" w:sz="4" w:space="0"/>
            </w:tcBorders>
            <w:shd w:val="clear" w:color="auto" w:fill="auto"/>
            <w:vAlign w:val="center"/>
          </w:tcPr>
          <w:p w14:paraId="58367233">
            <w:pPr>
              <w:ind w:firstLine="313"/>
              <w:jc w:val="center"/>
              <w:rPr>
                <w:rFonts w:cs="宋体" w:asciiTheme="minorEastAsia" w:hAnsiTheme="minorEastAsia" w:eastAsiaTheme="minorEastAsia"/>
                <w:color w:val="000000"/>
                <w:sz w:val="21"/>
                <w:szCs w:val="21"/>
              </w:rPr>
            </w:pPr>
          </w:p>
        </w:tc>
        <w:tc>
          <w:tcPr>
            <w:tcW w:w="847" w:type="dxa"/>
            <w:vMerge w:val="continue"/>
            <w:tcBorders>
              <w:left w:val="single" w:color="auto" w:sz="4" w:space="0"/>
              <w:right w:val="single" w:color="auto" w:sz="4" w:space="0"/>
            </w:tcBorders>
            <w:shd w:val="clear" w:color="auto" w:fill="auto"/>
            <w:vAlign w:val="center"/>
          </w:tcPr>
          <w:p w14:paraId="6C8E2F25">
            <w:pPr>
              <w:ind w:firstLine="313"/>
              <w:jc w:val="center"/>
              <w:rPr>
                <w:rFonts w:cs="宋体" w:asciiTheme="minorEastAsia" w:hAnsiTheme="minorEastAsia" w:eastAsiaTheme="minorEastAsia"/>
                <w:color w:val="000000"/>
                <w:sz w:val="21"/>
                <w:szCs w:val="21"/>
              </w:rPr>
            </w:pPr>
          </w:p>
        </w:tc>
        <w:tc>
          <w:tcPr>
            <w:tcW w:w="713" w:type="dxa"/>
            <w:vMerge w:val="continue"/>
            <w:tcBorders>
              <w:left w:val="single" w:color="auto" w:sz="4" w:space="0"/>
              <w:right w:val="single" w:color="auto" w:sz="4" w:space="0"/>
            </w:tcBorders>
            <w:shd w:val="clear" w:color="auto" w:fill="auto"/>
            <w:vAlign w:val="center"/>
          </w:tcPr>
          <w:p w14:paraId="10D50130">
            <w:pPr>
              <w:ind w:firstLine="313"/>
              <w:jc w:val="center"/>
              <w:rPr>
                <w:rFonts w:cs="宋体" w:asciiTheme="minorEastAsia" w:hAnsiTheme="minorEastAsia" w:eastAsiaTheme="minorEastAsia"/>
                <w:color w:val="000000"/>
                <w:sz w:val="21"/>
                <w:szCs w:val="21"/>
              </w:rPr>
            </w:pPr>
          </w:p>
        </w:tc>
        <w:tc>
          <w:tcPr>
            <w:tcW w:w="714" w:type="dxa"/>
            <w:vMerge w:val="continue"/>
            <w:tcBorders>
              <w:left w:val="single" w:color="auto" w:sz="4" w:space="0"/>
              <w:right w:val="single" w:color="000000" w:sz="8" w:space="0"/>
            </w:tcBorders>
            <w:shd w:val="clear" w:color="auto" w:fill="auto"/>
            <w:vAlign w:val="center"/>
          </w:tcPr>
          <w:p w14:paraId="100D6ECE">
            <w:pPr>
              <w:ind w:firstLine="313"/>
              <w:rPr>
                <w:rFonts w:cs="宋体" w:asciiTheme="minorEastAsia" w:hAnsiTheme="minorEastAsia" w:eastAsiaTheme="minorEastAsia"/>
                <w:color w:val="000000"/>
                <w:sz w:val="21"/>
                <w:szCs w:val="21"/>
              </w:rPr>
            </w:pPr>
          </w:p>
        </w:tc>
        <w:tc>
          <w:tcPr>
            <w:tcW w:w="730" w:type="dxa"/>
            <w:vMerge w:val="continue"/>
            <w:tcBorders>
              <w:left w:val="single" w:color="000000" w:sz="8" w:space="0"/>
              <w:right w:val="single" w:color="000000" w:sz="8" w:space="0"/>
            </w:tcBorders>
            <w:shd w:val="clear" w:color="auto" w:fill="auto"/>
            <w:vAlign w:val="center"/>
          </w:tcPr>
          <w:p w14:paraId="2114AE4D">
            <w:pPr>
              <w:ind w:firstLine="313"/>
              <w:rPr>
                <w:rFonts w:cs="宋体" w:asciiTheme="minorEastAsia" w:hAnsiTheme="minorEastAsia" w:eastAsiaTheme="minorEastAsia"/>
                <w:color w:val="000000"/>
                <w:sz w:val="21"/>
                <w:szCs w:val="21"/>
              </w:rPr>
            </w:pPr>
          </w:p>
        </w:tc>
      </w:tr>
      <w:tr w14:paraId="3620C91A">
        <w:tblPrEx>
          <w:tblCellMar>
            <w:top w:w="0" w:type="dxa"/>
            <w:left w:w="108" w:type="dxa"/>
            <w:bottom w:w="0" w:type="dxa"/>
            <w:right w:w="108" w:type="dxa"/>
          </w:tblCellMar>
        </w:tblPrEx>
        <w:trPr>
          <w:trHeight w:val="773" w:hRule="atLeast"/>
        </w:trPr>
        <w:tc>
          <w:tcPr>
            <w:tcW w:w="389" w:type="dxa"/>
            <w:tcBorders>
              <w:top w:val="single" w:color="auto" w:sz="4" w:space="0"/>
              <w:left w:val="single" w:color="000000" w:sz="8" w:space="0"/>
              <w:bottom w:val="single" w:color="000000" w:sz="8" w:space="0"/>
              <w:right w:val="single" w:color="auto" w:sz="4" w:space="0"/>
            </w:tcBorders>
            <w:shd w:val="clear" w:color="auto" w:fill="auto"/>
            <w:vAlign w:val="center"/>
          </w:tcPr>
          <w:p w14:paraId="0187A51B">
            <w:pPr>
              <w:ind w:firstLine="313"/>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11</w:t>
            </w:r>
          </w:p>
        </w:tc>
        <w:tc>
          <w:tcPr>
            <w:tcW w:w="566" w:type="dxa"/>
            <w:tcBorders>
              <w:top w:val="single" w:color="auto" w:sz="4" w:space="0"/>
              <w:left w:val="single" w:color="auto" w:sz="4" w:space="0"/>
              <w:bottom w:val="single" w:color="auto" w:sz="4" w:space="0"/>
              <w:right w:val="single" w:color="auto" w:sz="4" w:space="0"/>
            </w:tcBorders>
            <w:shd w:val="clear" w:color="auto" w:fill="auto"/>
          </w:tcPr>
          <w:p w14:paraId="67882905">
            <w:pPr>
              <w:ind w:firstLine="313"/>
              <w:jc w:val="center"/>
              <w:rPr>
                <w:rFonts w:cs="宋体" w:asciiTheme="minorEastAsia" w:hAnsiTheme="minorEastAsia" w:eastAsiaTheme="minorEastAsia"/>
                <w:color w:val="000000"/>
                <w:sz w:val="21"/>
                <w:szCs w:val="21"/>
              </w:rPr>
            </w:pP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2D1DAD3C">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72" w:type="dxa"/>
            <w:tcBorders>
              <w:top w:val="nil"/>
              <w:left w:val="single" w:color="auto" w:sz="4" w:space="0"/>
              <w:bottom w:val="single" w:color="000000" w:sz="8" w:space="0"/>
              <w:right w:val="single" w:color="000000" w:sz="8" w:space="0"/>
            </w:tcBorders>
            <w:shd w:val="clear" w:color="auto" w:fill="auto"/>
            <w:vAlign w:val="center"/>
          </w:tcPr>
          <w:p w14:paraId="7333CFD9">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424" w:type="dxa"/>
            <w:tcBorders>
              <w:top w:val="nil"/>
              <w:left w:val="nil"/>
              <w:bottom w:val="single" w:color="000000" w:sz="8" w:space="0"/>
              <w:right w:val="single" w:color="000000" w:sz="8" w:space="0"/>
            </w:tcBorders>
            <w:shd w:val="clear" w:color="auto" w:fill="auto"/>
            <w:vAlign w:val="center"/>
          </w:tcPr>
          <w:p w14:paraId="2059316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18DE01B5">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340F6F68">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8" w:type="dxa"/>
            <w:tcBorders>
              <w:top w:val="nil"/>
              <w:left w:val="nil"/>
              <w:bottom w:val="single" w:color="000000" w:sz="8" w:space="0"/>
              <w:right w:val="single" w:color="000000" w:sz="8" w:space="0"/>
            </w:tcBorders>
            <w:shd w:val="clear" w:color="auto" w:fill="auto"/>
            <w:vAlign w:val="center"/>
          </w:tcPr>
          <w:p w14:paraId="763110DE">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424" w:type="dxa"/>
            <w:tcBorders>
              <w:top w:val="nil"/>
              <w:left w:val="nil"/>
              <w:bottom w:val="single" w:color="000000" w:sz="8" w:space="0"/>
              <w:right w:val="single" w:color="000000" w:sz="8" w:space="0"/>
            </w:tcBorders>
            <w:shd w:val="clear" w:color="auto" w:fill="auto"/>
            <w:vAlign w:val="center"/>
          </w:tcPr>
          <w:p w14:paraId="393570DE">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9" w:type="dxa"/>
            <w:tcBorders>
              <w:top w:val="nil"/>
              <w:left w:val="nil"/>
              <w:bottom w:val="single" w:color="000000" w:sz="8" w:space="0"/>
              <w:right w:val="single" w:color="000000" w:sz="8" w:space="0"/>
            </w:tcBorders>
            <w:shd w:val="clear" w:color="auto" w:fill="auto"/>
            <w:vAlign w:val="center"/>
          </w:tcPr>
          <w:p w14:paraId="6C8A2257">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3" w:type="dxa"/>
            <w:tcBorders>
              <w:top w:val="nil"/>
              <w:left w:val="nil"/>
              <w:bottom w:val="single" w:color="000000" w:sz="8" w:space="0"/>
              <w:right w:val="single" w:color="000000" w:sz="8" w:space="0"/>
            </w:tcBorders>
            <w:shd w:val="clear" w:color="auto" w:fill="auto"/>
            <w:vAlign w:val="center"/>
          </w:tcPr>
          <w:p w14:paraId="2376B143">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8" w:type="dxa"/>
            <w:tcBorders>
              <w:top w:val="nil"/>
              <w:left w:val="nil"/>
              <w:bottom w:val="single" w:color="000000" w:sz="8" w:space="0"/>
              <w:right w:val="single" w:color="000000" w:sz="8" w:space="0"/>
            </w:tcBorders>
            <w:shd w:val="clear" w:color="auto" w:fill="auto"/>
            <w:vAlign w:val="center"/>
          </w:tcPr>
          <w:p w14:paraId="34E5209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55EDED37">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52AA7B96">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8" w:type="dxa"/>
            <w:tcBorders>
              <w:top w:val="single" w:color="auto" w:sz="4" w:space="0"/>
              <w:left w:val="nil"/>
              <w:bottom w:val="single" w:color="000000" w:sz="8" w:space="0"/>
              <w:right w:val="single" w:color="auto" w:sz="4" w:space="0"/>
            </w:tcBorders>
            <w:shd w:val="clear" w:color="auto" w:fill="auto"/>
          </w:tcPr>
          <w:p w14:paraId="54617566">
            <w:pPr>
              <w:ind w:firstLine="313"/>
              <w:jc w:val="center"/>
              <w:rPr>
                <w:rFonts w:cs="宋体" w:asciiTheme="minorEastAsia" w:hAnsiTheme="minorEastAsia" w:eastAsiaTheme="minorEastAsia"/>
                <w:color w:val="00000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8CA0E3">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9134DEF">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5D0057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0688AE8">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B236684">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6E02F46D">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FA2F0CC">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FAA2B22">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r>
      <w:tr w14:paraId="157B37D4">
        <w:tblPrEx>
          <w:tblCellMar>
            <w:top w:w="0" w:type="dxa"/>
            <w:left w:w="108" w:type="dxa"/>
            <w:bottom w:w="0" w:type="dxa"/>
            <w:right w:w="108" w:type="dxa"/>
          </w:tblCellMar>
        </w:tblPrEx>
        <w:trPr>
          <w:trHeight w:val="782" w:hRule="atLeast"/>
        </w:trPr>
        <w:tc>
          <w:tcPr>
            <w:tcW w:w="389" w:type="dxa"/>
            <w:tcBorders>
              <w:top w:val="nil"/>
              <w:left w:val="single" w:color="000000" w:sz="8" w:space="0"/>
              <w:bottom w:val="single" w:color="000000" w:sz="8" w:space="0"/>
              <w:right w:val="single" w:color="auto" w:sz="4" w:space="0"/>
            </w:tcBorders>
            <w:shd w:val="clear" w:color="auto" w:fill="auto"/>
            <w:vAlign w:val="center"/>
          </w:tcPr>
          <w:p w14:paraId="43253934">
            <w:pPr>
              <w:ind w:firstLine="313"/>
              <w:jc w:val="center"/>
              <w:rPr>
                <w:rFonts w:cs="宋体"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22</w:t>
            </w:r>
          </w:p>
        </w:tc>
        <w:tc>
          <w:tcPr>
            <w:tcW w:w="566" w:type="dxa"/>
            <w:tcBorders>
              <w:top w:val="single" w:color="auto" w:sz="4" w:space="0"/>
              <w:left w:val="single" w:color="auto" w:sz="4" w:space="0"/>
              <w:bottom w:val="single" w:color="auto" w:sz="4" w:space="0"/>
              <w:right w:val="single" w:color="auto" w:sz="4" w:space="0"/>
            </w:tcBorders>
            <w:shd w:val="clear" w:color="auto" w:fill="auto"/>
          </w:tcPr>
          <w:p w14:paraId="7C3BC43A">
            <w:pPr>
              <w:ind w:firstLine="313"/>
              <w:jc w:val="center"/>
              <w:rPr>
                <w:rFonts w:cs="宋体" w:asciiTheme="minorEastAsia" w:hAnsiTheme="minorEastAsia" w:eastAsiaTheme="minorEastAsia"/>
                <w:color w:val="000000"/>
                <w:sz w:val="21"/>
                <w:szCs w:val="21"/>
              </w:rPr>
            </w:pP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729E86C3">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72" w:type="dxa"/>
            <w:tcBorders>
              <w:top w:val="nil"/>
              <w:left w:val="single" w:color="auto" w:sz="4" w:space="0"/>
              <w:bottom w:val="single" w:color="000000" w:sz="8" w:space="0"/>
              <w:right w:val="single" w:color="000000" w:sz="8" w:space="0"/>
            </w:tcBorders>
            <w:shd w:val="clear" w:color="auto" w:fill="auto"/>
            <w:vAlign w:val="center"/>
          </w:tcPr>
          <w:p w14:paraId="48ACC81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424" w:type="dxa"/>
            <w:tcBorders>
              <w:top w:val="nil"/>
              <w:left w:val="nil"/>
              <w:bottom w:val="single" w:color="000000" w:sz="8" w:space="0"/>
              <w:right w:val="single" w:color="000000" w:sz="8" w:space="0"/>
            </w:tcBorders>
            <w:shd w:val="clear" w:color="auto" w:fill="auto"/>
            <w:vAlign w:val="center"/>
          </w:tcPr>
          <w:p w14:paraId="06AA01A2">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2FD98237">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3BF51EA5">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8" w:type="dxa"/>
            <w:tcBorders>
              <w:top w:val="nil"/>
              <w:left w:val="nil"/>
              <w:bottom w:val="single" w:color="000000" w:sz="8" w:space="0"/>
              <w:right w:val="single" w:color="000000" w:sz="8" w:space="0"/>
            </w:tcBorders>
            <w:shd w:val="clear" w:color="auto" w:fill="auto"/>
            <w:vAlign w:val="center"/>
          </w:tcPr>
          <w:p w14:paraId="17850127">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424" w:type="dxa"/>
            <w:tcBorders>
              <w:top w:val="nil"/>
              <w:left w:val="nil"/>
              <w:bottom w:val="single" w:color="000000" w:sz="8" w:space="0"/>
              <w:right w:val="single" w:color="000000" w:sz="8" w:space="0"/>
            </w:tcBorders>
            <w:shd w:val="clear" w:color="auto" w:fill="auto"/>
            <w:vAlign w:val="center"/>
          </w:tcPr>
          <w:p w14:paraId="1B655F99">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9" w:type="dxa"/>
            <w:tcBorders>
              <w:top w:val="nil"/>
              <w:left w:val="nil"/>
              <w:bottom w:val="single" w:color="000000" w:sz="8" w:space="0"/>
              <w:right w:val="single" w:color="000000" w:sz="8" w:space="0"/>
            </w:tcBorders>
            <w:shd w:val="clear" w:color="auto" w:fill="auto"/>
            <w:vAlign w:val="center"/>
          </w:tcPr>
          <w:p w14:paraId="1BC5E434">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3" w:type="dxa"/>
            <w:tcBorders>
              <w:top w:val="nil"/>
              <w:left w:val="nil"/>
              <w:bottom w:val="single" w:color="000000" w:sz="8" w:space="0"/>
              <w:right w:val="single" w:color="000000" w:sz="8" w:space="0"/>
            </w:tcBorders>
            <w:shd w:val="clear" w:color="auto" w:fill="auto"/>
            <w:vAlign w:val="center"/>
          </w:tcPr>
          <w:p w14:paraId="75BEE1F6">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8" w:type="dxa"/>
            <w:tcBorders>
              <w:top w:val="nil"/>
              <w:left w:val="nil"/>
              <w:bottom w:val="single" w:color="000000" w:sz="8" w:space="0"/>
              <w:right w:val="single" w:color="000000" w:sz="8" w:space="0"/>
            </w:tcBorders>
            <w:shd w:val="clear" w:color="auto" w:fill="auto"/>
            <w:vAlign w:val="center"/>
          </w:tcPr>
          <w:p w14:paraId="46DF45F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1DEBC284">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62FD0B19">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8" w:type="dxa"/>
            <w:tcBorders>
              <w:top w:val="nil"/>
              <w:left w:val="nil"/>
              <w:bottom w:val="single" w:color="000000" w:sz="8" w:space="0"/>
              <w:right w:val="single" w:color="auto" w:sz="4" w:space="0"/>
            </w:tcBorders>
            <w:shd w:val="clear" w:color="auto" w:fill="auto"/>
          </w:tcPr>
          <w:p w14:paraId="3A149BC1">
            <w:pPr>
              <w:ind w:firstLine="313"/>
              <w:jc w:val="center"/>
              <w:rPr>
                <w:rFonts w:cs="宋体" w:asciiTheme="minorEastAsia" w:hAnsiTheme="minorEastAsia" w:eastAsiaTheme="minorEastAsia"/>
                <w:color w:val="00000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817786">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35D7EA3">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1D9EDD2E">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9A3CD77">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1A6A006">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35AE2B1C">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4B0BC4C">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4DAEE9F8">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r>
      <w:tr w14:paraId="6DD81D5D">
        <w:tblPrEx>
          <w:tblCellMar>
            <w:top w:w="0" w:type="dxa"/>
            <w:left w:w="108" w:type="dxa"/>
            <w:bottom w:w="0" w:type="dxa"/>
            <w:right w:w="108" w:type="dxa"/>
          </w:tblCellMar>
        </w:tblPrEx>
        <w:trPr>
          <w:trHeight w:val="782" w:hRule="atLeast"/>
        </w:trPr>
        <w:tc>
          <w:tcPr>
            <w:tcW w:w="389" w:type="dxa"/>
            <w:tcBorders>
              <w:top w:val="nil"/>
              <w:left w:val="single" w:color="000000" w:sz="8" w:space="0"/>
              <w:bottom w:val="single" w:color="000000" w:sz="8" w:space="0"/>
              <w:right w:val="single" w:color="auto" w:sz="4" w:space="0"/>
            </w:tcBorders>
            <w:shd w:val="clear" w:color="auto" w:fill="auto"/>
            <w:vAlign w:val="center"/>
          </w:tcPr>
          <w:p w14:paraId="6FAB1A9E">
            <w:pPr>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合计</w:t>
            </w:r>
          </w:p>
        </w:tc>
        <w:tc>
          <w:tcPr>
            <w:tcW w:w="566" w:type="dxa"/>
            <w:tcBorders>
              <w:top w:val="single" w:color="auto" w:sz="4" w:space="0"/>
              <w:left w:val="single" w:color="auto" w:sz="4" w:space="0"/>
              <w:bottom w:val="single" w:color="auto" w:sz="4" w:space="0"/>
              <w:right w:val="single" w:color="auto" w:sz="4" w:space="0"/>
            </w:tcBorders>
            <w:shd w:val="clear" w:color="auto" w:fill="auto"/>
          </w:tcPr>
          <w:p w14:paraId="43089F38">
            <w:pPr>
              <w:ind w:firstLine="313"/>
              <w:jc w:val="center"/>
              <w:rPr>
                <w:rFonts w:cs="宋体" w:asciiTheme="minorEastAsia" w:hAnsiTheme="minorEastAsia" w:eastAsiaTheme="minorEastAsia"/>
                <w:color w:val="000000"/>
                <w:sz w:val="21"/>
                <w:szCs w:val="21"/>
              </w:rPr>
            </w:pP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517DE719">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72" w:type="dxa"/>
            <w:tcBorders>
              <w:top w:val="nil"/>
              <w:left w:val="single" w:color="auto" w:sz="4" w:space="0"/>
              <w:bottom w:val="single" w:color="000000" w:sz="8" w:space="0"/>
              <w:right w:val="single" w:color="000000" w:sz="8" w:space="0"/>
            </w:tcBorders>
            <w:shd w:val="clear" w:color="auto" w:fill="auto"/>
            <w:vAlign w:val="center"/>
          </w:tcPr>
          <w:p w14:paraId="219A4BE5">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424" w:type="dxa"/>
            <w:tcBorders>
              <w:top w:val="nil"/>
              <w:left w:val="nil"/>
              <w:bottom w:val="single" w:color="000000" w:sz="8" w:space="0"/>
              <w:right w:val="single" w:color="000000" w:sz="8" w:space="0"/>
            </w:tcBorders>
            <w:shd w:val="clear" w:color="auto" w:fill="auto"/>
            <w:vAlign w:val="center"/>
          </w:tcPr>
          <w:p w14:paraId="10ABA4A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71EC5975">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140C795D">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8" w:type="dxa"/>
            <w:tcBorders>
              <w:top w:val="nil"/>
              <w:left w:val="nil"/>
              <w:bottom w:val="single" w:color="000000" w:sz="8" w:space="0"/>
              <w:right w:val="single" w:color="000000" w:sz="8" w:space="0"/>
            </w:tcBorders>
            <w:shd w:val="clear" w:color="auto" w:fill="auto"/>
            <w:vAlign w:val="center"/>
          </w:tcPr>
          <w:p w14:paraId="5CA525E0">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424" w:type="dxa"/>
            <w:tcBorders>
              <w:top w:val="nil"/>
              <w:left w:val="nil"/>
              <w:bottom w:val="single" w:color="000000" w:sz="8" w:space="0"/>
              <w:right w:val="single" w:color="000000" w:sz="8" w:space="0"/>
            </w:tcBorders>
            <w:shd w:val="clear" w:color="auto" w:fill="auto"/>
            <w:vAlign w:val="center"/>
          </w:tcPr>
          <w:p w14:paraId="2352EB40">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9" w:type="dxa"/>
            <w:tcBorders>
              <w:top w:val="nil"/>
              <w:left w:val="nil"/>
              <w:bottom w:val="single" w:color="000000" w:sz="8" w:space="0"/>
              <w:right w:val="single" w:color="000000" w:sz="8" w:space="0"/>
            </w:tcBorders>
            <w:shd w:val="clear" w:color="auto" w:fill="auto"/>
            <w:vAlign w:val="center"/>
          </w:tcPr>
          <w:p w14:paraId="036AE2FD">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3" w:type="dxa"/>
            <w:tcBorders>
              <w:top w:val="nil"/>
              <w:left w:val="nil"/>
              <w:bottom w:val="single" w:color="000000" w:sz="8" w:space="0"/>
              <w:right w:val="single" w:color="000000" w:sz="8" w:space="0"/>
            </w:tcBorders>
            <w:shd w:val="clear" w:color="auto" w:fill="auto"/>
            <w:vAlign w:val="center"/>
          </w:tcPr>
          <w:p w14:paraId="407F504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8" w:type="dxa"/>
            <w:tcBorders>
              <w:top w:val="nil"/>
              <w:left w:val="nil"/>
              <w:bottom w:val="single" w:color="000000" w:sz="8" w:space="0"/>
              <w:right w:val="single" w:color="000000" w:sz="8" w:space="0"/>
            </w:tcBorders>
            <w:shd w:val="clear" w:color="auto" w:fill="auto"/>
            <w:vAlign w:val="center"/>
          </w:tcPr>
          <w:p w14:paraId="5164F5BB">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756D5B5C">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nil"/>
              <w:left w:val="nil"/>
              <w:bottom w:val="single" w:color="000000" w:sz="8" w:space="0"/>
              <w:right w:val="single" w:color="000000" w:sz="8" w:space="0"/>
            </w:tcBorders>
            <w:shd w:val="clear" w:color="auto" w:fill="auto"/>
            <w:vAlign w:val="center"/>
          </w:tcPr>
          <w:p w14:paraId="53AB87E0">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8" w:type="dxa"/>
            <w:tcBorders>
              <w:top w:val="nil"/>
              <w:left w:val="nil"/>
              <w:bottom w:val="single" w:color="000000" w:sz="8" w:space="0"/>
              <w:right w:val="single" w:color="auto" w:sz="4" w:space="0"/>
            </w:tcBorders>
            <w:shd w:val="clear" w:color="auto" w:fill="auto"/>
          </w:tcPr>
          <w:p w14:paraId="74F530C4">
            <w:pPr>
              <w:ind w:firstLine="313"/>
              <w:jc w:val="center"/>
              <w:rPr>
                <w:rFonts w:cs="宋体" w:asciiTheme="minorEastAsia" w:hAnsiTheme="minorEastAsia" w:eastAsiaTheme="minorEastAsia"/>
                <w:color w:val="00000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1D211E">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3E44B48">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476BE9C">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54E1982">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FED8536">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7DD9697A">
            <w:pPr>
              <w:ind w:firstLine="313"/>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1E9B2C9">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3514633">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r>
      <w:tr w14:paraId="6A664872">
        <w:tblPrEx>
          <w:tblCellMar>
            <w:top w:w="0" w:type="dxa"/>
            <w:left w:w="108" w:type="dxa"/>
            <w:bottom w:w="0" w:type="dxa"/>
            <w:right w:w="108" w:type="dxa"/>
          </w:tblCellMar>
        </w:tblPrEx>
        <w:trPr>
          <w:trHeight w:val="800" w:hRule="atLeast"/>
        </w:trPr>
        <w:tc>
          <w:tcPr>
            <w:tcW w:w="389" w:type="dxa"/>
            <w:tcBorders>
              <w:top w:val="nil"/>
              <w:left w:val="single" w:color="000000" w:sz="8" w:space="0"/>
              <w:bottom w:val="single" w:color="000000" w:sz="8" w:space="0"/>
              <w:right w:val="single" w:color="000000" w:sz="8" w:space="0"/>
            </w:tcBorders>
            <w:shd w:val="clear" w:color="auto" w:fill="auto"/>
            <w:vAlign w:val="center"/>
          </w:tcPr>
          <w:p w14:paraId="1254AD27">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　</w:t>
            </w:r>
          </w:p>
        </w:tc>
        <w:tc>
          <w:tcPr>
            <w:tcW w:w="566" w:type="dxa"/>
            <w:tcBorders>
              <w:top w:val="single" w:color="000000" w:sz="8" w:space="0"/>
              <w:left w:val="nil"/>
              <w:bottom w:val="single" w:color="000000" w:sz="8" w:space="0"/>
              <w:right w:val="nil"/>
            </w:tcBorders>
            <w:shd w:val="clear" w:color="auto" w:fill="auto"/>
          </w:tcPr>
          <w:p w14:paraId="0C732B6E">
            <w:pPr>
              <w:ind w:firstLine="313"/>
              <w:rPr>
                <w:rFonts w:cs="宋体" w:asciiTheme="minorEastAsia" w:hAnsiTheme="minorEastAsia" w:eastAsiaTheme="minorEastAsia"/>
                <w:color w:val="000000"/>
                <w:sz w:val="21"/>
                <w:szCs w:val="21"/>
              </w:rPr>
            </w:pPr>
          </w:p>
        </w:tc>
        <w:tc>
          <w:tcPr>
            <w:tcW w:w="419" w:type="dxa"/>
            <w:tcBorders>
              <w:top w:val="single" w:color="000000" w:sz="8" w:space="0"/>
              <w:left w:val="nil"/>
              <w:bottom w:val="single" w:color="000000" w:sz="8" w:space="0"/>
              <w:right w:val="nil"/>
            </w:tcBorders>
            <w:shd w:val="clear" w:color="auto" w:fill="auto"/>
          </w:tcPr>
          <w:p w14:paraId="4E0B839A">
            <w:pPr>
              <w:ind w:firstLine="313"/>
              <w:rPr>
                <w:rFonts w:cs="宋体" w:asciiTheme="minorEastAsia" w:hAnsiTheme="minorEastAsia" w:eastAsiaTheme="minorEastAsia"/>
                <w:color w:val="000000"/>
                <w:sz w:val="21"/>
                <w:szCs w:val="21"/>
              </w:rPr>
            </w:pPr>
          </w:p>
        </w:tc>
        <w:tc>
          <w:tcPr>
            <w:tcW w:w="12780" w:type="dxa"/>
            <w:gridSpan w:val="20"/>
            <w:tcBorders>
              <w:top w:val="single" w:color="000000" w:sz="8" w:space="0"/>
              <w:left w:val="nil"/>
              <w:bottom w:val="single" w:color="000000" w:sz="8" w:space="0"/>
              <w:right w:val="single" w:color="000000" w:sz="8" w:space="0"/>
            </w:tcBorders>
            <w:shd w:val="clear" w:color="auto" w:fill="auto"/>
            <w:vAlign w:val="center"/>
          </w:tcPr>
          <w:p w14:paraId="4C2A204F">
            <w:pPr>
              <w:ind w:firstLine="313"/>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表中移动设施不含企业非营运车辆（如公务车等），若直接通过油卡、充电账号记录能源消耗量则不需要填写百公里单耗缺省值，若只能监测里程则填写用于能耗核算的百公里单耗缺省值。</w:t>
            </w:r>
          </w:p>
        </w:tc>
      </w:tr>
    </w:tbl>
    <w:p w14:paraId="07A4B41D">
      <w:pPr>
        <w:rPr>
          <w:rFonts w:asciiTheme="minorEastAsia" w:hAnsiTheme="minorEastAsia" w:eastAsiaTheme="minorEastAsia"/>
          <w:bCs/>
          <w:sz w:val="21"/>
          <w:szCs w:val="21"/>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587" w:right="1440" w:bottom="1474" w:left="1440" w:header="851" w:footer="1134" w:gutter="0"/>
          <w:pgNumType w:fmt="decimal"/>
          <w:cols w:space="0" w:num="1"/>
          <w:rtlGutter w:val="0"/>
          <w:docGrid w:linePitch="326" w:charSpace="0"/>
        </w:sectPr>
      </w:pPr>
    </w:p>
    <w:p w14:paraId="67ABC742">
      <w:pPr>
        <w:spacing w:after="160"/>
        <w:rPr>
          <w:rFonts w:asciiTheme="minorEastAsia" w:hAnsiTheme="minorEastAsia" w:eastAsiaTheme="minorEastAsia"/>
          <w:b/>
          <w:bCs w:val="0"/>
          <w:sz w:val="21"/>
          <w:szCs w:val="21"/>
          <w:highlight w:val="none"/>
        </w:rPr>
      </w:pPr>
      <w:r>
        <w:rPr>
          <w:rFonts w:hint="eastAsia" w:asciiTheme="minorEastAsia" w:hAnsiTheme="minorEastAsia" w:eastAsiaTheme="minorEastAsia"/>
          <w:b/>
          <w:bCs w:val="0"/>
          <w:sz w:val="21"/>
          <w:szCs w:val="21"/>
          <w:highlight w:val="none"/>
          <w:lang w:val="en-US" w:eastAsia="zh-CN"/>
        </w:rPr>
        <w:t>核查要点</w:t>
      </w:r>
      <w:r>
        <w:rPr>
          <w:rFonts w:hint="eastAsia" w:asciiTheme="minorEastAsia" w:hAnsiTheme="minorEastAsia" w:eastAsiaTheme="minorEastAsia"/>
          <w:b/>
          <w:bCs w:val="0"/>
          <w:sz w:val="21"/>
          <w:szCs w:val="21"/>
          <w:highlight w:val="none"/>
        </w:rPr>
        <w:t>：</w:t>
      </w:r>
    </w:p>
    <w:p w14:paraId="03FFB2CC">
      <w:pPr>
        <w:spacing w:after="160"/>
        <w:rPr>
          <w:rFonts w:asciiTheme="minorEastAsia" w:hAnsiTheme="minorEastAsia" w:eastAsiaTheme="minorEastAsia"/>
          <w:bCs/>
          <w:sz w:val="21"/>
          <w:szCs w:val="21"/>
        </w:rPr>
      </w:pPr>
      <w:r>
        <w:rPr>
          <w:rFonts w:asciiTheme="minorEastAsia" w:hAnsiTheme="minorEastAsia" w:eastAsiaTheme="minorEastAsia"/>
          <w:bCs/>
          <w:sz w:val="21"/>
          <w:szCs w:val="21"/>
        </w:rPr>
        <w:t xml:space="preserve">1.车辆营运属性：按照车辆的营运证类型对应填写，如巡游出租汽车、网络预约出租汽车； </w:t>
      </w:r>
    </w:p>
    <w:p w14:paraId="107D9752">
      <w:pPr>
        <w:spacing w:after="160"/>
        <w:rPr>
          <w:rFonts w:asciiTheme="minorEastAsia" w:hAnsiTheme="minorEastAsia" w:eastAsiaTheme="minorEastAsia"/>
          <w:bCs/>
          <w:sz w:val="21"/>
          <w:szCs w:val="21"/>
        </w:rPr>
      </w:pPr>
      <w:r>
        <w:rPr>
          <w:rFonts w:asciiTheme="minorEastAsia" w:hAnsiTheme="minorEastAsia" w:eastAsiaTheme="minorEastAsia"/>
          <w:bCs/>
          <w:sz w:val="21"/>
          <w:szCs w:val="21"/>
        </w:rPr>
        <w:t>2.能源类型：填写每种车型及排放标准的车辆对应燃料种类，如柴油、汽油、天然气、混合动力和电力等;</w:t>
      </w:r>
    </w:p>
    <w:p w14:paraId="23207963">
      <w:pPr>
        <w:spacing w:after="160"/>
        <w:rPr>
          <w:rFonts w:asciiTheme="minorEastAsia" w:hAnsiTheme="minorEastAsia" w:eastAsiaTheme="minorEastAsia"/>
          <w:bCs/>
          <w:sz w:val="21"/>
          <w:szCs w:val="21"/>
        </w:rPr>
      </w:pPr>
      <w:r>
        <w:rPr>
          <w:rFonts w:asciiTheme="minorEastAsia" w:hAnsiTheme="minorEastAsia" w:eastAsiaTheme="minorEastAsia"/>
          <w:bCs/>
          <w:sz w:val="21"/>
          <w:szCs w:val="21"/>
        </w:rPr>
        <w:t>3.车辆厂牌：按照车辆的实际品牌及车辆型号填写，如北京牌—EU300、索纳塔九、捷达春天、新伊兰特等;</w:t>
      </w:r>
    </w:p>
    <w:p w14:paraId="5A1E3A57">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4</w:t>
      </w:r>
      <w:r>
        <w:rPr>
          <w:rFonts w:asciiTheme="minorEastAsia" w:hAnsiTheme="minorEastAsia" w:eastAsiaTheme="minorEastAsia"/>
          <w:bCs/>
          <w:sz w:val="21"/>
          <w:szCs w:val="21"/>
        </w:rPr>
        <w:t>.车辆排放标准：按照车辆实际的排放标准进行填写，例如国Ⅵ、国Ⅴ；</w:t>
      </w:r>
    </w:p>
    <w:p w14:paraId="622F4258">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5</w:t>
      </w:r>
      <w:r>
        <w:rPr>
          <w:rFonts w:asciiTheme="minorEastAsia" w:hAnsiTheme="minorEastAsia" w:eastAsiaTheme="minorEastAsia"/>
          <w:bCs/>
          <w:sz w:val="21"/>
          <w:szCs w:val="21"/>
        </w:rPr>
        <w:t>.车辆数量：填写登记注册在企业名下每种车型及排放标准的车辆保有量;</w:t>
      </w:r>
    </w:p>
    <w:p w14:paraId="74B48EFA">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6</w:t>
      </w:r>
      <w:r>
        <w:rPr>
          <w:rFonts w:asciiTheme="minorEastAsia" w:hAnsiTheme="minorEastAsia" w:eastAsiaTheme="minorEastAsia"/>
          <w:bCs/>
          <w:sz w:val="21"/>
          <w:szCs w:val="21"/>
        </w:rPr>
        <w:t>.安装SCR车辆数：填写登记注册在企业名下车辆中安装了SCR设备的车辆保有量</w:t>
      </w:r>
    </w:p>
    <w:p w14:paraId="3249FA01">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7</w:t>
      </w:r>
      <w:r>
        <w:rPr>
          <w:rFonts w:asciiTheme="minorEastAsia" w:hAnsiTheme="minorEastAsia" w:eastAsiaTheme="minorEastAsia"/>
          <w:bCs/>
          <w:sz w:val="21"/>
          <w:szCs w:val="21"/>
        </w:rPr>
        <w:t>.年度累计行驶里程（公里）：</w:t>
      </w:r>
    </w:p>
    <w:p w14:paraId="0DB19A87">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1）累计里程：企业旗下车辆单车在全国范围内运行的全部里程合计；</w:t>
      </w:r>
    </w:p>
    <w:p w14:paraId="16E985F5">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2）京内里程：企业旗下车辆单车在北京市域范围内运行的全部里程合计；</w:t>
      </w:r>
    </w:p>
    <w:p w14:paraId="4D2B26AC">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3）天津、河北里程：企业旗下车辆单车在天津市及河北省域范围内运行的全部里程合计；</w:t>
      </w:r>
    </w:p>
    <w:p w14:paraId="0E8C0F9A">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4）京津冀外里程：企业旗下车辆单车在全国除北京市、天津市、河北省域范围外运行的全部里程合计；</w:t>
      </w:r>
    </w:p>
    <w:p w14:paraId="6674F9A3">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5）数据获取方式：</w:t>
      </w:r>
    </w:p>
    <w:p w14:paraId="187D4464">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①企业通过自有单车级大数据监控平台获取得到的单车级车辆行驶里程；</w:t>
      </w:r>
    </w:p>
    <w:p w14:paraId="2610F4EE">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②企业通过出租汽车企业运营服务管理平台获取得到的单车级车辆行驶里程；</w:t>
      </w:r>
    </w:p>
    <w:p w14:paraId="7364488B">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8</w:t>
      </w:r>
      <w:r>
        <w:rPr>
          <w:rFonts w:asciiTheme="minorEastAsia" w:hAnsiTheme="minorEastAsia" w:eastAsiaTheme="minorEastAsia"/>
          <w:bCs/>
          <w:sz w:val="21"/>
          <w:szCs w:val="21"/>
        </w:rPr>
        <w:t>.客运量：填报公路运输企业旗下所有车辆在每年度内实际运送的旅客人数（</w:t>
      </w:r>
      <w:r>
        <w:rPr>
          <w:rFonts w:hint="eastAsia" w:asciiTheme="minorEastAsia" w:hAnsiTheme="minorEastAsia" w:eastAsiaTheme="minorEastAsia"/>
          <w:bCs/>
          <w:sz w:val="21"/>
          <w:szCs w:val="21"/>
        </w:rPr>
        <w:t>万</w:t>
      </w:r>
      <w:r>
        <w:rPr>
          <w:rFonts w:asciiTheme="minorEastAsia" w:hAnsiTheme="minorEastAsia" w:eastAsiaTheme="minorEastAsia"/>
          <w:bCs/>
          <w:sz w:val="21"/>
          <w:szCs w:val="21"/>
        </w:rPr>
        <w:t>人次）;</w:t>
      </w:r>
    </w:p>
    <w:p w14:paraId="343CE7A1">
      <w:pPr>
        <w:spacing w:after="160"/>
        <w:rPr>
          <w:rFonts w:asciiTheme="minorEastAsia" w:hAnsiTheme="minorEastAsia" w:eastAsiaTheme="minorEastAsia"/>
          <w:bCs/>
          <w:sz w:val="21"/>
          <w:szCs w:val="21"/>
        </w:rPr>
      </w:pPr>
      <w:r>
        <w:rPr>
          <w:rFonts w:asciiTheme="minorEastAsia" w:hAnsiTheme="minorEastAsia" w:eastAsiaTheme="minorEastAsia"/>
          <w:bCs/>
          <w:sz w:val="21"/>
          <w:szCs w:val="21"/>
        </w:rPr>
        <w:t>8.客运周转量：填报公路运输企业旗下所有车辆在每年度内实际运送的旅客运输总量指标（</w:t>
      </w:r>
      <w:r>
        <w:rPr>
          <w:rFonts w:hint="eastAsia" w:asciiTheme="minorEastAsia" w:hAnsiTheme="minorEastAsia" w:eastAsiaTheme="minorEastAsia"/>
          <w:bCs/>
          <w:sz w:val="21"/>
          <w:szCs w:val="21"/>
        </w:rPr>
        <w:t>万</w:t>
      </w:r>
      <w:r>
        <w:rPr>
          <w:rFonts w:asciiTheme="minorEastAsia" w:hAnsiTheme="minorEastAsia" w:eastAsiaTheme="minorEastAsia"/>
          <w:bCs/>
          <w:sz w:val="21"/>
          <w:szCs w:val="21"/>
        </w:rPr>
        <w:t>人公里），基于客运量及平均运距乘积得到；</w:t>
      </w:r>
    </w:p>
    <w:p w14:paraId="7AB642A0">
      <w:pPr>
        <w:spacing w:after="160"/>
        <w:rPr>
          <w:rFonts w:asciiTheme="minorEastAsia" w:hAnsiTheme="minorEastAsia" w:eastAsiaTheme="minorEastAsia"/>
          <w:bCs/>
          <w:sz w:val="21"/>
          <w:szCs w:val="21"/>
        </w:rPr>
      </w:pPr>
      <w:r>
        <w:rPr>
          <w:rFonts w:asciiTheme="minorEastAsia" w:hAnsiTheme="minorEastAsia" w:eastAsiaTheme="minorEastAsia"/>
          <w:bCs/>
          <w:sz w:val="21"/>
          <w:szCs w:val="21"/>
        </w:rPr>
        <w:t>9.百公里单耗：</w:t>
      </w:r>
    </w:p>
    <w:p w14:paraId="481458EA">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百公里单耗数据结果：填报企业企业车辆（单车级）在运行单位距离（通常标定为100公里）时产生的能源消耗量，单位主要是：kg/百公里、立方米/百公里、千瓦时/百公里（企业如统计汽油、柴油车辆百公里单耗时统计单位为升时，可按照汽油0.73kg/L,柴油0.86kg/L进行单位换算）</w:t>
      </w:r>
    </w:p>
    <w:p w14:paraId="25B2F4C4">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2）数据获取方式：</w:t>
      </w:r>
    </w:p>
    <w:p w14:paraId="71585663">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①企业通过自有单车级大数据监控平台获取得到的单车级车辆百公里能耗；</w:t>
      </w:r>
    </w:p>
    <w:p w14:paraId="0F2BC63A">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②企业通过参考主管部门提供的单车级车辆百公里能耗推荐值；</w:t>
      </w:r>
    </w:p>
    <w:p w14:paraId="1FEEB6E2">
      <w:pPr>
        <w:spacing w:after="160"/>
        <w:rPr>
          <w:rFonts w:asciiTheme="minorEastAsia" w:hAnsiTheme="minorEastAsia" w:eastAsiaTheme="minorEastAsia"/>
          <w:bCs/>
          <w:sz w:val="21"/>
          <w:szCs w:val="21"/>
        </w:rPr>
      </w:pPr>
      <w:r>
        <w:rPr>
          <w:rFonts w:asciiTheme="minorEastAsia" w:hAnsiTheme="minorEastAsia" w:eastAsiaTheme="minorEastAsia"/>
          <w:bCs/>
          <w:sz w:val="21"/>
          <w:szCs w:val="21"/>
        </w:rPr>
        <w:t>10.百公里碳排放量：</w:t>
      </w:r>
    </w:p>
    <w:p w14:paraId="2BF84AA6">
      <w:pPr>
        <w:spacing w:after="160" w:line="420" w:lineRule="atLeast"/>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w:t>
      </w:r>
      <w:r>
        <w:rPr>
          <w:rFonts w:asciiTheme="minorEastAsia" w:hAnsiTheme="minorEastAsia" w:eastAsiaTheme="minorEastAsia"/>
          <w:bCs/>
          <w:kern w:val="2"/>
          <w:sz w:val="21"/>
          <w:szCs w:val="21"/>
        </w:rPr>
        <w:t>1）百公里碳排放数据结果：填报企业企业车辆（单车级）在运行单位距离（通常标定为100公里）时产生的二氧化碳排放量，单位主要是：kgCO2/百公里；</w:t>
      </w:r>
    </w:p>
    <w:p w14:paraId="6021BC92">
      <w:pPr>
        <w:spacing w:after="160" w:line="420" w:lineRule="atLeast"/>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w:t>
      </w:r>
      <w:r>
        <w:rPr>
          <w:rFonts w:asciiTheme="minorEastAsia" w:hAnsiTheme="minorEastAsia" w:eastAsiaTheme="minorEastAsia"/>
          <w:bCs/>
          <w:kern w:val="2"/>
          <w:sz w:val="21"/>
          <w:szCs w:val="21"/>
        </w:rPr>
        <w:t>2）数据获取方式：</w:t>
      </w:r>
    </w:p>
    <w:p w14:paraId="10096E20">
      <w:pPr>
        <w:spacing w:after="160" w:line="420" w:lineRule="atLeast"/>
        <w:rPr>
          <w:rFonts w:asciiTheme="minorEastAsia" w:hAnsiTheme="minorEastAsia" w:eastAsiaTheme="minorEastAsia"/>
          <w:bCs/>
          <w:kern w:val="2"/>
          <w:sz w:val="21"/>
          <w:szCs w:val="21"/>
        </w:rPr>
      </w:pPr>
      <w:r>
        <w:rPr>
          <w:rFonts w:hint="eastAsia" w:asciiTheme="minorEastAsia" w:hAnsiTheme="minorEastAsia" w:eastAsiaTheme="minorEastAsia"/>
          <w:bCs/>
          <w:kern w:val="2"/>
          <w:sz w:val="21"/>
          <w:szCs w:val="21"/>
        </w:rPr>
        <w:t>①企业通过自有单车级大数据监控平台获取得到的单车级车辆百公里能耗换算获得；</w:t>
      </w:r>
    </w:p>
    <w:p w14:paraId="2B995032">
      <w:pPr>
        <w:spacing w:after="160" w:line="420" w:lineRule="atLeast"/>
        <w:rPr>
          <w:rFonts w:asciiTheme="minorEastAsia" w:hAnsiTheme="minorEastAsia" w:eastAsiaTheme="minorEastAsia"/>
          <w:bCs/>
          <w:sz w:val="21"/>
          <w:szCs w:val="21"/>
        </w:rPr>
      </w:pPr>
      <w:r>
        <w:rPr>
          <w:rFonts w:hint="eastAsia" w:asciiTheme="minorEastAsia" w:hAnsiTheme="minorEastAsia" w:eastAsiaTheme="minorEastAsia"/>
          <w:bCs/>
          <w:kern w:val="2"/>
          <w:sz w:val="21"/>
          <w:szCs w:val="21"/>
        </w:rPr>
        <w:t>②企业通过参考主管部门提供的单车级车辆百公里碳排放推荐值；</w:t>
      </w:r>
    </w:p>
    <w:p w14:paraId="6457C6E0">
      <w:pPr>
        <w:spacing w:after="160"/>
        <w:rPr>
          <w:rFonts w:asciiTheme="minorEastAsia" w:hAnsiTheme="minorEastAsia" w:eastAsiaTheme="minorEastAsia"/>
          <w:bCs/>
          <w:sz w:val="21"/>
          <w:szCs w:val="21"/>
        </w:rPr>
      </w:pP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1</w:t>
      </w:r>
      <w:r>
        <w:rPr>
          <w:rFonts w:asciiTheme="minorEastAsia" w:hAnsiTheme="minorEastAsia" w:eastAsiaTheme="minorEastAsia"/>
          <w:bCs/>
          <w:sz w:val="21"/>
          <w:szCs w:val="21"/>
        </w:rPr>
        <w:t>.能源消耗量：</w:t>
      </w:r>
    </w:p>
    <w:p w14:paraId="635E77F4">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能源消耗量：填报企业旗下车辆因运行而产生的能源消耗总量，按照车辆对应的能源类型，将实际的能源消耗量填写到对应的格内，单位主要是：吨、立方米、千瓦时（企业如统计汽油、柴油时统计单位为升时，可按照汽油0.73kg/L,柴油0.86kg/L进行单位换算）；</w:t>
      </w:r>
    </w:p>
    <w:p w14:paraId="4DADC73E">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2）数据获取方式：</w:t>
      </w:r>
    </w:p>
    <w:p w14:paraId="657D770B">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①基于单车级的能源消耗量统计手段进行能源消耗统计，一车一卡或一车一个充电账号等手段获取；</w:t>
      </w:r>
    </w:p>
    <w:p w14:paraId="7C417226">
      <w:pPr>
        <w:spacing w:after="160"/>
        <w:rPr>
          <w:rFonts w:asciiTheme="minorEastAsia" w:hAnsiTheme="minorEastAsia" w:eastAsiaTheme="minorEastAsia"/>
          <w:bCs/>
          <w:sz w:val="21"/>
          <w:szCs w:val="21"/>
        </w:rPr>
      </w:pPr>
      <w:r>
        <w:rPr>
          <w:rFonts w:hint="eastAsia" w:asciiTheme="minorEastAsia" w:hAnsiTheme="minorEastAsia" w:eastAsiaTheme="minorEastAsia"/>
          <w:bCs/>
          <w:sz w:val="21"/>
          <w:szCs w:val="21"/>
        </w:rPr>
        <w:t>②基于单车级的车辆行驶里程与百公里单耗数据结果计算得到；</w:t>
      </w:r>
    </w:p>
    <w:p w14:paraId="0AA1E48A">
      <w:pPr>
        <w:spacing w:after="160"/>
        <w:rPr>
          <w:rFonts w:asciiTheme="minorEastAsia" w:hAnsiTheme="minorEastAsia" w:eastAsiaTheme="minorEastAsia"/>
          <w:bCs/>
          <w:sz w:val="21"/>
          <w:szCs w:val="21"/>
        </w:rPr>
        <w:sectPr>
          <w:footerReference r:id="rId13" w:type="default"/>
          <w:pgSz w:w="16838" w:h="11906" w:orient="landscape"/>
          <w:pgMar w:top="1587" w:right="1440" w:bottom="1474" w:left="1440" w:header="851" w:footer="1134" w:gutter="0"/>
          <w:pgNumType w:fmt="decimal"/>
          <w:cols w:space="0" w:num="1"/>
          <w:docGrid w:linePitch="326" w:charSpace="0"/>
        </w:sectPr>
      </w:pPr>
      <w:r>
        <w:rPr>
          <w:rFonts w:asciiTheme="minorEastAsia" w:hAnsiTheme="minorEastAsia" w:eastAsiaTheme="minorEastAsia"/>
          <w:bCs/>
          <w:sz w:val="21"/>
          <w:szCs w:val="21"/>
        </w:rPr>
        <w:t>1</w:t>
      </w:r>
      <w:r>
        <w:rPr>
          <w:rFonts w:hint="eastAsia" w:asciiTheme="minorEastAsia" w:hAnsiTheme="minorEastAsia" w:eastAsiaTheme="minorEastAsia"/>
          <w:bCs/>
          <w:sz w:val="21"/>
          <w:szCs w:val="21"/>
        </w:rPr>
        <w:t>2</w:t>
      </w:r>
      <w:r>
        <w:rPr>
          <w:rFonts w:asciiTheme="minorEastAsia" w:hAnsiTheme="minorEastAsia" w:eastAsiaTheme="minorEastAsia"/>
          <w:bCs/>
          <w:sz w:val="21"/>
          <w:szCs w:val="21"/>
        </w:rPr>
        <w:t>.累计碳排放量：由统计得到的车辆运行能耗及每种能源类型对应的碳排放因子转换系数计算得到</w:t>
      </w:r>
      <w:r>
        <w:rPr>
          <w:rFonts w:hint="eastAsia" w:asciiTheme="minorEastAsia" w:hAnsiTheme="minorEastAsia" w:eastAsiaTheme="minorEastAsia"/>
          <w:bCs/>
          <w:sz w:val="21"/>
          <w:szCs w:val="21"/>
        </w:rPr>
        <w:t>。</w:t>
      </w:r>
    </w:p>
    <w:p w14:paraId="16D56C7A">
      <w:pPr>
        <w:ind w:firstLine="480" w:firstLineChars="150"/>
        <w:jc w:val="center"/>
        <w:rPr>
          <w:rFonts w:ascii="黑体" w:hAnsi="黑体" w:eastAsia="黑体"/>
          <w:bCs/>
          <w:sz w:val="32"/>
          <w:szCs w:val="28"/>
        </w:rPr>
      </w:pPr>
      <w:r>
        <w:rPr>
          <w:rFonts w:hint="eastAsia" w:ascii="黑体" w:hAnsi="黑体" w:eastAsia="黑体"/>
          <w:bCs/>
          <w:sz w:val="32"/>
          <w:szCs w:val="28"/>
        </w:rPr>
        <w:t>公路旅客运输企业补充数据表</w:t>
      </w:r>
    </w:p>
    <w:tbl>
      <w:tblPr>
        <w:tblStyle w:val="35"/>
        <w:tblW w:w="14076" w:type="dxa"/>
        <w:tblInd w:w="98" w:type="dxa"/>
        <w:tblLayout w:type="fixed"/>
        <w:tblCellMar>
          <w:top w:w="0" w:type="dxa"/>
          <w:left w:w="108" w:type="dxa"/>
          <w:bottom w:w="0" w:type="dxa"/>
          <w:right w:w="108" w:type="dxa"/>
        </w:tblCellMar>
      </w:tblPr>
      <w:tblGrid>
        <w:gridCol w:w="423"/>
        <w:gridCol w:w="537"/>
        <w:gridCol w:w="457"/>
        <w:gridCol w:w="571"/>
        <w:gridCol w:w="789"/>
        <w:gridCol w:w="789"/>
        <w:gridCol w:w="620"/>
        <w:gridCol w:w="422"/>
        <w:gridCol w:w="422"/>
        <w:gridCol w:w="628"/>
        <w:gridCol w:w="422"/>
        <w:gridCol w:w="426"/>
        <w:gridCol w:w="448"/>
        <w:gridCol w:w="628"/>
        <w:gridCol w:w="628"/>
        <w:gridCol w:w="439"/>
        <w:gridCol w:w="665"/>
        <w:gridCol w:w="591"/>
        <w:gridCol w:w="628"/>
        <w:gridCol w:w="628"/>
        <w:gridCol w:w="834"/>
        <w:gridCol w:w="834"/>
        <w:gridCol w:w="430"/>
        <w:gridCol w:w="817"/>
      </w:tblGrid>
      <w:tr w14:paraId="75A22A9C">
        <w:tblPrEx>
          <w:tblCellMar>
            <w:top w:w="0" w:type="dxa"/>
            <w:left w:w="108" w:type="dxa"/>
            <w:bottom w:w="0" w:type="dxa"/>
            <w:right w:w="108" w:type="dxa"/>
          </w:tblCellMar>
        </w:tblPrEx>
        <w:trPr>
          <w:trHeight w:val="1132" w:hRule="atLeast"/>
        </w:trPr>
        <w:tc>
          <w:tcPr>
            <w:tcW w:w="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77262">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序号</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8E550">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等线" w:hAnsi="等线" w:eastAsia="等线" w:cs="宋体"/>
                <w:color w:val="000000"/>
                <w:sz w:val="20"/>
                <w:szCs w:val="20"/>
              </w:rPr>
              <w:t>能源类型</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36E04">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等线" w:hAnsi="等线" w:eastAsia="等线" w:cs="宋体"/>
                <w:color w:val="000000"/>
                <w:sz w:val="20"/>
                <w:szCs w:val="20"/>
              </w:rPr>
              <w:t>座位数区间</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11C29">
            <w:pPr>
              <w:spacing w:after="0" w:line="240" w:lineRule="auto"/>
              <w:jc w:val="center"/>
              <w:textAlignment w:val="center"/>
              <w:rPr>
                <w:rFonts w:ascii="等线" w:hAnsi="等线" w:eastAsia="等线" w:cs="宋体"/>
                <w:sz w:val="20"/>
                <w:szCs w:val="20"/>
              </w:rPr>
            </w:pPr>
            <w:r>
              <w:rPr>
                <w:rFonts w:hint="eastAsia" w:ascii="等线" w:hAnsi="等线" w:eastAsia="等线" w:cs="宋体"/>
                <w:sz w:val="20"/>
                <w:szCs w:val="20"/>
              </w:rPr>
              <w:t>车辆</w:t>
            </w:r>
          </w:p>
          <w:p w14:paraId="794C7F58">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等线" w:hAnsi="等线" w:eastAsia="等线" w:cs="宋体"/>
                <w:sz w:val="20"/>
                <w:szCs w:val="20"/>
              </w:rPr>
              <w:t>排放标准</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C26C4">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等线" w:hAnsi="等线" w:eastAsia="等线" w:cs="宋体"/>
                <w:color w:val="000000"/>
                <w:sz w:val="20"/>
                <w:szCs w:val="20"/>
              </w:rPr>
              <w:t>车辆数（辆）</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2E982">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等线" w:hAnsi="等线" w:eastAsia="等线" w:cs="宋体"/>
                <w:color w:val="000000"/>
                <w:sz w:val="20"/>
                <w:szCs w:val="20"/>
              </w:rPr>
              <w:t>安装</w:t>
            </w:r>
            <w:r>
              <w:rPr>
                <w:rFonts w:ascii="等线" w:hAnsi="等线" w:eastAsia="等线" w:cs="宋体"/>
                <w:color w:val="000000"/>
                <w:sz w:val="20"/>
                <w:szCs w:val="20"/>
              </w:rPr>
              <w:t>SCR车辆数（辆）</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FE8F1">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等线" w:hAnsi="等线" w:eastAsia="等线" w:cs="宋体"/>
                <w:color w:val="000000"/>
                <w:sz w:val="20"/>
                <w:szCs w:val="20"/>
              </w:rPr>
              <w:t>安装SCR车辆</w:t>
            </w:r>
          </w:p>
        </w:tc>
        <w:tc>
          <w:tcPr>
            <w:tcW w:w="2768" w:type="dxa"/>
            <w:gridSpan w:val="6"/>
            <w:tcBorders>
              <w:top w:val="single" w:color="000000" w:sz="4" w:space="0"/>
              <w:left w:val="single" w:color="000000" w:sz="4" w:space="0"/>
              <w:bottom w:val="single" w:color="000000" w:sz="4" w:space="0"/>
              <w:right w:val="single" w:color="000000" w:sz="4" w:space="0"/>
            </w:tcBorders>
            <w:vAlign w:val="center"/>
          </w:tcPr>
          <w:p w14:paraId="56C8714B">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年度累计行驶里程（万公里）</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7DB64">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客运量（万人）</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C096">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客运周转量（万人公里）</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C7DBB">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百公里单耗（吨、立方米、千瓦时/百公里）</w:t>
            </w:r>
          </w:p>
        </w:tc>
        <w:tc>
          <w:tcPr>
            <w:tcW w:w="39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8777D1">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能源消耗量</w:t>
            </w:r>
          </w:p>
        </w:tc>
        <w:tc>
          <w:tcPr>
            <w:tcW w:w="817" w:type="dxa"/>
            <w:vMerge w:val="restart"/>
            <w:tcBorders>
              <w:top w:val="single" w:color="000000" w:sz="4" w:space="0"/>
              <w:left w:val="single" w:color="000000" w:sz="4" w:space="0"/>
              <w:right w:val="single" w:color="000000" w:sz="4" w:space="0"/>
            </w:tcBorders>
            <w:vAlign w:val="center"/>
          </w:tcPr>
          <w:p w14:paraId="485008D7">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cs="宋体" w:asciiTheme="minorEastAsia" w:hAnsiTheme="minorEastAsia" w:eastAsiaTheme="minorEastAsia"/>
                <w:color w:val="000000"/>
                <w:sz w:val="21"/>
                <w:szCs w:val="21"/>
                <w:lang w:bidi="ar"/>
              </w:rPr>
              <w:t>累计碳排放量（吨）</w:t>
            </w:r>
          </w:p>
        </w:tc>
      </w:tr>
      <w:tr w14:paraId="52DD2F19">
        <w:tblPrEx>
          <w:tblCellMar>
            <w:top w:w="0" w:type="dxa"/>
            <w:left w:w="108" w:type="dxa"/>
            <w:bottom w:w="0" w:type="dxa"/>
            <w:right w:w="108" w:type="dxa"/>
          </w:tblCellMar>
        </w:tblPrEx>
        <w:trPr>
          <w:trHeight w:val="2347" w:hRule="atLeast"/>
        </w:trPr>
        <w:tc>
          <w:tcPr>
            <w:tcW w:w="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E832">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B5D9">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F08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4EB0">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31C7">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7D4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BF76">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610A">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累计里程</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2203">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京内里程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8B6">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天津、河北里程</w:t>
            </w:r>
          </w:p>
        </w:tc>
        <w:tc>
          <w:tcPr>
            <w:tcW w:w="422" w:type="dxa"/>
            <w:tcBorders>
              <w:top w:val="single" w:color="000000" w:sz="4" w:space="0"/>
              <w:left w:val="single" w:color="000000" w:sz="4" w:space="0"/>
              <w:bottom w:val="single" w:color="000000" w:sz="4" w:space="0"/>
              <w:right w:val="single" w:color="000000" w:sz="4" w:space="0"/>
            </w:tcBorders>
          </w:tcPr>
          <w:p w14:paraId="699DD7B5">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p w14:paraId="3B1D0F2C">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京津冀区域</w:t>
            </w:r>
            <w: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t>里程</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F289">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京津冀外里程</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9349">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数据获取方式</w:t>
            </w: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85A2">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5C43">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C21">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数据结果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A141">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数据获取方式</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E37F">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汽油（吨）</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53AD">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电（兆瓦时）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3E0D">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天然气（万立方米）</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0403">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柴油（吨）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408E">
            <w:pPr>
              <w:spacing w:after="0" w:line="240" w:lineRule="auto"/>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车用尿素溶液（吨）</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8F9">
            <w:pPr>
              <w:spacing w:after="0" w:line="240" w:lineRule="auto"/>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数据获取方式</w:t>
            </w:r>
          </w:p>
        </w:tc>
        <w:tc>
          <w:tcPr>
            <w:tcW w:w="817" w:type="dxa"/>
            <w:vMerge w:val="continue"/>
            <w:tcBorders>
              <w:left w:val="single" w:color="000000" w:sz="4" w:space="0"/>
              <w:bottom w:val="single" w:color="000000" w:sz="4" w:space="0"/>
              <w:right w:val="single" w:color="000000" w:sz="4" w:space="0"/>
            </w:tcBorders>
          </w:tcPr>
          <w:p w14:paraId="57DAD910">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r>
      <w:tr w14:paraId="72C4D504">
        <w:tblPrEx>
          <w:tblCellMar>
            <w:top w:w="0" w:type="dxa"/>
            <w:left w:w="108" w:type="dxa"/>
            <w:bottom w:w="0" w:type="dxa"/>
            <w:right w:w="108" w:type="dxa"/>
          </w:tblCellMar>
        </w:tblPrEx>
        <w:trPr>
          <w:trHeight w:val="632"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4F4">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49B">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E481">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4BAD">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460D">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B2E">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3999">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AAA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DD6E">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3256">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tcPr>
          <w:p w14:paraId="58F6621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BDA">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E46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D3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4EE6">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9842">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046A">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921">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0913">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6A2C">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C5C">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BB1B">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A90">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cBorders>
          </w:tcPr>
          <w:p w14:paraId="1C48F256">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r>
      <w:tr w14:paraId="13F9C122">
        <w:tblPrEx>
          <w:tblCellMar>
            <w:top w:w="0" w:type="dxa"/>
            <w:left w:w="108" w:type="dxa"/>
            <w:bottom w:w="0" w:type="dxa"/>
            <w:right w:w="108" w:type="dxa"/>
          </w:tblCellMar>
        </w:tblPrEx>
        <w:trPr>
          <w:trHeight w:val="632"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788">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6DEB">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EADD">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F746">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8DFE">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8BE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DFCC">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011A">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740">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1455">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tcPr>
          <w:p w14:paraId="603E0C14">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210A">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D1B6">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7D62">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2E4">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37D">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3E75">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5D9E">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9865">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BDA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CFD8">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5EA">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5EA">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cBorders>
          </w:tcPr>
          <w:p w14:paraId="574A0988">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r>
      <w:tr w14:paraId="4B435203">
        <w:tblPrEx>
          <w:tblCellMar>
            <w:top w:w="0" w:type="dxa"/>
            <w:left w:w="108" w:type="dxa"/>
            <w:bottom w:w="0" w:type="dxa"/>
            <w:right w:w="108" w:type="dxa"/>
          </w:tblCellMar>
        </w:tblPrEx>
        <w:trPr>
          <w:trHeight w:val="632"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5604">
            <w:pPr>
              <w:spacing w:after="0" w:line="240" w:lineRule="auto"/>
              <w:jc w:val="center"/>
              <w:textAlignment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r>
              <w:rPr>
                <w:rFonts w:hint="eastAsia" w:asciiTheme="minorEastAsia" w:hAnsiTheme="minorEastAsia" w:eastAsiaTheme="minorEastAsia" w:cstheme="minorBidi"/>
                <w:b/>
                <w:bCs/>
                <w:smallCaps/>
                <w:color w:val="000000" w:themeColor="text1"/>
                <w:spacing w:val="5"/>
                <w:sz w:val="21"/>
                <w:szCs w:val="21"/>
                <w14:textFill>
                  <w14:solidFill>
                    <w14:schemeClr w14:val="tx1"/>
                  </w14:solidFill>
                </w14:textFill>
              </w:rPr>
              <w:t>合计</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E60B">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EF7">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FAC3">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62E4">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91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F4D1">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0081">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3371">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9627">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2" w:type="dxa"/>
            <w:tcBorders>
              <w:top w:val="single" w:color="000000" w:sz="4" w:space="0"/>
              <w:left w:val="single" w:color="000000" w:sz="4" w:space="0"/>
              <w:bottom w:val="single" w:color="000000" w:sz="4" w:space="0"/>
              <w:right w:val="single" w:color="000000" w:sz="4" w:space="0"/>
            </w:tcBorders>
          </w:tcPr>
          <w:p w14:paraId="4B936001">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360">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B5AF">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FD8">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2B69">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B549">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7D97">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D8AC">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A394">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FAD0">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C1C">
            <w:pPr>
              <w:spacing w:after="0" w:line="240" w:lineRule="auto"/>
              <w:jc w:val="center"/>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B073">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621">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c>
          <w:tcPr>
            <w:tcW w:w="817" w:type="dxa"/>
            <w:tcBorders>
              <w:top w:val="single" w:color="000000" w:sz="4" w:space="0"/>
              <w:left w:val="single" w:color="000000" w:sz="4" w:space="0"/>
              <w:bottom w:val="single" w:color="000000" w:sz="4" w:space="0"/>
              <w:right w:val="single" w:color="000000" w:sz="4" w:space="0"/>
            </w:tcBorders>
          </w:tcPr>
          <w:p w14:paraId="321BE244">
            <w:pPr>
              <w:spacing w:after="0" w:line="240" w:lineRule="auto"/>
              <w:rPr>
                <w:rFonts w:asciiTheme="minorEastAsia" w:hAnsiTheme="minorEastAsia" w:eastAsiaTheme="minorEastAsia" w:cstheme="minorBidi"/>
                <w:b/>
                <w:bCs/>
                <w:smallCaps/>
                <w:color w:val="000000" w:themeColor="text1"/>
                <w:spacing w:val="5"/>
                <w:sz w:val="21"/>
                <w:szCs w:val="21"/>
                <w14:textFill>
                  <w14:solidFill>
                    <w14:schemeClr w14:val="tx1"/>
                  </w14:solidFill>
                </w14:textFill>
              </w:rPr>
            </w:pPr>
          </w:p>
        </w:tc>
      </w:tr>
    </w:tbl>
    <w:p w14:paraId="2A823B38">
      <w:pPr>
        <w:ind w:firstLine="316" w:firstLineChars="150"/>
        <w:rPr>
          <w:b/>
          <w:bCs w:val="0"/>
          <w:sz w:val="21"/>
          <w:szCs w:val="21"/>
          <w:highlight w:val="none"/>
        </w:rPr>
      </w:pPr>
      <w:r>
        <w:rPr>
          <w:rFonts w:hint="eastAsia"/>
          <w:b/>
          <w:bCs w:val="0"/>
          <w:sz w:val="21"/>
          <w:szCs w:val="21"/>
          <w:highlight w:val="none"/>
          <w:lang w:val="en-US" w:eastAsia="zh-CN"/>
        </w:rPr>
        <w:t>核查要点</w:t>
      </w:r>
      <w:r>
        <w:rPr>
          <w:rFonts w:hint="eastAsia"/>
          <w:b/>
          <w:bCs w:val="0"/>
          <w:sz w:val="21"/>
          <w:szCs w:val="21"/>
          <w:highlight w:val="none"/>
        </w:rPr>
        <w:t>：</w:t>
      </w:r>
    </w:p>
    <w:p w14:paraId="5AC3CF01">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1. 能源类型：填写每种车型及排放标准的车辆对应燃料种类，如柴油、汽油、天然气、电力;</w:t>
      </w:r>
    </w:p>
    <w:p w14:paraId="0023030B">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2.座位数：按照车辆的实际座位数对应区间进行填写，0&lt;座位数≤9、9&lt;座位数≤19、19&lt;座位数≤29、29&lt;座位数≤39、39&lt;座位数≤49和49&lt;座位数；</w:t>
      </w:r>
    </w:p>
    <w:p w14:paraId="31E09890">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车辆排放标准：按照车辆实际的排放标准进行填写，例如国Ⅵ、国Ⅴ；</w:t>
      </w:r>
    </w:p>
    <w:p w14:paraId="79860C2F">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3.车辆排放标准：按照车辆实际的排放标准进行填写，例如国I、国II、国III、国Ⅵ、国Ⅴ和国IV等；</w:t>
      </w:r>
    </w:p>
    <w:p w14:paraId="72358140">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4.车辆数量：填写登记注册在企业名下每种车型及排放标准的车辆保有量;</w:t>
      </w:r>
    </w:p>
    <w:p w14:paraId="1608196D">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5.安装SCR车辆数：填写登记注册在企业名下车辆中安装了SCR设备的车辆保有量</w:t>
      </w:r>
    </w:p>
    <w:p w14:paraId="3210D080">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6.年度累计行驶里程（公里）：</w:t>
      </w:r>
    </w:p>
    <w:p w14:paraId="16B765FC">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1）累计里程：企业旗下车辆单车在全国范围内运行的全部里程合计；</w:t>
      </w:r>
    </w:p>
    <w:p w14:paraId="657FF667">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2）京内里程：企业旗下车辆单车在北京市域范围内运行的全部里程合计；</w:t>
      </w:r>
    </w:p>
    <w:p w14:paraId="090ED1EA">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3）天津、河北里程：企业旗下车辆单车在天津市及河北省域范围内运行的全部里程合计；</w:t>
      </w:r>
    </w:p>
    <w:p w14:paraId="1EA3970D">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4）京津冀区域里程：企业旗下车辆单车在北京市、天津市、河北省域范围内运行的全部里程合计；</w:t>
      </w:r>
    </w:p>
    <w:p w14:paraId="7EFBF7B7">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5）京津冀</w:t>
      </w:r>
      <w:r>
        <w:rPr>
          <w:rFonts w:hint="eastAsia" w:asciiTheme="minorEastAsia" w:hAnsiTheme="minorEastAsia" w:eastAsiaTheme="minorEastAsia"/>
          <w:bCs/>
          <w:sz w:val="21"/>
          <w:szCs w:val="21"/>
        </w:rPr>
        <w:t>区域</w:t>
      </w:r>
      <w:r>
        <w:rPr>
          <w:rFonts w:asciiTheme="minorEastAsia" w:hAnsiTheme="minorEastAsia" w:eastAsiaTheme="minorEastAsia"/>
          <w:bCs/>
          <w:sz w:val="21"/>
          <w:szCs w:val="21"/>
        </w:rPr>
        <w:t>外里程：企业旗下车辆单车在全国除北京市、天津市、河北省域范围外运行的全部里程合计；</w:t>
      </w:r>
    </w:p>
    <w:p w14:paraId="67712B11">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6）数据获取方式：</w:t>
      </w:r>
    </w:p>
    <w:p w14:paraId="1AA49F91">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①企业通过自有单车级大数据监控平台获取得到的单车级车辆行驶里程；</w:t>
      </w:r>
    </w:p>
    <w:p w14:paraId="015D9154">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②企业通过对旗下车辆仪表盘进行抄表统计获得的单车级车辆行驶里程；</w:t>
      </w:r>
    </w:p>
    <w:p w14:paraId="228C5E9B">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③企业通过参考北京市应对气候变化管理中心提供的单车级车辆行驶里程推荐值；</w:t>
      </w:r>
    </w:p>
    <w:p w14:paraId="2DB93F69">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7.客运量：填报公路运输企业旗下所有车辆在每年度内实际运送的旅客人数（</w:t>
      </w:r>
      <w:r>
        <w:rPr>
          <w:rFonts w:hint="eastAsia" w:asciiTheme="minorEastAsia" w:hAnsiTheme="minorEastAsia" w:eastAsiaTheme="minorEastAsia"/>
          <w:bCs/>
          <w:sz w:val="21"/>
          <w:szCs w:val="21"/>
        </w:rPr>
        <w:t>万</w:t>
      </w:r>
      <w:r>
        <w:rPr>
          <w:rFonts w:asciiTheme="minorEastAsia" w:hAnsiTheme="minorEastAsia" w:eastAsiaTheme="minorEastAsia"/>
          <w:bCs/>
          <w:sz w:val="21"/>
          <w:szCs w:val="21"/>
        </w:rPr>
        <w:t>人次）;</w:t>
      </w:r>
    </w:p>
    <w:p w14:paraId="23F35491">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8.客运周转量：填报公路运输企业旗下所有车辆在每年度内实际运送的旅客运输总量指标（</w:t>
      </w:r>
      <w:r>
        <w:rPr>
          <w:rFonts w:hint="eastAsia" w:asciiTheme="minorEastAsia" w:hAnsiTheme="minorEastAsia" w:eastAsiaTheme="minorEastAsia"/>
          <w:bCs/>
          <w:sz w:val="21"/>
          <w:szCs w:val="21"/>
        </w:rPr>
        <w:t>万</w:t>
      </w:r>
      <w:r>
        <w:rPr>
          <w:rFonts w:asciiTheme="minorEastAsia" w:hAnsiTheme="minorEastAsia" w:eastAsiaTheme="minorEastAsia"/>
          <w:bCs/>
          <w:sz w:val="21"/>
          <w:szCs w:val="21"/>
        </w:rPr>
        <w:t>人公里），基于客运量及平均运距乘积得到；</w:t>
      </w:r>
    </w:p>
    <w:p w14:paraId="74D0C85B">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9.百公里单耗：</w:t>
      </w:r>
    </w:p>
    <w:p w14:paraId="02D8DF05">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百公里单耗数据结果：填报企业企业车辆（单车级）在运行单位距离（通常标定为100公里）时产生的能源消耗量，单位主要是：kg/百公里、立方米/百公里、千瓦时/百公里（企业如统计汽油、柴油车辆百公里单耗时统计单位为升时，可按照汽油0.73kg/L,柴油0.86kg/L进行单位换算）</w:t>
      </w:r>
    </w:p>
    <w:p w14:paraId="5E6EC3F4">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2）数据获取方式：</w:t>
      </w:r>
    </w:p>
    <w:p w14:paraId="3C1F5681">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①企业通过自有单车级大数据监控平台获取得到的单车级车辆百公里能耗；</w:t>
      </w:r>
    </w:p>
    <w:p w14:paraId="0FFE909F">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②企业通过参考主管部门提供的单车级车辆百公里能耗推荐值；</w:t>
      </w:r>
    </w:p>
    <w:p w14:paraId="4A9FD4DD">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10.能源消耗量：</w:t>
      </w:r>
    </w:p>
    <w:p w14:paraId="193BD41E">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1）能源消耗量：填报企业旗下车辆因运行而产生的能源消耗总量，按照车辆对应的能源类型，将实际的能源消耗量填写到对应的格内，单位主要是：吨、立方米、千瓦时（企业如统计汽油、柴油时统计单位为升时，可按照汽油0.73kg/L,柴油0.86kg/L进行单位换算）；</w:t>
      </w:r>
    </w:p>
    <w:p w14:paraId="7733FB22">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asciiTheme="minorEastAsia" w:hAnsiTheme="minorEastAsia" w:eastAsiaTheme="minorEastAsia"/>
          <w:bCs/>
          <w:sz w:val="21"/>
          <w:szCs w:val="21"/>
        </w:rPr>
        <w:t>2）数据获取方式：</w:t>
      </w:r>
    </w:p>
    <w:p w14:paraId="1D56A8DD">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①基于单车级的能源消耗量统计手段进行能源消耗统计，一车一卡或一车一个充电账号等手段获取；</w:t>
      </w:r>
    </w:p>
    <w:p w14:paraId="696146B4">
      <w:pPr>
        <w:ind w:firstLine="315" w:firstLineChars="150"/>
        <w:rPr>
          <w:rFonts w:asciiTheme="minorEastAsia" w:hAnsiTheme="minorEastAsia" w:eastAsiaTheme="minorEastAsia"/>
          <w:bCs/>
          <w:sz w:val="21"/>
          <w:szCs w:val="21"/>
        </w:rPr>
      </w:pPr>
      <w:r>
        <w:rPr>
          <w:rFonts w:hint="eastAsia" w:asciiTheme="minorEastAsia" w:hAnsiTheme="minorEastAsia" w:eastAsiaTheme="minorEastAsia"/>
          <w:bCs/>
          <w:sz w:val="21"/>
          <w:szCs w:val="21"/>
        </w:rPr>
        <w:t>②基于单车级的车辆行驶里程与百公里单耗数据结果计算得到；</w:t>
      </w:r>
    </w:p>
    <w:p w14:paraId="6D233E09">
      <w:pPr>
        <w:ind w:firstLine="315" w:firstLineChars="150"/>
        <w:rPr>
          <w:rFonts w:asciiTheme="minorEastAsia" w:hAnsiTheme="minorEastAsia" w:eastAsiaTheme="minorEastAsia"/>
          <w:bCs/>
          <w:sz w:val="21"/>
          <w:szCs w:val="21"/>
        </w:rPr>
      </w:pPr>
      <w:r>
        <w:rPr>
          <w:rFonts w:asciiTheme="minorEastAsia" w:hAnsiTheme="minorEastAsia" w:eastAsiaTheme="minorEastAsia"/>
          <w:bCs/>
          <w:sz w:val="21"/>
          <w:szCs w:val="21"/>
        </w:rPr>
        <w:t>11.累计碳排放量：由统计得到的车辆运行能耗及每种能源类型对应的碳排放因子转换系数计算得到</w:t>
      </w:r>
      <w:r>
        <w:rPr>
          <w:rFonts w:hint="eastAsia" w:asciiTheme="minorEastAsia" w:hAnsiTheme="minorEastAsia" w:eastAsiaTheme="minorEastAsia"/>
          <w:bCs/>
          <w:sz w:val="21"/>
          <w:szCs w:val="21"/>
        </w:rPr>
        <w:t>。</w:t>
      </w:r>
    </w:p>
    <w:p w14:paraId="394EF6DF">
      <w:pPr>
        <w:ind w:firstLine="315" w:firstLineChars="150"/>
        <w:rPr>
          <w:rFonts w:asciiTheme="minorEastAsia" w:hAnsiTheme="minorEastAsia" w:eastAsiaTheme="minorEastAsia"/>
          <w:bCs/>
          <w:sz w:val="21"/>
          <w:szCs w:val="21"/>
        </w:rPr>
        <w:sectPr>
          <w:footerReference r:id="rId14" w:type="default"/>
          <w:pgSz w:w="16838" w:h="11906" w:orient="landscape"/>
          <w:pgMar w:top="1587" w:right="1440" w:bottom="1474" w:left="1440" w:header="851" w:footer="1134" w:gutter="0"/>
          <w:pgNumType w:fmt="decimal"/>
          <w:cols w:space="0" w:num="1"/>
          <w:docGrid w:linePitch="326" w:charSpace="0"/>
        </w:sectPr>
      </w:pPr>
      <w:r>
        <w:rPr>
          <w:rFonts w:asciiTheme="minorEastAsia" w:hAnsiTheme="minorEastAsia" w:eastAsiaTheme="minorEastAsia"/>
          <w:bCs/>
          <w:sz w:val="21"/>
          <w:szCs w:val="21"/>
        </w:rPr>
        <w:t>12．百公里单耗缺省值</w:t>
      </w:r>
      <w:r>
        <w:rPr>
          <w:rFonts w:hint="eastAsia" w:asciiTheme="minorEastAsia" w:hAnsiTheme="minorEastAsia" w:eastAsiaTheme="minorEastAsia"/>
          <w:bCs/>
          <w:sz w:val="21"/>
          <w:szCs w:val="21"/>
        </w:rPr>
        <w:t>参考系统自带数据。</w:t>
      </w:r>
    </w:p>
    <w:p w14:paraId="247247E5">
      <w:pPr>
        <w:ind w:firstLine="480" w:firstLineChars="150"/>
        <w:jc w:val="center"/>
        <w:rPr>
          <w:rFonts w:ascii="黑体" w:hAnsi="黑体" w:eastAsia="黑体"/>
          <w:bCs/>
          <w:sz w:val="32"/>
          <w:szCs w:val="28"/>
        </w:rPr>
      </w:pPr>
      <w:r>
        <w:rPr>
          <w:rFonts w:hint="eastAsia" w:ascii="黑体" w:hAnsi="黑体" w:eastAsia="黑体"/>
          <w:bCs/>
          <w:sz w:val="32"/>
          <w:szCs w:val="28"/>
        </w:rPr>
        <w:t>道路货物运输企业补充数据表</w:t>
      </w:r>
    </w:p>
    <w:tbl>
      <w:tblPr>
        <w:tblStyle w:val="35"/>
        <w:tblW w:w="14076" w:type="dxa"/>
        <w:tblInd w:w="98" w:type="dxa"/>
        <w:tblLayout w:type="fixed"/>
        <w:tblCellMar>
          <w:top w:w="0" w:type="dxa"/>
          <w:left w:w="108" w:type="dxa"/>
          <w:bottom w:w="0" w:type="dxa"/>
          <w:right w:w="108" w:type="dxa"/>
        </w:tblCellMar>
      </w:tblPr>
      <w:tblGrid>
        <w:gridCol w:w="434"/>
        <w:gridCol w:w="710"/>
        <w:gridCol w:w="709"/>
        <w:gridCol w:w="1134"/>
        <w:gridCol w:w="992"/>
        <w:gridCol w:w="567"/>
        <w:gridCol w:w="567"/>
        <w:gridCol w:w="709"/>
        <w:gridCol w:w="709"/>
        <w:gridCol w:w="709"/>
        <w:gridCol w:w="708"/>
        <w:gridCol w:w="709"/>
        <w:gridCol w:w="567"/>
        <w:gridCol w:w="709"/>
        <w:gridCol w:w="441"/>
        <w:gridCol w:w="409"/>
        <w:gridCol w:w="462"/>
        <w:gridCol w:w="435"/>
        <w:gridCol w:w="435"/>
        <w:gridCol w:w="545"/>
        <w:gridCol w:w="545"/>
        <w:gridCol w:w="326"/>
        <w:gridCol w:w="545"/>
      </w:tblGrid>
      <w:tr w14:paraId="101472AB">
        <w:tblPrEx>
          <w:tblCellMar>
            <w:top w:w="0" w:type="dxa"/>
            <w:left w:w="108" w:type="dxa"/>
            <w:bottom w:w="0" w:type="dxa"/>
            <w:right w:w="108" w:type="dxa"/>
          </w:tblCellMar>
        </w:tblPrEx>
        <w:trPr>
          <w:trHeight w:val="49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1459F">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序号</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86323">
            <w:pPr>
              <w:spacing w:line="240" w:lineRule="auto"/>
              <w:jc w:val="center"/>
              <w:textAlignment w:val="center"/>
              <w:rPr>
                <w:rFonts w:cs="等线" w:asciiTheme="minorEastAsia" w:hAnsiTheme="minorEastAsia" w:eastAsiaTheme="minorEastAsia"/>
                <w:color w:val="000000"/>
                <w:sz w:val="21"/>
                <w:szCs w:val="21"/>
              </w:rPr>
            </w:pPr>
            <w:r>
              <w:rPr>
                <w:rFonts w:hint="eastAsia" w:cs="宋体" w:asciiTheme="minorEastAsia" w:hAnsiTheme="minorEastAsia" w:eastAsiaTheme="minorEastAsia"/>
                <w:color w:val="000000"/>
                <w:sz w:val="20"/>
                <w:szCs w:val="20"/>
              </w:rPr>
              <w:t>能源类型</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46D9D">
            <w:pPr>
              <w:spacing w:line="240" w:lineRule="auto"/>
              <w:jc w:val="center"/>
              <w:textAlignment w:val="center"/>
              <w:rPr>
                <w:rFonts w:cs="等线" w:asciiTheme="minorEastAsia" w:hAnsiTheme="minorEastAsia" w:eastAsiaTheme="minorEastAsia"/>
                <w:color w:val="000000"/>
                <w:sz w:val="21"/>
                <w:szCs w:val="21"/>
              </w:rPr>
            </w:pPr>
            <w:r>
              <w:rPr>
                <w:rFonts w:hint="eastAsia" w:cs="宋体" w:asciiTheme="minorEastAsia" w:hAnsiTheme="minorEastAsia" w:eastAsiaTheme="minorEastAsia"/>
                <w:color w:val="000000"/>
                <w:sz w:val="20"/>
                <w:szCs w:val="20"/>
              </w:rPr>
              <w:t>排放标准</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51DE6">
            <w:pPr>
              <w:spacing w:line="240" w:lineRule="auto"/>
              <w:jc w:val="center"/>
              <w:textAlignment w:val="center"/>
              <w:rPr>
                <w:rFonts w:cs="等线" w:asciiTheme="minorEastAsia" w:hAnsiTheme="minorEastAsia" w:eastAsiaTheme="minorEastAsia"/>
                <w:color w:val="000000"/>
                <w:sz w:val="21"/>
                <w:szCs w:val="21"/>
              </w:rPr>
            </w:pPr>
            <w:r>
              <w:rPr>
                <w:rFonts w:hint="eastAsia" w:cs="宋体" w:asciiTheme="minorEastAsia" w:hAnsiTheme="minorEastAsia" w:eastAsiaTheme="minorEastAsia"/>
                <w:sz w:val="20"/>
                <w:szCs w:val="20"/>
              </w:rPr>
              <w:t>车辆类型（行驶证）</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8D65F">
            <w:pPr>
              <w:spacing w:line="240" w:lineRule="auto"/>
              <w:jc w:val="center"/>
              <w:textAlignment w:val="center"/>
              <w:rPr>
                <w:rFonts w:cs="等线" w:asciiTheme="minorEastAsia" w:hAnsiTheme="minorEastAsia" w:eastAsiaTheme="minorEastAsia"/>
                <w:color w:val="000000"/>
                <w:sz w:val="21"/>
                <w:szCs w:val="21"/>
              </w:rPr>
            </w:pPr>
            <w:r>
              <w:rPr>
                <w:rFonts w:hint="eastAsia" w:cs="宋体" w:asciiTheme="minorEastAsia" w:hAnsiTheme="minorEastAsia" w:eastAsiaTheme="minorEastAsia"/>
                <w:color w:val="000000"/>
                <w:sz w:val="20"/>
                <w:szCs w:val="20"/>
              </w:rPr>
              <w:t>总质量区间（</w:t>
            </w:r>
            <w:r>
              <w:rPr>
                <w:rFonts w:cs="宋体" w:asciiTheme="minorEastAsia" w:hAnsiTheme="minorEastAsia" w:eastAsiaTheme="minorEastAsia"/>
                <w:color w:val="000000"/>
                <w:sz w:val="20"/>
                <w:szCs w:val="20"/>
              </w:rPr>
              <w:t>kg）</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4164B">
            <w:pPr>
              <w:spacing w:line="240" w:lineRule="auto"/>
              <w:jc w:val="center"/>
              <w:textAlignment w:val="center"/>
              <w:rPr>
                <w:rFonts w:cs="等线" w:asciiTheme="minorEastAsia" w:hAnsiTheme="minorEastAsia" w:eastAsiaTheme="minorEastAsia"/>
                <w:color w:val="000000"/>
                <w:sz w:val="21"/>
                <w:szCs w:val="21"/>
              </w:rPr>
            </w:pPr>
            <w:r>
              <w:rPr>
                <w:rFonts w:hint="eastAsia" w:cs="宋体" w:asciiTheme="minorEastAsia" w:hAnsiTheme="minorEastAsia" w:eastAsiaTheme="minorEastAsia"/>
                <w:color w:val="000000"/>
                <w:sz w:val="20"/>
                <w:szCs w:val="20"/>
              </w:rPr>
              <w:t>车辆数量</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2625A">
            <w:pPr>
              <w:spacing w:line="240" w:lineRule="auto"/>
              <w:jc w:val="center"/>
              <w:textAlignment w:val="center"/>
              <w:rPr>
                <w:rFonts w:cs="等线" w:asciiTheme="minorEastAsia" w:hAnsiTheme="minorEastAsia" w:eastAsiaTheme="minorEastAsia"/>
                <w:color w:val="000000"/>
                <w:sz w:val="21"/>
                <w:szCs w:val="21"/>
              </w:rPr>
            </w:pPr>
            <w:r>
              <w:rPr>
                <w:rFonts w:hint="eastAsia" w:cs="宋体" w:asciiTheme="minorEastAsia" w:hAnsiTheme="minorEastAsia" w:eastAsiaTheme="minorEastAsia"/>
                <w:color w:val="000000"/>
                <w:sz w:val="20"/>
                <w:szCs w:val="20"/>
              </w:rPr>
              <w:t>安装</w:t>
            </w:r>
            <w:r>
              <w:rPr>
                <w:rFonts w:cs="宋体" w:asciiTheme="minorEastAsia" w:hAnsiTheme="minorEastAsia" w:eastAsiaTheme="minorEastAsia"/>
                <w:color w:val="000000"/>
                <w:sz w:val="20"/>
                <w:szCs w:val="20"/>
              </w:rPr>
              <w:t>SCR车辆</w:t>
            </w:r>
          </w:p>
        </w:tc>
        <w:tc>
          <w:tcPr>
            <w:tcW w:w="3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D86C7">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年度累计行驶里程（万公里）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2C9F6">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货运量（吨）</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B488E">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货运周转量（万吨公里）</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058A9">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百公里单耗</w:t>
            </w:r>
          </w:p>
        </w:tc>
        <w:tc>
          <w:tcPr>
            <w:tcW w:w="27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B290B1">
            <w:pPr>
              <w:spacing w:line="240" w:lineRule="auto"/>
              <w:jc w:val="center"/>
              <w:textAlignment w:val="center"/>
              <w:rPr>
                <w:rFonts w:cs="等线" w:asciiTheme="minorEastAsia" w:hAnsiTheme="minorEastAsia" w:eastAsiaTheme="minorEastAsia"/>
                <w:color w:val="000000"/>
                <w:sz w:val="21"/>
                <w:szCs w:val="21"/>
                <w:lang w:bidi="ar"/>
              </w:rPr>
            </w:pPr>
            <w:r>
              <w:rPr>
                <w:rFonts w:hint="eastAsia" w:cs="等线" w:asciiTheme="minorEastAsia" w:hAnsiTheme="minorEastAsia" w:eastAsiaTheme="minorEastAsia"/>
                <w:color w:val="000000"/>
                <w:sz w:val="21"/>
                <w:szCs w:val="21"/>
                <w:lang w:bidi="ar"/>
              </w:rPr>
              <w:t>能源消耗量</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0B515">
            <w:pPr>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bidi="ar"/>
              </w:rPr>
              <w:t>累计碳排放量（吨）</w:t>
            </w:r>
          </w:p>
        </w:tc>
      </w:tr>
      <w:tr w14:paraId="62BF5775">
        <w:tblPrEx>
          <w:tblCellMar>
            <w:top w:w="0" w:type="dxa"/>
            <w:left w:w="108" w:type="dxa"/>
            <w:bottom w:w="0" w:type="dxa"/>
            <w:right w:w="108" w:type="dxa"/>
          </w:tblCellMar>
        </w:tblPrEx>
        <w:trPr>
          <w:trHeight w:val="3219"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4F6B">
            <w:pPr>
              <w:spacing w:line="240" w:lineRule="auto"/>
              <w:jc w:val="center"/>
              <w:rPr>
                <w:rFonts w:cs="等线" w:asciiTheme="minorEastAsia" w:hAnsiTheme="minorEastAsia" w:eastAsiaTheme="minorEastAsia"/>
                <w:color w:val="000000"/>
                <w:sz w:val="21"/>
                <w:szCs w:val="21"/>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20A1">
            <w:pPr>
              <w:spacing w:line="240" w:lineRule="auto"/>
              <w:jc w:val="center"/>
              <w:rPr>
                <w:rFonts w:cs="等线" w:asciiTheme="minorEastAsia" w:hAnsiTheme="minorEastAsia" w:eastAsiaTheme="minorEastAsia"/>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8017">
            <w:pPr>
              <w:spacing w:line="240" w:lineRule="auto"/>
              <w:jc w:val="center"/>
              <w:rPr>
                <w:rFonts w:cs="等线" w:asciiTheme="minorEastAsia" w:hAnsiTheme="minorEastAsia" w:eastAsiaTheme="minorEastAsia"/>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F5CF">
            <w:pPr>
              <w:spacing w:line="240" w:lineRule="auto"/>
              <w:jc w:val="center"/>
              <w:rPr>
                <w:rFonts w:cs="等线" w:asciiTheme="minorEastAsia" w:hAnsiTheme="minorEastAsia" w:eastAsiaTheme="minorEastAsia"/>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291E">
            <w:pPr>
              <w:spacing w:line="240" w:lineRule="auto"/>
              <w:jc w:val="center"/>
              <w:rPr>
                <w:rFonts w:cs="等线" w:asciiTheme="minorEastAsia" w:hAnsiTheme="minorEastAsia" w:eastAsiaTheme="minorEastAsia"/>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B8A3">
            <w:pPr>
              <w:spacing w:line="240" w:lineRule="auto"/>
              <w:jc w:val="center"/>
              <w:rPr>
                <w:rFonts w:cs="等线" w:asciiTheme="minorEastAsia" w:hAnsiTheme="minorEastAsia" w:eastAsiaTheme="minorEastAsia"/>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44B7">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D3C">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累计里程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C25">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京内里程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52A7">
            <w:pPr>
              <w:spacing w:line="240" w:lineRule="auto"/>
              <w:jc w:val="both"/>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天津、河北里程</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672">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京津冀外里程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C8E8">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数据获取方式</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7739">
            <w:pPr>
              <w:spacing w:line="240" w:lineRule="auto"/>
              <w:jc w:val="center"/>
              <w:rPr>
                <w:rFonts w:cs="等线" w:asciiTheme="minorEastAsia" w:hAnsiTheme="minorEastAsia" w:eastAsiaTheme="minorEastAsia"/>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6702">
            <w:pPr>
              <w:spacing w:line="240" w:lineRule="auto"/>
              <w:jc w:val="center"/>
              <w:rPr>
                <w:rFonts w:cs="等线" w:asciiTheme="minorEastAsia" w:hAnsiTheme="minorEastAsia" w:eastAsiaTheme="minorEastAsia"/>
                <w:color w:val="000000"/>
                <w:sz w:val="21"/>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3C95">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数据结果</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078">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数据获取方式</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2E99">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汽油（吨）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E48">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电（兆瓦时）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B1ED">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天然气（万立方米）</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754">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柴油（吨）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0421">
            <w:pPr>
              <w:spacing w:line="240" w:lineRule="auto"/>
              <w:jc w:val="center"/>
              <w:textAlignment w:val="center"/>
              <w:rPr>
                <w:rFonts w:cs="等线" w:asciiTheme="minorEastAsia" w:hAnsiTheme="minorEastAsia" w:eastAsiaTheme="minorEastAsia"/>
                <w:color w:val="000000"/>
                <w:sz w:val="21"/>
                <w:szCs w:val="21"/>
                <w:lang w:bidi="ar"/>
              </w:rPr>
            </w:pPr>
            <w:r>
              <w:rPr>
                <w:rFonts w:hint="eastAsia" w:cs="宋体" w:asciiTheme="minorEastAsia" w:hAnsiTheme="minorEastAsia" w:eastAsiaTheme="minorEastAsia"/>
                <w:color w:val="000000"/>
                <w:sz w:val="21"/>
                <w:szCs w:val="21"/>
                <w:lang w:bidi="ar"/>
              </w:rPr>
              <w:t>车用尿素溶液（吨）</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BFD2">
            <w:pPr>
              <w:spacing w:line="240" w:lineRule="auto"/>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bidi="ar"/>
              </w:rPr>
              <w:t>数据获取方式</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656E">
            <w:pPr>
              <w:spacing w:line="240" w:lineRule="auto"/>
              <w:jc w:val="center"/>
              <w:rPr>
                <w:rFonts w:cs="宋体" w:asciiTheme="minorEastAsia" w:hAnsiTheme="minorEastAsia" w:eastAsiaTheme="minorEastAsia"/>
                <w:color w:val="000000"/>
                <w:sz w:val="21"/>
                <w:szCs w:val="21"/>
              </w:rPr>
            </w:pPr>
          </w:p>
        </w:tc>
      </w:tr>
      <w:tr w14:paraId="2B738AAB">
        <w:tblPrEx>
          <w:tblCellMar>
            <w:top w:w="0" w:type="dxa"/>
            <w:left w:w="108" w:type="dxa"/>
            <w:bottom w:w="0" w:type="dxa"/>
            <w:right w:w="108" w:type="dxa"/>
          </w:tblCellMar>
        </w:tblPrEx>
        <w:trPr>
          <w:trHeight w:val="63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92FF">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A11C">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4D0">
            <w:pPr>
              <w:spacing w:line="240" w:lineRule="auto"/>
              <w:jc w:val="center"/>
              <w:rPr>
                <w:rFonts w:cs="等线" w:asciiTheme="minorEastAsia" w:hAnsiTheme="minorEastAsia" w:eastAsiaTheme="minorEastAsia"/>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82A6">
            <w:pPr>
              <w:spacing w:line="240" w:lineRule="auto"/>
              <w:jc w:val="center"/>
              <w:rPr>
                <w:rFonts w:cs="等线" w:asciiTheme="minorEastAsia" w:hAnsiTheme="minorEastAsia" w:eastAsiaTheme="minorEastAsia"/>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BDD8">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8A6">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9B7C">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74C6">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D07">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DB8E">
            <w:pPr>
              <w:spacing w:line="240" w:lineRule="auto"/>
              <w:jc w:val="center"/>
              <w:rPr>
                <w:rFonts w:cs="等线" w:asciiTheme="minorEastAsia" w:hAnsiTheme="minorEastAsia" w:eastAsiaTheme="min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0AD1">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761">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483E">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28F1">
            <w:pPr>
              <w:spacing w:line="240" w:lineRule="auto"/>
              <w:jc w:val="center"/>
              <w:rPr>
                <w:rFonts w:cs="等线" w:asciiTheme="minorEastAsia" w:hAnsiTheme="minorEastAsia" w:eastAsiaTheme="minorEastAsia"/>
                <w:color w:val="000000"/>
                <w:sz w:val="21"/>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5FE3">
            <w:pPr>
              <w:spacing w:line="240" w:lineRule="auto"/>
              <w:jc w:val="center"/>
              <w:rPr>
                <w:rFonts w:cs="等线" w:asciiTheme="minorEastAsia" w:hAnsiTheme="minorEastAsia" w:eastAsiaTheme="minorEastAsia"/>
                <w:color w:val="000000"/>
                <w:sz w:val="21"/>
                <w:szCs w:val="21"/>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A8D">
            <w:pPr>
              <w:spacing w:line="240" w:lineRule="auto"/>
              <w:jc w:val="center"/>
              <w:rPr>
                <w:rFonts w:cs="等线" w:asciiTheme="minorEastAsia" w:hAnsiTheme="minorEastAsia" w:eastAsiaTheme="minorEastAsia"/>
                <w:color w:val="000000"/>
                <w:sz w:val="21"/>
                <w:szCs w:val="21"/>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C566">
            <w:pPr>
              <w:spacing w:line="240" w:lineRule="auto"/>
              <w:jc w:val="center"/>
              <w:rPr>
                <w:rFonts w:cs="等线" w:asciiTheme="minorEastAsia" w:hAnsiTheme="minorEastAsia" w:eastAsiaTheme="minorEastAsia"/>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4A1">
            <w:pPr>
              <w:spacing w:line="240" w:lineRule="auto"/>
              <w:jc w:val="center"/>
              <w:rPr>
                <w:rFonts w:cs="等线" w:asciiTheme="minorEastAsia" w:hAnsiTheme="minorEastAsia" w:eastAsiaTheme="minorEastAsia"/>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39B0">
            <w:pPr>
              <w:spacing w:line="240" w:lineRule="auto"/>
              <w:jc w:val="center"/>
              <w:rPr>
                <w:rFonts w:cs="等线"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7977">
            <w:pPr>
              <w:spacing w:line="240" w:lineRule="auto"/>
              <w:jc w:val="center"/>
              <w:rPr>
                <w:rFonts w:cs="等线"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C31B">
            <w:pPr>
              <w:spacing w:line="240" w:lineRule="auto"/>
              <w:jc w:val="center"/>
              <w:rPr>
                <w:rFonts w:cs="等线" w:asciiTheme="minorEastAsia" w:hAnsiTheme="minorEastAsia" w:eastAsiaTheme="minorEastAsia"/>
                <w:color w:val="000000"/>
                <w:sz w:val="21"/>
                <w:szCs w:val="21"/>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89C5">
            <w:pPr>
              <w:spacing w:line="240" w:lineRule="auto"/>
              <w:rPr>
                <w:rFonts w:cs="宋体"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D7BE">
            <w:pPr>
              <w:spacing w:line="240" w:lineRule="auto"/>
              <w:rPr>
                <w:rFonts w:cs="宋体" w:asciiTheme="minorEastAsia" w:hAnsiTheme="minorEastAsia" w:eastAsiaTheme="minorEastAsia"/>
                <w:color w:val="000000"/>
                <w:sz w:val="21"/>
                <w:szCs w:val="21"/>
              </w:rPr>
            </w:pPr>
          </w:p>
        </w:tc>
      </w:tr>
      <w:tr w14:paraId="5456FDF8">
        <w:tblPrEx>
          <w:tblCellMar>
            <w:top w:w="0" w:type="dxa"/>
            <w:left w:w="108" w:type="dxa"/>
            <w:bottom w:w="0" w:type="dxa"/>
            <w:right w:w="108" w:type="dxa"/>
          </w:tblCellMar>
        </w:tblPrEx>
        <w:trPr>
          <w:trHeight w:val="63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B73">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AC6C">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EBD">
            <w:pPr>
              <w:spacing w:line="240" w:lineRule="auto"/>
              <w:jc w:val="center"/>
              <w:rPr>
                <w:rFonts w:cs="等线" w:asciiTheme="minorEastAsia" w:hAnsiTheme="minorEastAsia" w:eastAsiaTheme="minorEastAsia"/>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4B21">
            <w:pPr>
              <w:spacing w:line="240" w:lineRule="auto"/>
              <w:jc w:val="center"/>
              <w:rPr>
                <w:rFonts w:cs="等线" w:asciiTheme="minorEastAsia" w:hAnsiTheme="minorEastAsia" w:eastAsiaTheme="minorEastAsia"/>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2822">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34A">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8840">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B6F2">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8E9A">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03F">
            <w:pPr>
              <w:spacing w:line="240" w:lineRule="auto"/>
              <w:jc w:val="center"/>
              <w:rPr>
                <w:rFonts w:cs="等线" w:asciiTheme="minorEastAsia" w:hAnsiTheme="minorEastAsia" w:eastAsiaTheme="min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FD6">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9B4">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6D21">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51CF">
            <w:pPr>
              <w:spacing w:line="240" w:lineRule="auto"/>
              <w:jc w:val="center"/>
              <w:rPr>
                <w:rFonts w:cs="等线" w:asciiTheme="minorEastAsia" w:hAnsiTheme="minorEastAsia" w:eastAsiaTheme="minorEastAsia"/>
                <w:color w:val="000000"/>
                <w:sz w:val="21"/>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0044">
            <w:pPr>
              <w:spacing w:line="240" w:lineRule="auto"/>
              <w:jc w:val="center"/>
              <w:rPr>
                <w:rFonts w:cs="等线" w:asciiTheme="minorEastAsia" w:hAnsiTheme="minorEastAsia" w:eastAsiaTheme="minorEastAsia"/>
                <w:color w:val="000000"/>
                <w:sz w:val="21"/>
                <w:szCs w:val="21"/>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1051">
            <w:pPr>
              <w:spacing w:line="240" w:lineRule="auto"/>
              <w:jc w:val="center"/>
              <w:rPr>
                <w:rFonts w:cs="等线" w:asciiTheme="minorEastAsia" w:hAnsiTheme="minorEastAsia" w:eastAsiaTheme="minorEastAsia"/>
                <w:color w:val="000000"/>
                <w:sz w:val="21"/>
                <w:szCs w:val="21"/>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9C41">
            <w:pPr>
              <w:spacing w:line="240" w:lineRule="auto"/>
              <w:jc w:val="center"/>
              <w:rPr>
                <w:rFonts w:cs="等线" w:asciiTheme="minorEastAsia" w:hAnsiTheme="minorEastAsia" w:eastAsiaTheme="minorEastAsia"/>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03DD">
            <w:pPr>
              <w:spacing w:line="240" w:lineRule="auto"/>
              <w:jc w:val="center"/>
              <w:rPr>
                <w:rFonts w:cs="等线" w:asciiTheme="minorEastAsia" w:hAnsiTheme="minorEastAsia" w:eastAsiaTheme="minorEastAsia"/>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275">
            <w:pPr>
              <w:spacing w:line="240" w:lineRule="auto"/>
              <w:jc w:val="center"/>
              <w:rPr>
                <w:rFonts w:cs="等线"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BFD4">
            <w:pPr>
              <w:spacing w:line="240" w:lineRule="auto"/>
              <w:jc w:val="center"/>
              <w:rPr>
                <w:rFonts w:cs="等线"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D706">
            <w:pPr>
              <w:spacing w:line="240" w:lineRule="auto"/>
              <w:jc w:val="center"/>
              <w:rPr>
                <w:rFonts w:cs="等线" w:asciiTheme="minorEastAsia" w:hAnsiTheme="minorEastAsia" w:eastAsiaTheme="minorEastAsia"/>
                <w:color w:val="000000"/>
                <w:sz w:val="21"/>
                <w:szCs w:val="21"/>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4B40">
            <w:pPr>
              <w:spacing w:line="240" w:lineRule="auto"/>
              <w:rPr>
                <w:rFonts w:cs="宋体"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84B9">
            <w:pPr>
              <w:spacing w:line="240" w:lineRule="auto"/>
              <w:rPr>
                <w:rFonts w:cs="宋体" w:asciiTheme="minorEastAsia" w:hAnsiTheme="minorEastAsia" w:eastAsiaTheme="minorEastAsia"/>
                <w:color w:val="000000"/>
                <w:sz w:val="21"/>
                <w:szCs w:val="21"/>
              </w:rPr>
            </w:pPr>
          </w:p>
        </w:tc>
      </w:tr>
      <w:tr w14:paraId="49FAE6C5">
        <w:tblPrEx>
          <w:tblCellMar>
            <w:top w:w="0" w:type="dxa"/>
            <w:left w:w="108" w:type="dxa"/>
            <w:bottom w:w="0" w:type="dxa"/>
            <w:right w:w="108" w:type="dxa"/>
          </w:tblCellMar>
        </w:tblPrEx>
        <w:trPr>
          <w:trHeight w:val="632"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D7DD">
            <w:pPr>
              <w:spacing w:line="240" w:lineRule="auto"/>
              <w:jc w:val="center"/>
              <w:textAlignment w:val="center"/>
              <w:rPr>
                <w:rFonts w:cs="等线" w:asciiTheme="minorEastAsia" w:hAnsiTheme="minorEastAsia" w:eastAsiaTheme="minorEastAsia"/>
                <w:color w:val="000000"/>
                <w:sz w:val="21"/>
                <w:szCs w:val="21"/>
              </w:rPr>
            </w:pPr>
            <w:r>
              <w:rPr>
                <w:rFonts w:hint="eastAsia" w:cs="等线" w:asciiTheme="minorEastAsia" w:hAnsiTheme="minorEastAsia" w:eastAsiaTheme="minorEastAsia"/>
                <w:color w:val="000000"/>
                <w:sz w:val="21"/>
                <w:szCs w:val="21"/>
                <w:lang w:bidi="ar"/>
              </w:rPr>
              <w:t>合计</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F12">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5448">
            <w:pPr>
              <w:spacing w:line="240" w:lineRule="auto"/>
              <w:jc w:val="center"/>
              <w:rPr>
                <w:rFonts w:cs="等线" w:asciiTheme="minorEastAsia" w:hAnsiTheme="minorEastAsia" w:eastAsiaTheme="minorEastAsia"/>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149E">
            <w:pPr>
              <w:spacing w:line="240" w:lineRule="auto"/>
              <w:jc w:val="center"/>
              <w:rPr>
                <w:rFonts w:cs="等线" w:asciiTheme="minorEastAsia" w:hAnsiTheme="minorEastAsia" w:eastAsiaTheme="minorEastAsia"/>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6CA9">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F42E">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B0A5">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4F2D">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FBF">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26F6">
            <w:pPr>
              <w:spacing w:line="240" w:lineRule="auto"/>
              <w:jc w:val="center"/>
              <w:rPr>
                <w:rFonts w:cs="等线" w:asciiTheme="minorEastAsia" w:hAnsiTheme="minorEastAsia" w:eastAsiaTheme="minorEastAsia"/>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5C42">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370">
            <w:pPr>
              <w:spacing w:line="240" w:lineRule="auto"/>
              <w:jc w:val="center"/>
              <w:rPr>
                <w:rFonts w:cs="等线" w:asciiTheme="minorEastAsia" w:hAnsiTheme="minorEastAsia" w:eastAsiaTheme="minorEastAsia"/>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B35">
            <w:pPr>
              <w:spacing w:line="240" w:lineRule="auto"/>
              <w:jc w:val="center"/>
              <w:rPr>
                <w:rFonts w:cs="等线" w:asciiTheme="minorEastAsia" w:hAnsiTheme="minorEastAsia" w:eastAsiaTheme="minorEastAsia"/>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7E1A">
            <w:pPr>
              <w:spacing w:line="240" w:lineRule="auto"/>
              <w:jc w:val="center"/>
              <w:rPr>
                <w:rFonts w:cs="等线" w:asciiTheme="minorEastAsia" w:hAnsiTheme="minorEastAsia" w:eastAsiaTheme="minorEastAsia"/>
                <w:color w:val="000000"/>
                <w:sz w:val="21"/>
                <w:szCs w:val="21"/>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7204">
            <w:pPr>
              <w:spacing w:line="240" w:lineRule="auto"/>
              <w:jc w:val="center"/>
              <w:rPr>
                <w:rFonts w:cs="等线" w:asciiTheme="minorEastAsia" w:hAnsiTheme="minorEastAsia" w:eastAsiaTheme="minorEastAsia"/>
                <w:color w:val="000000"/>
                <w:sz w:val="21"/>
                <w:szCs w:val="21"/>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7270">
            <w:pPr>
              <w:spacing w:line="240" w:lineRule="auto"/>
              <w:jc w:val="center"/>
              <w:rPr>
                <w:rFonts w:cs="等线" w:asciiTheme="minorEastAsia" w:hAnsiTheme="minorEastAsia" w:eastAsiaTheme="minorEastAsia"/>
                <w:color w:val="000000"/>
                <w:sz w:val="21"/>
                <w:szCs w:val="21"/>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21AC">
            <w:pPr>
              <w:spacing w:line="240" w:lineRule="auto"/>
              <w:jc w:val="center"/>
              <w:rPr>
                <w:rFonts w:cs="等线" w:asciiTheme="minorEastAsia" w:hAnsiTheme="minorEastAsia" w:eastAsiaTheme="minorEastAsia"/>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9286">
            <w:pPr>
              <w:spacing w:line="240" w:lineRule="auto"/>
              <w:jc w:val="center"/>
              <w:rPr>
                <w:rFonts w:cs="等线" w:asciiTheme="minorEastAsia" w:hAnsiTheme="minorEastAsia" w:eastAsiaTheme="minorEastAsia"/>
                <w:color w:val="000000"/>
                <w:sz w:val="21"/>
                <w:szCs w:val="21"/>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8E9C">
            <w:pPr>
              <w:spacing w:line="240" w:lineRule="auto"/>
              <w:jc w:val="center"/>
              <w:rPr>
                <w:rFonts w:cs="等线"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7C8A">
            <w:pPr>
              <w:spacing w:line="240" w:lineRule="auto"/>
              <w:jc w:val="center"/>
              <w:rPr>
                <w:rFonts w:cs="等线"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7F13">
            <w:pPr>
              <w:spacing w:line="240" w:lineRule="auto"/>
              <w:jc w:val="center"/>
              <w:rPr>
                <w:rFonts w:cs="等线" w:asciiTheme="minorEastAsia" w:hAnsiTheme="minorEastAsia" w:eastAsiaTheme="minorEastAsia"/>
                <w:color w:val="000000"/>
                <w:sz w:val="21"/>
                <w:szCs w:val="21"/>
              </w:rPr>
            </w:pP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66CA">
            <w:pPr>
              <w:spacing w:line="240" w:lineRule="auto"/>
              <w:rPr>
                <w:rFonts w:cs="宋体" w:asciiTheme="minorEastAsia" w:hAnsiTheme="minorEastAsia" w:eastAsiaTheme="minorEastAsia"/>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D841">
            <w:pPr>
              <w:spacing w:line="240" w:lineRule="auto"/>
              <w:rPr>
                <w:rFonts w:cs="宋体" w:asciiTheme="minorEastAsia" w:hAnsiTheme="minorEastAsia" w:eastAsiaTheme="minorEastAsia"/>
                <w:color w:val="000000"/>
                <w:sz w:val="21"/>
                <w:szCs w:val="21"/>
              </w:rPr>
            </w:pPr>
          </w:p>
        </w:tc>
      </w:tr>
    </w:tbl>
    <w:p w14:paraId="469E0318">
      <w:pPr>
        <w:ind w:firstLine="316" w:firstLineChars="150"/>
        <w:rPr>
          <w:b/>
          <w:bCs w:val="0"/>
          <w:sz w:val="21"/>
          <w:szCs w:val="21"/>
        </w:rPr>
      </w:pPr>
      <w:r>
        <w:rPr>
          <w:rFonts w:hint="eastAsia"/>
          <w:b/>
          <w:bCs w:val="0"/>
          <w:sz w:val="21"/>
          <w:szCs w:val="21"/>
          <w:lang w:val="en-US" w:eastAsia="zh-CN"/>
        </w:rPr>
        <w:t>核查要点</w:t>
      </w:r>
      <w:r>
        <w:rPr>
          <w:rFonts w:hint="eastAsia"/>
          <w:b/>
          <w:bCs w:val="0"/>
          <w:sz w:val="21"/>
          <w:szCs w:val="21"/>
        </w:rPr>
        <w:t>：</w:t>
      </w:r>
    </w:p>
    <w:p w14:paraId="0C91195C">
      <w:pPr>
        <w:ind w:firstLine="315" w:firstLineChars="150"/>
        <w:rPr>
          <w:bCs/>
          <w:sz w:val="21"/>
          <w:szCs w:val="21"/>
        </w:rPr>
      </w:pPr>
      <w:r>
        <w:rPr>
          <w:rFonts w:asciiTheme="minorEastAsia" w:hAnsiTheme="minorEastAsia" w:eastAsiaTheme="minorEastAsia"/>
          <w:bCs/>
          <w:sz w:val="21"/>
          <w:szCs w:val="21"/>
        </w:rPr>
        <w:t>1.</w:t>
      </w:r>
      <w:r>
        <w:rPr>
          <w:bCs/>
          <w:sz w:val="21"/>
          <w:szCs w:val="21"/>
        </w:rPr>
        <w:t xml:space="preserve"> 能源类型：填写每种车型及排放标准的车辆对应燃料种类，如柴油、汽油、天然气、电力;</w:t>
      </w:r>
    </w:p>
    <w:p w14:paraId="74FBDE39">
      <w:pPr>
        <w:ind w:firstLine="315" w:firstLineChars="150"/>
        <w:rPr>
          <w:bCs/>
          <w:sz w:val="21"/>
          <w:szCs w:val="21"/>
        </w:rPr>
      </w:pPr>
      <w:r>
        <w:rPr>
          <w:bCs/>
          <w:sz w:val="21"/>
          <w:szCs w:val="21"/>
        </w:rPr>
        <w:t>2.排放标准：按照车辆实际的排放标准进行填写，，例如国Ⅵ、国Ⅴ；</w:t>
      </w:r>
    </w:p>
    <w:p w14:paraId="4AB0505F">
      <w:pPr>
        <w:ind w:firstLine="315" w:firstLineChars="150"/>
        <w:rPr>
          <w:bCs/>
          <w:sz w:val="21"/>
          <w:szCs w:val="21"/>
        </w:rPr>
      </w:pPr>
      <w:r>
        <w:rPr>
          <w:rFonts w:hint="eastAsia" w:asciiTheme="minorEastAsia" w:hAnsiTheme="minorEastAsia" w:eastAsiaTheme="minorEastAsia"/>
          <w:bCs/>
          <w:sz w:val="21"/>
          <w:szCs w:val="21"/>
        </w:rPr>
        <w:t>3.</w:t>
      </w:r>
      <w:r>
        <w:rPr>
          <w:rFonts w:asciiTheme="minorEastAsia" w:hAnsiTheme="minorEastAsia" w:eastAsiaTheme="minorEastAsia"/>
          <w:bCs/>
          <w:sz w:val="21"/>
          <w:szCs w:val="21"/>
        </w:rPr>
        <w:t>车辆</w:t>
      </w:r>
      <w:r>
        <w:rPr>
          <w:rFonts w:hint="eastAsia"/>
          <w:bCs/>
          <w:sz w:val="21"/>
          <w:szCs w:val="21"/>
        </w:rPr>
        <w:t>类型</w:t>
      </w:r>
      <w:r>
        <w:rPr>
          <w:bCs/>
          <w:sz w:val="21"/>
          <w:szCs w:val="21"/>
        </w:rPr>
        <w:t>：</w:t>
      </w:r>
      <w:r>
        <w:rPr>
          <w:rFonts w:hint="eastAsia"/>
          <w:bCs/>
          <w:sz w:val="21"/>
          <w:szCs w:val="21"/>
        </w:rPr>
        <w:t>按照车辆行驶证的车辆类型进行填写，如普通货车、冷藏厢式、自卸式、牵引式等；</w:t>
      </w:r>
    </w:p>
    <w:p w14:paraId="578596C2">
      <w:pPr>
        <w:ind w:firstLine="315" w:firstLineChars="150"/>
        <w:rPr>
          <w:bCs/>
          <w:sz w:val="21"/>
          <w:szCs w:val="21"/>
        </w:rPr>
      </w:pPr>
      <w:r>
        <w:rPr>
          <w:bCs/>
          <w:sz w:val="21"/>
          <w:szCs w:val="21"/>
        </w:rPr>
        <w:t>4.总质量</w:t>
      </w:r>
      <w:r>
        <w:rPr>
          <w:rFonts w:hint="eastAsia"/>
          <w:bCs/>
          <w:sz w:val="21"/>
          <w:szCs w:val="21"/>
        </w:rPr>
        <w:t>区间</w:t>
      </w:r>
      <w:r>
        <w:rPr>
          <w:bCs/>
          <w:sz w:val="21"/>
          <w:szCs w:val="21"/>
        </w:rPr>
        <w:t>：</w:t>
      </w:r>
      <w:r>
        <w:rPr>
          <w:rFonts w:hint="eastAsia"/>
          <w:bCs/>
          <w:sz w:val="21"/>
          <w:szCs w:val="21"/>
        </w:rPr>
        <w:t>按照车辆的实际总质量对应区间填写，如牵引货车的总质量≤</w:t>
      </w:r>
      <w:r>
        <w:rPr>
          <w:bCs/>
          <w:sz w:val="21"/>
          <w:szCs w:val="21"/>
        </w:rPr>
        <w:t xml:space="preserve">18000kg、18000kg &lt;总质量≤27000kg、27000kg&lt;总质量≤35000kg、35000kg&lt;总质量≤40000kg和40000kg&lt;总质量等； </w:t>
      </w:r>
    </w:p>
    <w:p w14:paraId="7B37854E">
      <w:pPr>
        <w:ind w:firstLine="315" w:firstLineChars="150"/>
        <w:rPr>
          <w:bCs/>
          <w:sz w:val="21"/>
          <w:szCs w:val="21"/>
        </w:rPr>
      </w:pPr>
      <w:r>
        <w:rPr>
          <w:rFonts w:hint="eastAsia"/>
          <w:bCs/>
          <w:sz w:val="21"/>
          <w:szCs w:val="21"/>
        </w:rPr>
        <w:t>5</w:t>
      </w:r>
      <w:r>
        <w:rPr>
          <w:bCs/>
          <w:sz w:val="21"/>
          <w:szCs w:val="21"/>
        </w:rPr>
        <w:t>.车辆数量：填写登记注册在企业名下每种车型及排放标准的车辆保有量;</w:t>
      </w:r>
    </w:p>
    <w:p w14:paraId="174BE8C1">
      <w:pPr>
        <w:ind w:firstLine="315" w:firstLineChars="150"/>
        <w:rPr>
          <w:bCs/>
          <w:sz w:val="21"/>
          <w:szCs w:val="21"/>
        </w:rPr>
      </w:pPr>
      <w:r>
        <w:rPr>
          <w:bCs/>
          <w:sz w:val="21"/>
          <w:szCs w:val="21"/>
        </w:rPr>
        <w:t>6.安装SCR车辆数：填写登记注册在企业名下车辆中安装了SCR设备的车辆保有量</w:t>
      </w:r>
      <w:r>
        <w:rPr>
          <w:rFonts w:hint="eastAsia"/>
          <w:bCs/>
          <w:sz w:val="21"/>
          <w:szCs w:val="21"/>
        </w:rPr>
        <w:t>；</w:t>
      </w:r>
    </w:p>
    <w:p w14:paraId="519F69A0">
      <w:pPr>
        <w:ind w:firstLine="315" w:firstLineChars="150"/>
        <w:rPr>
          <w:bCs/>
          <w:sz w:val="21"/>
          <w:szCs w:val="21"/>
        </w:rPr>
      </w:pPr>
      <w:r>
        <w:rPr>
          <w:bCs/>
          <w:sz w:val="21"/>
          <w:szCs w:val="21"/>
        </w:rPr>
        <w:t>7.年度累计行驶里程（公里）：</w:t>
      </w:r>
    </w:p>
    <w:p w14:paraId="068888E5">
      <w:pPr>
        <w:ind w:firstLine="315" w:firstLineChars="150"/>
        <w:rPr>
          <w:bCs/>
          <w:sz w:val="21"/>
          <w:szCs w:val="21"/>
        </w:rPr>
      </w:pPr>
      <w:r>
        <w:rPr>
          <w:rFonts w:hint="eastAsia"/>
          <w:bCs/>
          <w:sz w:val="21"/>
          <w:szCs w:val="21"/>
        </w:rPr>
        <w:t>（</w:t>
      </w:r>
      <w:r>
        <w:rPr>
          <w:bCs/>
          <w:sz w:val="21"/>
          <w:szCs w:val="21"/>
        </w:rPr>
        <w:t>1）累计里程：企业旗下车辆单车在全国范围内运行的全部里程合计；</w:t>
      </w:r>
    </w:p>
    <w:p w14:paraId="6F0B0613">
      <w:pPr>
        <w:ind w:firstLine="315" w:firstLineChars="150"/>
        <w:rPr>
          <w:bCs/>
          <w:sz w:val="21"/>
          <w:szCs w:val="21"/>
        </w:rPr>
      </w:pPr>
      <w:r>
        <w:rPr>
          <w:rFonts w:hint="eastAsia"/>
          <w:bCs/>
          <w:sz w:val="21"/>
          <w:szCs w:val="21"/>
        </w:rPr>
        <w:t>（</w:t>
      </w:r>
      <w:r>
        <w:rPr>
          <w:bCs/>
          <w:sz w:val="21"/>
          <w:szCs w:val="21"/>
        </w:rPr>
        <w:t>2）京内里程：企业旗下车辆单车在北京市域范围内运行的全部里程合计；</w:t>
      </w:r>
    </w:p>
    <w:p w14:paraId="1C2704C7">
      <w:pPr>
        <w:ind w:firstLine="315" w:firstLineChars="150"/>
        <w:rPr>
          <w:bCs/>
          <w:sz w:val="21"/>
          <w:szCs w:val="21"/>
        </w:rPr>
      </w:pPr>
      <w:r>
        <w:rPr>
          <w:rFonts w:hint="eastAsia"/>
          <w:bCs/>
          <w:sz w:val="21"/>
          <w:szCs w:val="21"/>
        </w:rPr>
        <w:t>（</w:t>
      </w:r>
      <w:r>
        <w:rPr>
          <w:bCs/>
          <w:sz w:val="21"/>
          <w:szCs w:val="21"/>
        </w:rPr>
        <w:t>3）天津、河北里程：企业旗下车辆单车在天津市及河北省域范围内运行的全部里程合计；</w:t>
      </w:r>
    </w:p>
    <w:p w14:paraId="157DC09D">
      <w:pPr>
        <w:ind w:firstLine="315" w:firstLineChars="150"/>
        <w:rPr>
          <w:bCs/>
          <w:sz w:val="21"/>
          <w:szCs w:val="21"/>
        </w:rPr>
      </w:pPr>
      <w:r>
        <w:rPr>
          <w:rFonts w:hint="eastAsia"/>
          <w:bCs/>
          <w:sz w:val="21"/>
          <w:szCs w:val="21"/>
        </w:rPr>
        <w:t>（</w:t>
      </w:r>
      <w:r>
        <w:rPr>
          <w:bCs/>
          <w:sz w:val="21"/>
          <w:szCs w:val="21"/>
        </w:rPr>
        <w:t>4）京津冀外里程：企业旗下车辆单车在全国除北京市、天津市、河北省域范围外运行的全部里程合计；</w:t>
      </w:r>
    </w:p>
    <w:p w14:paraId="7178F0CE">
      <w:pPr>
        <w:ind w:firstLine="315" w:firstLineChars="150"/>
        <w:rPr>
          <w:bCs/>
          <w:sz w:val="21"/>
          <w:szCs w:val="21"/>
        </w:rPr>
      </w:pPr>
      <w:r>
        <w:rPr>
          <w:rFonts w:hint="eastAsia"/>
          <w:bCs/>
          <w:sz w:val="21"/>
          <w:szCs w:val="21"/>
        </w:rPr>
        <w:t>（</w:t>
      </w:r>
      <w:r>
        <w:rPr>
          <w:bCs/>
          <w:sz w:val="21"/>
          <w:szCs w:val="21"/>
        </w:rPr>
        <w:t>5）数据获取方式：</w:t>
      </w:r>
    </w:p>
    <w:p w14:paraId="566B9849">
      <w:pPr>
        <w:ind w:firstLine="315" w:firstLineChars="150"/>
        <w:rPr>
          <w:bCs/>
          <w:sz w:val="21"/>
          <w:szCs w:val="21"/>
        </w:rPr>
      </w:pPr>
      <w:r>
        <w:rPr>
          <w:rFonts w:hint="eastAsia"/>
          <w:bCs/>
          <w:sz w:val="21"/>
          <w:szCs w:val="21"/>
        </w:rPr>
        <w:t>①企业通过自有单车级大数据监控平台获取得到的单车级车辆行驶里程；</w:t>
      </w:r>
    </w:p>
    <w:p w14:paraId="5CD5F172">
      <w:pPr>
        <w:ind w:firstLine="315" w:firstLineChars="150"/>
        <w:rPr>
          <w:bCs/>
          <w:sz w:val="21"/>
          <w:szCs w:val="21"/>
        </w:rPr>
      </w:pPr>
      <w:r>
        <w:rPr>
          <w:rFonts w:hint="eastAsia"/>
          <w:bCs/>
          <w:sz w:val="21"/>
          <w:szCs w:val="21"/>
        </w:rPr>
        <w:t>②企业通过对旗下车辆仪表盘进行抄表统计获得的单车级车辆行驶里程；</w:t>
      </w:r>
    </w:p>
    <w:p w14:paraId="6346FBFB">
      <w:pPr>
        <w:ind w:firstLine="315" w:firstLineChars="150"/>
        <w:rPr>
          <w:bCs/>
          <w:sz w:val="21"/>
          <w:szCs w:val="21"/>
        </w:rPr>
      </w:pPr>
      <w:r>
        <w:rPr>
          <w:bCs/>
          <w:sz w:val="21"/>
          <w:szCs w:val="21"/>
        </w:rPr>
        <w:t>8.货运量：填报公路运输企业旗下所有车辆在每年度内实际运送的货物运输总量（吨）;</w:t>
      </w:r>
    </w:p>
    <w:p w14:paraId="2FB30308">
      <w:pPr>
        <w:ind w:firstLine="315" w:firstLineChars="150"/>
        <w:rPr>
          <w:bCs/>
          <w:sz w:val="21"/>
          <w:szCs w:val="21"/>
        </w:rPr>
      </w:pPr>
      <w:r>
        <w:rPr>
          <w:bCs/>
          <w:sz w:val="21"/>
          <w:szCs w:val="21"/>
        </w:rPr>
        <w:t>9.货运周转量：填报公路运输企业旗下所有车辆在每年度内实际运送的货物运输总量指标（吨公里），基于货运量及平均运距乘积得到；</w:t>
      </w:r>
    </w:p>
    <w:p w14:paraId="42BEFECC">
      <w:pPr>
        <w:ind w:firstLine="315" w:firstLineChars="150"/>
        <w:rPr>
          <w:bCs/>
          <w:sz w:val="21"/>
          <w:szCs w:val="21"/>
        </w:rPr>
      </w:pPr>
      <w:r>
        <w:rPr>
          <w:bCs/>
          <w:sz w:val="21"/>
          <w:szCs w:val="21"/>
        </w:rPr>
        <w:t>10.百公里单耗：</w:t>
      </w:r>
    </w:p>
    <w:p w14:paraId="11063A9D">
      <w:pPr>
        <w:ind w:firstLine="315" w:firstLineChars="150"/>
        <w:rPr>
          <w:bCs/>
          <w:sz w:val="21"/>
          <w:szCs w:val="21"/>
        </w:rPr>
      </w:pPr>
      <w:r>
        <w:rPr>
          <w:rFonts w:hint="eastAsia"/>
          <w:bCs/>
          <w:sz w:val="21"/>
          <w:szCs w:val="21"/>
        </w:rPr>
        <w:t>（</w:t>
      </w:r>
      <w:r>
        <w:rPr>
          <w:bCs/>
          <w:sz w:val="21"/>
          <w:szCs w:val="21"/>
        </w:rPr>
        <w:t>1）百公里单耗数据结果：填报企业企业车辆（单车级）在运行单位距离（通常标定为100公里）时产生的能源消耗量，单位主要是：kg/百公里、立方米/百公里、千瓦时/百公里（企业如统计汽油、柴油车辆百公里单耗时统计单位为升时，可按照汽油0.73kg/L,柴油0.86kg/L进行单位换算）</w:t>
      </w:r>
    </w:p>
    <w:p w14:paraId="55642442">
      <w:pPr>
        <w:ind w:firstLine="315" w:firstLineChars="150"/>
        <w:rPr>
          <w:bCs/>
          <w:sz w:val="21"/>
          <w:szCs w:val="21"/>
        </w:rPr>
      </w:pPr>
      <w:r>
        <w:rPr>
          <w:rFonts w:hint="eastAsia"/>
          <w:bCs/>
          <w:sz w:val="21"/>
          <w:szCs w:val="21"/>
        </w:rPr>
        <w:t>（</w:t>
      </w:r>
      <w:r>
        <w:rPr>
          <w:bCs/>
          <w:sz w:val="21"/>
          <w:szCs w:val="21"/>
        </w:rPr>
        <w:t>2）数据获取方式：</w:t>
      </w:r>
    </w:p>
    <w:p w14:paraId="168F2464">
      <w:pPr>
        <w:ind w:firstLine="315" w:firstLineChars="150"/>
        <w:rPr>
          <w:bCs/>
          <w:sz w:val="21"/>
          <w:szCs w:val="21"/>
        </w:rPr>
      </w:pPr>
      <w:r>
        <w:rPr>
          <w:rFonts w:hint="eastAsia"/>
          <w:bCs/>
          <w:sz w:val="21"/>
          <w:szCs w:val="21"/>
        </w:rPr>
        <w:t>①企业通过自有单车级大数据监控平台获取得到的单车级车辆百公里能耗；</w:t>
      </w:r>
    </w:p>
    <w:p w14:paraId="174C3714">
      <w:pPr>
        <w:ind w:firstLine="315" w:firstLineChars="150"/>
        <w:rPr>
          <w:bCs/>
          <w:sz w:val="21"/>
          <w:szCs w:val="21"/>
        </w:rPr>
      </w:pPr>
      <w:r>
        <w:rPr>
          <w:bCs/>
          <w:sz w:val="21"/>
          <w:szCs w:val="21"/>
        </w:rPr>
        <w:t>11.能源消耗量：</w:t>
      </w:r>
    </w:p>
    <w:p w14:paraId="006932E1">
      <w:pPr>
        <w:ind w:firstLine="315" w:firstLineChars="150"/>
        <w:rPr>
          <w:bCs/>
          <w:sz w:val="21"/>
          <w:szCs w:val="21"/>
        </w:rPr>
      </w:pPr>
      <w:r>
        <w:rPr>
          <w:rFonts w:hint="eastAsia"/>
          <w:bCs/>
          <w:sz w:val="21"/>
          <w:szCs w:val="21"/>
        </w:rPr>
        <w:t>（</w:t>
      </w:r>
      <w:r>
        <w:rPr>
          <w:bCs/>
          <w:sz w:val="21"/>
          <w:szCs w:val="21"/>
        </w:rPr>
        <w:t>1）能源消耗量：填报企业旗下车辆因运行而产生的能源消耗总量，按照车辆对应的能源类型，将实际的能源消耗量填写到对应的格内，单位主要是：吨、立方米、千瓦时（企业如统计汽油、柴油时统计单位为升时，可按照汽油0.73kg/L,柴油0.86kg/L进行单位换算）；</w:t>
      </w:r>
    </w:p>
    <w:p w14:paraId="7320BFF1">
      <w:pPr>
        <w:ind w:firstLine="315" w:firstLineChars="150"/>
        <w:rPr>
          <w:bCs/>
          <w:sz w:val="21"/>
          <w:szCs w:val="21"/>
        </w:rPr>
      </w:pPr>
      <w:r>
        <w:rPr>
          <w:rFonts w:hint="eastAsia"/>
          <w:bCs/>
          <w:sz w:val="21"/>
          <w:szCs w:val="21"/>
        </w:rPr>
        <w:t>（</w:t>
      </w:r>
      <w:r>
        <w:rPr>
          <w:bCs/>
          <w:sz w:val="21"/>
          <w:szCs w:val="21"/>
        </w:rPr>
        <w:t>2）数据获取方式：</w:t>
      </w:r>
    </w:p>
    <w:p w14:paraId="4BB8BC40">
      <w:pPr>
        <w:ind w:firstLine="315" w:firstLineChars="150"/>
        <w:rPr>
          <w:bCs/>
          <w:sz w:val="21"/>
          <w:szCs w:val="21"/>
        </w:rPr>
      </w:pPr>
      <w:r>
        <w:rPr>
          <w:rFonts w:hint="eastAsia"/>
          <w:bCs/>
          <w:sz w:val="21"/>
          <w:szCs w:val="21"/>
        </w:rPr>
        <w:t>①基于单车级的能源消耗量统计手段进行能源消耗统计，一车一卡或一车一个充电账号等手段获取；</w:t>
      </w:r>
    </w:p>
    <w:p w14:paraId="6FDFCC72">
      <w:pPr>
        <w:ind w:firstLine="315" w:firstLineChars="150"/>
        <w:rPr>
          <w:bCs/>
          <w:sz w:val="21"/>
          <w:szCs w:val="21"/>
        </w:rPr>
      </w:pPr>
      <w:r>
        <w:rPr>
          <w:rFonts w:hint="eastAsia"/>
          <w:bCs/>
          <w:sz w:val="21"/>
          <w:szCs w:val="21"/>
        </w:rPr>
        <w:t>②基于单车级的车辆行驶里程与百公里单耗数据结果计算得到；</w:t>
      </w:r>
    </w:p>
    <w:p w14:paraId="3947788E">
      <w:pPr>
        <w:ind w:firstLine="315" w:firstLineChars="150"/>
        <w:rPr>
          <w:rFonts w:ascii="仿宋_GB2312" w:hAnsi="仿宋" w:eastAsia="仿宋_GB2312"/>
          <w:b/>
          <w:sz w:val="32"/>
          <w:szCs w:val="32"/>
        </w:rPr>
        <w:sectPr>
          <w:footerReference r:id="rId15" w:type="default"/>
          <w:pgSz w:w="16838" w:h="11906" w:orient="landscape"/>
          <w:pgMar w:top="1587" w:right="1440" w:bottom="1474" w:left="1440" w:header="851" w:footer="1134" w:gutter="0"/>
          <w:pgNumType w:fmt="decimal"/>
          <w:cols w:space="0" w:num="1"/>
          <w:docGrid w:type="lines" w:linePitch="312" w:charSpace="0"/>
        </w:sectPr>
      </w:pPr>
      <w:r>
        <w:rPr>
          <w:bCs/>
          <w:sz w:val="21"/>
          <w:szCs w:val="21"/>
        </w:rPr>
        <w:t>12.累计碳排放量：由统计得到的车辆运行能耗及每种能源类型对应的碳排放因子转换系数计算得到</w:t>
      </w:r>
      <w:r>
        <w:rPr>
          <w:rFonts w:hint="eastAsia"/>
          <w:bCs/>
          <w:sz w:val="21"/>
          <w:szCs w:val="21"/>
        </w:rPr>
        <w:t>。</w:t>
      </w:r>
    </w:p>
    <w:p w14:paraId="5ED01397">
      <w:pPr>
        <w:spacing w:after="0" w:line="560" w:lineRule="exact"/>
        <w:ind w:firstLine="660"/>
        <w:rPr>
          <w:rFonts w:ascii="仿宋_GB2312" w:hAnsi="仿宋" w:eastAsia="仿宋_GB2312"/>
          <w:b/>
          <w:sz w:val="32"/>
          <w:szCs w:val="32"/>
        </w:rPr>
      </w:pPr>
      <w:r>
        <w:rPr>
          <w:rFonts w:hint="eastAsia" w:ascii="仿宋_GB2312" w:hAnsi="仿宋" w:eastAsia="仿宋_GB2312"/>
          <w:b/>
          <w:sz w:val="32"/>
          <w:szCs w:val="32"/>
        </w:rPr>
        <w:t>3.3.2.4实时监测数据的符合性</w:t>
      </w:r>
    </w:p>
    <w:p w14:paraId="59A90D17">
      <w:pPr>
        <w:spacing w:after="0"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如重点碳排放单位装有实时监测系统，核查机构应报告实时测量设备是否经过校准，是否通过与物料平衡或排放因子计算结果的对比佐证测量结果的不确定性。</w:t>
      </w:r>
    </w:p>
    <w:p w14:paraId="093A3045">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核查机构应对上述每一个数据的核查发现进行报告，并简要描述不符合(如有),详细描述及纠正措施链接核查报告附件1。</w:t>
      </w:r>
    </w:p>
    <w:p w14:paraId="0A226AC8">
      <w:pPr>
        <w:spacing w:after="0" w:line="560" w:lineRule="exact"/>
        <w:ind w:firstLine="768" w:firstLineChars="239"/>
        <w:outlineLvl w:val="0"/>
        <w:rPr>
          <w:rFonts w:ascii="仿宋_GB2312" w:hAnsi="仿宋" w:eastAsia="仿宋_GB2312"/>
          <w:b/>
          <w:sz w:val="32"/>
          <w:szCs w:val="32"/>
        </w:rPr>
      </w:pPr>
      <w:r>
        <w:rPr>
          <w:rFonts w:hint="eastAsia" w:ascii="仿宋_GB2312" w:hAnsi="仿宋" w:eastAsia="仿宋_GB2312"/>
          <w:b/>
          <w:sz w:val="32"/>
          <w:szCs w:val="32"/>
        </w:rPr>
        <w:t>B)核查方法</w:t>
      </w:r>
    </w:p>
    <w:p w14:paraId="349983BF">
      <w:pPr>
        <w:spacing w:after="0" w:line="560" w:lineRule="exact"/>
        <w:jc w:val="both"/>
        <w:rPr>
          <w:rFonts w:ascii="仿宋_GB2312" w:hAnsi="仿宋" w:eastAsia="仿宋_GB2312"/>
          <w:sz w:val="32"/>
          <w:szCs w:val="32"/>
        </w:rPr>
      </w:pPr>
      <w:r>
        <w:rPr>
          <w:rFonts w:hint="eastAsia" w:ascii="仿宋_GB2312" w:hAnsi="仿宋" w:eastAsia="仿宋_GB2312"/>
          <w:sz w:val="32"/>
          <w:szCs w:val="32"/>
        </w:rPr>
        <w:t>核查机构应关注适用的地方标准或核算和报告指南中对于重点碳排放单位排放对数据要求的区别。核查可采用如下方法：</w:t>
      </w:r>
    </w:p>
    <w:p w14:paraId="1EA040AD">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查阅燃料购买合同；</w:t>
      </w:r>
    </w:p>
    <w:p w14:paraId="1962A743">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查阅能源台帐、重点设备的能源消耗记录；</w:t>
      </w:r>
    </w:p>
    <w:p w14:paraId="08FC1B8D">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查阅年度能源审计报告、能流图、能源消费量表、能源加工转换报表；</w:t>
      </w:r>
    </w:p>
    <w:p w14:paraId="7C249209">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查阅月度生产报表、企业台帐如水泥、催化剂烧焦、制氢、环氧乙烷、醋酸乙烷等的生产记录；</w:t>
      </w:r>
    </w:p>
    <w:p w14:paraId="7D325689">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查阅主要产品能源消耗指标、经济指标核算基础数据表、能耗经济指标一览表；</w:t>
      </w:r>
    </w:p>
    <w:p w14:paraId="19AFFA77">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查阅IPCC及省级温室气体清单；</w:t>
      </w:r>
    </w:p>
    <w:p w14:paraId="6AD3D908">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查阅与电网公司的结算单或购售电发票（包括固定设施及移动设施）；</w:t>
      </w:r>
    </w:p>
    <w:p w14:paraId="0325BCDA">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查阅供应商发票；</w:t>
      </w:r>
    </w:p>
    <w:p w14:paraId="5A5041C3">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查阅年度环境监测报告；</w:t>
      </w:r>
    </w:p>
    <w:p w14:paraId="27443D95">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查阅供热协议及发票；</w:t>
      </w:r>
    </w:p>
    <w:p w14:paraId="74C06753">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查阅废弃物处理协议；</w:t>
      </w:r>
    </w:p>
    <w:p w14:paraId="5BFB7041">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查阅氧化率、热值以及产品或燃料化学分析报告;</w:t>
      </w:r>
    </w:p>
    <w:p w14:paraId="74F0BDF7">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访问温室气体管理人员、燃料采购人员等;</w:t>
      </w:r>
    </w:p>
    <w:p w14:paraId="64043216">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查阅移动源加油记录、燃料购买记录及尾气净化剂添加记录；</w:t>
      </w:r>
    </w:p>
    <w:p w14:paraId="6F8ACFC0">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道路运输企业查阅固定设施及移动设施电力消耗记录及统计台账（报表）；</w:t>
      </w:r>
    </w:p>
    <w:p w14:paraId="359713CD">
      <w:pPr>
        <w:widowControl w:val="0"/>
        <w:numPr>
          <w:ilvl w:val="0"/>
          <w:numId w:val="13"/>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观察实施监测的运行以及测量设备的校准、检定；</w:t>
      </w:r>
    </w:p>
    <w:p w14:paraId="2D70942A">
      <w:pPr>
        <w:widowControl w:val="0"/>
        <w:numPr>
          <w:ilvl w:val="0"/>
          <w:numId w:val="13"/>
        </w:numPr>
        <w:spacing w:after="0" w:line="560" w:lineRule="exact"/>
        <w:jc w:val="both"/>
        <w:rPr>
          <w:rFonts w:ascii="仿宋_GB2312" w:hAnsi="仿宋" w:eastAsia="仿宋_GB2312"/>
          <w:sz w:val="32"/>
          <w:szCs w:val="32"/>
        </w:rPr>
      </w:pPr>
      <w:r>
        <w:rPr>
          <w:rFonts w:ascii="仿宋_GB2312" w:hAnsi="仿宋" w:eastAsia="仿宋_GB2312"/>
          <w:sz w:val="32"/>
          <w:szCs w:val="32"/>
        </w:rPr>
        <w:t>查看或确认核查过程中涉及的其它可用的证据</w:t>
      </w:r>
      <w:r>
        <w:rPr>
          <w:rFonts w:hint="eastAsia" w:ascii="仿宋_GB2312" w:hAnsi="仿宋" w:eastAsia="仿宋_GB2312"/>
          <w:sz w:val="32"/>
          <w:szCs w:val="32"/>
        </w:rPr>
        <w:t>。</w:t>
      </w:r>
    </w:p>
    <w:p w14:paraId="0E14BF65">
      <w:pPr>
        <w:spacing w:after="0" w:line="560" w:lineRule="exact"/>
        <w:ind w:firstLine="880" w:firstLineChars="274"/>
        <w:rPr>
          <w:rFonts w:ascii="仿宋_GB2312" w:hAnsi="仿宋" w:eastAsia="仿宋_GB2312"/>
          <w:b/>
          <w:sz w:val="32"/>
          <w:szCs w:val="32"/>
        </w:rPr>
      </w:pPr>
      <w:r>
        <w:rPr>
          <w:rFonts w:hint="eastAsia" w:ascii="仿宋_GB2312" w:hAnsi="仿宋" w:eastAsia="仿宋_GB2312"/>
          <w:b/>
          <w:sz w:val="32"/>
          <w:szCs w:val="32"/>
        </w:rPr>
        <w:t>3.4 测量设备校准的符合性</w:t>
      </w:r>
    </w:p>
    <w:p w14:paraId="20D01873">
      <w:pPr>
        <w:spacing w:after="0" w:line="560" w:lineRule="exact"/>
        <w:ind w:firstLine="880" w:firstLineChars="274"/>
        <w:outlineLvl w:val="0"/>
        <w:rPr>
          <w:rFonts w:ascii="仿宋_GB2312" w:hAnsi="仿宋" w:eastAsia="仿宋_GB2312"/>
          <w:b/>
          <w:sz w:val="32"/>
          <w:szCs w:val="32"/>
        </w:rPr>
      </w:pPr>
      <w:r>
        <w:rPr>
          <w:rFonts w:hint="eastAsia" w:ascii="仿宋_GB2312" w:hAnsi="仿宋" w:eastAsia="仿宋_GB2312"/>
          <w:b/>
          <w:sz w:val="32"/>
          <w:szCs w:val="32"/>
        </w:rPr>
        <w:t>A)报告内容</w:t>
      </w:r>
    </w:p>
    <w:p w14:paraId="3B3857DF">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排放报告中每一个测量设备进行核查核查的内容包括:序号、规定的和实际的校准频次、校准的标准。核查机构应对每一个测量设备的符合性进行报告。如测量设备较多(每同类设备多于10个、单个计量设备计量数据的排放量小于总排放的5%)或测量设备不受重点排放单位控制，可调整报告格式，仅报告监测设备数量，但核查机构应确保此项简化不影响核查工作的数据质量。报告格式如下：</w:t>
      </w:r>
    </w:p>
    <w:p w14:paraId="05A76A8C">
      <w:pPr>
        <w:spacing w:after="0" w:line="560" w:lineRule="exact"/>
        <w:ind w:firstLine="640" w:firstLineChars="200"/>
        <w:jc w:val="both"/>
        <w:rPr>
          <w:rFonts w:ascii="仿宋_GB2312" w:hAnsi="仿宋" w:eastAsia="仿宋_GB2312"/>
          <w:sz w:val="32"/>
          <w:szCs w:val="32"/>
        </w:rPr>
      </w:pPr>
    </w:p>
    <w:p w14:paraId="6B1DAC83">
      <w:pPr>
        <w:spacing w:after="0" w:line="560" w:lineRule="exact"/>
        <w:ind w:firstLine="640" w:firstLineChars="200"/>
        <w:jc w:val="both"/>
        <w:rPr>
          <w:rFonts w:ascii="仿宋_GB2312" w:hAnsi="仿宋" w:eastAsia="仿宋_GB2312"/>
          <w:sz w:val="32"/>
          <w:szCs w:val="32"/>
        </w:rPr>
      </w:pPr>
    </w:p>
    <w:p w14:paraId="0738FF27">
      <w:pPr>
        <w:spacing w:after="0" w:line="560" w:lineRule="exact"/>
        <w:ind w:firstLine="640" w:firstLineChars="200"/>
        <w:jc w:val="both"/>
        <w:rPr>
          <w:rFonts w:ascii="仿宋_GB2312" w:hAnsi="仿宋" w:eastAsia="仿宋_GB2312"/>
          <w:sz w:val="32"/>
          <w:szCs w:val="32"/>
        </w:rPr>
      </w:pPr>
    </w:p>
    <w:tbl>
      <w:tblPr>
        <w:tblStyle w:val="3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559"/>
        <w:gridCol w:w="1276"/>
        <w:gridCol w:w="1559"/>
        <w:gridCol w:w="1560"/>
      </w:tblGrid>
      <w:tr w14:paraId="2EA1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D9D9D9"/>
          </w:tcPr>
          <w:p w14:paraId="022EE6C7">
            <w:pPr>
              <w:pStyle w:val="15"/>
              <w:spacing w:line="560" w:lineRule="exact"/>
              <w:jc w:val="center"/>
              <w:rPr>
                <w:rFonts w:ascii="仿宋_GB2312" w:hAnsi="仿宋" w:eastAsia="仿宋_GB2312" w:cs="Arial"/>
                <w:b/>
                <w:bCs/>
                <w:sz w:val="24"/>
                <w:szCs w:val="24"/>
                <w:lang w:val="en-GB"/>
              </w:rPr>
            </w:pPr>
            <w:r>
              <w:rPr>
                <w:rFonts w:hint="eastAsia" w:ascii="仿宋_GB2312" w:hAnsi="仿宋" w:eastAsia="仿宋_GB2312" w:cs="Arial"/>
                <w:b/>
                <w:bCs/>
                <w:sz w:val="24"/>
                <w:szCs w:val="24"/>
                <w:lang w:val="en-GB"/>
              </w:rPr>
              <w:t>测量设备1</w:t>
            </w:r>
          </w:p>
        </w:tc>
        <w:tc>
          <w:tcPr>
            <w:tcW w:w="5954" w:type="dxa"/>
            <w:gridSpan w:val="4"/>
            <w:shd w:val="clear" w:color="auto" w:fill="D9D9D9"/>
          </w:tcPr>
          <w:p w14:paraId="1EDF6F94">
            <w:pPr>
              <w:pStyle w:val="15"/>
              <w:spacing w:line="560" w:lineRule="exact"/>
              <w:jc w:val="center"/>
              <w:rPr>
                <w:rFonts w:ascii="仿宋_GB2312" w:hAnsi="仿宋" w:eastAsia="仿宋_GB2312" w:cs="Arial"/>
                <w:b/>
                <w:bCs/>
                <w:sz w:val="24"/>
                <w:szCs w:val="24"/>
                <w:lang w:val="en-GB"/>
              </w:rPr>
            </w:pPr>
          </w:p>
        </w:tc>
      </w:tr>
      <w:tr w14:paraId="7218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188FF77C">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序号SN</w:t>
            </w:r>
          </w:p>
        </w:tc>
        <w:tc>
          <w:tcPr>
            <w:tcW w:w="5954" w:type="dxa"/>
            <w:gridSpan w:val="4"/>
          </w:tcPr>
          <w:p w14:paraId="49281FDE">
            <w:pPr>
              <w:pStyle w:val="15"/>
              <w:spacing w:line="560" w:lineRule="exact"/>
              <w:rPr>
                <w:rFonts w:ascii="仿宋_GB2312" w:hAnsi="仿宋" w:eastAsia="仿宋_GB2312" w:cs="Arial"/>
                <w:sz w:val="24"/>
                <w:szCs w:val="24"/>
                <w:lang w:val="en-GB"/>
              </w:rPr>
            </w:pPr>
          </w:p>
        </w:tc>
      </w:tr>
      <w:tr w14:paraId="2783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60CDBF01">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规定的校准频次</w:t>
            </w:r>
          </w:p>
        </w:tc>
        <w:tc>
          <w:tcPr>
            <w:tcW w:w="5954" w:type="dxa"/>
            <w:gridSpan w:val="4"/>
          </w:tcPr>
          <w:p w14:paraId="695F6D61">
            <w:pPr>
              <w:pStyle w:val="15"/>
              <w:spacing w:line="560" w:lineRule="exact"/>
              <w:rPr>
                <w:rFonts w:ascii="仿宋_GB2312" w:hAnsi="仿宋" w:eastAsia="仿宋_GB2312" w:cs="Arial"/>
                <w:sz w:val="24"/>
                <w:szCs w:val="24"/>
                <w:lang w:val="en-GB"/>
              </w:rPr>
            </w:pPr>
          </w:p>
        </w:tc>
      </w:tr>
      <w:tr w14:paraId="7C34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7EBDFA57">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实际的校准频次</w:t>
            </w:r>
          </w:p>
        </w:tc>
        <w:tc>
          <w:tcPr>
            <w:tcW w:w="5954" w:type="dxa"/>
            <w:gridSpan w:val="4"/>
          </w:tcPr>
          <w:p w14:paraId="2D9D658B">
            <w:pPr>
              <w:pStyle w:val="15"/>
              <w:spacing w:line="560" w:lineRule="exact"/>
              <w:rPr>
                <w:rFonts w:ascii="仿宋_GB2312" w:hAnsi="仿宋" w:eastAsia="仿宋_GB2312" w:cs="Arial"/>
                <w:sz w:val="24"/>
                <w:szCs w:val="24"/>
                <w:lang w:val="en-GB"/>
              </w:rPr>
            </w:pPr>
          </w:p>
        </w:tc>
      </w:tr>
      <w:tr w14:paraId="231A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52EFFA13">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校准标准</w:t>
            </w:r>
          </w:p>
        </w:tc>
        <w:tc>
          <w:tcPr>
            <w:tcW w:w="5954" w:type="dxa"/>
            <w:gridSpan w:val="4"/>
          </w:tcPr>
          <w:p w14:paraId="794C49AF">
            <w:pPr>
              <w:pStyle w:val="15"/>
              <w:spacing w:line="560" w:lineRule="exact"/>
              <w:rPr>
                <w:rFonts w:ascii="仿宋_GB2312" w:hAnsi="仿宋" w:eastAsia="仿宋_GB2312" w:cs="Arial"/>
                <w:sz w:val="24"/>
                <w:szCs w:val="24"/>
                <w:lang w:val="en-GB"/>
              </w:rPr>
            </w:pPr>
          </w:p>
        </w:tc>
      </w:tr>
      <w:tr w14:paraId="2B6A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7CECEBFA">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覆盖报告期工作日期的校准日期</w:t>
            </w:r>
          </w:p>
        </w:tc>
        <w:tc>
          <w:tcPr>
            <w:tcW w:w="1559" w:type="dxa"/>
          </w:tcPr>
          <w:p w14:paraId="364E57BD">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c>
          <w:tcPr>
            <w:tcW w:w="1276" w:type="dxa"/>
          </w:tcPr>
          <w:p w14:paraId="6D051FF1">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年月 日</w:t>
            </w:r>
          </w:p>
        </w:tc>
        <w:tc>
          <w:tcPr>
            <w:tcW w:w="1559" w:type="dxa"/>
          </w:tcPr>
          <w:p w14:paraId="614EDA8F">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年月  日</w:t>
            </w:r>
          </w:p>
        </w:tc>
        <w:tc>
          <w:tcPr>
            <w:tcW w:w="1560" w:type="dxa"/>
          </w:tcPr>
          <w:p w14:paraId="0C882588">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年月  日</w:t>
            </w:r>
          </w:p>
        </w:tc>
      </w:tr>
      <w:tr w14:paraId="0CD6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233E92AC">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有效期至</w:t>
            </w:r>
          </w:p>
        </w:tc>
        <w:tc>
          <w:tcPr>
            <w:tcW w:w="1559" w:type="dxa"/>
          </w:tcPr>
          <w:p w14:paraId="4EE2AAB3">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c>
          <w:tcPr>
            <w:tcW w:w="1276" w:type="dxa"/>
          </w:tcPr>
          <w:p w14:paraId="4217A987">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年月 日</w:t>
            </w:r>
          </w:p>
        </w:tc>
        <w:tc>
          <w:tcPr>
            <w:tcW w:w="1559" w:type="dxa"/>
          </w:tcPr>
          <w:p w14:paraId="2D22C24A">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c>
          <w:tcPr>
            <w:tcW w:w="1560" w:type="dxa"/>
          </w:tcPr>
          <w:p w14:paraId="23086ACC">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r>
      <w:tr w14:paraId="3D0F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D9D9D9"/>
          </w:tcPr>
          <w:p w14:paraId="2670EAA9">
            <w:pPr>
              <w:pStyle w:val="15"/>
              <w:spacing w:line="560" w:lineRule="exact"/>
              <w:jc w:val="center"/>
              <w:rPr>
                <w:rFonts w:ascii="仿宋_GB2312" w:hAnsi="仿宋" w:eastAsia="仿宋_GB2312" w:cs="Arial"/>
                <w:b/>
                <w:bCs/>
                <w:sz w:val="24"/>
                <w:szCs w:val="24"/>
                <w:lang w:val="en-GB"/>
              </w:rPr>
            </w:pPr>
            <w:r>
              <w:rPr>
                <w:rFonts w:hint="eastAsia" w:ascii="仿宋_GB2312" w:hAnsi="仿宋" w:eastAsia="仿宋_GB2312" w:cs="Arial"/>
                <w:b/>
                <w:bCs/>
                <w:sz w:val="24"/>
                <w:szCs w:val="24"/>
                <w:lang w:val="en-GB"/>
              </w:rPr>
              <w:t>测量设备2</w:t>
            </w:r>
          </w:p>
        </w:tc>
        <w:tc>
          <w:tcPr>
            <w:tcW w:w="5954" w:type="dxa"/>
            <w:gridSpan w:val="4"/>
            <w:shd w:val="clear" w:color="auto" w:fill="D9D9D9"/>
          </w:tcPr>
          <w:p w14:paraId="71FAD16B">
            <w:pPr>
              <w:pStyle w:val="15"/>
              <w:spacing w:line="560" w:lineRule="exact"/>
              <w:jc w:val="center"/>
              <w:rPr>
                <w:rFonts w:ascii="仿宋_GB2312" w:hAnsi="仿宋" w:eastAsia="仿宋_GB2312" w:cs="Arial"/>
                <w:b/>
                <w:bCs/>
                <w:sz w:val="24"/>
                <w:szCs w:val="24"/>
                <w:lang w:val="en-GB"/>
              </w:rPr>
            </w:pPr>
          </w:p>
        </w:tc>
      </w:tr>
      <w:tr w14:paraId="4882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6DA76CB5">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序号SN</w:t>
            </w:r>
          </w:p>
        </w:tc>
        <w:tc>
          <w:tcPr>
            <w:tcW w:w="5954" w:type="dxa"/>
            <w:gridSpan w:val="4"/>
          </w:tcPr>
          <w:p w14:paraId="40E9A500">
            <w:pPr>
              <w:pStyle w:val="15"/>
              <w:spacing w:line="560" w:lineRule="exact"/>
              <w:rPr>
                <w:rFonts w:ascii="仿宋_GB2312" w:hAnsi="仿宋" w:eastAsia="仿宋_GB2312" w:cs="Arial"/>
                <w:sz w:val="24"/>
                <w:szCs w:val="24"/>
                <w:lang w:val="en-GB"/>
              </w:rPr>
            </w:pPr>
          </w:p>
        </w:tc>
      </w:tr>
      <w:tr w14:paraId="492A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5B7E3971">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规定的校准频次</w:t>
            </w:r>
          </w:p>
        </w:tc>
        <w:tc>
          <w:tcPr>
            <w:tcW w:w="5954" w:type="dxa"/>
            <w:gridSpan w:val="4"/>
          </w:tcPr>
          <w:p w14:paraId="71A7E079">
            <w:pPr>
              <w:pStyle w:val="15"/>
              <w:spacing w:line="560" w:lineRule="exact"/>
              <w:rPr>
                <w:rFonts w:ascii="仿宋_GB2312" w:hAnsi="仿宋" w:eastAsia="仿宋_GB2312" w:cs="Arial"/>
                <w:sz w:val="24"/>
                <w:szCs w:val="24"/>
                <w:lang w:val="en-GB"/>
              </w:rPr>
            </w:pPr>
          </w:p>
        </w:tc>
      </w:tr>
      <w:tr w14:paraId="6408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17434CBD">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实际的校准频次</w:t>
            </w:r>
          </w:p>
        </w:tc>
        <w:tc>
          <w:tcPr>
            <w:tcW w:w="5954" w:type="dxa"/>
            <w:gridSpan w:val="4"/>
          </w:tcPr>
          <w:p w14:paraId="4ACC1C73">
            <w:pPr>
              <w:pStyle w:val="15"/>
              <w:spacing w:line="560" w:lineRule="exact"/>
              <w:rPr>
                <w:rFonts w:ascii="仿宋_GB2312" w:hAnsi="仿宋" w:eastAsia="仿宋_GB2312" w:cs="Arial"/>
                <w:sz w:val="24"/>
                <w:szCs w:val="24"/>
                <w:lang w:val="en-GB"/>
              </w:rPr>
            </w:pPr>
          </w:p>
        </w:tc>
      </w:tr>
      <w:tr w14:paraId="3B0A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1CA36785">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校准标准</w:t>
            </w:r>
          </w:p>
        </w:tc>
        <w:tc>
          <w:tcPr>
            <w:tcW w:w="5954" w:type="dxa"/>
            <w:gridSpan w:val="4"/>
          </w:tcPr>
          <w:p w14:paraId="318F6A88">
            <w:pPr>
              <w:pStyle w:val="15"/>
              <w:spacing w:line="560" w:lineRule="exact"/>
              <w:rPr>
                <w:rFonts w:ascii="仿宋_GB2312" w:hAnsi="仿宋" w:eastAsia="仿宋_GB2312" w:cs="Arial"/>
                <w:sz w:val="24"/>
                <w:szCs w:val="24"/>
                <w:lang w:val="en-GB"/>
              </w:rPr>
            </w:pPr>
          </w:p>
        </w:tc>
      </w:tr>
      <w:tr w14:paraId="03BA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4168CA17">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覆盖报告期的工作日期的校准日期</w:t>
            </w:r>
          </w:p>
        </w:tc>
        <w:tc>
          <w:tcPr>
            <w:tcW w:w="1559" w:type="dxa"/>
          </w:tcPr>
          <w:p w14:paraId="65BC7386">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c>
          <w:tcPr>
            <w:tcW w:w="1276" w:type="dxa"/>
          </w:tcPr>
          <w:p w14:paraId="5E66511C">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年月 日</w:t>
            </w:r>
          </w:p>
        </w:tc>
        <w:tc>
          <w:tcPr>
            <w:tcW w:w="1559" w:type="dxa"/>
          </w:tcPr>
          <w:p w14:paraId="08036671">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c>
          <w:tcPr>
            <w:tcW w:w="1560" w:type="dxa"/>
          </w:tcPr>
          <w:p w14:paraId="6FCEC377">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r>
      <w:tr w14:paraId="2786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52607632">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有效期至</w:t>
            </w:r>
          </w:p>
        </w:tc>
        <w:tc>
          <w:tcPr>
            <w:tcW w:w="1559" w:type="dxa"/>
          </w:tcPr>
          <w:p w14:paraId="11D36AF8">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c>
          <w:tcPr>
            <w:tcW w:w="1276" w:type="dxa"/>
          </w:tcPr>
          <w:p w14:paraId="04DB2A3A">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年月 日</w:t>
            </w:r>
          </w:p>
        </w:tc>
        <w:tc>
          <w:tcPr>
            <w:tcW w:w="1559" w:type="dxa"/>
          </w:tcPr>
          <w:p w14:paraId="0C71A75E">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c>
          <w:tcPr>
            <w:tcW w:w="1560" w:type="dxa"/>
          </w:tcPr>
          <w:p w14:paraId="1DEB4A10">
            <w:pPr>
              <w:pStyle w:val="15"/>
              <w:spacing w:line="560" w:lineRule="exact"/>
              <w:ind w:firstLine="120" w:firstLineChars="50"/>
              <w:rPr>
                <w:rFonts w:ascii="仿宋_GB2312" w:hAnsi="仿宋" w:eastAsia="仿宋_GB2312" w:cs="Arial"/>
                <w:sz w:val="24"/>
                <w:szCs w:val="24"/>
                <w:lang w:val="en-GB"/>
              </w:rPr>
            </w:pPr>
            <w:r>
              <w:rPr>
                <w:rFonts w:hint="eastAsia" w:ascii="仿宋_GB2312" w:hAnsi="仿宋" w:eastAsia="仿宋_GB2312" w:cs="Arial"/>
                <w:sz w:val="24"/>
                <w:szCs w:val="24"/>
                <w:lang w:val="en-GB"/>
              </w:rPr>
              <w:t>年 月 日</w:t>
            </w:r>
          </w:p>
        </w:tc>
      </w:tr>
      <w:tr w14:paraId="36B1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D9D9D9"/>
          </w:tcPr>
          <w:p w14:paraId="7B5324D8">
            <w:pPr>
              <w:pStyle w:val="15"/>
              <w:spacing w:line="560" w:lineRule="exact"/>
              <w:jc w:val="center"/>
              <w:rPr>
                <w:rFonts w:ascii="仿宋_GB2312" w:hAnsi="仿宋" w:eastAsia="仿宋_GB2312" w:cs="Arial"/>
                <w:b/>
                <w:bCs/>
                <w:sz w:val="24"/>
                <w:szCs w:val="24"/>
                <w:lang w:val="en-GB"/>
              </w:rPr>
            </w:pPr>
            <w:r>
              <w:rPr>
                <w:rFonts w:hint="eastAsia" w:ascii="仿宋_GB2312" w:hAnsi="仿宋" w:eastAsia="仿宋_GB2312" w:cs="Arial"/>
                <w:b/>
                <w:bCs/>
                <w:sz w:val="24"/>
                <w:szCs w:val="24"/>
                <w:lang w:val="en-GB"/>
              </w:rPr>
              <w:t>测量设备3</w:t>
            </w:r>
          </w:p>
        </w:tc>
        <w:tc>
          <w:tcPr>
            <w:tcW w:w="5954" w:type="dxa"/>
            <w:gridSpan w:val="4"/>
            <w:shd w:val="clear" w:color="auto" w:fill="D9D9D9"/>
          </w:tcPr>
          <w:p w14:paraId="7605F8EF">
            <w:pPr>
              <w:pStyle w:val="15"/>
              <w:spacing w:line="560" w:lineRule="exact"/>
              <w:jc w:val="center"/>
              <w:rPr>
                <w:rFonts w:ascii="仿宋_GB2312" w:hAnsi="仿宋" w:eastAsia="仿宋_GB2312" w:cs="Arial"/>
                <w:b/>
                <w:bCs/>
                <w:sz w:val="24"/>
                <w:szCs w:val="24"/>
                <w:lang w:val="en-GB"/>
              </w:rPr>
            </w:pPr>
          </w:p>
        </w:tc>
      </w:tr>
      <w:tr w14:paraId="47C9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Pr>
          <w:p w14:paraId="1846E39F">
            <w:pPr>
              <w:pStyle w:val="15"/>
              <w:spacing w:line="560" w:lineRule="exact"/>
              <w:rPr>
                <w:rFonts w:ascii="仿宋_GB2312" w:hAnsi="仿宋" w:eastAsia="仿宋_GB2312" w:cs="Arial"/>
                <w:sz w:val="24"/>
                <w:szCs w:val="24"/>
                <w:lang w:val="en-GB"/>
              </w:rPr>
            </w:pPr>
            <w:r>
              <w:rPr>
                <w:rFonts w:hint="eastAsia" w:ascii="仿宋_GB2312" w:hAnsi="仿宋" w:eastAsia="仿宋_GB2312" w:cs="Arial"/>
                <w:sz w:val="24"/>
                <w:szCs w:val="24"/>
                <w:lang w:val="en-GB"/>
              </w:rPr>
              <w:t>……</w:t>
            </w:r>
          </w:p>
        </w:tc>
        <w:tc>
          <w:tcPr>
            <w:tcW w:w="5954" w:type="dxa"/>
            <w:gridSpan w:val="4"/>
          </w:tcPr>
          <w:p w14:paraId="60F90D74">
            <w:pPr>
              <w:pStyle w:val="15"/>
              <w:spacing w:line="560" w:lineRule="exact"/>
              <w:rPr>
                <w:rFonts w:ascii="仿宋_GB2312" w:hAnsi="仿宋" w:eastAsia="仿宋_GB2312" w:cs="Arial"/>
                <w:sz w:val="24"/>
                <w:szCs w:val="24"/>
                <w:lang w:val="en-GB"/>
              </w:rPr>
            </w:pPr>
          </w:p>
        </w:tc>
      </w:tr>
    </w:tbl>
    <w:p w14:paraId="4B0EFCDA">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核查机构应对上述每一个测量设备的核查发现进行报告，并简要描述不符合(如有),详细描述及纠正措施链接核查报告附件1。</w:t>
      </w:r>
    </w:p>
    <w:p w14:paraId="06E3098B">
      <w:pPr>
        <w:spacing w:after="0" w:line="560" w:lineRule="exact"/>
        <w:ind w:firstLine="630" w:firstLineChars="196"/>
        <w:jc w:val="both"/>
        <w:outlineLvl w:val="0"/>
        <w:rPr>
          <w:rFonts w:ascii="仿宋_GB2312" w:hAnsi="仿宋" w:eastAsia="仿宋_GB2312"/>
          <w:b/>
          <w:color w:val="000000"/>
          <w:sz w:val="32"/>
          <w:szCs w:val="32"/>
        </w:rPr>
      </w:pPr>
      <w:r>
        <w:rPr>
          <w:rFonts w:hint="eastAsia" w:ascii="仿宋_GB2312" w:hAnsi="仿宋" w:eastAsia="仿宋_GB2312"/>
          <w:b/>
          <w:color w:val="000000"/>
          <w:sz w:val="32"/>
          <w:szCs w:val="32"/>
        </w:rPr>
        <w:t>B)核查方法</w:t>
      </w:r>
    </w:p>
    <w:p w14:paraId="1C87C04E">
      <w:pPr>
        <w:widowControl w:val="0"/>
        <w:numPr>
          <w:ilvl w:val="0"/>
          <w:numId w:val="1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查阅校准报告、设备维修和更新记录；</w:t>
      </w:r>
    </w:p>
    <w:p w14:paraId="4ABF0BB8">
      <w:pPr>
        <w:widowControl w:val="0"/>
        <w:numPr>
          <w:ilvl w:val="0"/>
          <w:numId w:val="1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现场观察设备校准标签；</w:t>
      </w:r>
    </w:p>
    <w:p w14:paraId="44A108B9">
      <w:pPr>
        <w:widowControl w:val="0"/>
        <w:numPr>
          <w:ilvl w:val="0"/>
          <w:numId w:val="1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查阅《能源计量器具一览表》；</w:t>
      </w:r>
    </w:p>
    <w:p w14:paraId="29DBB5C6">
      <w:pPr>
        <w:widowControl w:val="0"/>
        <w:numPr>
          <w:ilvl w:val="0"/>
          <w:numId w:val="1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查阅《能源计量器具配置表及能源计量网络图》；</w:t>
      </w:r>
    </w:p>
    <w:p w14:paraId="5DB9F976">
      <w:pPr>
        <w:widowControl w:val="0"/>
        <w:numPr>
          <w:ilvl w:val="0"/>
          <w:numId w:val="19"/>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与测量设备管理人员交谈等。</w:t>
      </w:r>
    </w:p>
    <w:p w14:paraId="4ADC99EB">
      <w:pPr>
        <w:spacing w:after="0" w:line="560" w:lineRule="exact"/>
        <w:ind w:firstLine="659" w:firstLineChars="205"/>
        <w:jc w:val="both"/>
        <w:rPr>
          <w:rFonts w:ascii="仿宋_GB2312" w:hAnsi="仿宋" w:eastAsia="仿宋_GB2312"/>
          <w:b/>
          <w:sz w:val="32"/>
          <w:szCs w:val="32"/>
        </w:rPr>
      </w:pPr>
      <w:r>
        <w:rPr>
          <w:rFonts w:hint="eastAsia" w:ascii="仿宋_GB2312" w:hAnsi="仿宋" w:eastAsia="仿宋_GB2312"/>
          <w:b/>
          <w:sz w:val="32"/>
          <w:szCs w:val="32"/>
        </w:rPr>
        <w:t>3.5 二氧化碳排放量计算过程及结果</w:t>
      </w:r>
    </w:p>
    <w:p w14:paraId="4779B9E6">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A)报告内容</w:t>
      </w:r>
    </w:p>
    <w:p w14:paraId="13A542D1">
      <w:pPr>
        <w:spacing w:after="0" w:line="560" w:lineRule="exact"/>
        <w:ind w:firstLine="656" w:firstLineChars="205"/>
        <w:jc w:val="both"/>
        <w:outlineLvl w:val="0"/>
        <w:rPr>
          <w:rFonts w:ascii="仿宋_GB2312" w:hAnsi="仿宋" w:eastAsia="仿宋_GB2312"/>
          <w:sz w:val="32"/>
          <w:szCs w:val="32"/>
        </w:rPr>
      </w:pPr>
      <w:r>
        <w:rPr>
          <w:rFonts w:hint="eastAsia" w:ascii="仿宋_GB2312" w:hAnsi="仿宋" w:eastAsia="仿宋_GB2312"/>
          <w:sz w:val="32"/>
          <w:szCs w:val="32"/>
        </w:rPr>
        <w:t>3.5.1 计算过程及结果</w:t>
      </w:r>
    </w:p>
    <w:p w14:paraId="035D0123">
      <w:pPr>
        <w:spacing w:after="0" w:line="560" w:lineRule="exact"/>
        <w:ind w:firstLine="564"/>
        <w:jc w:val="both"/>
        <w:rPr>
          <w:rFonts w:ascii="仿宋_GB2312" w:hAnsi="仿宋" w:eastAsia="仿宋_GB2312"/>
          <w:sz w:val="32"/>
          <w:szCs w:val="32"/>
        </w:rPr>
      </w:pPr>
      <w:r>
        <w:rPr>
          <w:rFonts w:hint="eastAsia" w:ascii="仿宋_GB2312" w:hAnsi="仿宋" w:eastAsia="仿宋_GB2312"/>
          <w:sz w:val="32"/>
          <w:szCs w:val="32"/>
        </w:rPr>
        <w:t>核查机构对重点碳排放单位报告的核算结果进行核查。核查机构应详细报告如下核查发现:</w:t>
      </w:r>
    </w:p>
    <w:p w14:paraId="2CEADDA9">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排放量的计算公式是否正确；</w:t>
      </w:r>
    </w:p>
    <w:p w14:paraId="4D6F24E5">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排放量的累加是否正确；</w:t>
      </w:r>
    </w:p>
    <w:p w14:paraId="3ECA4E02">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排放量的计算是否可再现；</w:t>
      </w:r>
    </w:p>
    <w:p w14:paraId="129696E6">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直接排放和间接排放最终结果计算是否正确；</w:t>
      </w:r>
    </w:p>
    <w:p w14:paraId="257C7133">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本年度排放量与基准年</w:t>
      </w:r>
      <w:r>
        <w:rPr>
          <w:rFonts w:ascii="仿宋_GB2312" w:hAnsi="仿宋" w:eastAsia="仿宋_GB2312"/>
          <w:sz w:val="32"/>
          <w:szCs w:val="32"/>
        </w:rPr>
        <w:t>和</w:t>
      </w:r>
      <w:r>
        <w:rPr>
          <w:rFonts w:hint="eastAsia" w:ascii="仿宋_GB2312" w:hAnsi="仿宋" w:eastAsia="仿宋_GB2312"/>
          <w:sz w:val="32"/>
          <w:szCs w:val="32"/>
        </w:rPr>
        <w:t>上一年度排放量的对比,对存在异常变化(</w:t>
      </w:r>
      <w:r>
        <w:rPr>
          <w:rFonts w:hint="eastAsia" w:ascii="仿宋_GB2312" w:eastAsia="仿宋_GB2312"/>
          <w:sz w:val="32"/>
          <w:szCs w:val="32"/>
        </w:rPr>
        <w:t>履约年度二氧化碳排放量1</w:t>
      </w:r>
      <w:r>
        <w:rPr>
          <w:rFonts w:ascii="仿宋_GB2312" w:eastAsia="仿宋_GB2312"/>
          <w:sz w:val="32"/>
          <w:szCs w:val="32"/>
        </w:rPr>
        <w:t>0</w:t>
      </w:r>
      <w:r>
        <w:rPr>
          <w:rFonts w:hint="eastAsia" w:ascii="仿宋_GB2312" w:eastAsia="仿宋_GB2312"/>
          <w:sz w:val="32"/>
          <w:szCs w:val="32"/>
        </w:rPr>
        <w:t>万吨（含）以上的</w:t>
      </w:r>
      <w:r>
        <w:rPr>
          <w:rFonts w:ascii="仿宋_GB2312" w:eastAsia="仿宋_GB2312"/>
          <w:sz w:val="32"/>
          <w:szCs w:val="32"/>
        </w:rPr>
        <w:t>重点碳排放单位，</w:t>
      </w:r>
      <w:r>
        <w:rPr>
          <w:rFonts w:hint="eastAsia" w:ascii="仿宋_GB2312" w:eastAsia="仿宋_GB2312"/>
          <w:sz w:val="32"/>
          <w:szCs w:val="32"/>
        </w:rPr>
        <w:t>如</w:t>
      </w:r>
      <w:r>
        <w:rPr>
          <w:rFonts w:ascii="仿宋_GB2312" w:eastAsia="仿宋_GB2312"/>
          <w:sz w:val="32"/>
          <w:szCs w:val="32"/>
        </w:rPr>
        <w:t>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和</w:t>
      </w:r>
      <w:r>
        <w:rPr>
          <w:rFonts w:ascii="仿宋_GB2312" w:eastAsia="仿宋_GB2312"/>
          <w:sz w:val="32"/>
          <w:szCs w:val="32"/>
        </w:rPr>
        <w:t>上一年度</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超过2</w:t>
      </w:r>
      <w:r>
        <w:rPr>
          <w:rFonts w:ascii="仿宋_GB2312" w:eastAsia="仿宋_GB2312"/>
          <w:sz w:val="32"/>
          <w:szCs w:val="32"/>
        </w:rPr>
        <w:t>0</w:t>
      </w:r>
      <w:r>
        <w:rPr>
          <w:rFonts w:hint="eastAsia" w:ascii="仿宋_GB2312" w:eastAsia="仿宋_GB2312"/>
          <w:sz w:val="32"/>
          <w:szCs w:val="32"/>
        </w:rPr>
        <w:t>%（含）；对于履约年度二氧化碳排放量1</w:t>
      </w:r>
      <w:r>
        <w:rPr>
          <w:rFonts w:ascii="仿宋_GB2312" w:eastAsia="仿宋_GB2312"/>
          <w:sz w:val="32"/>
          <w:szCs w:val="32"/>
        </w:rPr>
        <w:t>0</w:t>
      </w:r>
      <w:r>
        <w:rPr>
          <w:rFonts w:hint="eastAsia" w:ascii="仿宋_GB2312" w:eastAsia="仿宋_GB2312"/>
          <w:sz w:val="32"/>
          <w:szCs w:val="32"/>
        </w:rPr>
        <w:t>万吨以下的</w:t>
      </w:r>
      <w:r>
        <w:rPr>
          <w:rFonts w:ascii="仿宋_GB2312" w:eastAsia="仿宋_GB2312"/>
          <w:sz w:val="32"/>
          <w:szCs w:val="32"/>
        </w:rPr>
        <w:t>重点碳排放单位</w:t>
      </w:r>
      <w:r>
        <w:rPr>
          <w:rFonts w:hint="eastAsia" w:ascii="仿宋_GB2312" w:eastAsia="仿宋_GB2312"/>
          <w:sz w:val="32"/>
          <w:szCs w:val="32"/>
        </w:rPr>
        <w:t>，</w:t>
      </w:r>
      <w:r>
        <w:rPr>
          <w:rFonts w:ascii="仿宋_GB2312" w:eastAsia="仿宋_GB2312"/>
          <w:sz w:val="32"/>
          <w:szCs w:val="32"/>
        </w:rPr>
        <w:t>如果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和</w:t>
      </w:r>
      <w:r>
        <w:rPr>
          <w:rFonts w:ascii="仿宋_GB2312" w:eastAsia="仿宋_GB2312"/>
          <w:sz w:val="32"/>
          <w:szCs w:val="32"/>
        </w:rPr>
        <w:t>上一年度</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w:t>
      </w:r>
      <w:r>
        <w:rPr>
          <w:rFonts w:ascii="仿宋_GB2312" w:eastAsia="仿宋_GB2312"/>
          <w:sz w:val="32"/>
          <w:szCs w:val="32"/>
        </w:rPr>
        <w:t>30</w:t>
      </w:r>
      <w:r>
        <w:rPr>
          <w:rFonts w:hint="eastAsia" w:ascii="仿宋_GB2312" w:eastAsia="仿宋_GB2312"/>
          <w:sz w:val="32"/>
          <w:szCs w:val="32"/>
        </w:rPr>
        <w:t>%（含）</w:t>
      </w:r>
      <w:r>
        <w:rPr>
          <w:rFonts w:hint="eastAsia" w:ascii="仿宋_GB2312" w:hAnsi="仿宋" w:eastAsia="仿宋_GB2312"/>
          <w:sz w:val="32"/>
          <w:szCs w:val="32"/>
        </w:rPr>
        <w:t>)的原因的核查发现;</w:t>
      </w:r>
    </w:p>
    <w:p w14:paraId="155FB14A">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简要描述不符合(如有),详细描述及纠正措施链接核查报告附件1）。</w:t>
      </w:r>
    </w:p>
    <w:p w14:paraId="6CBCA67F">
      <w:pPr>
        <w:spacing w:after="0" w:line="56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3.5.2 不确定性分析</w:t>
      </w:r>
    </w:p>
    <w:p w14:paraId="1C6E7973">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核查机构应对重点碳排放单位影响其直接排放量主要不确定性因素和不确定性量化的计算结果进行核查。报告内容应包括：</w:t>
      </w:r>
    </w:p>
    <w:p w14:paraId="418C80F6">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每个影响因素的合理性；</w:t>
      </w:r>
    </w:p>
    <w:p w14:paraId="25DB8AF3">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活动水平数据不确定性量化结果的合理性；</w:t>
      </w:r>
    </w:p>
    <w:p w14:paraId="476739BE">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排放因子不确定性量化结果的合理性；</w:t>
      </w:r>
    </w:p>
    <w:p w14:paraId="6ABEA43C">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排放量不确定性的计算公式是否正确；</w:t>
      </w:r>
    </w:p>
    <w:p w14:paraId="789606CD">
      <w:pPr>
        <w:widowControl w:val="0"/>
        <w:numPr>
          <w:ilvl w:val="0"/>
          <w:numId w:val="21"/>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误差传递的计算公式是否正确；</w:t>
      </w:r>
    </w:p>
    <w:p w14:paraId="79BD89FC">
      <w:pPr>
        <w:widowControl w:val="0"/>
        <w:numPr>
          <w:ilvl w:val="0"/>
          <w:numId w:val="20"/>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对开具的不符合进行简要描述（详细描述及纠正措施链接附件1）。</w:t>
      </w:r>
    </w:p>
    <w:p w14:paraId="21810073">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3F98EAE6">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请排放报告编写人员现场演示计算过程；</w:t>
      </w:r>
    </w:p>
    <w:p w14:paraId="354569D2">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查阅排放报告中的公式关联；</w:t>
      </w:r>
    </w:p>
    <w:p w14:paraId="39F34723">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利用EXCEL表格验算；</w:t>
      </w:r>
    </w:p>
    <w:p w14:paraId="2E0E481F">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与年度能源报告结果交差核对。</w:t>
      </w:r>
    </w:p>
    <w:p w14:paraId="3925D3F9">
      <w:pPr>
        <w:spacing w:after="0" w:line="560" w:lineRule="exact"/>
        <w:ind w:firstLine="659" w:firstLineChars="205"/>
        <w:jc w:val="both"/>
        <w:rPr>
          <w:rFonts w:ascii="仿宋_GB2312" w:hAnsi="仿宋" w:eastAsia="仿宋_GB2312"/>
          <w:b/>
          <w:sz w:val="32"/>
          <w:szCs w:val="32"/>
        </w:rPr>
      </w:pPr>
      <w:r>
        <w:rPr>
          <w:rFonts w:hint="eastAsia" w:ascii="仿宋_GB2312" w:hAnsi="仿宋" w:eastAsia="仿宋_GB2312"/>
          <w:b/>
          <w:sz w:val="32"/>
          <w:szCs w:val="32"/>
        </w:rPr>
        <w:t>3.6 新增排放设施及既有设施退出的核查</w:t>
      </w:r>
    </w:p>
    <w:p w14:paraId="417E16B9">
      <w:pPr>
        <w:spacing w:after="0" w:line="560" w:lineRule="exact"/>
        <w:ind w:firstLine="659" w:firstLineChars="205"/>
        <w:jc w:val="both"/>
        <w:rPr>
          <w:rFonts w:ascii="仿宋_GB2312" w:hAnsi="仿宋" w:eastAsia="仿宋_GB2312"/>
          <w:b/>
          <w:sz w:val="32"/>
          <w:szCs w:val="32"/>
        </w:rPr>
      </w:pPr>
      <w:r>
        <w:rPr>
          <w:rFonts w:hint="eastAsia" w:ascii="仿宋_GB2312" w:hAnsi="仿宋" w:eastAsia="仿宋_GB2312"/>
          <w:b/>
          <w:sz w:val="32"/>
          <w:szCs w:val="32"/>
        </w:rPr>
        <w:t>3.6.1</w:t>
      </w:r>
      <w:r>
        <w:rPr>
          <w:rFonts w:hint="eastAsia" w:ascii="仿宋_GB2312" w:hAnsi="仿宋" w:eastAsia="仿宋_GB2312"/>
          <w:b/>
          <w:bCs/>
          <w:sz w:val="32"/>
          <w:szCs w:val="32"/>
        </w:rPr>
        <w:t>新增设施基本信息的核查</w:t>
      </w:r>
    </w:p>
    <w:p w14:paraId="4204AA3F">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A)报告内容</w:t>
      </w:r>
    </w:p>
    <w:p w14:paraId="6756E2FA">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核查机构应对重点碳排放单位201</w:t>
      </w:r>
      <w:r>
        <w:rPr>
          <w:rFonts w:ascii="仿宋_GB2312" w:hAnsi="仿宋" w:eastAsia="仿宋_GB2312"/>
          <w:sz w:val="32"/>
          <w:szCs w:val="32"/>
        </w:rPr>
        <w:t>9</w:t>
      </w:r>
      <w:r>
        <w:rPr>
          <w:rFonts w:hint="eastAsia" w:ascii="仿宋_GB2312" w:hAnsi="仿宋" w:eastAsia="仿宋_GB2312"/>
          <w:sz w:val="32"/>
          <w:szCs w:val="32"/>
        </w:rPr>
        <w:t>年1月1日后新投产运行的设施的名称、型号、物理位置和投产时间等内容进行核查，确定企业填报信息与现场设备信息一致。</w:t>
      </w:r>
    </w:p>
    <w:p w14:paraId="3301950A">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23839916">
      <w:pPr>
        <w:widowControl w:val="0"/>
        <w:spacing w:after="0" w:line="560" w:lineRule="exact"/>
        <w:ind w:firstLine="579" w:firstLineChars="181"/>
        <w:jc w:val="both"/>
        <w:rPr>
          <w:rFonts w:ascii="仿宋_GB2312" w:hAnsi="仿宋" w:eastAsia="仿宋_GB2312"/>
          <w:sz w:val="32"/>
          <w:szCs w:val="32"/>
        </w:rPr>
      </w:pPr>
      <w:r>
        <w:rPr>
          <w:rFonts w:hint="eastAsia" w:ascii="仿宋_GB2312" w:hAnsi="仿宋" w:eastAsia="仿宋_GB2312"/>
          <w:sz w:val="32"/>
          <w:szCs w:val="32"/>
        </w:rPr>
        <w:t>对新增设施的开始投产运行时间的核查，可查阅以下证据：</w:t>
      </w:r>
    </w:p>
    <w:p w14:paraId="04F65828">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外部验收报告（如环保、消防验收报告）；</w:t>
      </w:r>
    </w:p>
    <w:p w14:paraId="211ED028">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内部验收报告；</w:t>
      </w:r>
    </w:p>
    <w:p w14:paraId="537FD33A">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租赁协议；</w:t>
      </w:r>
    </w:p>
    <w:p w14:paraId="5FE1A89D">
      <w:pPr>
        <w:widowControl w:val="0"/>
        <w:numPr>
          <w:ilvl w:val="0"/>
          <w:numId w:val="22"/>
        </w:numPr>
        <w:spacing w:after="0" w:line="560" w:lineRule="exact"/>
        <w:ind w:left="0" w:firstLine="420"/>
        <w:jc w:val="both"/>
        <w:rPr>
          <w:rFonts w:ascii="仿宋_GB2312" w:hAnsi="仿宋" w:eastAsia="仿宋_GB2312"/>
          <w:sz w:val="32"/>
          <w:szCs w:val="32"/>
        </w:rPr>
      </w:pPr>
      <w:r>
        <w:rPr>
          <w:rFonts w:hint="eastAsia" w:ascii="仿宋_GB2312" w:hAnsi="仿宋" w:eastAsia="仿宋_GB2312"/>
          <w:sz w:val="32"/>
          <w:szCs w:val="32"/>
        </w:rPr>
        <w:t>统计报表（如《固定资产投资项目基本情况表》或其他行业的统计年度和定期报表）；</w:t>
      </w:r>
    </w:p>
    <w:p w14:paraId="0EAB88DE">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企业提供的其他证据。</w:t>
      </w:r>
    </w:p>
    <w:p w14:paraId="02C43B08">
      <w:pPr>
        <w:widowControl w:val="0"/>
        <w:spacing w:after="0" w:line="560" w:lineRule="exact"/>
        <w:ind w:left="420"/>
        <w:jc w:val="both"/>
        <w:rPr>
          <w:rFonts w:ascii="仿宋_GB2312" w:hAnsi="仿宋" w:eastAsia="仿宋_GB2312"/>
          <w:sz w:val="32"/>
          <w:szCs w:val="32"/>
        </w:rPr>
      </w:pPr>
      <w:r>
        <w:rPr>
          <w:rFonts w:hint="eastAsia" w:ascii="仿宋_GB2312" w:hAnsi="仿宋" w:eastAsia="仿宋_GB2312"/>
          <w:sz w:val="32"/>
          <w:szCs w:val="32"/>
        </w:rPr>
        <w:t>对新增设施信息的核查：</w:t>
      </w:r>
    </w:p>
    <w:p w14:paraId="6FCC7BF3">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现场观察新增设施的位置、型号；</w:t>
      </w:r>
    </w:p>
    <w:p w14:paraId="441F1603">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查阅可研报告或环评报告的批复；</w:t>
      </w:r>
    </w:p>
    <w:p w14:paraId="285CEEA9">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查阅固定资产能评报告。</w:t>
      </w:r>
    </w:p>
    <w:p w14:paraId="4C458A2E">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3.6.2</w:t>
      </w:r>
      <w:r>
        <w:rPr>
          <w:rFonts w:hint="eastAsia" w:ascii="仿宋_GB2312" w:hAnsi="仿宋" w:eastAsia="仿宋_GB2312"/>
          <w:b/>
          <w:bCs/>
          <w:sz w:val="32"/>
          <w:szCs w:val="32"/>
        </w:rPr>
        <w:t>新增设施生产数据的核查</w:t>
      </w:r>
    </w:p>
    <w:p w14:paraId="32905EF2">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A)报告内容</w:t>
      </w:r>
    </w:p>
    <w:p w14:paraId="6725D9FE">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核查机构应对重点碳排放单位201</w:t>
      </w:r>
      <w:r>
        <w:rPr>
          <w:rFonts w:ascii="仿宋_GB2312" w:hAnsi="仿宋" w:eastAsia="仿宋_GB2312"/>
          <w:sz w:val="32"/>
          <w:szCs w:val="32"/>
        </w:rPr>
        <w:t>9</w:t>
      </w:r>
      <w:r>
        <w:rPr>
          <w:rFonts w:hint="eastAsia" w:ascii="仿宋_GB2312" w:hAnsi="仿宋" w:eastAsia="仿宋_GB2312"/>
          <w:sz w:val="32"/>
          <w:szCs w:val="32"/>
        </w:rPr>
        <w:t>年1月1日后新投产运行的设施的生产数据（如产值、产量、建筑面积、供暖面积和供热量等）进行核查，核查内容包括：单位、来源、监测方法、监测频次、记录频次、数据缺失处理、交叉核对、确认的数值以及核查结论。核查机构对每一个数据的符合性进行报告。</w:t>
      </w:r>
    </w:p>
    <w:p w14:paraId="3A050481">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B)核查原则</w:t>
      </w:r>
    </w:p>
    <w:p w14:paraId="59DD55CF">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数据选取采用以下的优先序： </w:t>
      </w:r>
    </w:p>
    <w:p w14:paraId="4AE8605A">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1）新增设施的排放数据和生产数据应分别单独测量获得； </w:t>
      </w:r>
    </w:p>
    <w:p w14:paraId="7F3D5294">
      <w:pPr>
        <w:widowControl w:val="0"/>
        <w:spacing w:after="0" w:line="560" w:lineRule="exact"/>
        <w:ind w:firstLine="659" w:firstLineChars="206"/>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2）如果生产数据无法获得而排放数据可获得，可按照排放数据分摊推算生产数据； </w:t>
      </w:r>
    </w:p>
    <w:p w14:paraId="73AED127">
      <w:pPr>
        <w:widowControl w:val="0"/>
        <w:spacing w:after="0" w:line="560" w:lineRule="exact"/>
        <w:ind w:firstLine="659" w:firstLineChars="206"/>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3）如果生产数据可获得而排放数据不可获得，不能按生产数据分摊推算排放数据。排放数据可按照生产负荷或产量等分摊推算； </w:t>
      </w:r>
    </w:p>
    <w:p w14:paraId="1033BF80">
      <w:pPr>
        <w:widowControl w:val="0"/>
        <w:spacing w:after="0" w:line="560" w:lineRule="exact"/>
        <w:ind w:firstLine="659" w:firstLineChars="206"/>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4）如果排放数据和生产数据都没有单独测量的数据，按照如下原则处理： </w:t>
      </w:r>
    </w:p>
    <w:p w14:paraId="4E201A6D">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lang w:val="en-US"/>
        </w:rPr>
        <w:t xml:space="preserve">-首先估算新增设施的排放数据； </w:t>
      </w:r>
    </w:p>
    <w:p w14:paraId="0DCB9B2A">
      <w:pPr>
        <w:widowControl w:val="0"/>
        <w:spacing w:after="0" w:line="560" w:lineRule="exact"/>
        <w:ind w:firstLine="640" w:firstLineChars="200"/>
        <w:jc w:val="both"/>
        <w:rPr>
          <w:rFonts w:ascii="仿宋_GB2312" w:hAnsi="仿宋" w:eastAsia="仿宋_GB2312"/>
          <w:sz w:val="32"/>
          <w:szCs w:val="32"/>
          <w:lang w:val="en-US"/>
        </w:rPr>
      </w:pPr>
      <w:r>
        <w:rPr>
          <w:rFonts w:ascii="仿宋_GB2312" w:hAnsi="仿宋" w:eastAsia="仿宋_GB2312"/>
          <w:sz w:val="32"/>
          <w:szCs w:val="32"/>
          <w:lang w:val="en-US"/>
        </w:rPr>
        <w:t xml:space="preserve">- </w:t>
      </w:r>
      <w:r>
        <w:rPr>
          <w:rFonts w:hint="eastAsia" w:ascii="仿宋_GB2312" w:hAnsi="仿宋" w:eastAsia="仿宋_GB2312"/>
          <w:sz w:val="32"/>
          <w:szCs w:val="32"/>
          <w:lang w:val="en-US"/>
        </w:rPr>
        <w:t xml:space="preserve">然后按照排放数据分摊推算新增产值的生产数据。 </w:t>
      </w:r>
    </w:p>
    <w:p w14:paraId="5E13591C">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3.6.3</w:t>
      </w:r>
      <w:r>
        <w:rPr>
          <w:rFonts w:hint="eastAsia" w:ascii="仿宋_GB2312" w:hAnsi="仿宋" w:eastAsia="仿宋_GB2312"/>
          <w:b/>
          <w:bCs/>
          <w:sz w:val="32"/>
          <w:szCs w:val="32"/>
        </w:rPr>
        <w:t>新增设施排放量的核查</w:t>
      </w:r>
    </w:p>
    <w:p w14:paraId="4163F20D">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4F061CD5">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每一个新增设施的活动水平数据、排放因子以及排放量进行核查。活动水平和排放因子的核查发现可与核查报告中的3.3.2.2和报告中的3.3.2.3相协调，如果前面的核查发现已经描述很详细，这里简要描述一下即可。</w:t>
      </w:r>
    </w:p>
    <w:p w14:paraId="0533402B">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B)核查方法</w:t>
      </w:r>
    </w:p>
    <w:p w14:paraId="5603F60D">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rPr>
        <w:t>同对既有设施的核查。</w:t>
      </w:r>
    </w:p>
    <w:p w14:paraId="230CEFB5">
      <w:pPr>
        <w:spacing w:after="0" w:line="560" w:lineRule="exact"/>
        <w:ind w:firstLine="659" w:firstLineChars="205"/>
        <w:rPr>
          <w:rFonts w:ascii="仿宋_GB2312" w:hAnsi="仿宋" w:eastAsia="仿宋_GB2312"/>
          <w:b/>
          <w:sz w:val="32"/>
          <w:szCs w:val="32"/>
          <w:lang w:val="en-US"/>
        </w:rPr>
      </w:pPr>
      <w:r>
        <w:rPr>
          <w:rFonts w:hint="eastAsia" w:ascii="仿宋_GB2312" w:hAnsi="仿宋" w:eastAsia="仿宋_GB2312"/>
          <w:b/>
          <w:sz w:val="32"/>
          <w:szCs w:val="32"/>
        </w:rPr>
        <w:t>3.6.4</w:t>
      </w:r>
      <w:r>
        <w:rPr>
          <w:rFonts w:hint="eastAsia" w:ascii="仿宋_GB2312" w:hAnsi="仿宋" w:eastAsia="仿宋_GB2312"/>
          <w:b/>
          <w:bCs/>
          <w:sz w:val="32"/>
          <w:szCs w:val="32"/>
        </w:rPr>
        <w:t>新增设施排放强度的核查</w:t>
      </w:r>
    </w:p>
    <w:p w14:paraId="5804C06C">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A)报告内容</w:t>
      </w:r>
    </w:p>
    <w:p w14:paraId="17FF3401">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核查机构应对新增设施的排放强度进行核查。核查机构应详细报告排放强度计算过程。</w:t>
      </w:r>
    </w:p>
    <w:p w14:paraId="57E30DE2">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（计算方法：排放强度＝所有新增设施的直接排放和间接排放／所有新增设施对应的生产数据）。</w:t>
      </w:r>
    </w:p>
    <w:p w14:paraId="37459B00">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5D5E2CFB">
      <w:pPr>
        <w:widowControl w:val="0"/>
        <w:spacing w:after="0" w:line="560" w:lineRule="exact"/>
        <w:ind w:firstLine="640" w:firstLineChars="200"/>
        <w:jc w:val="both"/>
        <w:rPr>
          <w:rFonts w:ascii="仿宋_GB2312" w:hAnsi="仿宋" w:eastAsia="仿宋_GB2312"/>
          <w:sz w:val="32"/>
          <w:szCs w:val="32"/>
          <w:lang w:val="en-US"/>
        </w:rPr>
      </w:pPr>
      <w:r>
        <w:rPr>
          <w:rFonts w:hint="eastAsia" w:ascii="仿宋_GB2312" w:hAnsi="仿宋" w:eastAsia="仿宋_GB2312"/>
          <w:sz w:val="32"/>
          <w:szCs w:val="32"/>
        </w:rPr>
        <w:t>验算计算过程。</w:t>
      </w:r>
    </w:p>
    <w:p w14:paraId="23536590">
      <w:pPr>
        <w:spacing w:after="0" w:line="560" w:lineRule="exact"/>
        <w:ind w:firstLine="659" w:firstLineChars="205"/>
        <w:rPr>
          <w:rFonts w:ascii="仿宋_GB2312" w:hAnsi="仿宋" w:eastAsia="仿宋_GB2312"/>
          <w:b/>
          <w:sz w:val="32"/>
          <w:szCs w:val="32"/>
          <w:lang w:val="en-US"/>
        </w:rPr>
      </w:pPr>
      <w:r>
        <w:rPr>
          <w:rFonts w:hint="eastAsia" w:ascii="仿宋_GB2312" w:hAnsi="仿宋" w:eastAsia="仿宋_GB2312"/>
          <w:b/>
          <w:sz w:val="32"/>
          <w:szCs w:val="32"/>
        </w:rPr>
        <w:t>3.6.5</w:t>
      </w:r>
      <w:r>
        <w:rPr>
          <w:rFonts w:hint="eastAsia" w:ascii="仿宋_GB2312" w:hAnsi="仿宋" w:eastAsia="仿宋_GB2312"/>
          <w:b/>
          <w:bCs/>
          <w:sz w:val="32"/>
          <w:szCs w:val="32"/>
        </w:rPr>
        <w:t>新增设施替代既有设施的核查</w:t>
      </w:r>
    </w:p>
    <w:p w14:paraId="67E0E33A">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29A73DE9">
      <w:pPr>
        <w:widowControl w:val="0"/>
        <w:spacing w:after="0" w:line="560" w:lineRule="exact"/>
        <w:ind w:firstLine="643" w:firstLineChars="201"/>
        <w:jc w:val="both"/>
        <w:rPr>
          <w:rFonts w:ascii="仿宋_GB2312" w:hAnsi="仿宋" w:eastAsia="仿宋_GB2312"/>
          <w:sz w:val="32"/>
          <w:szCs w:val="32"/>
        </w:rPr>
      </w:pPr>
      <w:r>
        <w:rPr>
          <w:rFonts w:hint="eastAsia" w:ascii="仿宋_GB2312" w:hAnsi="仿宋" w:eastAsia="仿宋_GB2312"/>
          <w:sz w:val="32"/>
          <w:szCs w:val="32"/>
        </w:rPr>
        <w:t>核查机构应对新增设施中那些对既有设施替代的新增设施进行核查。核查内容包括设施的基本信息、替代既有设备的情况、排放量。如有既有设施退出，也应在本节中详细描述核查发现。</w:t>
      </w:r>
    </w:p>
    <w:p w14:paraId="068A06E1">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6733D415">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查阅新增设施的可研和环评批复文件确认是否属于替代既有设施；</w:t>
      </w:r>
    </w:p>
    <w:p w14:paraId="0937C357">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现场观察设施；</w:t>
      </w:r>
    </w:p>
    <w:p w14:paraId="57D73D16">
      <w:pPr>
        <w:widowControl w:val="0"/>
        <w:numPr>
          <w:ilvl w:val="0"/>
          <w:numId w:val="22"/>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验算排放量的计算过程</w:t>
      </w:r>
    </w:p>
    <w:p w14:paraId="5252D4E6">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3.6.6既有设施退出的核查</w:t>
      </w:r>
    </w:p>
    <w:p w14:paraId="47CDC7FD">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A)报告内容</w:t>
      </w:r>
    </w:p>
    <w:p w14:paraId="09B0E82A">
      <w:pPr>
        <w:spacing w:after="0" w:line="560" w:lineRule="exact"/>
        <w:ind w:firstLine="764" w:firstLineChars="239"/>
        <w:jc w:val="both"/>
        <w:rPr>
          <w:rFonts w:ascii="仿宋_GB2312" w:hAnsi="仿宋" w:eastAsia="仿宋_GB2312"/>
          <w:sz w:val="32"/>
          <w:szCs w:val="32"/>
        </w:rPr>
      </w:pPr>
      <w:r>
        <w:rPr>
          <w:rFonts w:hint="eastAsia" w:ascii="仿宋_GB2312" w:hAnsi="仿宋" w:eastAsia="仿宋_GB2312"/>
          <w:sz w:val="32"/>
          <w:szCs w:val="32"/>
        </w:rPr>
        <w:t>核查机构应对既有设施退出进行核查。核查内容包括既有设施退出的基本信息及在历史基准年及上一年度的排放量和</w:t>
      </w:r>
      <w:r>
        <w:rPr>
          <w:rFonts w:ascii="仿宋_GB2312" w:hAnsi="仿宋" w:eastAsia="仿宋_GB2312"/>
          <w:sz w:val="32"/>
          <w:szCs w:val="32"/>
        </w:rPr>
        <w:t>排放强度</w:t>
      </w:r>
      <w:r>
        <w:rPr>
          <w:rFonts w:hint="eastAsia" w:ascii="仿宋_GB2312" w:hAnsi="仿宋" w:eastAsia="仿宋_GB2312"/>
          <w:sz w:val="32"/>
          <w:szCs w:val="32"/>
        </w:rPr>
        <w:t>。</w:t>
      </w:r>
    </w:p>
    <w:p w14:paraId="3D1EDA62">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B)核查方法</w:t>
      </w:r>
    </w:p>
    <w:p w14:paraId="305FE758">
      <w:pPr>
        <w:spacing w:after="0" w:line="560" w:lineRule="exact"/>
        <w:ind w:firstLine="764" w:firstLineChars="239"/>
        <w:rPr>
          <w:rFonts w:ascii="仿宋_GB2312" w:hAnsi="仿宋" w:eastAsia="仿宋_GB2312"/>
          <w:sz w:val="32"/>
          <w:szCs w:val="32"/>
        </w:rPr>
      </w:pPr>
      <w:r>
        <w:rPr>
          <w:rFonts w:ascii="仿宋_GB2312" w:hAnsi="仿宋" w:eastAsia="仿宋_GB2312"/>
          <w:sz w:val="32"/>
          <w:szCs w:val="32"/>
        </w:rPr>
        <w:t>-</w:t>
      </w:r>
      <w:r>
        <w:rPr>
          <w:rFonts w:eastAsia="仿宋_GB2312" w:cs="Calibri"/>
          <w:sz w:val="32"/>
          <w:szCs w:val="32"/>
        </w:rPr>
        <w:t>      </w:t>
      </w:r>
      <w:r>
        <w:rPr>
          <w:rFonts w:ascii="仿宋_GB2312" w:hAnsi="仿宋" w:eastAsia="仿宋_GB2312"/>
          <w:sz w:val="32"/>
          <w:szCs w:val="32"/>
        </w:rPr>
        <w:t xml:space="preserve"> 查阅设施、设备管理台账、企业运行情况统计与说明等；</w:t>
      </w:r>
    </w:p>
    <w:p w14:paraId="5D8967C6">
      <w:pPr>
        <w:spacing w:after="0" w:line="560" w:lineRule="exact"/>
        <w:ind w:firstLine="764" w:firstLineChars="239"/>
        <w:rPr>
          <w:rFonts w:ascii="仿宋_GB2312" w:hAnsi="仿宋" w:eastAsia="仿宋_GB2312"/>
          <w:sz w:val="32"/>
          <w:szCs w:val="32"/>
        </w:rPr>
      </w:pPr>
      <w:r>
        <w:rPr>
          <w:rFonts w:ascii="仿宋_GB2312" w:hAnsi="仿宋" w:eastAsia="仿宋_GB2312"/>
          <w:sz w:val="32"/>
          <w:szCs w:val="32"/>
        </w:rPr>
        <w:t>-</w:t>
      </w:r>
      <w:r>
        <w:rPr>
          <w:rFonts w:eastAsia="仿宋_GB2312" w:cs="Calibri"/>
          <w:sz w:val="32"/>
          <w:szCs w:val="32"/>
        </w:rPr>
        <w:t>      </w:t>
      </w:r>
      <w:r>
        <w:rPr>
          <w:rFonts w:ascii="仿宋_GB2312" w:hAnsi="仿宋" w:eastAsia="仿宋_GB2312"/>
          <w:sz w:val="32"/>
          <w:szCs w:val="32"/>
        </w:rPr>
        <w:t xml:space="preserve"> 现场观察；</w:t>
      </w:r>
    </w:p>
    <w:p w14:paraId="41B1A373">
      <w:pPr>
        <w:spacing w:after="0" w:line="560" w:lineRule="exact"/>
        <w:ind w:firstLine="764" w:firstLineChars="239"/>
        <w:rPr>
          <w:rFonts w:ascii="仿宋_GB2312" w:hAnsi="仿宋" w:eastAsia="仿宋_GB2312"/>
          <w:sz w:val="32"/>
          <w:szCs w:val="32"/>
        </w:rPr>
      </w:pPr>
      <w:r>
        <w:rPr>
          <w:rFonts w:ascii="仿宋_GB2312" w:hAnsi="仿宋" w:eastAsia="仿宋_GB2312"/>
          <w:sz w:val="32"/>
          <w:szCs w:val="32"/>
        </w:rPr>
        <w:t>-</w:t>
      </w:r>
      <w:r>
        <w:rPr>
          <w:rFonts w:eastAsia="仿宋_GB2312" w:cs="Calibri"/>
          <w:sz w:val="32"/>
          <w:szCs w:val="32"/>
        </w:rPr>
        <w:t>      </w:t>
      </w:r>
      <w:r>
        <w:rPr>
          <w:rFonts w:ascii="仿宋_GB2312" w:hAnsi="仿宋" w:eastAsia="仿宋_GB2312"/>
          <w:sz w:val="32"/>
          <w:szCs w:val="32"/>
        </w:rPr>
        <w:t xml:space="preserve"> 验算既有设施退出</w:t>
      </w:r>
      <w:r>
        <w:rPr>
          <w:rFonts w:hint="eastAsia" w:ascii="仿宋_GB2312" w:hAnsi="仿宋" w:eastAsia="仿宋_GB2312"/>
          <w:sz w:val="32"/>
          <w:szCs w:val="32"/>
        </w:rPr>
        <w:t>在</w:t>
      </w:r>
      <w:r>
        <w:rPr>
          <w:rFonts w:ascii="仿宋_GB2312" w:hAnsi="仿宋" w:eastAsia="仿宋_GB2312"/>
          <w:sz w:val="32"/>
          <w:szCs w:val="32"/>
        </w:rPr>
        <w:t>历史</w:t>
      </w:r>
      <w:r>
        <w:rPr>
          <w:rFonts w:hint="eastAsia" w:ascii="仿宋_GB2312" w:hAnsi="仿宋" w:eastAsia="仿宋_GB2312"/>
          <w:sz w:val="32"/>
          <w:szCs w:val="32"/>
        </w:rPr>
        <w:t>基准年排放量和</w:t>
      </w:r>
      <w:r>
        <w:rPr>
          <w:rFonts w:ascii="仿宋_GB2312" w:hAnsi="仿宋" w:eastAsia="仿宋_GB2312"/>
          <w:sz w:val="32"/>
          <w:szCs w:val="32"/>
        </w:rPr>
        <w:t>排放强度等</w:t>
      </w:r>
      <w:r>
        <w:rPr>
          <w:rFonts w:hint="eastAsia" w:ascii="仿宋_GB2312" w:hAnsi="仿宋" w:eastAsia="仿宋_GB2312"/>
          <w:sz w:val="32"/>
          <w:szCs w:val="32"/>
        </w:rPr>
        <w:t>的计算过程。</w:t>
      </w:r>
    </w:p>
    <w:p w14:paraId="2C728C53">
      <w:pPr>
        <w:spacing w:after="0" w:line="560" w:lineRule="exact"/>
        <w:ind w:firstLine="768" w:firstLineChars="239"/>
        <w:rPr>
          <w:rFonts w:ascii="仿宋_GB2312" w:hAnsi="仿宋" w:eastAsia="仿宋_GB2312"/>
          <w:b/>
          <w:sz w:val="32"/>
          <w:szCs w:val="32"/>
        </w:rPr>
      </w:pPr>
      <w:r>
        <w:rPr>
          <w:rFonts w:hint="eastAsia" w:ascii="仿宋_GB2312" w:hAnsi="仿宋" w:eastAsia="仿宋_GB2312"/>
          <w:b/>
          <w:sz w:val="32"/>
          <w:szCs w:val="32"/>
        </w:rPr>
        <w:t>3.7 未来二氧化碳控制措施的核查</w:t>
      </w:r>
    </w:p>
    <w:p w14:paraId="5BBFA84A">
      <w:pPr>
        <w:spacing w:after="0" w:line="560" w:lineRule="exact"/>
        <w:ind w:firstLine="768" w:firstLineChars="239"/>
        <w:outlineLvl w:val="0"/>
        <w:rPr>
          <w:rFonts w:ascii="仿宋_GB2312" w:hAnsi="仿宋" w:eastAsia="仿宋_GB2312"/>
          <w:b/>
          <w:sz w:val="32"/>
          <w:szCs w:val="32"/>
        </w:rPr>
      </w:pPr>
      <w:r>
        <w:rPr>
          <w:rFonts w:hint="eastAsia" w:ascii="仿宋_GB2312" w:hAnsi="仿宋" w:eastAsia="仿宋_GB2312"/>
          <w:b/>
          <w:sz w:val="32"/>
          <w:szCs w:val="32"/>
        </w:rPr>
        <w:t>A）报告内容</w:t>
      </w:r>
    </w:p>
    <w:p w14:paraId="419D2B4A">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核查机构应对重点碳排放单位描述的未来</w:t>
      </w:r>
      <w:r>
        <w:rPr>
          <w:rFonts w:ascii="仿宋_GB2312" w:hAnsi="仿宋" w:eastAsia="仿宋_GB2312"/>
          <w:sz w:val="32"/>
          <w:szCs w:val="32"/>
        </w:rPr>
        <w:t>3～5年二氧化碳控制措施</w:t>
      </w:r>
      <w:r>
        <w:rPr>
          <w:rFonts w:hint="eastAsia" w:ascii="仿宋_GB2312" w:hAnsi="仿宋" w:eastAsia="仿宋_GB2312"/>
          <w:sz w:val="32"/>
          <w:szCs w:val="32"/>
        </w:rPr>
        <w:t>特别是针对碳排放达峰和碳中和等方面采取的计划或规划等情况进行核查，并核查采用控制措施情况下和未采用控制措施情况下未来</w:t>
      </w:r>
      <w:r>
        <w:rPr>
          <w:rFonts w:ascii="仿宋_GB2312" w:hAnsi="仿宋" w:eastAsia="仿宋_GB2312"/>
          <w:sz w:val="32"/>
          <w:szCs w:val="32"/>
        </w:rPr>
        <w:t>3～5年每年的二氧化碳排放量的预估结果。</w:t>
      </w:r>
      <w:r>
        <w:rPr>
          <w:rFonts w:hint="eastAsia" w:ascii="仿宋_GB2312" w:hAnsi="仿宋" w:eastAsia="仿宋_GB2312"/>
          <w:sz w:val="32"/>
          <w:szCs w:val="32"/>
        </w:rPr>
        <w:t>核查机构应对上年度提交的二氧化碳控制措施的实施情况进行核查。报告内容应包含：</w:t>
      </w:r>
    </w:p>
    <w:p w14:paraId="10A73C12">
      <w:pPr>
        <w:widowControl w:val="0"/>
        <w:numPr>
          <w:ilvl w:val="0"/>
          <w:numId w:val="23"/>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控制措施的内容及其与法规的符合性；</w:t>
      </w:r>
    </w:p>
    <w:p w14:paraId="21D99C41">
      <w:pPr>
        <w:widowControl w:val="0"/>
        <w:numPr>
          <w:ilvl w:val="0"/>
          <w:numId w:val="23"/>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采用控制措施情况下未来3～5年每年的二氧化碳排放量的预估过程及计算是否正确；</w:t>
      </w:r>
    </w:p>
    <w:p w14:paraId="0BB863D4">
      <w:pPr>
        <w:widowControl w:val="0"/>
        <w:numPr>
          <w:ilvl w:val="0"/>
          <w:numId w:val="23"/>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未采用控制措施情况下未来3～5年每年的二氧化碳排放量的预估过程及计算是否正确；</w:t>
      </w:r>
    </w:p>
    <w:p w14:paraId="632221F5">
      <w:pPr>
        <w:widowControl w:val="0"/>
        <w:numPr>
          <w:ilvl w:val="0"/>
          <w:numId w:val="23"/>
        </w:numPr>
        <w:spacing w:after="0" w:line="560" w:lineRule="exact"/>
        <w:ind w:left="851" w:hanging="291"/>
        <w:jc w:val="both"/>
        <w:rPr>
          <w:rFonts w:ascii="仿宋_GB2312" w:hAnsi="仿宋" w:eastAsia="仿宋_GB2312"/>
          <w:sz w:val="32"/>
          <w:szCs w:val="32"/>
        </w:rPr>
      </w:pPr>
      <w:r>
        <w:rPr>
          <w:rFonts w:hint="eastAsia" w:ascii="仿宋_GB2312" w:hAnsi="仿宋" w:eastAsia="仿宋_GB2312"/>
          <w:sz w:val="32"/>
          <w:szCs w:val="32"/>
        </w:rPr>
        <w:t>上年度提交的二氧化碳控制措施的实施情况。</w:t>
      </w:r>
    </w:p>
    <w:p w14:paraId="3B82834E">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B）核查方法</w:t>
      </w:r>
    </w:p>
    <w:p w14:paraId="3BFB0AFA">
      <w:pPr>
        <w:widowControl w:val="0"/>
        <w:numPr>
          <w:ilvl w:val="0"/>
          <w:numId w:val="2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与管理人员及二氧化碳和能源管理人员交谈；</w:t>
      </w:r>
    </w:p>
    <w:p w14:paraId="5A0CDBE8">
      <w:pPr>
        <w:widowControl w:val="0"/>
        <w:numPr>
          <w:ilvl w:val="0"/>
          <w:numId w:val="2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查阅能源审计等相关报告中的节能措施；</w:t>
      </w:r>
    </w:p>
    <w:p w14:paraId="39B5BA08">
      <w:pPr>
        <w:widowControl w:val="0"/>
        <w:numPr>
          <w:ilvl w:val="0"/>
          <w:numId w:val="2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利用EXCEL表格验算排放量的估算。</w:t>
      </w:r>
    </w:p>
    <w:p w14:paraId="37153DF9">
      <w:pPr>
        <w:widowControl w:val="0"/>
        <w:spacing w:after="0" w:line="560" w:lineRule="exact"/>
        <w:ind w:left="420" w:firstLine="144" w:firstLineChars="45"/>
        <w:jc w:val="both"/>
        <w:rPr>
          <w:rFonts w:ascii="仿宋_GB2312" w:hAnsi="仿宋" w:eastAsia="仿宋_GB2312"/>
          <w:sz w:val="32"/>
          <w:szCs w:val="32"/>
        </w:rPr>
      </w:pPr>
    </w:p>
    <w:p w14:paraId="55CC97F4">
      <w:pPr>
        <w:widowControl w:val="0"/>
        <w:spacing w:after="0" w:line="560" w:lineRule="exact"/>
        <w:ind w:left="420" w:firstLine="145" w:firstLineChars="45"/>
        <w:jc w:val="both"/>
        <w:rPr>
          <w:rFonts w:ascii="仿宋_GB2312" w:hAnsi="仿宋" w:eastAsia="仿宋_GB2312"/>
          <w:b/>
          <w:sz w:val="32"/>
          <w:szCs w:val="32"/>
        </w:rPr>
      </w:pPr>
      <w:r>
        <w:rPr>
          <w:rFonts w:hint="eastAsia" w:ascii="仿宋_GB2312" w:hAnsi="仿宋" w:eastAsia="仿宋_GB2312"/>
          <w:b/>
          <w:sz w:val="32"/>
          <w:szCs w:val="32"/>
        </w:rPr>
        <w:t>3.8对监测计划的核查</w:t>
      </w:r>
    </w:p>
    <w:p w14:paraId="2E7A80CE">
      <w:pPr>
        <w:widowControl w:val="0"/>
        <w:spacing w:after="0" w:line="560" w:lineRule="exact"/>
        <w:ind w:left="567"/>
        <w:jc w:val="both"/>
        <w:outlineLvl w:val="0"/>
        <w:rPr>
          <w:rFonts w:ascii="仿宋_GB2312" w:hAnsi="仿宋" w:eastAsia="仿宋_GB2312"/>
          <w:sz w:val="32"/>
          <w:szCs w:val="32"/>
        </w:rPr>
      </w:pPr>
      <w:r>
        <w:rPr>
          <w:rFonts w:hint="eastAsia" w:ascii="仿宋_GB2312" w:hAnsi="仿宋" w:eastAsia="仿宋_GB2312"/>
          <w:sz w:val="32"/>
          <w:szCs w:val="32"/>
        </w:rPr>
        <w:t>A）报告内容</w:t>
      </w:r>
    </w:p>
    <w:p w14:paraId="6018771F">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核查机构应对重点碳排放单位的监测计划进行核查,确认根据适用的地方标准或核算和报告指南要求建立的监测计划合理性和执行情况，并报告如下的核查发现，格式参考下表：</w:t>
      </w:r>
    </w:p>
    <w:p w14:paraId="2431C24B">
      <w:pPr>
        <w:widowControl w:val="0"/>
        <w:numPr>
          <w:ilvl w:val="0"/>
          <w:numId w:val="2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监测计划版本及修订情况符合性的核查发现；</w:t>
      </w:r>
    </w:p>
    <w:p w14:paraId="69978C7F">
      <w:pPr>
        <w:widowControl w:val="0"/>
        <w:numPr>
          <w:ilvl w:val="0"/>
          <w:numId w:val="2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报告主体描述符合性的核查发现；</w:t>
      </w:r>
    </w:p>
    <w:p w14:paraId="45694282">
      <w:pPr>
        <w:widowControl w:val="0"/>
        <w:numPr>
          <w:ilvl w:val="0"/>
          <w:numId w:val="2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核算边界和主要排放设施描述符合性的核查发现；</w:t>
      </w:r>
    </w:p>
    <w:p w14:paraId="7B9CDECB">
      <w:pPr>
        <w:widowControl w:val="0"/>
        <w:numPr>
          <w:ilvl w:val="0"/>
          <w:numId w:val="2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各个活动数据和排放因子获取方式符合性的核查发现；</w:t>
      </w:r>
    </w:p>
    <w:p w14:paraId="24CD3DCA">
      <w:pPr>
        <w:widowControl w:val="0"/>
        <w:numPr>
          <w:ilvl w:val="0"/>
          <w:numId w:val="2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数据内部质量控制和质量保证相关规定符合性的核查发现；</w:t>
      </w:r>
    </w:p>
    <w:p w14:paraId="3AA018D6">
      <w:pPr>
        <w:widowControl w:val="0"/>
        <w:numPr>
          <w:ilvl w:val="0"/>
          <w:numId w:val="2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上一年度监测计划的合理性和核查年度监测计划的执行情况核查发现；</w:t>
      </w:r>
    </w:p>
    <w:p w14:paraId="06802656">
      <w:pPr>
        <w:widowControl w:val="0"/>
        <w:numPr>
          <w:ilvl w:val="0"/>
          <w:numId w:val="25"/>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核查年度的下一年度监测计划合理性的核查发现；</w:t>
      </w:r>
    </w:p>
    <w:tbl>
      <w:tblPr>
        <w:tblStyle w:val="35"/>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6570"/>
      </w:tblGrid>
      <w:tr w14:paraId="4841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2180" w:type="dxa"/>
            <w:shd w:val="clear" w:color="auto" w:fill="D8D8D8" w:themeFill="background1" w:themeFillShade="D9"/>
            <w:vAlign w:val="center"/>
          </w:tcPr>
          <w:p w14:paraId="4E5B9C6A">
            <w:pPr>
              <w:tabs>
                <w:tab w:val="left" w:pos="3960"/>
                <w:tab w:val="left" w:pos="4140"/>
              </w:tabs>
              <w:snapToGrid w:val="0"/>
              <w:spacing w:before="156" w:beforeLines="50" w:after="0" w:line="300" w:lineRule="auto"/>
              <w:ind w:firstLine="482" w:firstLineChars="200"/>
              <w:rPr>
                <w:rFonts w:eastAsia="仿宋"/>
                <w:b/>
                <w:sz w:val="24"/>
                <w:szCs w:val="24"/>
              </w:rPr>
            </w:pPr>
            <w:r>
              <w:rPr>
                <w:rFonts w:eastAsia="仿宋"/>
                <w:b/>
                <w:sz w:val="24"/>
                <w:szCs w:val="24"/>
              </w:rPr>
              <w:t>监测计划版本的符合性</w:t>
            </w:r>
          </w:p>
        </w:tc>
        <w:tc>
          <w:tcPr>
            <w:tcW w:w="6570" w:type="dxa"/>
            <w:vAlign w:val="center"/>
          </w:tcPr>
          <w:p w14:paraId="44EA5B58">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最终版本与实际情况符合情况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6B974675">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发布或修改时间与实际情况相符合情况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0C84A3E5">
            <w:pPr>
              <w:tabs>
                <w:tab w:val="left" w:pos="3960"/>
                <w:tab w:val="left" w:pos="4140"/>
              </w:tabs>
              <w:adjustRightInd w:val="0"/>
              <w:snapToGrid w:val="0"/>
              <w:spacing w:before="156" w:beforeLines="50" w:after="0" w:line="300" w:lineRule="auto"/>
              <w:ind w:firstLine="480" w:firstLineChars="200"/>
              <w:rPr>
                <w:rFonts w:eastAsia="仿宋"/>
                <w:sz w:val="24"/>
                <w:szCs w:val="24"/>
              </w:rPr>
            </w:pPr>
            <w:r>
              <w:rPr>
                <w:rFonts w:eastAsia="仿宋"/>
                <w:sz w:val="24"/>
                <w:szCs w:val="24"/>
              </w:rPr>
              <w:t>发布或修改的内容满足适用地方标准或核算和报告指南要求情况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4C4D2F5E">
            <w:pPr>
              <w:tabs>
                <w:tab w:val="left" w:pos="3960"/>
                <w:tab w:val="left" w:pos="4140"/>
              </w:tabs>
              <w:adjustRightInd w:val="0"/>
              <w:snapToGrid w:val="0"/>
              <w:spacing w:before="156" w:beforeLines="50" w:after="0" w:line="300" w:lineRule="auto"/>
              <w:ind w:firstLine="480" w:firstLineChars="200"/>
              <w:rPr>
                <w:rFonts w:eastAsia="仿宋"/>
                <w:bCs/>
                <w:sz w:val="24"/>
                <w:szCs w:val="24"/>
              </w:rPr>
            </w:pPr>
            <w:r>
              <w:rPr>
                <w:rFonts w:eastAsia="仿宋"/>
                <w:sz w:val="24"/>
                <w:szCs w:val="24"/>
              </w:rPr>
              <w:t>若否，需要详细说明并</w:t>
            </w:r>
            <w:r>
              <w:rPr>
                <w:rFonts w:hint="eastAsia" w:eastAsia="仿宋"/>
                <w:sz w:val="24"/>
                <w:szCs w:val="24"/>
              </w:rPr>
              <w:t>简要描述不符合(如有),详细描述及纠正措施链接核查报告附件1）。</w:t>
            </w:r>
          </w:p>
        </w:tc>
      </w:tr>
      <w:tr w14:paraId="23C5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80" w:type="dxa"/>
            <w:shd w:val="clear" w:color="auto" w:fill="D8D8D8" w:themeFill="background1" w:themeFillShade="D9"/>
            <w:vAlign w:val="center"/>
          </w:tcPr>
          <w:p w14:paraId="4314AFAD">
            <w:pPr>
              <w:tabs>
                <w:tab w:val="left" w:pos="3960"/>
                <w:tab w:val="left" w:pos="4140"/>
              </w:tabs>
              <w:snapToGrid w:val="0"/>
              <w:spacing w:before="156" w:beforeLines="50" w:after="0" w:line="300" w:lineRule="auto"/>
              <w:ind w:firstLine="482" w:firstLineChars="200"/>
              <w:rPr>
                <w:rFonts w:eastAsia="仿宋"/>
                <w:b/>
                <w:sz w:val="24"/>
                <w:szCs w:val="24"/>
              </w:rPr>
            </w:pPr>
            <w:r>
              <w:rPr>
                <w:rFonts w:eastAsia="仿宋"/>
                <w:b/>
                <w:sz w:val="24"/>
                <w:szCs w:val="24"/>
              </w:rPr>
              <w:t>报告主体描述的符合性</w:t>
            </w:r>
          </w:p>
        </w:tc>
        <w:tc>
          <w:tcPr>
            <w:tcW w:w="6570" w:type="dxa"/>
            <w:vAlign w:val="center"/>
          </w:tcPr>
          <w:p w14:paraId="2E4D09BD">
            <w:pPr>
              <w:tabs>
                <w:tab w:val="left" w:pos="3960"/>
                <w:tab w:val="left" w:pos="4140"/>
              </w:tabs>
              <w:snapToGrid w:val="0"/>
              <w:spacing w:before="156" w:beforeLines="50" w:after="0" w:line="300" w:lineRule="auto"/>
              <w:ind w:firstLine="480" w:firstLineChars="200"/>
              <w:rPr>
                <w:rFonts w:eastAsia="仿宋"/>
                <w:bCs/>
                <w:sz w:val="24"/>
                <w:szCs w:val="24"/>
              </w:rPr>
            </w:pPr>
            <w:r>
              <w:rPr>
                <w:rFonts w:hint="eastAsia" w:eastAsia="仿宋"/>
                <w:bCs/>
                <w:sz w:val="24"/>
                <w:szCs w:val="24"/>
              </w:rPr>
              <w:t>企业（或者其他经济组织）的基本信息与实际符合情况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15434A76">
            <w:pPr>
              <w:tabs>
                <w:tab w:val="left" w:pos="3960"/>
                <w:tab w:val="left" w:pos="4140"/>
              </w:tabs>
              <w:snapToGrid w:val="0"/>
              <w:spacing w:before="156" w:beforeLines="50" w:after="0" w:line="300" w:lineRule="auto"/>
              <w:ind w:firstLine="480" w:firstLineChars="200"/>
              <w:rPr>
                <w:rFonts w:eastAsia="仿宋"/>
                <w:sz w:val="24"/>
                <w:szCs w:val="24"/>
              </w:rPr>
            </w:pPr>
            <w:r>
              <w:rPr>
                <w:rFonts w:hint="eastAsia" w:eastAsia="仿宋"/>
                <w:bCs/>
                <w:sz w:val="24"/>
                <w:szCs w:val="24"/>
              </w:rPr>
              <w:t>企业主营产品、生产设施信息、组织机构图、厂区平面分布图、工艺流程图与实际符合情况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27BFFCBB">
            <w:pPr>
              <w:tabs>
                <w:tab w:val="left" w:pos="3960"/>
                <w:tab w:val="left" w:pos="4140"/>
              </w:tabs>
              <w:snapToGrid w:val="0"/>
              <w:spacing w:before="156" w:beforeLines="50" w:after="0" w:line="300" w:lineRule="auto"/>
              <w:ind w:firstLine="480" w:firstLineChars="200"/>
              <w:rPr>
                <w:rFonts w:eastAsia="仿宋"/>
                <w:bCs/>
                <w:sz w:val="24"/>
                <w:szCs w:val="24"/>
              </w:rPr>
            </w:pPr>
            <w:r>
              <w:rPr>
                <w:rFonts w:eastAsia="仿宋"/>
                <w:sz w:val="24"/>
                <w:szCs w:val="24"/>
              </w:rPr>
              <w:t>若否，需要详细说明并</w:t>
            </w:r>
            <w:r>
              <w:rPr>
                <w:rFonts w:hint="eastAsia" w:eastAsia="仿宋"/>
                <w:sz w:val="24"/>
                <w:szCs w:val="24"/>
              </w:rPr>
              <w:t>简要描述不符合(如有),详细描述及纠正措施链接核查报告附件1）。</w:t>
            </w:r>
          </w:p>
        </w:tc>
      </w:tr>
      <w:tr w14:paraId="32A5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2180" w:type="dxa"/>
            <w:shd w:val="clear" w:color="auto" w:fill="D8D8D8" w:themeFill="background1" w:themeFillShade="D9"/>
            <w:vAlign w:val="center"/>
          </w:tcPr>
          <w:p w14:paraId="07328311">
            <w:pPr>
              <w:tabs>
                <w:tab w:val="left" w:pos="3960"/>
                <w:tab w:val="left" w:pos="4140"/>
              </w:tabs>
              <w:snapToGrid w:val="0"/>
              <w:spacing w:before="156" w:beforeLines="50" w:after="0" w:line="300" w:lineRule="auto"/>
              <w:ind w:firstLine="482" w:firstLineChars="200"/>
              <w:rPr>
                <w:rFonts w:eastAsia="仿宋"/>
                <w:b/>
                <w:sz w:val="24"/>
                <w:szCs w:val="24"/>
              </w:rPr>
            </w:pPr>
            <w:r>
              <w:rPr>
                <w:rFonts w:eastAsia="仿宋"/>
                <w:b/>
                <w:sz w:val="24"/>
                <w:szCs w:val="24"/>
              </w:rPr>
              <w:t>核算边界和主要排放设施描述的符合性</w:t>
            </w:r>
          </w:p>
        </w:tc>
        <w:tc>
          <w:tcPr>
            <w:tcW w:w="6570" w:type="dxa"/>
            <w:vAlign w:val="center"/>
          </w:tcPr>
          <w:p w14:paraId="03CC3DC7">
            <w:pPr>
              <w:snapToGrid w:val="0"/>
              <w:spacing w:before="156" w:beforeLines="50" w:after="0" w:line="300" w:lineRule="auto"/>
              <w:ind w:firstLine="480" w:firstLineChars="200"/>
              <w:rPr>
                <w:rFonts w:eastAsia="仿宋"/>
                <w:sz w:val="24"/>
                <w:szCs w:val="24"/>
              </w:rPr>
            </w:pPr>
            <w:r>
              <w:rPr>
                <w:rFonts w:hint="eastAsia" w:eastAsia="仿宋"/>
                <w:sz w:val="24"/>
                <w:szCs w:val="24"/>
              </w:rPr>
              <w:t>法人边界的核算范围与实际的符合情况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7399024A">
            <w:pPr>
              <w:snapToGrid w:val="0"/>
              <w:spacing w:before="156" w:beforeLines="50" w:after="0" w:line="300" w:lineRule="auto"/>
              <w:ind w:firstLine="480" w:firstLineChars="200"/>
              <w:rPr>
                <w:rFonts w:eastAsia="仿宋"/>
                <w:sz w:val="24"/>
                <w:szCs w:val="24"/>
              </w:rPr>
            </w:pPr>
            <w:r>
              <w:rPr>
                <w:rFonts w:hint="eastAsia" w:eastAsia="仿宋"/>
                <w:sz w:val="24"/>
                <w:szCs w:val="24"/>
              </w:rPr>
              <w:t>补充数据表的核算范围与实际的符合情况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04F4B746">
            <w:pPr>
              <w:snapToGrid w:val="0"/>
              <w:spacing w:before="156" w:beforeLines="50" w:after="0" w:line="300" w:lineRule="auto"/>
              <w:ind w:firstLine="480" w:firstLineChars="200"/>
              <w:rPr>
                <w:rFonts w:eastAsia="仿宋"/>
                <w:sz w:val="24"/>
                <w:szCs w:val="24"/>
              </w:rPr>
            </w:pPr>
            <w:r>
              <w:rPr>
                <w:rFonts w:hint="eastAsia" w:eastAsia="仿宋"/>
                <w:sz w:val="24"/>
                <w:szCs w:val="24"/>
              </w:rPr>
              <w:t>主要排放设施与实际的符合情况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2D2034CE">
            <w:pPr>
              <w:snapToGrid w:val="0"/>
              <w:spacing w:before="156" w:beforeLines="50" w:after="0" w:line="300" w:lineRule="auto"/>
              <w:ind w:firstLine="480" w:firstLineChars="200"/>
              <w:rPr>
                <w:rFonts w:eastAsia="仿宋"/>
                <w:bCs/>
                <w:sz w:val="24"/>
                <w:szCs w:val="24"/>
              </w:rPr>
            </w:pPr>
            <w:r>
              <w:rPr>
                <w:rFonts w:eastAsia="仿宋"/>
                <w:sz w:val="24"/>
                <w:szCs w:val="24"/>
              </w:rPr>
              <w:t>若否，需要详细说明并</w:t>
            </w:r>
            <w:r>
              <w:rPr>
                <w:rFonts w:hint="eastAsia" w:eastAsia="仿宋"/>
                <w:sz w:val="24"/>
                <w:szCs w:val="24"/>
              </w:rPr>
              <w:t>简要描述不符合(如有),详细描述及纠正措施链接核查报告附件1）。</w:t>
            </w:r>
          </w:p>
        </w:tc>
      </w:tr>
      <w:tr w14:paraId="487E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80" w:type="dxa"/>
            <w:shd w:val="clear" w:color="auto" w:fill="D8D8D8" w:themeFill="background1" w:themeFillShade="D9"/>
            <w:vAlign w:val="center"/>
          </w:tcPr>
          <w:p w14:paraId="073E6318">
            <w:pPr>
              <w:tabs>
                <w:tab w:val="left" w:pos="3960"/>
                <w:tab w:val="left" w:pos="4140"/>
              </w:tabs>
              <w:snapToGrid w:val="0"/>
              <w:spacing w:before="156" w:beforeLines="50" w:after="0" w:line="300" w:lineRule="auto"/>
              <w:ind w:firstLine="482" w:firstLineChars="200"/>
              <w:rPr>
                <w:rFonts w:eastAsia="仿宋"/>
                <w:b/>
                <w:sz w:val="24"/>
                <w:szCs w:val="24"/>
              </w:rPr>
            </w:pPr>
            <w:r>
              <w:rPr>
                <w:rFonts w:eastAsia="仿宋"/>
                <w:b/>
                <w:sz w:val="24"/>
                <w:szCs w:val="24"/>
              </w:rPr>
              <w:t>数据获取方式的符合性</w:t>
            </w:r>
          </w:p>
        </w:tc>
        <w:tc>
          <w:tcPr>
            <w:tcW w:w="6570" w:type="dxa"/>
            <w:vAlign w:val="center"/>
          </w:tcPr>
          <w:p w14:paraId="7CA12634">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监测计划中涉及的所有活动水平数据和排放因子识别全面情况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13EB1FE3">
            <w:pPr>
              <w:tabs>
                <w:tab w:val="left" w:pos="3960"/>
                <w:tab w:val="left" w:pos="4140"/>
              </w:tabs>
              <w:snapToGrid w:val="0"/>
              <w:spacing w:before="156" w:beforeLines="50" w:after="0" w:line="300" w:lineRule="auto"/>
              <w:ind w:firstLine="480" w:firstLineChars="200"/>
              <w:rPr>
                <w:rFonts w:eastAsia="仿宋"/>
                <w:bCs/>
                <w:sz w:val="24"/>
                <w:szCs w:val="24"/>
              </w:rPr>
            </w:pPr>
            <w:r>
              <w:rPr>
                <w:rFonts w:eastAsia="仿宋"/>
                <w:bCs/>
                <w:sz w:val="24"/>
                <w:szCs w:val="24"/>
              </w:rPr>
              <w:t>监测计划中对参与核算所需要的所有数据都制定了获取方式情况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3D436478">
            <w:pPr>
              <w:tabs>
                <w:tab w:val="left" w:pos="3960"/>
                <w:tab w:val="left" w:pos="4140"/>
              </w:tabs>
              <w:snapToGrid w:val="0"/>
              <w:spacing w:before="156" w:beforeLines="50" w:after="0" w:line="300" w:lineRule="auto"/>
              <w:ind w:firstLine="480" w:firstLineChars="200"/>
              <w:rPr>
                <w:rFonts w:eastAsia="仿宋"/>
                <w:bCs/>
                <w:sz w:val="24"/>
                <w:szCs w:val="24"/>
              </w:rPr>
            </w:pPr>
            <w:r>
              <w:rPr>
                <w:rFonts w:eastAsia="仿宋"/>
                <w:sz w:val="24"/>
                <w:szCs w:val="24"/>
              </w:rPr>
              <w:t>所填报的</w:t>
            </w:r>
            <w:r>
              <w:rPr>
                <w:rFonts w:eastAsia="仿宋"/>
                <w:bCs/>
                <w:sz w:val="24"/>
                <w:szCs w:val="24"/>
              </w:rPr>
              <w:t>数据单位与核算指南一致情况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223B3E17">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所有数据的计算方法和获取方式合理且符合适用的地方标准或核算和报告指南的要求</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22D7AEA4">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数据获取过程中涉及的测量设备的型号、位置属实情况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52FAD597">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监测频次、精度和校准频次符合相关要求情况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5B6EBF1C">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数据缺失时的处理方式能够确保不会导致排放量的低估和配额的过量发放情况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3CB2A0FB">
            <w:pPr>
              <w:snapToGrid w:val="0"/>
              <w:spacing w:before="156" w:beforeLines="50" w:after="0" w:line="300" w:lineRule="auto"/>
              <w:ind w:firstLine="480" w:firstLineChars="200"/>
              <w:rPr>
                <w:rFonts w:eastAsia="仿宋"/>
                <w:bCs/>
                <w:sz w:val="24"/>
                <w:szCs w:val="24"/>
              </w:rPr>
            </w:pPr>
            <w:r>
              <w:rPr>
                <w:rFonts w:eastAsia="仿宋"/>
                <w:sz w:val="24"/>
                <w:szCs w:val="24"/>
              </w:rPr>
              <w:t>若否，需要详细说明并</w:t>
            </w:r>
            <w:r>
              <w:rPr>
                <w:rFonts w:hint="eastAsia" w:eastAsia="仿宋"/>
                <w:sz w:val="24"/>
                <w:szCs w:val="24"/>
              </w:rPr>
              <w:t>简要描述不符合(如有),详细描述及纠正措施链接核查报告附件1）。</w:t>
            </w:r>
          </w:p>
        </w:tc>
      </w:tr>
      <w:tr w14:paraId="0553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80" w:type="dxa"/>
            <w:shd w:val="clear" w:color="auto" w:fill="D8D8D8" w:themeFill="background1" w:themeFillShade="D9"/>
            <w:vAlign w:val="center"/>
          </w:tcPr>
          <w:p w14:paraId="50648A03">
            <w:pPr>
              <w:tabs>
                <w:tab w:val="left" w:pos="3960"/>
                <w:tab w:val="left" w:pos="4140"/>
              </w:tabs>
              <w:snapToGrid w:val="0"/>
              <w:spacing w:before="156" w:beforeLines="50" w:after="0" w:line="300" w:lineRule="auto"/>
              <w:ind w:firstLine="482" w:firstLineChars="200"/>
              <w:rPr>
                <w:rFonts w:eastAsia="仿宋"/>
                <w:b/>
                <w:sz w:val="24"/>
                <w:szCs w:val="24"/>
              </w:rPr>
            </w:pPr>
            <w:r>
              <w:rPr>
                <w:rFonts w:eastAsia="仿宋"/>
                <w:b/>
                <w:sz w:val="24"/>
                <w:szCs w:val="24"/>
              </w:rPr>
              <w:t>数据内部质量控制和质量保证的符合性</w:t>
            </w:r>
          </w:p>
        </w:tc>
        <w:tc>
          <w:tcPr>
            <w:tcW w:w="6570" w:type="dxa"/>
            <w:vAlign w:val="center"/>
          </w:tcPr>
          <w:p w14:paraId="43746AA7">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受审核方已指定专人负责温室气体监测计划制定、温室气体报告工作情况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5F83AC8E">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受审核方已建立监测计划的制定、修订、审批以及执行等的管理制度情况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102DBE9F">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受审核方已建立温室气体排放报告的编写、内部审核以及审批等管理制度情况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049E822A">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受审核方已建立温室气体数据文件的保存和归档管理制度</w:t>
            </w:r>
            <w:r>
              <w:rPr>
                <w:rFonts w:hint="eastAsia" w:eastAsia="仿宋"/>
                <w:sz w:val="24"/>
                <w:szCs w:val="24"/>
              </w:rPr>
              <w:t>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5C9851D6">
            <w:pPr>
              <w:tabs>
                <w:tab w:val="left" w:pos="3960"/>
                <w:tab w:val="left" w:pos="4140"/>
              </w:tabs>
              <w:snapToGrid w:val="0"/>
              <w:spacing w:before="156" w:beforeLines="50" w:after="0" w:line="300" w:lineRule="auto"/>
              <w:ind w:firstLine="480" w:firstLineChars="200"/>
              <w:rPr>
                <w:rFonts w:eastAsia="仿宋"/>
                <w:sz w:val="24"/>
                <w:szCs w:val="24"/>
              </w:rPr>
            </w:pPr>
            <w:r>
              <w:rPr>
                <w:rFonts w:eastAsia="仿宋"/>
                <w:sz w:val="24"/>
                <w:szCs w:val="24"/>
              </w:rPr>
              <w:t>受审核方监测计划制定和执行人员以及排放报告编制人员具备制定相应报告的能力情况</w:t>
            </w:r>
            <w:r>
              <w:rPr>
                <w:rFonts w:ascii="Segoe UI Symbol" w:hAnsi="Segoe UI Symbol" w:eastAsia="仿宋" w:cs="Segoe UI Symbol"/>
                <w:sz w:val="24"/>
                <w:szCs w:val="24"/>
              </w:rPr>
              <w:t>☐</w:t>
            </w:r>
            <w:r>
              <w:rPr>
                <w:rFonts w:hint="eastAsia" w:eastAsia="仿宋"/>
                <w:sz w:val="24"/>
                <w:szCs w:val="24"/>
              </w:rPr>
              <w:t>是</w:t>
            </w:r>
            <w:r>
              <w:rPr>
                <w:rFonts w:ascii="Segoe UI Symbol" w:hAnsi="Segoe UI Symbol" w:eastAsia="仿宋" w:cs="Segoe UI Symbol"/>
                <w:sz w:val="24"/>
                <w:szCs w:val="24"/>
              </w:rPr>
              <w:t>☐</w:t>
            </w:r>
            <w:r>
              <w:rPr>
                <w:rFonts w:hint="eastAsia" w:eastAsia="仿宋"/>
                <w:sz w:val="24"/>
                <w:szCs w:val="24"/>
              </w:rPr>
              <w:t>否</w:t>
            </w:r>
          </w:p>
          <w:p w14:paraId="1F849FD9">
            <w:pPr>
              <w:tabs>
                <w:tab w:val="left" w:pos="3960"/>
                <w:tab w:val="left" w:pos="4140"/>
              </w:tabs>
              <w:snapToGrid w:val="0"/>
              <w:spacing w:before="156" w:beforeLines="50" w:after="0" w:line="300" w:lineRule="auto"/>
              <w:ind w:firstLine="480" w:firstLineChars="200"/>
              <w:rPr>
                <w:rFonts w:eastAsia="仿宋"/>
                <w:b/>
                <w:sz w:val="24"/>
                <w:szCs w:val="24"/>
              </w:rPr>
            </w:pPr>
            <w:r>
              <w:rPr>
                <w:rFonts w:eastAsia="仿宋"/>
                <w:sz w:val="24"/>
                <w:szCs w:val="24"/>
              </w:rPr>
              <w:t>若否，需要详细说明并</w:t>
            </w:r>
            <w:r>
              <w:rPr>
                <w:rFonts w:hint="eastAsia" w:eastAsia="仿宋"/>
                <w:sz w:val="24"/>
                <w:szCs w:val="24"/>
              </w:rPr>
              <w:t>简要描述不符合(如有),详细描述及纠正措施链接核查报告附件1）。</w:t>
            </w:r>
          </w:p>
        </w:tc>
      </w:tr>
      <w:tr w14:paraId="1E6C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180" w:type="dxa"/>
            <w:shd w:val="clear" w:color="auto" w:fill="D8D8D8" w:themeFill="background1" w:themeFillShade="D9"/>
            <w:vAlign w:val="center"/>
          </w:tcPr>
          <w:p w14:paraId="370EA6A9">
            <w:pPr>
              <w:tabs>
                <w:tab w:val="left" w:pos="3960"/>
                <w:tab w:val="left" w:pos="4140"/>
              </w:tabs>
              <w:snapToGrid w:val="0"/>
              <w:spacing w:before="156" w:beforeLines="50" w:after="0" w:line="300" w:lineRule="auto"/>
              <w:ind w:firstLine="482" w:firstLineChars="200"/>
              <w:rPr>
                <w:rFonts w:eastAsia="仿宋"/>
                <w:b/>
                <w:sz w:val="24"/>
                <w:szCs w:val="24"/>
              </w:rPr>
            </w:pPr>
            <w:r>
              <w:rPr>
                <w:rFonts w:eastAsia="仿宋"/>
                <w:b/>
                <w:sz w:val="24"/>
                <w:szCs w:val="24"/>
              </w:rPr>
              <w:t>其他核查发现（如有）</w:t>
            </w:r>
          </w:p>
        </w:tc>
        <w:tc>
          <w:tcPr>
            <w:tcW w:w="6570" w:type="dxa"/>
            <w:vAlign w:val="center"/>
          </w:tcPr>
          <w:p w14:paraId="6DF6CE8E">
            <w:pPr>
              <w:snapToGrid w:val="0"/>
              <w:spacing w:before="156" w:beforeLines="50" w:after="0" w:line="300" w:lineRule="auto"/>
              <w:ind w:firstLine="480" w:firstLineChars="200"/>
              <w:rPr>
                <w:rFonts w:eastAsia="仿宋"/>
                <w:bCs/>
                <w:sz w:val="24"/>
                <w:szCs w:val="24"/>
              </w:rPr>
            </w:pPr>
            <w:r>
              <w:rPr>
                <w:rFonts w:eastAsia="仿宋"/>
                <w:bCs/>
                <w:sz w:val="24"/>
                <w:szCs w:val="24"/>
              </w:rPr>
              <w:t>若还有其它需要说明的核查发现，请详细描述。</w:t>
            </w:r>
          </w:p>
        </w:tc>
      </w:tr>
    </w:tbl>
    <w:p w14:paraId="5F55248C">
      <w:pPr>
        <w:widowControl w:val="0"/>
        <w:spacing w:after="0" w:line="560" w:lineRule="exact"/>
        <w:ind w:left="987"/>
        <w:jc w:val="both"/>
        <w:rPr>
          <w:rFonts w:ascii="仿宋_GB2312" w:hAnsi="仿宋" w:eastAsia="仿宋_GB2312"/>
          <w:sz w:val="32"/>
          <w:szCs w:val="32"/>
        </w:rPr>
      </w:pPr>
    </w:p>
    <w:p w14:paraId="48AE3FCD">
      <w:pPr>
        <w:widowControl w:val="0"/>
        <w:spacing w:after="0" w:line="560" w:lineRule="exact"/>
        <w:ind w:left="567"/>
        <w:jc w:val="both"/>
        <w:outlineLvl w:val="0"/>
        <w:rPr>
          <w:rFonts w:ascii="仿宋_GB2312" w:hAnsi="仿宋" w:eastAsia="仿宋_GB2312"/>
          <w:sz w:val="32"/>
          <w:szCs w:val="32"/>
        </w:rPr>
      </w:pPr>
      <w:r>
        <w:rPr>
          <w:rFonts w:hint="eastAsia" w:ascii="仿宋_GB2312" w:hAnsi="仿宋" w:eastAsia="仿宋_GB2312"/>
          <w:sz w:val="32"/>
          <w:szCs w:val="32"/>
        </w:rPr>
        <w:t>B）核查方法</w:t>
      </w:r>
    </w:p>
    <w:p w14:paraId="57BAB8FB">
      <w:pPr>
        <w:widowControl w:val="0"/>
        <w:numPr>
          <w:ilvl w:val="0"/>
          <w:numId w:val="26"/>
        </w:numPr>
        <w:spacing w:after="0" w:line="560" w:lineRule="exact"/>
        <w:jc w:val="both"/>
        <w:rPr>
          <w:rFonts w:ascii="仿宋_GB2312" w:hAnsi="仿宋" w:eastAsia="仿宋_GB2312"/>
          <w:sz w:val="32"/>
          <w:szCs w:val="32"/>
        </w:rPr>
      </w:pPr>
      <w:r>
        <w:rPr>
          <w:rFonts w:ascii="仿宋_GB2312" w:hAnsi="仿宋" w:eastAsia="仿宋_GB2312"/>
          <w:sz w:val="32"/>
          <w:szCs w:val="32"/>
        </w:rPr>
        <w:t>访谈确认监测计划制定及实施情况；</w:t>
      </w:r>
    </w:p>
    <w:p w14:paraId="5006D68F">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查阅相关参数的检测报告；</w:t>
      </w:r>
    </w:p>
    <w:p w14:paraId="7ACF126C">
      <w:pPr>
        <w:widowControl w:val="0"/>
        <w:numPr>
          <w:ilvl w:val="0"/>
          <w:numId w:val="26"/>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观察现有监测设备的配置情况；</w:t>
      </w:r>
    </w:p>
    <w:p w14:paraId="560DB28F">
      <w:pPr>
        <w:widowControl w:val="0"/>
        <w:numPr>
          <w:ilvl w:val="0"/>
          <w:numId w:val="26"/>
        </w:numPr>
        <w:spacing w:after="0" w:line="560" w:lineRule="exact"/>
        <w:ind w:left="567" w:firstLine="6"/>
        <w:jc w:val="both"/>
        <w:rPr>
          <w:rFonts w:ascii="仿宋_GB2312" w:hAnsi="仿宋" w:eastAsia="仿宋_GB2312"/>
          <w:sz w:val="32"/>
          <w:szCs w:val="32"/>
        </w:rPr>
      </w:pPr>
      <w:r>
        <w:rPr>
          <w:rFonts w:hint="eastAsia" w:ascii="仿宋_GB2312" w:hAnsi="仿宋" w:eastAsia="仿宋_GB2312"/>
          <w:sz w:val="32"/>
          <w:szCs w:val="32"/>
        </w:rPr>
        <w:t>访谈了解监测设备的下一步配置计划。</w:t>
      </w:r>
    </w:p>
    <w:p w14:paraId="710D65C5">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3.9对京内移动设施和京外能源消费总量的核查</w:t>
      </w:r>
    </w:p>
    <w:p w14:paraId="552D5A74">
      <w:pPr>
        <w:spacing w:after="0" w:line="560" w:lineRule="exact"/>
        <w:ind w:firstLine="659" w:firstLineChars="205"/>
        <w:outlineLvl w:val="0"/>
        <w:rPr>
          <w:rFonts w:ascii="仿宋_GB2312" w:hAnsi="仿宋" w:eastAsia="仿宋_GB2312"/>
          <w:b/>
          <w:sz w:val="32"/>
          <w:szCs w:val="32"/>
        </w:rPr>
      </w:pPr>
      <w:r>
        <w:rPr>
          <w:rFonts w:hint="eastAsia" w:ascii="仿宋_GB2312" w:hAnsi="仿宋" w:eastAsia="仿宋_GB2312"/>
          <w:b/>
          <w:sz w:val="32"/>
          <w:szCs w:val="32"/>
        </w:rPr>
        <w:t>A）报告内容</w:t>
      </w:r>
    </w:p>
    <w:p w14:paraId="19962873">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核查机构应对重点碳排放单位的其他能源消费信息进行核查,并报告如下核查发现：</w:t>
      </w:r>
    </w:p>
    <w:p w14:paraId="38C5BA34">
      <w:pPr>
        <w:widowControl w:val="0"/>
        <w:numPr>
          <w:ilvl w:val="0"/>
          <w:numId w:val="2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能源消耗（燃料品种、电力等）是否完整；</w:t>
      </w:r>
    </w:p>
    <w:p w14:paraId="64DB07B3">
      <w:pPr>
        <w:widowControl w:val="0"/>
        <w:numPr>
          <w:ilvl w:val="0"/>
          <w:numId w:val="27"/>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消费数据是否真实、可信。</w:t>
      </w:r>
    </w:p>
    <w:p w14:paraId="6C11C744">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 核查方法</w:t>
      </w:r>
    </w:p>
    <w:p w14:paraId="0198CAE2">
      <w:pPr>
        <w:widowControl w:val="0"/>
        <w:numPr>
          <w:ilvl w:val="0"/>
          <w:numId w:val="2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查阅油品购买记录；</w:t>
      </w:r>
    </w:p>
    <w:p w14:paraId="6F58BCC4">
      <w:pPr>
        <w:widowControl w:val="0"/>
        <w:numPr>
          <w:ilvl w:val="0"/>
          <w:numId w:val="2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查阅移动源行驶里程；</w:t>
      </w:r>
    </w:p>
    <w:p w14:paraId="7E8FEABF">
      <w:pPr>
        <w:widowControl w:val="0"/>
        <w:numPr>
          <w:ilvl w:val="0"/>
          <w:numId w:val="24"/>
        </w:numPr>
        <w:spacing w:after="0" w:line="560" w:lineRule="exact"/>
        <w:jc w:val="both"/>
        <w:rPr>
          <w:rFonts w:ascii="仿宋_GB2312" w:hAnsi="仿宋" w:eastAsia="仿宋_GB2312"/>
          <w:sz w:val="32"/>
          <w:szCs w:val="32"/>
        </w:rPr>
      </w:pPr>
      <w:r>
        <w:rPr>
          <w:rFonts w:hint="eastAsia" w:ascii="仿宋_GB2312" w:hAnsi="仿宋" w:eastAsia="仿宋_GB2312"/>
          <w:sz w:val="32"/>
          <w:szCs w:val="32"/>
        </w:rPr>
        <w:t>查阅能源平衡表。</w:t>
      </w:r>
    </w:p>
    <w:p w14:paraId="5C7E255C">
      <w:pPr>
        <w:widowControl w:val="0"/>
        <w:spacing w:after="0" w:line="560" w:lineRule="exact"/>
        <w:ind w:left="420"/>
        <w:jc w:val="both"/>
        <w:rPr>
          <w:rFonts w:ascii="仿宋_GB2312" w:hAnsi="仿宋" w:eastAsia="仿宋_GB2312"/>
          <w:sz w:val="32"/>
          <w:szCs w:val="32"/>
        </w:rPr>
      </w:pPr>
      <w:r>
        <w:rPr>
          <w:rFonts w:hint="eastAsia" w:ascii="仿宋_GB2312" w:hAnsi="仿宋" w:eastAsia="仿宋_GB2312"/>
          <w:sz w:val="32"/>
          <w:szCs w:val="32"/>
        </w:rPr>
        <w:t xml:space="preserve">   核查机构应注意，交通设施的京内移动设施和</w:t>
      </w:r>
      <w:r>
        <w:rPr>
          <w:rFonts w:ascii="仿宋_GB2312" w:hAnsi="仿宋" w:eastAsia="仿宋_GB2312"/>
          <w:sz w:val="32"/>
          <w:szCs w:val="32"/>
        </w:rPr>
        <w:t>航空器的排放</w:t>
      </w:r>
      <w:r>
        <w:rPr>
          <w:rFonts w:hint="eastAsia" w:ascii="仿宋_GB2312" w:hAnsi="仿宋" w:eastAsia="仿宋_GB2312"/>
          <w:sz w:val="32"/>
          <w:szCs w:val="32"/>
        </w:rPr>
        <w:t>应作为核算边界内的排放设施纳入核查范围，而不应当作为本节核查的内容。</w:t>
      </w:r>
    </w:p>
    <w:p w14:paraId="26E26E3D">
      <w:pPr>
        <w:spacing w:after="0" w:line="560" w:lineRule="exact"/>
        <w:ind w:firstLine="659" w:firstLineChars="205"/>
        <w:rPr>
          <w:rFonts w:ascii="仿宋_GB2312" w:hAnsi="仿宋" w:eastAsia="仿宋_GB2312"/>
          <w:b/>
          <w:sz w:val="32"/>
          <w:szCs w:val="32"/>
        </w:rPr>
      </w:pPr>
      <w:r>
        <w:rPr>
          <w:rFonts w:hint="eastAsia" w:ascii="仿宋_GB2312" w:hAnsi="仿宋" w:eastAsia="仿宋_GB2312"/>
          <w:b/>
          <w:sz w:val="32"/>
          <w:szCs w:val="32"/>
        </w:rPr>
        <w:t>3.10对数据质量管理的核查</w:t>
      </w:r>
    </w:p>
    <w:p w14:paraId="26857DD3">
      <w:pPr>
        <w:spacing w:after="0" w:line="560" w:lineRule="exact"/>
        <w:ind w:firstLine="659" w:firstLineChars="205"/>
        <w:jc w:val="both"/>
        <w:outlineLvl w:val="0"/>
        <w:rPr>
          <w:rFonts w:ascii="仿宋_GB2312" w:hAnsi="仿宋" w:eastAsia="仿宋_GB2312"/>
          <w:b/>
          <w:sz w:val="32"/>
          <w:szCs w:val="32"/>
        </w:rPr>
      </w:pPr>
      <w:r>
        <w:rPr>
          <w:rFonts w:hint="eastAsia" w:ascii="仿宋_GB2312" w:hAnsi="仿宋" w:eastAsia="仿宋_GB2312"/>
          <w:b/>
          <w:sz w:val="32"/>
          <w:szCs w:val="32"/>
        </w:rPr>
        <w:t>A）报告内容</w:t>
      </w:r>
    </w:p>
    <w:p w14:paraId="5CEFE69C">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核查机构应对重点碳排放单位的二氧化碳排放质量管理体系进行核查,核查内容包括：</w:t>
      </w:r>
    </w:p>
    <w:p w14:paraId="5FA8CFBE">
      <w:pPr>
        <w:widowControl w:val="0"/>
        <w:numPr>
          <w:ilvl w:val="0"/>
          <w:numId w:val="27"/>
        </w:numPr>
        <w:spacing w:after="0" w:line="560" w:lineRule="exact"/>
        <w:ind w:left="565" w:leftChars="257" w:firstLine="0"/>
        <w:jc w:val="both"/>
        <w:rPr>
          <w:rFonts w:ascii="仿宋_GB2312" w:hAnsi="仿宋" w:eastAsia="仿宋_GB2312"/>
          <w:sz w:val="32"/>
          <w:szCs w:val="32"/>
        </w:rPr>
      </w:pPr>
      <w:r>
        <w:rPr>
          <w:rFonts w:hint="eastAsia" w:ascii="仿宋_GB2312" w:hAnsi="仿宋" w:eastAsia="仿宋_GB2312"/>
          <w:sz w:val="32"/>
          <w:szCs w:val="32"/>
        </w:rPr>
        <w:t>是否按标准和规定进行仪表的校准和检定；</w:t>
      </w:r>
    </w:p>
    <w:p w14:paraId="0F22E527">
      <w:pPr>
        <w:widowControl w:val="0"/>
        <w:numPr>
          <w:ilvl w:val="0"/>
          <w:numId w:val="27"/>
        </w:numPr>
        <w:spacing w:after="0" w:line="560" w:lineRule="exact"/>
        <w:ind w:left="565" w:leftChars="257" w:firstLine="0"/>
        <w:jc w:val="both"/>
        <w:rPr>
          <w:rFonts w:ascii="仿宋_GB2312" w:hAnsi="仿宋" w:eastAsia="仿宋_GB2312"/>
          <w:sz w:val="32"/>
          <w:szCs w:val="32"/>
        </w:rPr>
      </w:pPr>
      <w:r>
        <w:rPr>
          <w:rFonts w:hint="eastAsia" w:ascii="仿宋_GB2312" w:hAnsi="仿宋" w:eastAsia="仿宋_GB2312"/>
          <w:sz w:val="32"/>
          <w:szCs w:val="32"/>
        </w:rPr>
        <w:t>是否明确了管理部门，专人负责数据的记录、收集和整理工作；</w:t>
      </w:r>
    </w:p>
    <w:p w14:paraId="48FA5188">
      <w:pPr>
        <w:widowControl w:val="0"/>
        <w:numPr>
          <w:ilvl w:val="0"/>
          <w:numId w:val="27"/>
        </w:numPr>
        <w:spacing w:after="0" w:line="560" w:lineRule="exact"/>
        <w:ind w:left="565" w:leftChars="257" w:firstLine="0"/>
        <w:jc w:val="both"/>
        <w:rPr>
          <w:rFonts w:ascii="仿宋_GB2312" w:hAnsi="仿宋" w:eastAsia="仿宋_GB2312"/>
          <w:sz w:val="32"/>
          <w:szCs w:val="32"/>
        </w:rPr>
      </w:pPr>
      <w:r>
        <w:rPr>
          <w:rFonts w:hint="eastAsia" w:ascii="仿宋_GB2312" w:hAnsi="仿宋" w:eastAsia="仿宋_GB2312"/>
          <w:sz w:val="32"/>
          <w:szCs w:val="32"/>
        </w:rPr>
        <w:t>是否建立了数据的监测、收集和获取的规章制度；</w:t>
      </w:r>
    </w:p>
    <w:p w14:paraId="6A629C0F">
      <w:pPr>
        <w:widowControl w:val="0"/>
        <w:numPr>
          <w:ilvl w:val="0"/>
          <w:numId w:val="27"/>
        </w:numPr>
        <w:spacing w:after="0" w:line="560" w:lineRule="exact"/>
        <w:ind w:left="565" w:leftChars="257" w:firstLine="0"/>
        <w:jc w:val="both"/>
        <w:rPr>
          <w:rFonts w:ascii="仿宋_GB2312" w:hAnsi="仿宋" w:eastAsia="仿宋_GB2312"/>
          <w:sz w:val="32"/>
          <w:szCs w:val="32"/>
        </w:rPr>
      </w:pPr>
      <w:r>
        <w:rPr>
          <w:rFonts w:hint="eastAsia" w:ascii="仿宋_GB2312" w:hAnsi="仿宋" w:eastAsia="仿宋_GB2312"/>
          <w:sz w:val="32"/>
          <w:szCs w:val="32"/>
        </w:rPr>
        <w:t>是否制定了数据缺失、生产活动变化以及报告方法变更的应对措施；</w:t>
      </w:r>
    </w:p>
    <w:p w14:paraId="00AB31C7">
      <w:pPr>
        <w:widowControl w:val="0"/>
        <w:numPr>
          <w:ilvl w:val="0"/>
          <w:numId w:val="27"/>
        </w:numPr>
        <w:spacing w:after="0" w:line="560" w:lineRule="exact"/>
        <w:ind w:left="565" w:leftChars="257" w:firstLine="0"/>
        <w:jc w:val="both"/>
        <w:rPr>
          <w:rFonts w:ascii="仿宋_GB2312" w:hAnsi="仿宋" w:eastAsia="仿宋_GB2312"/>
          <w:sz w:val="32"/>
          <w:szCs w:val="32"/>
        </w:rPr>
      </w:pPr>
      <w:r>
        <w:rPr>
          <w:rFonts w:hint="eastAsia" w:ascii="仿宋_GB2312" w:hAnsi="仿宋" w:eastAsia="仿宋_GB2312"/>
          <w:sz w:val="32"/>
          <w:szCs w:val="32"/>
        </w:rPr>
        <w:t>文档管理是否规范。</w:t>
      </w:r>
    </w:p>
    <w:p w14:paraId="45F88D5F">
      <w:pPr>
        <w:spacing w:after="0" w:line="560" w:lineRule="exact"/>
        <w:ind w:firstLine="630" w:firstLineChars="196"/>
        <w:outlineLvl w:val="0"/>
        <w:rPr>
          <w:rFonts w:ascii="仿宋_GB2312" w:hAnsi="仿宋" w:eastAsia="仿宋_GB2312"/>
          <w:b/>
          <w:sz w:val="32"/>
          <w:szCs w:val="32"/>
        </w:rPr>
      </w:pPr>
      <w:r>
        <w:rPr>
          <w:rFonts w:hint="eastAsia" w:ascii="仿宋_GB2312" w:hAnsi="仿宋" w:eastAsia="仿宋_GB2312"/>
          <w:b/>
          <w:sz w:val="32"/>
          <w:szCs w:val="32"/>
        </w:rPr>
        <w:t>B) 核查方法</w:t>
      </w:r>
    </w:p>
    <w:p w14:paraId="789DA503">
      <w:pPr>
        <w:widowControl w:val="0"/>
        <w:numPr>
          <w:ilvl w:val="0"/>
          <w:numId w:val="24"/>
        </w:numPr>
        <w:spacing w:after="0" w:line="560" w:lineRule="exact"/>
        <w:ind w:hanging="273"/>
        <w:jc w:val="both"/>
        <w:rPr>
          <w:rFonts w:ascii="仿宋_GB2312" w:hAnsi="仿宋" w:eastAsia="仿宋_GB2312"/>
          <w:sz w:val="32"/>
          <w:szCs w:val="32"/>
        </w:rPr>
      </w:pPr>
      <w:r>
        <w:rPr>
          <w:rFonts w:hint="eastAsia" w:ascii="仿宋_GB2312" w:hAnsi="仿宋" w:eastAsia="仿宋_GB2312"/>
          <w:sz w:val="32"/>
          <w:szCs w:val="32"/>
        </w:rPr>
        <w:t>与管理人员及二氧化碳和能源管理人员交谈；</w:t>
      </w:r>
    </w:p>
    <w:p w14:paraId="0D84F5DC">
      <w:pPr>
        <w:widowControl w:val="0"/>
        <w:numPr>
          <w:ilvl w:val="0"/>
          <w:numId w:val="28"/>
        </w:numPr>
        <w:spacing w:after="0" w:line="560" w:lineRule="exact"/>
        <w:ind w:hanging="273"/>
        <w:jc w:val="both"/>
        <w:rPr>
          <w:rFonts w:ascii="仿宋_GB2312" w:hAnsi="仿宋" w:eastAsia="仿宋_GB2312"/>
          <w:sz w:val="32"/>
          <w:szCs w:val="32"/>
        </w:rPr>
      </w:pPr>
      <w:r>
        <w:rPr>
          <w:rFonts w:hint="eastAsia" w:ascii="仿宋_GB2312" w:hAnsi="仿宋" w:eastAsia="仿宋_GB2312"/>
          <w:sz w:val="32"/>
          <w:szCs w:val="32"/>
        </w:rPr>
        <w:t>查阅企业规章制度及监测计划等确认。</w:t>
      </w:r>
    </w:p>
    <w:p w14:paraId="3CC45488">
      <w:pPr>
        <w:spacing w:after="0" w:line="560" w:lineRule="exact"/>
        <w:ind w:firstLine="630" w:firstLineChars="196"/>
        <w:jc w:val="both"/>
        <w:outlineLvl w:val="0"/>
        <w:rPr>
          <w:rFonts w:ascii="仿宋_GB2312" w:hAnsi="仿宋" w:eastAsia="仿宋_GB2312"/>
          <w:b/>
          <w:sz w:val="32"/>
          <w:szCs w:val="32"/>
        </w:rPr>
      </w:pPr>
      <w:r>
        <w:rPr>
          <w:rFonts w:hint="eastAsia" w:ascii="仿宋_GB2312" w:hAnsi="仿宋" w:eastAsia="仿宋_GB2312"/>
          <w:b/>
          <w:sz w:val="32"/>
          <w:szCs w:val="32"/>
        </w:rPr>
        <w:t>4. 核查结论</w:t>
      </w:r>
    </w:p>
    <w:p w14:paraId="0939F703">
      <w:pPr>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核查机构应在核查报告中出具肯定或否定的核查结论。只有当不符合关闭后，核查机构才能出具肯定的核查结论。核查结论应包含下列内容：</w:t>
      </w:r>
    </w:p>
    <w:p w14:paraId="23F7E17F">
      <w:pPr>
        <w:pStyle w:val="5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4.1 核算、报告及方法学的符合性；</w:t>
      </w:r>
    </w:p>
    <w:p w14:paraId="2AFAAAC0">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4.2 本年度排放量及</w:t>
      </w:r>
      <w:r>
        <w:rPr>
          <w:rFonts w:ascii="仿宋_GB2312" w:hAnsi="仿宋" w:eastAsia="仿宋_GB2312"/>
          <w:sz w:val="32"/>
          <w:szCs w:val="32"/>
        </w:rPr>
        <w:t>活动水平数据</w:t>
      </w:r>
      <w:r>
        <w:rPr>
          <w:rFonts w:hint="eastAsia" w:ascii="仿宋_GB2312" w:hAnsi="仿宋" w:eastAsia="仿宋_GB2312"/>
          <w:sz w:val="32"/>
          <w:szCs w:val="32"/>
        </w:rPr>
        <w:t>的声明；</w:t>
      </w:r>
    </w:p>
    <w:p w14:paraId="2B42D3F2">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4.2.1 经核查的直接和间接排放量的声明；</w:t>
      </w:r>
    </w:p>
    <w:p w14:paraId="019E2857">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4.2.2 经核查的活动水平</w:t>
      </w:r>
      <w:r>
        <w:rPr>
          <w:rFonts w:ascii="仿宋_GB2312" w:hAnsi="仿宋" w:eastAsia="仿宋_GB2312"/>
          <w:sz w:val="32"/>
          <w:szCs w:val="32"/>
        </w:rPr>
        <w:t>数据的</w:t>
      </w:r>
      <w:r>
        <w:rPr>
          <w:rFonts w:hint="eastAsia" w:ascii="仿宋_GB2312" w:hAnsi="仿宋" w:eastAsia="仿宋_GB2312"/>
          <w:sz w:val="32"/>
          <w:szCs w:val="32"/>
        </w:rPr>
        <w:t>声明。</w:t>
      </w:r>
    </w:p>
    <w:p w14:paraId="1F4E7DFA">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4.3 本年度排放量及</w:t>
      </w:r>
      <w:r>
        <w:rPr>
          <w:rFonts w:ascii="仿宋_GB2312" w:hAnsi="仿宋" w:eastAsia="仿宋_GB2312"/>
          <w:sz w:val="32"/>
          <w:szCs w:val="32"/>
        </w:rPr>
        <w:t>活动水平</w:t>
      </w:r>
      <w:r>
        <w:rPr>
          <w:rFonts w:hint="eastAsia" w:ascii="仿宋_GB2312" w:hAnsi="仿宋" w:eastAsia="仿宋_GB2312"/>
          <w:sz w:val="32"/>
          <w:szCs w:val="32"/>
        </w:rPr>
        <w:t>波动的</w:t>
      </w:r>
      <w:r>
        <w:rPr>
          <w:rFonts w:ascii="仿宋_GB2312" w:hAnsi="仿宋" w:eastAsia="仿宋_GB2312"/>
          <w:sz w:val="32"/>
          <w:szCs w:val="32"/>
        </w:rPr>
        <w:t>原因说明</w:t>
      </w:r>
    </w:p>
    <w:p w14:paraId="75A9193C">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4.3.1 本年度排放量波动的原因说明;</w:t>
      </w:r>
    </w:p>
    <w:p w14:paraId="3CD78B4B">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4.3.2排放下降幅度说明:</w:t>
      </w:r>
      <w:r>
        <w:rPr>
          <w:rFonts w:hint="eastAsia" w:ascii="仿宋_GB2312" w:eastAsia="仿宋_GB2312"/>
          <w:sz w:val="32"/>
          <w:szCs w:val="32"/>
        </w:rPr>
        <w:t>履约年度二氧化碳排放量1</w:t>
      </w:r>
      <w:r>
        <w:rPr>
          <w:rFonts w:ascii="仿宋_GB2312" w:eastAsia="仿宋_GB2312"/>
          <w:sz w:val="32"/>
          <w:szCs w:val="32"/>
        </w:rPr>
        <w:t>0</w:t>
      </w:r>
      <w:r>
        <w:rPr>
          <w:rFonts w:hint="eastAsia" w:ascii="仿宋_GB2312" w:eastAsia="仿宋_GB2312"/>
          <w:sz w:val="32"/>
          <w:szCs w:val="32"/>
        </w:rPr>
        <w:t>万吨（含）以上的</w:t>
      </w:r>
      <w:r>
        <w:rPr>
          <w:rFonts w:ascii="仿宋_GB2312" w:eastAsia="仿宋_GB2312"/>
          <w:sz w:val="32"/>
          <w:szCs w:val="32"/>
        </w:rPr>
        <w:t>重点碳排放单位，</w:t>
      </w:r>
      <w:r>
        <w:rPr>
          <w:rFonts w:hint="eastAsia" w:ascii="仿宋_GB2312" w:eastAsia="仿宋_GB2312"/>
          <w:sz w:val="32"/>
          <w:szCs w:val="32"/>
        </w:rPr>
        <w:t>如</w:t>
      </w:r>
      <w:r>
        <w:rPr>
          <w:rFonts w:ascii="仿宋_GB2312" w:eastAsia="仿宋_GB2312"/>
          <w:sz w:val="32"/>
          <w:szCs w:val="32"/>
        </w:rPr>
        <w:t>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超过2</w:t>
      </w:r>
      <w:r>
        <w:rPr>
          <w:rFonts w:ascii="仿宋_GB2312" w:eastAsia="仿宋_GB2312"/>
          <w:sz w:val="32"/>
          <w:szCs w:val="32"/>
        </w:rPr>
        <w:t>0</w:t>
      </w:r>
      <w:r>
        <w:rPr>
          <w:rFonts w:hint="eastAsia" w:ascii="仿宋_GB2312" w:eastAsia="仿宋_GB2312"/>
          <w:sz w:val="32"/>
          <w:szCs w:val="32"/>
        </w:rPr>
        <w:t>%（含）；对于履约年度二氧化碳排放量1</w:t>
      </w:r>
      <w:r>
        <w:rPr>
          <w:rFonts w:ascii="仿宋_GB2312" w:eastAsia="仿宋_GB2312"/>
          <w:sz w:val="32"/>
          <w:szCs w:val="32"/>
        </w:rPr>
        <w:t>0</w:t>
      </w:r>
      <w:r>
        <w:rPr>
          <w:rFonts w:hint="eastAsia" w:ascii="仿宋_GB2312" w:eastAsia="仿宋_GB2312"/>
          <w:sz w:val="32"/>
          <w:szCs w:val="32"/>
        </w:rPr>
        <w:t>万吨以下的</w:t>
      </w:r>
      <w:r>
        <w:rPr>
          <w:rFonts w:ascii="仿宋_GB2312" w:eastAsia="仿宋_GB2312"/>
          <w:sz w:val="32"/>
          <w:szCs w:val="32"/>
        </w:rPr>
        <w:t>重点碳排放单位</w:t>
      </w:r>
      <w:r>
        <w:rPr>
          <w:rFonts w:hint="eastAsia" w:ascii="仿宋_GB2312" w:eastAsia="仿宋_GB2312"/>
          <w:sz w:val="32"/>
          <w:szCs w:val="32"/>
        </w:rPr>
        <w:t>，</w:t>
      </w:r>
      <w:r>
        <w:rPr>
          <w:rFonts w:ascii="仿宋_GB2312" w:eastAsia="仿宋_GB2312"/>
          <w:sz w:val="32"/>
          <w:szCs w:val="32"/>
        </w:rPr>
        <w:t>如果</w:t>
      </w:r>
      <w:r>
        <w:rPr>
          <w:rFonts w:hint="eastAsia" w:ascii="仿宋_GB2312" w:eastAsia="仿宋_GB2312"/>
          <w:sz w:val="32"/>
          <w:szCs w:val="32"/>
        </w:rPr>
        <w:t>履约</w:t>
      </w:r>
      <w:r>
        <w:rPr>
          <w:rFonts w:ascii="仿宋_GB2312" w:eastAsia="仿宋_GB2312"/>
          <w:sz w:val="32"/>
          <w:szCs w:val="32"/>
        </w:rPr>
        <w:t>年度排放量相对于历史基准年</w:t>
      </w:r>
      <w:r>
        <w:rPr>
          <w:rFonts w:hint="eastAsia" w:ascii="仿宋_GB2312" w:eastAsia="仿宋_GB2312"/>
          <w:sz w:val="32"/>
          <w:szCs w:val="32"/>
        </w:rPr>
        <w:t>排放量</w:t>
      </w:r>
      <w:r>
        <w:rPr>
          <w:rFonts w:ascii="仿宋_GB2312" w:eastAsia="仿宋_GB2312"/>
          <w:sz w:val="32"/>
          <w:szCs w:val="32"/>
        </w:rPr>
        <w:t>下降幅度</w:t>
      </w:r>
      <w:r>
        <w:rPr>
          <w:rFonts w:hint="eastAsia" w:ascii="仿宋_GB2312" w:eastAsia="仿宋_GB2312"/>
          <w:sz w:val="32"/>
          <w:szCs w:val="32"/>
        </w:rPr>
        <w:t>超过</w:t>
      </w:r>
      <w:r>
        <w:rPr>
          <w:rFonts w:ascii="仿宋_GB2312" w:eastAsia="仿宋_GB2312"/>
          <w:sz w:val="32"/>
          <w:szCs w:val="32"/>
        </w:rPr>
        <w:t>30</w:t>
      </w:r>
      <w:r>
        <w:rPr>
          <w:rFonts w:hint="eastAsia" w:ascii="仿宋_GB2312" w:eastAsia="仿宋_GB2312"/>
          <w:sz w:val="32"/>
          <w:szCs w:val="32"/>
        </w:rPr>
        <w:t>%（含）</w:t>
      </w:r>
      <w:r>
        <w:rPr>
          <w:rFonts w:hint="eastAsia" w:ascii="仿宋_GB2312" w:hAnsi="仿宋" w:eastAsia="仿宋_GB2312"/>
          <w:sz w:val="32"/>
          <w:szCs w:val="32"/>
        </w:rPr>
        <w:t>；</w:t>
      </w:r>
    </w:p>
    <w:p w14:paraId="217A13DD">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4.3.3本年度</w:t>
      </w:r>
      <w:r>
        <w:rPr>
          <w:rFonts w:ascii="仿宋_GB2312" w:hAnsi="仿宋" w:eastAsia="仿宋_GB2312"/>
          <w:sz w:val="32"/>
          <w:szCs w:val="32"/>
        </w:rPr>
        <w:t>活动水平</w:t>
      </w:r>
      <w:r>
        <w:rPr>
          <w:rFonts w:hint="eastAsia" w:ascii="仿宋_GB2312" w:hAnsi="仿宋" w:eastAsia="仿宋_GB2312"/>
          <w:sz w:val="32"/>
          <w:szCs w:val="32"/>
        </w:rPr>
        <w:t>波动的原因说明，</w:t>
      </w:r>
      <w:r>
        <w:rPr>
          <w:rFonts w:ascii="仿宋_GB2312" w:hAnsi="仿宋" w:eastAsia="仿宋_GB2312"/>
          <w:sz w:val="32"/>
          <w:szCs w:val="32"/>
        </w:rPr>
        <w:t>包括与基准年和上一年度对比的情况。</w:t>
      </w:r>
    </w:p>
    <w:p w14:paraId="091889A8">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4.4核算</w:t>
      </w:r>
      <w:r>
        <w:rPr>
          <w:rFonts w:ascii="仿宋_GB2312" w:hAnsi="仿宋" w:eastAsia="仿宋_GB2312"/>
          <w:sz w:val="32"/>
          <w:szCs w:val="32"/>
        </w:rPr>
        <w:t>和报告边界变化（</w:t>
      </w:r>
      <w:r>
        <w:rPr>
          <w:rFonts w:hint="eastAsia" w:ascii="仿宋_GB2312" w:hAnsi="仿宋" w:eastAsia="仿宋_GB2312"/>
          <w:sz w:val="32"/>
          <w:szCs w:val="32"/>
        </w:rPr>
        <w:t>含</w:t>
      </w:r>
      <w:r>
        <w:rPr>
          <w:rFonts w:ascii="仿宋_GB2312" w:hAnsi="仿宋" w:eastAsia="仿宋_GB2312"/>
          <w:sz w:val="32"/>
          <w:szCs w:val="32"/>
        </w:rPr>
        <w:t>设施变化）</w:t>
      </w:r>
      <w:r>
        <w:rPr>
          <w:rFonts w:hint="eastAsia" w:ascii="仿宋_GB2312" w:hAnsi="仿宋" w:eastAsia="仿宋_GB2312"/>
          <w:sz w:val="32"/>
          <w:szCs w:val="32"/>
        </w:rPr>
        <w:t>情况</w:t>
      </w:r>
    </w:p>
    <w:p w14:paraId="6D742D1D">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ascii="仿宋_GB2312" w:hAnsi="仿宋" w:eastAsia="仿宋_GB2312"/>
          <w:sz w:val="32"/>
          <w:szCs w:val="32"/>
        </w:rPr>
        <w:t>4.4.1</w:t>
      </w:r>
      <w:r>
        <w:rPr>
          <w:rFonts w:ascii="Times New Roman" w:hAnsi="Times New Roman" w:eastAsia="仿宋_GB2312"/>
          <w:kern w:val="2"/>
          <w:sz w:val="32"/>
          <w:szCs w:val="32"/>
          <w:lang w:val="en-US"/>
        </w:rPr>
        <w:t>本年度场所边界的变化</w:t>
      </w:r>
      <w:r>
        <w:rPr>
          <w:rFonts w:hint="eastAsia" w:ascii="Times New Roman" w:hAnsi="Times New Roman" w:eastAsia="仿宋_GB2312"/>
          <w:kern w:val="2"/>
          <w:sz w:val="32"/>
          <w:szCs w:val="32"/>
          <w:lang w:val="en-US"/>
        </w:rPr>
        <w:t>，</w:t>
      </w:r>
      <w:r>
        <w:rPr>
          <w:rFonts w:ascii="仿宋_GB2312" w:hAnsi="仿宋" w:eastAsia="仿宋_GB2312"/>
          <w:sz w:val="32"/>
          <w:szCs w:val="32"/>
        </w:rPr>
        <w:t>包括与基准年和上一年度对比的情况</w:t>
      </w:r>
      <w:r>
        <w:rPr>
          <w:rFonts w:hint="eastAsia" w:ascii="仿宋_GB2312" w:hAnsi="仿宋" w:eastAsia="仿宋_GB2312"/>
          <w:sz w:val="32"/>
          <w:szCs w:val="32"/>
        </w:rPr>
        <w:t>；</w:t>
      </w:r>
    </w:p>
    <w:p w14:paraId="6A272652">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ascii="仿宋_GB2312" w:hAnsi="仿宋" w:eastAsia="仿宋_GB2312"/>
          <w:sz w:val="32"/>
          <w:szCs w:val="32"/>
        </w:rPr>
        <w:t>4.4.2</w:t>
      </w:r>
      <w:r>
        <w:rPr>
          <w:rFonts w:ascii="Times New Roman" w:hAnsi="Times New Roman" w:eastAsia="仿宋"/>
          <w:kern w:val="2"/>
          <w:sz w:val="32"/>
          <w:szCs w:val="32"/>
          <w:lang w:val="en-US"/>
        </w:rPr>
        <w:t>本年度排放设施的变化</w:t>
      </w:r>
      <w:r>
        <w:rPr>
          <w:rFonts w:hint="eastAsia" w:ascii="Times New Roman" w:hAnsi="Times New Roman" w:eastAsia="仿宋"/>
          <w:kern w:val="2"/>
          <w:sz w:val="32"/>
          <w:szCs w:val="32"/>
          <w:lang w:val="en-US"/>
        </w:rPr>
        <w:t>，包括是否</w:t>
      </w:r>
      <w:r>
        <w:rPr>
          <w:rFonts w:ascii="Times New Roman" w:hAnsi="Times New Roman" w:eastAsia="仿宋"/>
          <w:kern w:val="2"/>
          <w:sz w:val="32"/>
          <w:szCs w:val="32"/>
          <w:lang w:val="en-US"/>
        </w:rPr>
        <w:t>符合既有设施调整、</w:t>
      </w:r>
      <w:r>
        <w:rPr>
          <w:rFonts w:hint="eastAsia" w:ascii="Times New Roman" w:hAnsi="Times New Roman" w:eastAsia="仿宋"/>
          <w:kern w:val="2"/>
          <w:sz w:val="32"/>
          <w:szCs w:val="32"/>
          <w:lang w:val="en-US"/>
        </w:rPr>
        <w:t>既有</w:t>
      </w:r>
      <w:r>
        <w:rPr>
          <w:rFonts w:ascii="Times New Roman" w:hAnsi="Times New Roman" w:eastAsia="仿宋"/>
          <w:kern w:val="2"/>
          <w:sz w:val="32"/>
          <w:szCs w:val="32"/>
          <w:lang w:val="en-US"/>
        </w:rPr>
        <w:t>设施退出、新增设施</w:t>
      </w:r>
      <w:r>
        <w:rPr>
          <w:rFonts w:hint="eastAsia" w:ascii="Times New Roman" w:hAnsi="Times New Roman" w:eastAsia="仿宋"/>
          <w:kern w:val="2"/>
          <w:sz w:val="32"/>
          <w:szCs w:val="32"/>
          <w:lang w:val="en-US"/>
        </w:rPr>
        <w:t>、</w:t>
      </w:r>
      <w:r>
        <w:rPr>
          <w:rFonts w:ascii="Times New Roman" w:hAnsi="Times New Roman" w:eastAsia="仿宋"/>
          <w:kern w:val="2"/>
          <w:sz w:val="32"/>
          <w:szCs w:val="32"/>
          <w:lang w:val="en-US"/>
        </w:rPr>
        <w:t>新增替代既有</w:t>
      </w:r>
      <w:r>
        <w:rPr>
          <w:rFonts w:hint="eastAsia" w:ascii="Times New Roman" w:hAnsi="Times New Roman" w:eastAsia="仿宋"/>
          <w:kern w:val="2"/>
          <w:sz w:val="32"/>
          <w:szCs w:val="32"/>
          <w:lang w:val="en-US"/>
        </w:rPr>
        <w:t>设施的</w:t>
      </w:r>
      <w:r>
        <w:rPr>
          <w:rFonts w:ascii="Times New Roman" w:hAnsi="Times New Roman" w:eastAsia="仿宋"/>
          <w:kern w:val="2"/>
          <w:sz w:val="32"/>
          <w:szCs w:val="32"/>
          <w:lang w:val="en-US"/>
        </w:rPr>
        <w:t>活动水平和排放量等情况</w:t>
      </w:r>
      <w:r>
        <w:rPr>
          <w:rFonts w:hint="eastAsia" w:ascii="Times New Roman" w:hAnsi="Times New Roman" w:eastAsia="仿宋"/>
          <w:kern w:val="2"/>
          <w:sz w:val="32"/>
          <w:szCs w:val="32"/>
          <w:lang w:val="en-US"/>
        </w:rPr>
        <w:t>。</w:t>
      </w:r>
    </w:p>
    <w:p w14:paraId="03822A57">
      <w:pPr>
        <w:pStyle w:val="50"/>
        <w:widowControl w:val="0"/>
        <w:numPr>
          <w:ilvl w:val="0"/>
          <w:numId w:val="29"/>
        </w:numPr>
        <w:spacing w:after="0" w:line="560" w:lineRule="exact"/>
        <w:ind w:left="851" w:hanging="425"/>
        <w:jc w:val="both"/>
        <w:rPr>
          <w:rFonts w:ascii="仿宋_GB2312" w:hAnsi="仿宋" w:eastAsia="仿宋_GB2312"/>
          <w:sz w:val="32"/>
          <w:szCs w:val="32"/>
        </w:rPr>
      </w:pPr>
      <w:r>
        <w:rPr>
          <w:rFonts w:hint="eastAsia" w:ascii="仿宋_GB2312" w:hAnsi="仿宋" w:eastAsia="仿宋_GB2312"/>
          <w:sz w:val="32"/>
          <w:szCs w:val="32"/>
        </w:rPr>
        <w:t>4.5核查过程未覆盖到的问题的描述。</w:t>
      </w:r>
    </w:p>
    <w:p w14:paraId="16C6864A">
      <w:pPr>
        <w:spacing w:after="0" w:line="560" w:lineRule="exact"/>
        <w:ind w:firstLine="549" w:firstLineChars="171"/>
        <w:outlineLvl w:val="0"/>
        <w:rPr>
          <w:rFonts w:ascii="仿宋_GB2312" w:hAnsi="仿宋" w:eastAsia="仿宋_GB2312"/>
          <w:b/>
          <w:sz w:val="32"/>
          <w:szCs w:val="32"/>
        </w:rPr>
      </w:pPr>
      <w:r>
        <w:rPr>
          <w:rFonts w:hint="eastAsia" w:ascii="仿宋_GB2312" w:hAnsi="仿宋" w:eastAsia="仿宋_GB2312"/>
          <w:b/>
          <w:sz w:val="32"/>
          <w:szCs w:val="32"/>
        </w:rPr>
        <w:t>5. 附件</w:t>
      </w:r>
    </w:p>
    <w:p w14:paraId="3EB2B863">
      <w:pPr>
        <w:spacing w:after="0" w:line="560" w:lineRule="exact"/>
        <w:ind w:firstLine="549" w:firstLineChars="171"/>
        <w:rPr>
          <w:rFonts w:ascii="仿宋_GB2312" w:hAnsi="仿宋" w:eastAsia="仿宋_GB2312"/>
          <w:b/>
          <w:sz w:val="32"/>
          <w:szCs w:val="32"/>
        </w:rPr>
      </w:pPr>
      <w:r>
        <w:rPr>
          <w:rFonts w:hint="eastAsia" w:ascii="仿宋_GB2312" w:hAnsi="仿宋" w:eastAsia="仿宋_GB2312"/>
          <w:b/>
          <w:sz w:val="32"/>
          <w:szCs w:val="32"/>
        </w:rPr>
        <w:t>附件1：不符合清单</w:t>
      </w:r>
    </w:p>
    <w:p w14:paraId="3C6146A0">
      <w:pPr>
        <w:spacing w:after="0" w:line="560" w:lineRule="exact"/>
        <w:ind w:firstLine="564"/>
        <w:jc w:val="both"/>
        <w:rPr>
          <w:rFonts w:ascii="仿宋_GB2312" w:hAnsi="仿宋" w:eastAsia="仿宋_GB2312"/>
          <w:sz w:val="32"/>
          <w:szCs w:val="32"/>
        </w:rPr>
      </w:pPr>
      <w:r>
        <w:rPr>
          <w:rFonts w:hint="eastAsia" w:ascii="仿宋_GB2312" w:hAnsi="仿宋" w:eastAsia="仿宋_GB2312"/>
          <w:sz w:val="32"/>
          <w:szCs w:val="32"/>
        </w:rPr>
        <w:t>核查机构应采用如下格式，详细报告在核查过程中开具的不符合，以及重点碳排放单位对不符合的原因分析、纠正及纠正措施以及最终的核查结论。</w:t>
      </w:r>
    </w:p>
    <w:p w14:paraId="395F5E2E">
      <w:pPr>
        <w:spacing w:after="0" w:line="560" w:lineRule="exact"/>
        <w:ind w:firstLine="564"/>
        <w:rPr>
          <w:rFonts w:ascii="仿宋_GB2312" w:hAnsi="仿宋" w:eastAsia="仿宋_GB2312"/>
          <w:sz w:val="32"/>
          <w:szCs w:val="32"/>
        </w:rPr>
      </w:pPr>
    </w:p>
    <w:tbl>
      <w:tblPr>
        <w:tblStyle w:val="3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89"/>
        <w:gridCol w:w="2739"/>
        <w:gridCol w:w="3119"/>
        <w:gridCol w:w="1559"/>
      </w:tblGrid>
      <w:tr w14:paraId="6F9B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544F6B5">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序号</w:t>
            </w:r>
          </w:p>
        </w:tc>
        <w:tc>
          <w:tcPr>
            <w:tcW w:w="1189" w:type="dxa"/>
          </w:tcPr>
          <w:p w14:paraId="41B1027F">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不符合描述</w:t>
            </w:r>
          </w:p>
        </w:tc>
        <w:tc>
          <w:tcPr>
            <w:tcW w:w="2739" w:type="dxa"/>
          </w:tcPr>
          <w:p w14:paraId="092E03A4">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重点碳排放单位原因分析</w:t>
            </w:r>
          </w:p>
        </w:tc>
        <w:tc>
          <w:tcPr>
            <w:tcW w:w="3119" w:type="dxa"/>
          </w:tcPr>
          <w:p w14:paraId="4E5823C4">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重点碳排放单位采取的纠正及纠正措施</w:t>
            </w:r>
          </w:p>
        </w:tc>
        <w:tc>
          <w:tcPr>
            <w:tcW w:w="1559" w:type="dxa"/>
          </w:tcPr>
          <w:p w14:paraId="5ED077E6">
            <w:pPr>
              <w:spacing w:after="0" w:line="560" w:lineRule="exact"/>
              <w:jc w:val="center"/>
              <w:rPr>
                <w:rFonts w:ascii="仿宋_GB2312" w:hAnsi="仿宋" w:eastAsia="仿宋_GB2312" w:cs="宋体"/>
                <w:b/>
                <w:bCs/>
                <w:sz w:val="28"/>
                <w:szCs w:val="28"/>
              </w:rPr>
            </w:pPr>
            <w:r>
              <w:rPr>
                <w:rFonts w:hint="eastAsia" w:ascii="仿宋_GB2312" w:hAnsi="仿宋" w:eastAsia="仿宋_GB2312" w:cs="宋体"/>
                <w:b/>
                <w:bCs/>
                <w:sz w:val="28"/>
                <w:szCs w:val="28"/>
              </w:rPr>
              <w:t>核查结论</w:t>
            </w:r>
          </w:p>
        </w:tc>
      </w:tr>
      <w:tr w14:paraId="133B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58E173DB">
            <w:pPr>
              <w:spacing w:after="0" w:line="560" w:lineRule="exact"/>
              <w:rPr>
                <w:rFonts w:ascii="仿宋_GB2312" w:hAnsi="仿宋" w:eastAsia="仿宋_GB2312"/>
                <w:sz w:val="32"/>
                <w:szCs w:val="32"/>
              </w:rPr>
            </w:pPr>
            <w:r>
              <w:rPr>
                <w:rFonts w:hint="eastAsia" w:ascii="仿宋_GB2312" w:hAnsi="仿宋" w:eastAsia="仿宋_GB2312"/>
                <w:sz w:val="32"/>
                <w:szCs w:val="32"/>
              </w:rPr>
              <w:t>NC1</w:t>
            </w:r>
          </w:p>
        </w:tc>
        <w:tc>
          <w:tcPr>
            <w:tcW w:w="1189" w:type="dxa"/>
          </w:tcPr>
          <w:p w14:paraId="26464951">
            <w:pPr>
              <w:spacing w:after="0" w:line="560" w:lineRule="exact"/>
              <w:rPr>
                <w:rFonts w:ascii="仿宋_GB2312" w:hAnsi="仿宋" w:eastAsia="仿宋_GB2312"/>
                <w:sz w:val="32"/>
                <w:szCs w:val="32"/>
              </w:rPr>
            </w:pPr>
          </w:p>
        </w:tc>
        <w:tc>
          <w:tcPr>
            <w:tcW w:w="2739" w:type="dxa"/>
          </w:tcPr>
          <w:p w14:paraId="545733C0">
            <w:pPr>
              <w:spacing w:after="0" w:line="560" w:lineRule="exact"/>
              <w:rPr>
                <w:rFonts w:ascii="仿宋_GB2312" w:hAnsi="仿宋" w:eastAsia="仿宋_GB2312"/>
                <w:sz w:val="32"/>
                <w:szCs w:val="32"/>
              </w:rPr>
            </w:pPr>
          </w:p>
        </w:tc>
        <w:tc>
          <w:tcPr>
            <w:tcW w:w="3119" w:type="dxa"/>
          </w:tcPr>
          <w:p w14:paraId="213FBABC">
            <w:pPr>
              <w:spacing w:after="0" w:line="560" w:lineRule="exact"/>
              <w:rPr>
                <w:rFonts w:ascii="仿宋_GB2312" w:hAnsi="仿宋" w:eastAsia="仿宋_GB2312"/>
                <w:sz w:val="32"/>
                <w:szCs w:val="32"/>
              </w:rPr>
            </w:pPr>
          </w:p>
        </w:tc>
        <w:tc>
          <w:tcPr>
            <w:tcW w:w="1559" w:type="dxa"/>
          </w:tcPr>
          <w:p w14:paraId="07F0DA3D">
            <w:pPr>
              <w:spacing w:after="0" w:line="560" w:lineRule="exact"/>
              <w:rPr>
                <w:rFonts w:ascii="仿宋_GB2312" w:hAnsi="仿宋" w:eastAsia="仿宋_GB2312"/>
                <w:sz w:val="32"/>
                <w:szCs w:val="32"/>
              </w:rPr>
            </w:pPr>
          </w:p>
        </w:tc>
      </w:tr>
      <w:tr w14:paraId="7C51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0AEEE235">
            <w:pPr>
              <w:spacing w:after="0" w:line="560" w:lineRule="exact"/>
              <w:rPr>
                <w:rFonts w:ascii="仿宋_GB2312" w:hAnsi="仿宋" w:eastAsia="仿宋_GB2312"/>
                <w:sz w:val="32"/>
                <w:szCs w:val="32"/>
              </w:rPr>
            </w:pPr>
            <w:r>
              <w:rPr>
                <w:rFonts w:hint="eastAsia" w:ascii="仿宋_GB2312" w:hAnsi="仿宋" w:eastAsia="仿宋_GB2312"/>
                <w:sz w:val="32"/>
                <w:szCs w:val="32"/>
              </w:rPr>
              <w:t>NC2</w:t>
            </w:r>
          </w:p>
        </w:tc>
        <w:tc>
          <w:tcPr>
            <w:tcW w:w="1189" w:type="dxa"/>
          </w:tcPr>
          <w:p w14:paraId="75B10C86">
            <w:pPr>
              <w:spacing w:after="0" w:line="560" w:lineRule="exact"/>
              <w:rPr>
                <w:rFonts w:ascii="仿宋_GB2312" w:hAnsi="仿宋" w:eastAsia="仿宋_GB2312"/>
                <w:sz w:val="32"/>
                <w:szCs w:val="32"/>
              </w:rPr>
            </w:pPr>
          </w:p>
        </w:tc>
        <w:tc>
          <w:tcPr>
            <w:tcW w:w="2739" w:type="dxa"/>
          </w:tcPr>
          <w:p w14:paraId="3440B095">
            <w:pPr>
              <w:spacing w:after="0" w:line="560" w:lineRule="exact"/>
              <w:rPr>
                <w:rFonts w:ascii="仿宋_GB2312" w:hAnsi="仿宋" w:eastAsia="仿宋_GB2312"/>
                <w:sz w:val="32"/>
                <w:szCs w:val="32"/>
              </w:rPr>
            </w:pPr>
          </w:p>
        </w:tc>
        <w:tc>
          <w:tcPr>
            <w:tcW w:w="3119" w:type="dxa"/>
          </w:tcPr>
          <w:p w14:paraId="5EF412D1">
            <w:pPr>
              <w:spacing w:after="0" w:line="560" w:lineRule="exact"/>
              <w:rPr>
                <w:rFonts w:ascii="仿宋_GB2312" w:hAnsi="仿宋" w:eastAsia="仿宋_GB2312"/>
                <w:sz w:val="32"/>
                <w:szCs w:val="32"/>
              </w:rPr>
            </w:pPr>
          </w:p>
        </w:tc>
        <w:tc>
          <w:tcPr>
            <w:tcW w:w="1559" w:type="dxa"/>
          </w:tcPr>
          <w:p w14:paraId="299153AD">
            <w:pPr>
              <w:spacing w:after="0" w:line="560" w:lineRule="exact"/>
              <w:rPr>
                <w:rFonts w:ascii="仿宋_GB2312" w:hAnsi="仿宋" w:eastAsia="仿宋_GB2312"/>
                <w:sz w:val="32"/>
                <w:szCs w:val="32"/>
              </w:rPr>
            </w:pPr>
          </w:p>
        </w:tc>
      </w:tr>
      <w:tr w14:paraId="38E6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6A334F7">
            <w:pPr>
              <w:spacing w:after="0" w:line="560" w:lineRule="exact"/>
              <w:rPr>
                <w:rFonts w:ascii="仿宋_GB2312" w:hAnsi="仿宋" w:eastAsia="仿宋_GB2312"/>
                <w:sz w:val="32"/>
                <w:szCs w:val="32"/>
              </w:rPr>
            </w:pPr>
            <w:r>
              <w:rPr>
                <w:rFonts w:hint="eastAsia" w:ascii="仿宋_GB2312" w:hAnsi="仿宋" w:eastAsia="仿宋_GB2312"/>
                <w:sz w:val="32"/>
                <w:szCs w:val="32"/>
              </w:rPr>
              <w:t>……</w:t>
            </w:r>
          </w:p>
        </w:tc>
        <w:tc>
          <w:tcPr>
            <w:tcW w:w="1189" w:type="dxa"/>
          </w:tcPr>
          <w:p w14:paraId="1A4CC267">
            <w:pPr>
              <w:spacing w:after="0" w:line="560" w:lineRule="exact"/>
              <w:rPr>
                <w:rFonts w:ascii="仿宋_GB2312" w:hAnsi="仿宋" w:eastAsia="仿宋_GB2312"/>
                <w:sz w:val="32"/>
                <w:szCs w:val="32"/>
              </w:rPr>
            </w:pPr>
          </w:p>
        </w:tc>
        <w:tc>
          <w:tcPr>
            <w:tcW w:w="2739" w:type="dxa"/>
          </w:tcPr>
          <w:p w14:paraId="136CE74E">
            <w:pPr>
              <w:spacing w:after="0" w:line="560" w:lineRule="exact"/>
              <w:rPr>
                <w:rFonts w:ascii="仿宋_GB2312" w:hAnsi="仿宋" w:eastAsia="仿宋_GB2312"/>
                <w:sz w:val="32"/>
                <w:szCs w:val="32"/>
              </w:rPr>
            </w:pPr>
          </w:p>
        </w:tc>
        <w:tc>
          <w:tcPr>
            <w:tcW w:w="3119" w:type="dxa"/>
          </w:tcPr>
          <w:p w14:paraId="7C96BCC1">
            <w:pPr>
              <w:spacing w:after="0" w:line="560" w:lineRule="exact"/>
              <w:rPr>
                <w:rFonts w:ascii="仿宋_GB2312" w:hAnsi="仿宋" w:eastAsia="仿宋_GB2312"/>
                <w:sz w:val="32"/>
                <w:szCs w:val="32"/>
              </w:rPr>
            </w:pPr>
          </w:p>
        </w:tc>
        <w:tc>
          <w:tcPr>
            <w:tcW w:w="1559" w:type="dxa"/>
          </w:tcPr>
          <w:p w14:paraId="1788E05C">
            <w:pPr>
              <w:spacing w:after="0" w:line="560" w:lineRule="exact"/>
              <w:rPr>
                <w:rFonts w:ascii="仿宋_GB2312" w:hAnsi="仿宋" w:eastAsia="仿宋_GB2312"/>
                <w:sz w:val="32"/>
                <w:szCs w:val="32"/>
              </w:rPr>
            </w:pPr>
          </w:p>
        </w:tc>
      </w:tr>
    </w:tbl>
    <w:p w14:paraId="4F12F254">
      <w:pPr>
        <w:spacing w:after="0" w:line="560" w:lineRule="exact"/>
        <w:rPr>
          <w:rFonts w:ascii="仿宋_GB2312" w:hAnsi="仿宋" w:eastAsia="仿宋_GB2312"/>
          <w:sz w:val="32"/>
          <w:szCs w:val="32"/>
        </w:rPr>
      </w:pPr>
    </w:p>
    <w:p w14:paraId="0FD8E3D8">
      <w:pPr>
        <w:spacing w:after="0" w:line="560" w:lineRule="exact"/>
        <w:ind w:firstLine="630" w:firstLineChars="196"/>
        <w:rPr>
          <w:rFonts w:ascii="仿宋_GB2312" w:hAnsi="仿宋" w:eastAsia="仿宋_GB2312"/>
          <w:b/>
          <w:sz w:val="32"/>
          <w:szCs w:val="32"/>
        </w:rPr>
      </w:pPr>
      <w:r>
        <w:rPr>
          <w:rFonts w:hint="eastAsia" w:ascii="仿宋_GB2312" w:hAnsi="仿宋" w:eastAsia="仿宋_GB2312"/>
          <w:b/>
          <w:sz w:val="32"/>
          <w:szCs w:val="32"/>
        </w:rPr>
        <w:t>附件2：对今后数据核算活动的建议</w:t>
      </w:r>
    </w:p>
    <w:p w14:paraId="63FF7237">
      <w:pPr>
        <w:spacing w:after="0" w:line="560" w:lineRule="exact"/>
        <w:ind w:firstLine="564"/>
        <w:jc w:val="both"/>
        <w:rPr>
          <w:rFonts w:ascii="仿宋_GB2312" w:hAnsi="仿宋" w:eastAsia="仿宋_GB2312"/>
          <w:sz w:val="32"/>
          <w:szCs w:val="32"/>
        </w:rPr>
      </w:pPr>
      <w:r>
        <w:rPr>
          <w:rFonts w:hint="eastAsia" w:ascii="仿宋_GB2312" w:hAnsi="仿宋" w:eastAsia="仿宋_GB2312"/>
          <w:sz w:val="32"/>
          <w:szCs w:val="32"/>
        </w:rPr>
        <w:t>核查机构应在核查报告中对重点碳排放单位那些虽然不违反适用的地方标准或核算和报告指南但是将来有可能出现误报告或不符合的情况提出建议。</w:t>
      </w:r>
    </w:p>
    <w:p w14:paraId="2AB41A79">
      <w:pPr>
        <w:spacing w:after="0" w:line="560" w:lineRule="exact"/>
        <w:ind w:firstLine="630" w:firstLineChars="196"/>
        <w:jc w:val="both"/>
        <w:outlineLvl w:val="0"/>
        <w:rPr>
          <w:rFonts w:ascii="楷体_GB2312" w:hAnsi="黑体" w:eastAsia="楷体_GB2312"/>
          <w:b/>
          <w:sz w:val="32"/>
          <w:szCs w:val="32"/>
        </w:rPr>
      </w:pPr>
      <w:r>
        <w:rPr>
          <w:rFonts w:hint="eastAsia" w:ascii="楷体_GB2312" w:hAnsi="黑体" w:eastAsia="楷体_GB2312"/>
          <w:b/>
          <w:sz w:val="32"/>
          <w:szCs w:val="32"/>
        </w:rPr>
        <w:t>（五）参考文件</w:t>
      </w:r>
    </w:p>
    <w:p w14:paraId="7DF5CBB5">
      <w:pPr>
        <w:spacing w:after="0" w:line="560" w:lineRule="exact"/>
        <w:ind w:firstLine="645"/>
        <w:jc w:val="both"/>
        <w:rPr>
          <w:rFonts w:ascii="仿宋_GB2312" w:hAnsi="仿宋" w:eastAsia="仿宋_GB2312"/>
          <w:sz w:val="32"/>
          <w:szCs w:val="32"/>
        </w:rPr>
      </w:pPr>
      <w:r>
        <w:rPr>
          <w:rFonts w:hint="eastAsia" w:ascii="仿宋_GB2312" w:hAnsi="仿宋" w:eastAsia="仿宋_GB2312"/>
          <w:sz w:val="32"/>
          <w:szCs w:val="32"/>
        </w:rPr>
        <w:t>核查机构应在核查报告中列出参考文献及核查过程的支持性文件的清单。</w:t>
      </w:r>
    </w:p>
    <w:p w14:paraId="7736ACEE">
      <w:pPr>
        <w:spacing w:after="0" w:line="560" w:lineRule="exact"/>
        <w:ind w:firstLine="645"/>
        <w:jc w:val="both"/>
        <w:rPr>
          <w:rFonts w:ascii="仿宋_GB2312" w:hAnsi="仿宋" w:eastAsia="仿宋_GB2312"/>
          <w:sz w:val="32"/>
          <w:szCs w:val="32"/>
        </w:rPr>
      </w:pPr>
    </w:p>
    <w:p w14:paraId="5554469A">
      <w:pPr>
        <w:spacing w:after="0" w:line="560" w:lineRule="exact"/>
        <w:ind w:firstLine="645"/>
        <w:jc w:val="both"/>
        <w:rPr>
          <w:rFonts w:ascii="仿宋_GB2312" w:hAnsi="仿宋" w:eastAsia="仿宋_GB2312"/>
          <w:bCs/>
          <w:sz w:val="32"/>
          <w:szCs w:val="32"/>
        </w:rPr>
      </w:pPr>
      <w:r>
        <w:rPr>
          <w:rFonts w:hint="eastAsia" w:ascii="仿宋_GB2312" w:hAnsi="仿宋" w:eastAsia="仿宋_GB2312"/>
          <w:sz w:val="32"/>
          <w:szCs w:val="32"/>
        </w:rPr>
        <w:t>附件</w:t>
      </w:r>
      <w:r>
        <w:rPr>
          <w:rFonts w:ascii="仿宋_GB2312" w:hAnsi="仿宋" w:eastAsia="仿宋_GB2312"/>
          <w:sz w:val="32"/>
          <w:szCs w:val="32"/>
        </w:rPr>
        <w:t>：</w:t>
      </w:r>
      <w:r>
        <w:rPr>
          <w:rFonts w:hint="eastAsia" w:ascii="仿宋_GB2312" w:hAnsi="仿宋" w:eastAsia="仿宋_GB2312"/>
          <w:sz w:val="32"/>
          <w:szCs w:val="32"/>
        </w:rPr>
        <w:t>1.</w:t>
      </w:r>
      <w:r>
        <w:rPr>
          <w:rFonts w:hint="eastAsia" w:ascii="仿宋_GB2312" w:hAnsi="仿宋" w:eastAsia="仿宋_GB2312"/>
          <w:bCs/>
          <w:sz w:val="32"/>
          <w:szCs w:val="32"/>
        </w:rPr>
        <w:t>核查报告基本格式</w:t>
      </w:r>
    </w:p>
    <w:p w14:paraId="249D71DC">
      <w:pPr>
        <w:spacing w:after="0" w:line="560" w:lineRule="exact"/>
        <w:ind w:right="850"/>
        <w:rPr>
          <w:rFonts w:ascii="仿宋_GB2312" w:hAnsi="仿宋" w:eastAsia="仿宋_GB2312" w:cs="Arial"/>
          <w:caps/>
          <w:sz w:val="32"/>
          <w:szCs w:val="32"/>
        </w:rPr>
      </w:pPr>
      <w:r>
        <w:rPr>
          <w:rFonts w:ascii="仿宋_GB2312" w:hAnsi="仿宋" w:eastAsia="仿宋_GB2312"/>
          <w:sz w:val="32"/>
          <w:szCs w:val="32"/>
        </w:rPr>
        <w:t xml:space="preserve">          2.</w:t>
      </w:r>
      <w:r>
        <w:rPr>
          <w:rFonts w:hint="eastAsia" w:ascii="仿宋_GB2312" w:hAnsi="仿宋" w:eastAsia="仿宋_GB2312" w:cs="Arial"/>
          <w:caps/>
          <w:sz w:val="32"/>
          <w:szCs w:val="32"/>
        </w:rPr>
        <w:t>扉页核查结论模板</w:t>
      </w:r>
    </w:p>
    <w:p w14:paraId="3A933D3D">
      <w:pPr>
        <w:spacing w:after="0" w:line="560" w:lineRule="exact"/>
        <w:ind w:firstLine="645"/>
        <w:jc w:val="both"/>
        <w:rPr>
          <w:rFonts w:ascii="仿宋_GB2312" w:hAnsi="仿宋" w:eastAsia="仿宋_GB2312"/>
          <w:sz w:val="32"/>
          <w:szCs w:val="32"/>
        </w:rPr>
      </w:pPr>
    </w:p>
    <w:p w14:paraId="0DF45BF5">
      <w:pPr>
        <w:pStyle w:val="150"/>
        <w:spacing w:after="0" w:line="560" w:lineRule="exact"/>
        <w:ind w:left="0"/>
        <w:rPr>
          <w:rFonts w:ascii="黑体" w:hAnsi="黑体" w:eastAsia="黑体"/>
          <w:sz w:val="32"/>
          <w:szCs w:val="32"/>
        </w:rPr>
      </w:pPr>
      <w:r>
        <w:rPr>
          <w:rFonts w:hint="eastAsia" w:ascii="仿宋_GB2312" w:hAnsi="仿宋" w:eastAsia="仿宋_GB2312"/>
          <w:sz w:val="32"/>
          <w:szCs w:val="32"/>
        </w:rPr>
        <w:br w:type="page"/>
      </w:r>
      <w:r>
        <w:rPr>
          <w:rFonts w:hint="eastAsia" w:ascii="黑体" w:hAnsi="黑体" w:eastAsia="黑体"/>
          <w:sz w:val="32"/>
          <w:szCs w:val="32"/>
        </w:rPr>
        <w:t>附件1</w:t>
      </w:r>
    </w:p>
    <w:p w14:paraId="1D54EB57">
      <w:pPr>
        <w:spacing w:after="0" w:line="560" w:lineRule="exact"/>
        <w:ind w:right="850"/>
        <w:jc w:val="center"/>
        <w:rPr>
          <w:rFonts w:cs="Arial" w:asciiTheme="majorEastAsia" w:hAnsiTheme="majorEastAsia" w:eastAsiaTheme="majorEastAsia"/>
          <w:b/>
          <w:caps/>
          <w:sz w:val="44"/>
          <w:szCs w:val="44"/>
        </w:rPr>
      </w:pPr>
      <w:r>
        <w:rPr>
          <w:rFonts w:hint="eastAsia" w:cs="Arial" w:asciiTheme="majorEastAsia" w:hAnsiTheme="majorEastAsia" w:eastAsiaTheme="majorEastAsia"/>
          <w:b/>
          <w:caps/>
          <w:sz w:val="44"/>
          <w:szCs w:val="44"/>
        </w:rPr>
        <w:t>核查报告基本格式</w:t>
      </w:r>
    </w:p>
    <w:p w14:paraId="446F56A6">
      <w:pPr>
        <w:spacing w:after="0" w:line="560" w:lineRule="exact"/>
        <w:rPr>
          <w:rFonts w:ascii="仿宋_GB2312" w:hAnsi="仿宋" w:eastAsia="仿宋_GB2312" w:cs="宋体"/>
          <w:sz w:val="32"/>
          <w:szCs w:val="32"/>
        </w:rPr>
      </w:pPr>
    </w:p>
    <w:p w14:paraId="646D5B64">
      <w:pPr>
        <w:spacing w:after="0" w:line="560" w:lineRule="exact"/>
        <w:rPr>
          <w:rFonts w:ascii="仿宋_GB2312" w:hAnsi="仿宋" w:eastAsia="仿宋_GB2312" w:cs="宋体"/>
          <w:b/>
          <w:bCs/>
          <w:sz w:val="32"/>
          <w:szCs w:val="32"/>
        </w:rPr>
      </w:pPr>
      <w:r>
        <w:rPr>
          <w:rFonts w:hint="eastAsia" w:ascii="仿宋_GB2312" w:hAnsi="仿宋" w:eastAsia="仿宋_GB2312" w:cs="宋体"/>
          <w:b/>
          <w:bCs/>
          <w:sz w:val="32"/>
          <w:szCs w:val="32"/>
        </w:rPr>
        <w:t xml:space="preserve">第一部分  报告封面 </w:t>
      </w:r>
    </w:p>
    <w:p w14:paraId="4A8AEECC">
      <w:pPr>
        <w:spacing w:after="0" w:line="560" w:lineRule="exact"/>
        <w:rPr>
          <w:rFonts w:ascii="仿宋_GB2312" w:hAnsi="宋体" w:eastAsia="仿宋_GB2312" w:cs="宋体"/>
          <w:sz w:val="32"/>
          <w:szCs w:val="32"/>
        </w:rPr>
      </w:pPr>
    </w:p>
    <w:p w14:paraId="146A7796">
      <w:pPr>
        <w:spacing w:after="0" w:line="560" w:lineRule="exact"/>
        <w:rPr>
          <w:rFonts w:ascii="仿宋_GB2312" w:hAnsi="宋体" w:eastAsia="仿宋_GB2312" w:cs="宋体"/>
          <w:sz w:val="32"/>
          <w:szCs w:val="32"/>
        </w:rPr>
      </w:pPr>
    </w:p>
    <w:p w14:paraId="46A682E0">
      <w:pPr>
        <w:spacing w:after="0" w:line="560" w:lineRule="exact"/>
        <w:rPr>
          <w:rFonts w:ascii="仿宋_GB2312" w:hAnsi="宋体" w:eastAsia="仿宋_GB2312" w:cs="宋体"/>
          <w:sz w:val="32"/>
          <w:szCs w:val="32"/>
        </w:rPr>
      </w:pPr>
    </w:p>
    <w:p w14:paraId="6F292CA6">
      <w:pPr>
        <w:spacing w:after="0" w:line="560" w:lineRule="exact"/>
        <w:jc w:val="center"/>
        <w:rPr>
          <w:rFonts w:ascii="仿宋_GB2312" w:hAnsi="仿宋" w:eastAsia="仿宋_GB2312" w:cs="宋体"/>
          <w:sz w:val="32"/>
          <w:szCs w:val="32"/>
        </w:rPr>
      </w:pPr>
      <w:r>
        <w:rPr>
          <w:rFonts w:hint="eastAsia" w:ascii="仿宋_GB2312" w:hAnsi="仿宋" w:eastAsia="仿宋_GB2312" w:cs="宋体"/>
          <w:sz w:val="32"/>
          <w:szCs w:val="32"/>
        </w:rPr>
        <w:t>**** (重点碳排放单位名称)</w:t>
      </w:r>
    </w:p>
    <w:p w14:paraId="629266CC">
      <w:pPr>
        <w:spacing w:after="0" w:line="560" w:lineRule="exact"/>
        <w:jc w:val="center"/>
        <w:rPr>
          <w:rFonts w:ascii="仿宋_GB2312" w:hAnsi="仿宋" w:eastAsia="仿宋_GB2312" w:cs="宋体"/>
          <w:sz w:val="32"/>
          <w:szCs w:val="32"/>
        </w:rPr>
      </w:pPr>
      <w:r>
        <w:rPr>
          <w:rFonts w:hint="eastAsia" w:ascii="仿宋_GB2312" w:hAnsi="仿宋" w:eastAsia="仿宋_GB2312" w:cs="宋体"/>
          <w:sz w:val="32"/>
          <w:szCs w:val="32"/>
        </w:rPr>
        <w:t>****年度</w:t>
      </w:r>
    </w:p>
    <w:p w14:paraId="400C00A0">
      <w:pPr>
        <w:spacing w:after="0" w:line="560" w:lineRule="exact"/>
        <w:jc w:val="center"/>
        <w:rPr>
          <w:rFonts w:ascii="仿宋_GB2312" w:hAnsi="仿宋" w:eastAsia="仿宋_GB2312" w:cs="宋体"/>
          <w:sz w:val="32"/>
          <w:szCs w:val="32"/>
        </w:rPr>
      </w:pPr>
      <w:r>
        <w:rPr>
          <w:rFonts w:hint="eastAsia" w:ascii="仿宋_GB2312" w:hAnsi="仿宋" w:eastAsia="仿宋_GB2312" w:cs="宋体"/>
          <w:sz w:val="32"/>
          <w:szCs w:val="32"/>
        </w:rPr>
        <w:t>二氧化碳排放核查报告</w:t>
      </w:r>
    </w:p>
    <w:p w14:paraId="7A7EFCB8">
      <w:pPr>
        <w:spacing w:after="0" w:line="560" w:lineRule="exact"/>
        <w:rPr>
          <w:rFonts w:ascii="仿宋_GB2312" w:hAnsi="仿宋" w:eastAsia="仿宋_GB2312" w:cs="宋体"/>
          <w:sz w:val="32"/>
          <w:szCs w:val="32"/>
        </w:rPr>
      </w:pPr>
    </w:p>
    <w:p w14:paraId="0009A62D">
      <w:pPr>
        <w:spacing w:after="0" w:line="560" w:lineRule="exact"/>
        <w:rPr>
          <w:rFonts w:ascii="仿宋_GB2312" w:hAnsi="仿宋" w:eastAsia="仿宋_GB2312" w:cs="宋体"/>
          <w:sz w:val="32"/>
          <w:szCs w:val="32"/>
        </w:rPr>
      </w:pPr>
    </w:p>
    <w:p w14:paraId="561679B8">
      <w:pPr>
        <w:spacing w:after="0" w:line="560" w:lineRule="exact"/>
        <w:rPr>
          <w:rFonts w:ascii="仿宋_GB2312" w:hAnsi="仿宋" w:eastAsia="仿宋_GB2312" w:cs="宋体"/>
          <w:sz w:val="32"/>
          <w:szCs w:val="32"/>
        </w:rPr>
      </w:pPr>
    </w:p>
    <w:p w14:paraId="4DD5E7F9">
      <w:pPr>
        <w:spacing w:after="0" w:line="560" w:lineRule="exact"/>
        <w:rPr>
          <w:rFonts w:ascii="仿宋_GB2312" w:hAnsi="仿宋" w:eastAsia="仿宋_GB2312" w:cs="宋体"/>
          <w:sz w:val="32"/>
          <w:szCs w:val="32"/>
        </w:rPr>
      </w:pPr>
    </w:p>
    <w:p w14:paraId="4C3AB6B3">
      <w:pPr>
        <w:spacing w:after="0" w:line="560" w:lineRule="exact"/>
        <w:rPr>
          <w:rFonts w:ascii="仿宋_GB2312" w:hAnsi="仿宋" w:eastAsia="仿宋_GB2312" w:cs="宋体"/>
          <w:sz w:val="32"/>
          <w:szCs w:val="32"/>
        </w:rPr>
      </w:pPr>
    </w:p>
    <w:p w14:paraId="149477D5">
      <w:pPr>
        <w:spacing w:after="0" w:line="560" w:lineRule="exact"/>
        <w:rPr>
          <w:rFonts w:ascii="仿宋_GB2312" w:hAnsi="仿宋" w:eastAsia="仿宋_GB2312" w:cs="宋体"/>
          <w:sz w:val="32"/>
          <w:szCs w:val="32"/>
        </w:rPr>
      </w:pPr>
    </w:p>
    <w:p w14:paraId="1E2D91DA">
      <w:pPr>
        <w:spacing w:after="0" w:line="560" w:lineRule="exact"/>
        <w:rPr>
          <w:rFonts w:ascii="仿宋_GB2312" w:hAnsi="仿宋" w:eastAsia="仿宋_GB2312" w:cs="宋体"/>
          <w:sz w:val="32"/>
          <w:szCs w:val="32"/>
        </w:rPr>
      </w:pPr>
    </w:p>
    <w:p w14:paraId="1484FA4F">
      <w:pPr>
        <w:spacing w:after="0" w:line="560" w:lineRule="exact"/>
        <w:rPr>
          <w:rFonts w:ascii="仿宋_GB2312" w:hAnsi="仿宋" w:eastAsia="仿宋_GB2312" w:cs="宋体"/>
          <w:sz w:val="32"/>
          <w:szCs w:val="32"/>
          <w:u w:val="single"/>
        </w:rPr>
      </w:pPr>
      <w:r>
        <w:rPr>
          <w:rFonts w:hint="eastAsia" w:ascii="仿宋_GB2312" w:hAnsi="仿宋" w:eastAsia="仿宋_GB2312" w:cs="宋体"/>
          <w:sz w:val="32"/>
          <w:szCs w:val="32"/>
        </w:rPr>
        <w:t xml:space="preserve">    核查机构名称（公章）：</w:t>
      </w:r>
    </w:p>
    <w:p w14:paraId="5533D2B8">
      <w:pPr>
        <w:spacing w:after="0" w:line="560" w:lineRule="exact"/>
        <w:ind w:firstLine="567"/>
        <w:rPr>
          <w:rFonts w:ascii="仿宋_GB2312" w:hAnsi="仿宋" w:eastAsia="仿宋_GB2312" w:cs="宋体"/>
          <w:b/>
          <w:bCs/>
          <w:sz w:val="32"/>
          <w:szCs w:val="32"/>
        </w:rPr>
      </w:pPr>
      <w:r>
        <w:rPr>
          <w:rFonts w:hint="eastAsia" w:ascii="仿宋_GB2312" w:hAnsi="仿宋" w:eastAsia="仿宋_GB2312" w:cs="宋体"/>
          <w:sz w:val="32"/>
          <w:szCs w:val="32"/>
        </w:rPr>
        <w:t>报告日期:</w:t>
      </w:r>
      <w:r>
        <w:rPr>
          <w:rFonts w:hint="eastAsia" w:ascii="仿宋_GB2312" w:hAnsi="仿宋" w:eastAsia="仿宋_GB2312" w:cs="宋体"/>
          <w:sz w:val="32"/>
          <w:szCs w:val="32"/>
        </w:rPr>
        <w:br w:type="page"/>
      </w:r>
      <w:r>
        <w:rPr>
          <w:rFonts w:hint="eastAsia" w:ascii="仿宋_GB2312" w:hAnsi="仿宋" w:eastAsia="仿宋_GB2312" w:cs="宋体"/>
          <w:b/>
          <w:bCs/>
          <w:sz w:val="32"/>
          <w:szCs w:val="32"/>
        </w:rPr>
        <w:t>第二部分  报告扉页</w:t>
      </w:r>
    </w:p>
    <w:tbl>
      <w:tblPr>
        <w:tblStyle w:val="35"/>
        <w:tblW w:w="9498" w:type="dxa"/>
        <w:tblInd w:w="-176" w:type="dxa"/>
        <w:tblLayout w:type="fixed"/>
        <w:tblCellMar>
          <w:top w:w="0" w:type="dxa"/>
          <w:left w:w="108" w:type="dxa"/>
          <w:bottom w:w="0" w:type="dxa"/>
          <w:right w:w="108" w:type="dxa"/>
        </w:tblCellMar>
      </w:tblPr>
      <w:tblGrid>
        <w:gridCol w:w="1844"/>
        <w:gridCol w:w="409"/>
        <w:gridCol w:w="1639"/>
        <w:gridCol w:w="78"/>
        <w:gridCol w:w="850"/>
        <w:gridCol w:w="15"/>
        <w:gridCol w:w="2112"/>
        <w:gridCol w:w="47"/>
        <w:gridCol w:w="236"/>
        <w:gridCol w:w="709"/>
        <w:gridCol w:w="1559"/>
      </w:tblGrid>
      <w:tr w14:paraId="1BC0837B">
        <w:tblPrEx>
          <w:tblCellMar>
            <w:top w:w="0" w:type="dxa"/>
            <w:left w:w="108" w:type="dxa"/>
            <w:bottom w:w="0" w:type="dxa"/>
            <w:right w:w="108" w:type="dxa"/>
          </w:tblCellMar>
        </w:tblPrEx>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54B86044">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委托方名称</w:t>
            </w:r>
          </w:p>
        </w:tc>
        <w:tc>
          <w:tcPr>
            <w:tcW w:w="2582" w:type="dxa"/>
            <w:gridSpan w:val="4"/>
            <w:tcBorders>
              <w:top w:val="single" w:color="000000" w:sz="4" w:space="0"/>
              <w:left w:val="nil"/>
              <w:bottom w:val="single" w:color="000000" w:sz="4" w:space="0"/>
              <w:right w:val="single" w:color="000000" w:sz="4" w:space="0"/>
            </w:tcBorders>
            <w:vAlign w:val="center"/>
          </w:tcPr>
          <w:p w14:paraId="575C9C08">
            <w:pPr>
              <w:spacing w:after="0" w:line="360" w:lineRule="auto"/>
              <w:rPr>
                <w:rFonts w:ascii="仿宋_GB2312" w:hAnsi="仿宋" w:eastAsia="仿宋_GB2312" w:cs="宋体"/>
                <w:bCs/>
                <w:sz w:val="24"/>
                <w:szCs w:val="24"/>
              </w:rPr>
            </w:pPr>
          </w:p>
        </w:tc>
        <w:tc>
          <w:tcPr>
            <w:tcW w:w="2395" w:type="dxa"/>
            <w:gridSpan w:val="3"/>
            <w:tcBorders>
              <w:top w:val="single" w:color="000000" w:sz="4" w:space="0"/>
              <w:left w:val="nil"/>
              <w:bottom w:val="single" w:color="000000" w:sz="4" w:space="0"/>
              <w:right w:val="single" w:color="000000" w:sz="4" w:space="0"/>
            </w:tcBorders>
            <w:vAlign w:val="center"/>
          </w:tcPr>
          <w:p w14:paraId="5F1852C2">
            <w:pPr>
              <w:spacing w:after="0" w:line="360" w:lineRule="auto"/>
              <w:rPr>
                <w:rFonts w:ascii="仿宋_GB2312" w:hAnsi="仿宋" w:eastAsia="仿宋_GB2312" w:cs="宋体"/>
                <w:sz w:val="24"/>
                <w:szCs w:val="24"/>
              </w:rPr>
            </w:pPr>
            <w:r>
              <w:rPr>
                <w:rFonts w:hint="eastAsia" w:ascii="仿宋_GB2312" w:hAnsi="仿宋" w:eastAsia="仿宋_GB2312"/>
                <w:sz w:val="24"/>
                <w:szCs w:val="24"/>
              </w:rPr>
              <w:t>地址</w:t>
            </w:r>
          </w:p>
        </w:tc>
        <w:tc>
          <w:tcPr>
            <w:tcW w:w="2268" w:type="dxa"/>
            <w:gridSpan w:val="2"/>
            <w:tcBorders>
              <w:top w:val="single" w:color="000000" w:sz="4" w:space="0"/>
              <w:left w:val="nil"/>
              <w:bottom w:val="single" w:color="000000" w:sz="4" w:space="0"/>
              <w:right w:val="single" w:color="000000" w:sz="4" w:space="0"/>
            </w:tcBorders>
            <w:vAlign w:val="center"/>
          </w:tcPr>
          <w:p w14:paraId="783FC8D2">
            <w:pPr>
              <w:spacing w:after="0" w:line="360" w:lineRule="auto"/>
              <w:rPr>
                <w:rFonts w:ascii="仿宋_GB2312" w:hAnsi="仿宋" w:eastAsia="仿宋_GB2312"/>
                <w:bCs/>
                <w:sz w:val="24"/>
                <w:szCs w:val="24"/>
              </w:rPr>
            </w:pPr>
          </w:p>
        </w:tc>
      </w:tr>
      <w:tr w14:paraId="3CAF94D3">
        <w:tblPrEx>
          <w:tblCellMar>
            <w:top w:w="0" w:type="dxa"/>
            <w:left w:w="108" w:type="dxa"/>
            <w:bottom w:w="0" w:type="dxa"/>
            <w:right w:w="108" w:type="dxa"/>
          </w:tblCellMar>
        </w:tblPrEx>
        <w:trPr>
          <w:trHeight w:val="336" w:hRule="atLeast"/>
        </w:trPr>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7BDFC89C">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联系人</w:t>
            </w:r>
          </w:p>
        </w:tc>
        <w:tc>
          <w:tcPr>
            <w:tcW w:w="2582" w:type="dxa"/>
            <w:gridSpan w:val="4"/>
            <w:tcBorders>
              <w:top w:val="single" w:color="000000" w:sz="4" w:space="0"/>
              <w:left w:val="nil"/>
              <w:bottom w:val="single" w:color="000000" w:sz="4" w:space="0"/>
              <w:right w:val="single" w:color="000000" w:sz="4" w:space="0"/>
            </w:tcBorders>
            <w:vAlign w:val="center"/>
          </w:tcPr>
          <w:p w14:paraId="08820AE3">
            <w:pPr>
              <w:spacing w:after="0" w:line="360" w:lineRule="auto"/>
              <w:rPr>
                <w:rFonts w:ascii="仿宋_GB2312" w:hAnsi="仿宋" w:eastAsia="仿宋_GB2312" w:cs="宋体"/>
                <w:bCs/>
                <w:sz w:val="24"/>
                <w:szCs w:val="24"/>
              </w:rPr>
            </w:pPr>
          </w:p>
        </w:tc>
        <w:tc>
          <w:tcPr>
            <w:tcW w:w="2395" w:type="dxa"/>
            <w:gridSpan w:val="3"/>
            <w:tcBorders>
              <w:top w:val="single" w:color="000000" w:sz="4" w:space="0"/>
              <w:left w:val="nil"/>
              <w:bottom w:val="single" w:color="000000" w:sz="4" w:space="0"/>
              <w:right w:val="single" w:color="000000" w:sz="4" w:space="0"/>
            </w:tcBorders>
            <w:vAlign w:val="center"/>
          </w:tcPr>
          <w:p w14:paraId="01FC80D9">
            <w:pPr>
              <w:spacing w:after="0" w:line="360" w:lineRule="auto"/>
              <w:rPr>
                <w:rFonts w:ascii="仿宋_GB2312" w:hAnsi="仿宋" w:eastAsia="仿宋_GB2312" w:cs="宋体"/>
                <w:sz w:val="24"/>
                <w:szCs w:val="24"/>
              </w:rPr>
            </w:pPr>
            <w:r>
              <w:rPr>
                <w:rFonts w:hint="eastAsia" w:ascii="仿宋_GB2312" w:hAnsi="仿宋" w:eastAsia="仿宋_GB2312"/>
                <w:sz w:val="24"/>
                <w:szCs w:val="24"/>
              </w:rPr>
              <w:t>联系方式（电话、</w:t>
            </w:r>
            <w:r>
              <w:rPr>
                <w:rFonts w:ascii="仿宋_GB2312" w:hAnsi="仿宋" w:eastAsia="仿宋_GB2312"/>
                <w:sz w:val="24"/>
                <w:szCs w:val="24"/>
              </w:rPr>
              <w:t>email）</w:t>
            </w:r>
          </w:p>
        </w:tc>
        <w:tc>
          <w:tcPr>
            <w:tcW w:w="2268" w:type="dxa"/>
            <w:gridSpan w:val="2"/>
            <w:tcBorders>
              <w:top w:val="single" w:color="000000" w:sz="4" w:space="0"/>
              <w:left w:val="nil"/>
              <w:bottom w:val="single" w:color="000000" w:sz="4" w:space="0"/>
              <w:right w:val="single" w:color="000000" w:sz="4" w:space="0"/>
            </w:tcBorders>
            <w:vAlign w:val="center"/>
          </w:tcPr>
          <w:p w14:paraId="29D4A49D">
            <w:pPr>
              <w:spacing w:after="0" w:line="360" w:lineRule="auto"/>
              <w:jc w:val="center"/>
              <w:rPr>
                <w:rFonts w:ascii="仿宋_GB2312" w:hAnsi="仿宋" w:eastAsia="仿宋_GB2312"/>
                <w:bCs/>
                <w:sz w:val="24"/>
                <w:szCs w:val="24"/>
              </w:rPr>
            </w:pPr>
          </w:p>
        </w:tc>
      </w:tr>
      <w:tr w14:paraId="7A1C610C">
        <w:tblPrEx>
          <w:tblCellMar>
            <w:top w:w="0" w:type="dxa"/>
            <w:left w:w="108" w:type="dxa"/>
            <w:bottom w:w="0" w:type="dxa"/>
            <w:right w:w="108" w:type="dxa"/>
          </w:tblCellMar>
        </w:tblPrEx>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17CB4D26">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核查机构名称</w:t>
            </w:r>
          </w:p>
        </w:tc>
        <w:tc>
          <w:tcPr>
            <w:tcW w:w="2582" w:type="dxa"/>
            <w:gridSpan w:val="4"/>
            <w:tcBorders>
              <w:top w:val="single" w:color="000000" w:sz="4" w:space="0"/>
              <w:left w:val="nil"/>
              <w:bottom w:val="single" w:color="000000" w:sz="4" w:space="0"/>
              <w:right w:val="single" w:color="000000" w:sz="4" w:space="0"/>
            </w:tcBorders>
            <w:vAlign w:val="center"/>
          </w:tcPr>
          <w:p w14:paraId="658472C0">
            <w:pPr>
              <w:spacing w:after="0" w:line="360" w:lineRule="auto"/>
              <w:rPr>
                <w:rFonts w:ascii="仿宋_GB2312" w:hAnsi="仿宋" w:eastAsia="仿宋_GB2312" w:cs="宋体"/>
                <w:bCs/>
                <w:sz w:val="24"/>
                <w:szCs w:val="24"/>
              </w:rPr>
            </w:pPr>
          </w:p>
        </w:tc>
        <w:tc>
          <w:tcPr>
            <w:tcW w:w="2395" w:type="dxa"/>
            <w:gridSpan w:val="3"/>
            <w:tcBorders>
              <w:top w:val="single" w:color="000000" w:sz="4" w:space="0"/>
              <w:left w:val="nil"/>
              <w:bottom w:val="single" w:color="000000" w:sz="4" w:space="0"/>
              <w:right w:val="single" w:color="000000" w:sz="4" w:space="0"/>
            </w:tcBorders>
            <w:vAlign w:val="center"/>
          </w:tcPr>
          <w:p w14:paraId="3DB48CB5">
            <w:pPr>
              <w:spacing w:after="0" w:line="360" w:lineRule="auto"/>
              <w:rPr>
                <w:rFonts w:ascii="仿宋_GB2312" w:hAnsi="仿宋" w:eastAsia="仿宋_GB2312" w:cs="宋体"/>
                <w:sz w:val="24"/>
                <w:szCs w:val="24"/>
              </w:rPr>
            </w:pPr>
            <w:r>
              <w:rPr>
                <w:rFonts w:hint="eastAsia" w:ascii="仿宋_GB2312" w:hAnsi="仿宋" w:eastAsia="仿宋_GB2312"/>
                <w:sz w:val="24"/>
                <w:szCs w:val="24"/>
              </w:rPr>
              <w:t>地址</w:t>
            </w:r>
          </w:p>
        </w:tc>
        <w:tc>
          <w:tcPr>
            <w:tcW w:w="2268" w:type="dxa"/>
            <w:gridSpan w:val="2"/>
            <w:tcBorders>
              <w:top w:val="single" w:color="000000" w:sz="4" w:space="0"/>
              <w:left w:val="nil"/>
              <w:bottom w:val="single" w:color="000000" w:sz="4" w:space="0"/>
              <w:right w:val="single" w:color="000000" w:sz="4" w:space="0"/>
            </w:tcBorders>
            <w:vAlign w:val="center"/>
          </w:tcPr>
          <w:p w14:paraId="773209A1">
            <w:pPr>
              <w:spacing w:after="0" w:line="360" w:lineRule="auto"/>
              <w:rPr>
                <w:rFonts w:ascii="仿宋_GB2312" w:hAnsi="仿宋" w:eastAsia="仿宋_GB2312"/>
                <w:bCs/>
                <w:sz w:val="24"/>
                <w:szCs w:val="24"/>
              </w:rPr>
            </w:pPr>
          </w:p>
        </w:tc>
      </w:tr>
      <w:tr w14:paraId="4F7E8368">
        <w:tblPrEx>
          <w:tblCellMar>
            <w:top w:w="0" w:type="dxa"/>
            <w:left w:w="108" w:type="dxa"/>
            <w:bottom w:w="0" w:type="dxa"/>
            <w:right w:w="108" w:type="dxa"/>
          </w:tblCellMar>
        </w:tblPrEx>
        <w:trPr>
          <w:trHeight w:val="318" w:hRule="atLeast"/>
        </w:trPr>
        <w:tc>
          <w:tcPr>
            <w:tcW w:w="2253" w:type="dxa"/>
            <w:gridSpan w:val="2"/>
            <w:tcBorders>
              <w:top w:val="single" w:color="000000" w:sz="4" w:space="0"/>
              <w:left w:val="single" w:color="000000" w:sz="4" w:space="0"/>
              <w:bottom w:val="single" w:color="000000" w:sz="4" w:space="0"/>
              <w:right w:val="single" w:color="000000" w:sz="4" w:space="0"/>
            </w:tcBorders>
            <w:vAlign w:val="center"/>
          </w:tcPr>
          <w:p w14:paraId="049FE3A3">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联系人</w:t>
            </w:r>
          </w:p>
        </w:tc>
        <w:tc>
          <w:tcPr>
            <w:tcW w:w="2582" w:type="dxa"/>
            <w:gridSpan w:val="4"/>
            <w:tcBorders>
              <w:top w:val="single" w:color="000000" w:sz="4" w:space="0"/>
              <w:left w:val="nil"/>
              <w:bottom w:val="single" w:color="000000" w:sz="4" w:space="0"/>
              <w:right w:val="single" w:color="000000" w:sz="4" w:space="0"/>
            </w:tcBorders>
            <w:vAlign w:val="center"/>
          </w:tcPr>
          <w:p w14:paraId="178F94A2">
            <w:pPr>
              <w:spacing w:after="0" w:line="360" w:lineRule="auto"/>
              <w:rPr>
                <w:rFonts w:ascii="仿宋_GB2312" w:hAnsi="仿宋" w:eastAsia="仿宋_GB2312" w:cs="宋体"/>
                <w:bCs/>
                <w:sz w:val="24"/>
                <w:szCs w:val="24"/>
              </w:rPr>
            </w:pPr>
          </w:p>
        </w:tc>
        <w:tc>
          <w:tcPr>
            <w:tcW w:w="2395" w:type="dxa"/>
            <w:gridSpan w:val="3"/>
            <w:tcBorders>
              <w:top w:val="single" w:color="000000" w:sz="4" w:space="0"/>
              <w:left w:val="nil"/>
              <w:bottom w:val="single" w:color="000000" w:sz="4" w:space="0"/>
              <w:right w:val="single" w:color="000000" w:sz="4" w:space="0"/>
            </w:tcBorders>
            <w:vAlign w:val="center"/>
          </w:tcPr>
          <w:p w14:paraId="3C64A85F">
            <w:pPr>
              <w:spacing w:after="0" w:line="360" w:lineRule="auto"/>
              <w:rPr>
                <w:rFonts w:ascii="仿宋_GB2312" w:hAnsi="仿宋" w:eastAsia="仿宋_GB2312" w:cs="宋体"/>
                <w:sz w:val="24"/>
                <w:szCs w:val="24"/>
              </w:rPr>
            </w:pPr>
            <w:r>
              <w:rPr>
                <w:rFonts w:hint="eastAsia" w:ascii="仿宋_GB2312" w:hAnsi="仿宋" w:eastAsia="仿宋_GB2312"/>
                <w:sz w:val="24"/>
                <w:szCs w:val="24"/>
              </w:rPr>
              <w:t>联系方式（电话、</w:t>
            </w:r>
            <w:r>
              <w:rPr>
                <w:rFonts w:ascii="仿宋_GB2312" w:hAnsi="仿宋" w:eastAsia="仿宋_GB2312"/>
                <w:sz w:val="24"/>
                <w:szCs w:val="24"/>
              </w:rPr>
              <w:t>email）</w:t>
            </w:r>
          </w:p>
        </w:tc>
        <w:tc>
          <w:tcPr>
            <w:tcW w:w="2268" w:type="dxa"/>
            <w:gridSpan w:val="2"/>
            <w:tcBorders>
              <w:top w:val="single" w:color="000000" w:sz="4" w:space="0"/>
              <w:left w:val="nil"/>
              <w:bottom w:val="single" w:color="000000" w:sz="4" w:space="0"/>
              <w:right w:val="single" w:color="000000" w:sz="4" w:space="0"/>
            </w:tcBorders>
            <w:vAlign w:val="center"/>
          </w:tcPr>
          <w:p w14:paraId="7E9A0FA5">
            <w:pPr>
              <w:spacing w:after="0" w:line="360" w:lineRule="auto"/>
              <w:jc w:val="center"/>
              <w:rPr>
                <w:rFonts w:ascii="仿宋_GB2312" w:hAnsi="仿宋" w:eastAsia="仿宋_GB2312"/>
                <w:bCs/>
                <w:sz w:val="24"/>
                <w:szCs w:val="24"/>
              </w:rPr>
            </w:pPr>
          </w:p>
        </w:tc>
      </w:tr>
      <w:tr w14:paraId="2FA3CE77">
        <w:tblPrEx>
          <w:tblCellMar>
            <w:top w:w="0" w:type="dxa"/>
            <w:left w:w="108" w:type="dxa"/>
            <w:bottom w:w="0" w:type="dxa"/>
            <w:right w:w="108" w:type="dxa"/>
          </w:tblCellMar>
        </w:tblPrEx>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3425C76A">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二氧化碳排放报告</w:t>
            </w:r>
            <w:r>
              <w:rPr>
                <w:rFonts w:ascii="仿宋_GB2312" w:hAnsi="仿宋" w:eastAsia="仿宋_GB2312" w:cs="宋体"/>
                <w:sz w:val="24"/>
                <w:szCs w:val="24"/>
              </w:rPr>
              <w:t>(初始)版本/日期</w:t>
            </w:r>
          </w:p>
        </w:tc>
        <w:tc>
          <w:tcPr>
            <w:tcW w:w="5528" w:type="dxa"/>
            <w:gridSpan w:val="7"/>
            <w:tcBorders>
              <w:top w:val="single" w:color="000000" w:sz="4" w:space="0"/>
              <w:left w:val="nil"/>
              <w:bottom w:val="single" w:color="000000" w:sz="4" w:space="0"/>
              <w:right w:val="single" w:color="000000" w:sz="4" w:space="0"/>
            </w:tcBorders>
            <w:vAlign w:val="center"/>
          </w:tcPr>
          <w:p w14:paraId="5FB8212B">
            <w:pPr>
              <w:spacing w:after="0" w:line="360" w:lineRule="auto"/>
              <w:rPr>
                <w:rFonts w:ascii="仿宋_GB2312" w:hAnsi="仿宋" w:eastAsia="仿宋_GB2312" w:cs="宋体"/>
                <w:bCs/>
                <w:sz w:val="24"/>
                <w:szCs w:val="24"/>
              </w:rPr>
            </w:pPr>
          </w:p>
        </w:tc>
      </w:tr>
      <w:tr w14:paraId="5735D41C">
        <w:tblPrEx>
          <w:tblCellMar>
            <w:top w:w="0" w:type="dxa"/>
            <w:left w:w="108" w:type="dxa"/>
            <w:bottom w:w="0" w:type="dxa"/>
            <w:right w:w="108" w:type="dxa"/>
          </w:tblCellMar>
        </w:tblPrEx>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5D8D6F8B">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二氧化碳排放报告</w:t>
            </w:r>
            <w:r>
              <w:rPr>
                <w:rFonts w:ascii="仿宋_GB2312" w:hAnsi="仿宋" w:eastAsia="仿宋_GB2312" w:cs="宋体"/>
                <w:sz w:val="24"/>
                <w:szCs w:val="24"/>
              </w:rPr>
              <w:t>(最终)版本/日期</w:t>
            </w:r>
          </w:p>
        </w:tc>
        <w:tc>
          <w:tcPr>
            <w:tcW w:w="5528" w:type="dxa"/>
            <w:gridSpan w:val="7"/>
            <w:tcBorders>
              <w:top w:val="single" w:color="000000" w:sz="4" w:space="0"/>
              <w:left w:val="nil"/>
              <w:bottom w:val="single" w:color="000000" w:sz="4" w:space="0"/>
              <w:right w:val="single" w:color="000000" w:sz="4" w:space="0"/>
            </w:tcBorders>
            <w:vAlign w:val="center"/>
          </w:tcPr>
          <w:p w14:paraId="0326AB8F">
            <w:pPr>
              <w:spacing w:after="0" w:line="360" w:lineRule="auto"/>
              <w:rPr>
                <w:rFonts w:ascii="仿宋_GB2312" w:hAnsi="仿宋" w:eastAsia="仿宋_GB2312" w:cs="宋体"/>
                <w:bCs/>
                <w:sz w:val="24"/>
                <w:szCs w:val="24"/>
              </w:rPr>
            </w:pPr>
          </w:p>
        </w:tc>
      </w:tr>
      <w:tr w14:paraId="5BBACD9F">
        <w:tblPrEx>
          <w:tblCellMar>
            <w:top w:w="0" w:type="dxa"/>
            <w:left w:w="108" w:type="dxa"/>
            <w:bottom w:w="0" w:type="dxa"/>
            <w:right w:w="108" w:type="dxa"/>
          </w:tblCellMar>
        </w:tblPrEx>
        <w:trPr>
          <w:trHeight w:val="281" w:hRule="atLeast"/>
        </w:trPr>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3BC5A072">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二氧化碳排放报告期</w:t>
            </w:r>
          </w:p>
        </w:tc>
        <w:tc>
          <w:tcPr>
            <w:tcW w:w="5528" w:type="dxa"/>
            <w:gridSpan w:val="7"/>
            <w:tcBorders>
              <w:top w:val="single" w:color="000000" w:sz="4" w:space="0"/>
              <w:left w:val="nil"/>
              <w:bottom w:val="single" w:color="000000" w:sz="4" w:space="0"/>
              <w:right w:val="single" w:color="000000" w:sz="4" w:space="0"/>
            </w:tcBorders>
            <w:vAlign w:val="center"/>
          </w:tcPr>
          <w:p w14:paraId="49E55542">
            <w:pPr>
              <w:spacing w:after="0" w:line="360" w:lineRule="auto"/>
              <w:rPr>
                <w:rFonts w:ascii="仿宋_GB2312" w:hAnsi="仿宋" w:eastAsia="仿宋_GB2312" w:cs="宋体"/>
                <w:bCs/>
                <w:sz w:val="24"/>
                <w:szCs w:val="24"/>
              </w:rPr>
            </w:pPr>
          </w:p>
        </w:tc>
      </w:tr>
      <w:tr w14:paraId="4B2FC466">
        <w:tblPrEx>
          <w:tblCellMar>
            <w:top w:w="0" w:type="dxa"/>
            <w:left w:w="108" w:type="dxa"/>
            <w:bottom w:w="0" w:type="dxa"/>
            <w:right w:w="108" w:type="dxa"/>
          </w:tblCellMar>
        </w:tblPrEx>
        <w:trPr>
          <w:trHeight w:val="281" w:hRule="atLeast"/>
        </w:trPr>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011FEE69">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二氧化碳排放</w:t>
            </w:r>
            <w:r>
              <w:rPr>
                <w:rFonts w:ascii="仿宋_GB2312" w:hAnsi="仿宋" w:eastAsia="仿宋_GB2312" w:cs="宋体"/>
                <w:sz w:val="24"/>
                <w:szCs w:val="24"/>
              </w:rPr>
              <w:t>报告边界</w:t>
            </w:r>
          </w:p>
        </w:tc>
        <w:tc>
          <w:tcPr>
            <w:tcW w:w="5528" w:type="dxa"/>
            <w:gridSpan w:val="7"/>
            <w:tcBorders>
              <w:top w:val="single" w:color="000000" w:sz="4" w:space="0"/>
              <w:left w:val="nil"/>
              <w:bottom w:val="single" w:color="000000" w:sz="4" w:space="0"/>
              <w:right w:val="single" w:color="000000" w:sz="4" w:space="0"/>
            </w:tcBorders>
            <w:vAlign w:val="center"/>
          </w:tcPr>
          <w:p w14:paraId="53F5FB85">
            <w:pPr>
              <w:spacing w:after="0" w:line="360" w:lineRule="auto"/>
              <w:rPr>
                <w:rFonts w:ascii="仿宋_GB2312" w:hAnsi="仿宋" w:eastAsia="仿宋_GB2312" w:cs="宋体"/>
                <w:bCs/>
                <w:sz w:val="24"/>
                <w:szCs w:val="24"/>
              </w:rPr>
            </w:pPr>
          </w:p>
        </w:tc>
      </w:tr>
      <w:tr w14:paraId="7A6ECBF7">
        <w:tblPrEx>
          <w:tblCellMar>
            <w:top w:w="0" w:type="dxa"/>
            <w:left w:w="108" w:type="dxa"/>
            <w:bottom w:w="0" w:type="dxa"/>
            <w:right w:w="108" w:type="dxa"/>
          </w:tblCellMar>
        </w:tblPrEx>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1501FA26">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经核查后的二氧化碳排放量</w:t>
            </w:r>
          </w:p>
        </w:tc>
        <w:tc>
          <w:tcPr>
            <w:tcW w:w="5528" w:type="dxa"/>
            <w:gridSpan w:val="7"/>
            <w:tcBorders>
              <w:top w:val="single" w:color="000000" w:sz="4" w:space="0"/>
              <w:left w:val="nil"/>
              <w:bottom w:val="single" w:color="000000" w:sz="4" w:space="0"/>
              <w:right w:val="single" w:color="000000" w:sz="4" w:space="0"/>
            </w:tcBorders>
            <w:vAlign w:val="center"/>
          </w:tcPr>
          <w:p w14:paraId="791A3DC2">
            <w:pPr>
              <w:spacing w:after="0" w:line="360" w:lineRule="auto"/>
              <w:rPr>
                <w:rFonts w:ascii="仿宋_GB2312" w:hAnsi="仿宋" w:eastAsia="仿宋_GB2312" w:cs="宋体"/>
                <w:bCs/>
                <w:sz w:val="24"/>
                <w:szCs w:val="24"/>
              </w:rPr>
            </w:pPr>
          </w:p>
        </w:tc>
      </w:tr>
      <w:tr w14:paraId="2B442B64">
        <w:tblPrEx>
          <w:tblCellMar>
            <w:top w:w="0" w:type="dxa"/>
            <w:left w:w="108" w:type="dxa"/>
            <w:bottom w:w="0" w:type="dxa"/>
            <w:right w:w="108" w:type="dxa"/>
          </w:tblCellMar>
        </w:tblPrEx>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4032B005">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新增设施的排放量及排放强度</w:t>
            </w:r>
          </w:p>
        </w:tc>
        <w:tc>
          <w:tcPr>
            <w:tcW w:w="5528" w:type="dxa"/>
            <w:gridSpan w:val="7"/>
            <w:tcBorders>
              <w:top w:val="single" w:color="000000" w:sz="4" w:space="0"/>
              <w:left w:val="nil"/>
              <w:bottom w:val="single" w:color="000000" w:sz="4" w:space="0"/>
              <w:right w:val="single" w:color="000000" w:sz="4" w:space="0"/>
            </w:tcBorders>
            <w:vAlign w:val="center"/>
          </w:tcPr>
          <w:p w14:paraId="7CC50686">
            <w:pPr>
              <w:spacing w:after="0" w:line="360" w:lineRule="auto"/>
              <w:rPr>
                <w:rFonts w:ascii="仿宋_GB2312" w:hAnsi="仿宋" w:eastAsia="仿宋_GB2312" w:cs="宋体"/>
                <w:bCs/>
                <w:sz w:val="24"/>
                <w:szCs w:val="24"/>
              </w:rPr>
            </w:pPr>
          </w:p>
        </w:tc>
      </w:tr>
      <w:tr w14:paraId="52B8C43A">
        <w:tblPrEx>
          <w:tblCellMar>
            <w:top w:w="0" w:type="dxa"/>
            <w:left w:w="108" w:type="dxa"/>
            <w:bottom w:w="0" w:type="dxa"/>
            <w:right w:w="108" w:type="dxa"/>
          </w:tblCellMar>
        </w:tblPrEx>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59DD9DF6">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既有</w:t>
            </w:r>
            <w:r>
              <w:rPr>
                <w:rFonts w:ascii="仿宋_GB2312" w:hAnsi="仿宋" w:eastAsia="仿宋_GB2312" w:cs="宋体"/>
                <w:sz w:val="24"/>
                <w:szCs w:val="24"/>
              </w:rPr>
              <w:t>设施退出的</w:t>
            </w:r>
            <w:r>
              <w:rPr>
                <w:rFonts w:hint="eastAsia" w:ascii="仿宋_GB2312" w:hAnsi="仿宋" w:eastAsia="仿宋_GB2312" w:cs="宋体"/>
                <w:sz w:val="24"/>
                <w:szCs w:val="24"/>
              </w:rPr>
              <w:t>基准年</w:t>
            </w:r>
            <w:r>
              <w:rPr>
                <w:rFonts w:ascii="仿宋_GB2312" w:hAnsi="仿宋" w:eastAsia="仿宋_GB2312" w:cs="宋体"/>
                <w:sz w:val="24"/>
                <w:szCs w:val="24"/>
              </w:rPr>
              <w:t>排放量及</w:t>
            </w:r>
            <w:r>
              <w:rPr>
                <w:rFonts w:hint="eastAsia" w:ascii="仿宋_GB2312" w:hAnsi="仿宋" w:eastAsia="仿宋_GB2312" w:cs="宋体"/>
                <w:sz w:val="24"/>
                <w:szCs w:val="24"/>
              </w:rPr>
              <w:t>排放</w:t>
            </w:r>
            <w:r>
              <w:rPr>
                <w:rFonts w:ascii="仿宋_GB2312" w:hAnsi="仿宋" w:eastAsia="仿宋_GB2312" w:cs="宋体"/>
                <w:sz w:val="24"/>
                <w:szCs w:val="24"/>
              </w:rPr>
              <w:t>强度</w:t>
            </w:r>
          </w:p>
        </w:tc>
        <w:tc>
          <w:tcPr>
            <w:tcW w:w="5528" w:type="dxa"/>
            <w:gridSpan w:val="7"/>
            <w:tcBorders>
              <w:top w:val="single" w:color="000000" w:sz="4" w:space="0"/>
              <w:left w:val="nil"/>
              <w:bottom w:val="single" w:color="000000" w:sz="4" w:space="0"/>
              <w:right w:val="single" w:color="000000" w:sz="4" w:space="0"/>
            </w:tcBorders>
            <w:vAlign w:val="center"/>
          </w:tcPr>
          <w:p w14:paraId="66D97A39">
            <w:pPr>
              <w:spacing w:after="0" w:line="360" w:lineRule="auto"/>
              <w:rPr>
                <w:rFonts w:ascii="仿宋_GB2312" w:hAnsi="仿宋" w:eastAsia="仿宋_GB2312" w:cs="宋体"/>
                <w:bCs/>
                <w:sz w:val="24"/>
                <w:szCs w:val="24"/>
              </w:rPr>
            </w:pPr>
          </w:p>
        </w:tc>
      </w:tr>
      <w:tr w14:paraId="24D7A254">
        <w:tblPrEx>
          <w:tblCellMar>
            <w:top w:w="0" w:type="dxa"/>
            <w:left w:w="108" w:type="dxa"/>
            <w:bottom w:w="0" w:type="dxa"/>
            <w:right w:w="108" w:type="dxa"/>
          </w:tblCellMar>
        </w:tblPrEx>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560A1A22">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替代既有设施的新增设施排放量</w:t>
            </w:r>
          </w:p>
        </w:tc>
        <w:tc>
          <w:tcPr>
            <w:tcW w:w="5528" w:type="dxa"/>
            <w:gridSpan w:val="7"/>
            <w:tcBorders>
              <w:top w:val="single" w:color="000000" w:sz="4" w:space="0"/>
              <w:left w:val="nil"/>
              <w:bottom w:val="single" w:color="000000" w:sz="4" w:space="0"/>
              <w:right w:val="single" w:color="000000" w:sz="4" w:space="0"/>
            </w:tcBorders>
            <w:vAlign w:val="center"/>
          </w:tcPr>
          <w:p w14:paraId="50E3097D">
            <w:pPr>
              <w:spacing w:after="0" w:line="360" w:lineRule="auto"/>
              <w:rPr>
                <w:rFonts w:ascii="仿宋_GB2312" w:hAnsi="仿宋" w:eastAsia="仿宋_GB2312" w:cs="宋体"/>
                <w:bCs/>
                <w:sz w:val="24"/>
                <w:szCs w:val="24"/>
              </w:rPr>
            </w:pPr>
          </w:p>
        </w:tc>
      </w:tr>
      <w:tr w14:paraId="4C621D58">
        <w:tblPrEx>
          <w:tblCellMar>
            <w:top w:w="0" w:type="dxa"/>
            <w:left w:w="108" w:type="dxa"/>
            <w:bottom w:w="0" w:type="dxa"/>
            <w:right w:w="108" w:type="dxa"/>
          </w:tblCellMar>
        </w:tblPrEx>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6F84D461">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重点碳排放单位所属行业领域</w:t>
            </w:r>
          </w:p>
        </w:tc>
        <w:tc>
          <w:tcPr>
            <w:tcW w:w="5528" w:type="dxa"/>
            <w:gridSpan w:val="7"/>
            <w:tcBorders>
              <w:top w:val="single" w:color="000000" w:sz="4" w:space="0"/>
              <w:left w:val="nil"/>
              <w:bottom w:val="single" w:color="000000" w:sz="4" w:space="0"/>
              <w:right w:val="single" w:color="000000" w:sz="4" w:space="0"/>
            </w:tcBorders>
            <w:vAlign w:val="center"/>
          </w:tcPr>
          <w:p w14:paraId="2D8DEB75">
            <w:pPr>
              <w:spacing w:after="0" w:line="360" w:lineRule="auto"/>
              <w:rPr>
                <w:rFonts w:ascii="仿宋_GB2312" w:hAnsi="仿宋" w:eastAsia="仿宋_GB2312" w:cs="宋体"/>
                <w:bCs/>
                <w:sz w:val="24"/>
                <w:szCs w:val="24"/>
              </w:rPr>
            </w:pPr>
          </w:p>
        </w:tc>
      </w:tr>
      <w:tr w14:paraId="19892B91">
        <w:tblPrEx>
          <w:tblCellMar>
            <w:top w:w="0" w:type="dxa"/>
            <w:left w:w="108" w:type="dxa"/>
            <w:bottom w:w="0" w:type="dxa"/>
            <w:right w:w="108" w:type="dxa"/>
          </w:tblCellMar>
        </w:tblPrEx>
        <w:trPr>
          <w:trHeight w:val="290" w:hRule="atLeast"/>
        </w:trPr>
        <w:tc>
          <w:tcPr>
            <w:tcW w:w="3970" w:type="dxa"/>
            <w:gridSpan w:val="4"/>
            <w:tcBorders>
              <w:top w:val="single" w:color="000000" w:sz="4" w:space="0"/>
              <w:left w:val="single" w:color="000000" w:sz="4" w:space="0"/>
              <w:bottom w:val="single" w:color="000000" w:sz="4" w:space="0"/>
              <w:right w:val="single" w:color="000000" w:sz="4" w:space="0"/>
            </w:tcBorders>
            <w:vAlign w:val="center"/>
          </w:tcPr>
          <w:p w14:paraId="7BA58B5B">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标准及方法学</w:t>
            </w:r>
          </w:p>
        </w:tc>
        <w:tc>
          <w:tcPr>
            <w:tcW w:w="5528" w:type="dxa"/>
            <w:gridSpan w:val="7"/>
            <w:tcBorders>
              <w:top w:val="single" w:color="000000" w:sz="4" w:space="0"/>
              <w:left w:val="nil"/>
              <w:bottom w:val="single" w:color="000000" w:sz="4" w:space="0"/>
              <w:right w:val="single" w:color="000000" w:sz="4" w:space="0"/>
            </w:tcBorders>
            <w:vAlign w:val="center"/>
          </w:tcPr>
          <w:p w14:paraId="60FB96C2">
            <w:pPr>
              <w:spacing w:after="0" w:line="360" w:lineRule="auto"/>
              <w:rPr>
                <w:rFonts w:ascii="仿宋_GB2312" w:hAnsi="仿宋" w:eastAsia="仿宋_GB2312" w:cs="宋体"/>
                <w:bCs/>
                <w:sz w:val="24"/>
                <w:szCs w:val="24"/>
              </w:rPr>
            </w:pPr>
          </w:p>
        </w:tc>
      </w:tr>
      <w:tr w14:paraId="1752C5A3">
        <w:tblPrEx>
          <w:tblCellMar>
            <w:top w:w="0" w:type="dxa"/>
            <w:left w:w="108" w:type="dxa"/>
            <w:bottom w:w="0" w:type="dxa"/>
            <w:right w:w="108" w:type="dxa"/>
          </w:tblCellMar>
        </w:tblPrEx>
        <w:tc>
          <w:tcPr>
            <w:tcW w:w="9498" w:type="dxa"/>
            <w:gridSpan w:val="11"/>
            <w:tcBorders>
              <w:top w:val="single" w:color="000000" w:sz="4" w:space="0"/>
              <w:left w:val="single" w:color="000000" w:sz="4" w:space="0"/>
              <w:bottom w:val="single" w:color="000000" w:sz="4" w:space="0"/>
              <w:right w:val="single" w:color="000000" w:sz="4" w:space="0"/>
            </w:tcBorders>
            <w:vAlign w:val="center"/>
          </w:tcPr>
          <w:p w14:paraId="7AB44103">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核查结论</w:t>
            </w:r>
          </w:p>
          <w:p w14:paraId="6E581A06">
            <w:pPr>
              <w:pStyle w:val="58"/>
              <w:spacing w:line="360" w:lineRule="auto"/>
              <w:ind w:firstLine="326"/>
              <w:rPr>
                <w:rFonts w:ascii="仿宋_GB2312" w:hAnsi="仿宋" w:eastAsia="仿宋_GB2312" w:cs="宋体"/>
                <w:color w:val="000000"/>
                <w:spacing w:val="-8"/>
                <w:sz w:val="24"/>
                <w:szCs w:val="24"/>
              </w:rPr>
            </w:pPr>
            <w:r>
              <w:rPr>
                <w:rFonts w:hint="eastAsia" w:ascii="仿宋_GB2312" w:hAnsi="仿宋" w:eastAsia="仿宋_GB2312"/>
                <w:sz w:val="24"/>
                <w:szCs w:val="24"/>
              </w:rPr>
              <w:t>详见附件</w:t>
            </w:r>
            <w:r>
              <w:rPr>
                <w:rFonts w:ascii="仿宋_GB2312" w:hAnsi="仿宋" w:eastAsia="仿宋_GB2312"/>
                <w:sz w:val="24"/>
                <w:szCs w:val="24"/>
              </w:rPr>
              <w:t>的核查结论模板</w:t>
            </w:r>
          </w:p>
        </w:tc>
      </w:tr>
      <w:tr w14:paraId="6BB95A92">
        <w:tblPrEx>
          <w:tblCellMar>
            <w:top w:w="0" w:type="dxa"/>
            <w:left w:w="108" w:type="dxa"/>
            <w:bottom w:w="0" w:type="dxa"/>
            <w:right w:w="108" w:type="dxa"/>
          </w:tblCellMar>
        </w:tblPrEx>
        <w:trPr>
          <w:trHeight w:val="359" w:hRule="atLeast"/>
        </w:trPr>
        <w:tc>
          <w:tcPr>
            <w:tcW w:w="1844" w:type="dxa"/>
            <w:tcBorders>
              <w:top w:val="single" w:color="000000" w:sz="4" w:space="0"/>
              <w:left w:val="single" w:color="000000" w:sz="4" w:space="0"/>
              <w:bottom w:val="single" w:color="000000" w:sz="4" w:space="0"/>
              <w:right w:val="single" w:color="000000" w:sz="4" w:space="0"/>
            </w:tcBorders>
            <w:vAlign w:val="center"/>
          </w:tcPr>
          <w:p w14:paraId="5AC9C434">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核查组组长</w:t>
            </w:r>
          </w:p>
        </w:tc>
        <w:tc>
          <w:tcPr>
            <w:tcW w:w="2048" w:type="dxa"/>
            <w:gridSpan w:val="2"/>
            <w:tcBorders>
              <w:top w:val="single" w:color="000000" w:sz="4" w:space="0"/>
              <w:left w:val="nil"/>
              <w:bottom w:val="single" w:color="000000" w:sz="4" w:space="0"/>
              <w:right w:val="single" w:color="000000" w:sz="4" w:space="0"/>
            </w:tcBorders>
            <w:vAlign w:val="center"/>
          </w:tcPr>
          <w:p w14:paraId="1601E03C">
            <w:pPr>
              <w:spacing w:after="0" w:line="360" w:lineRule="auto"/>
              <w:rPr>
                <w:rFonts w:ascii="仿宋_GB2312" w:hAnsi="仿宋" w:eastAsia="仿宋_GB2312" w:cs="宋体"/>
                <w:sz w:val="24"/>
                <w:szCs w:val="24"/>
              </w:rPr>
            </w:pPr>
          </w:p>
        </w:tc>
        <w:tc>
          <w:tcPr>
            <w:tcW w:w="928" w:type="dxa"/>
            <w:gridSpan w:val="2"/>
            <w:tcBorders>
              <w:top w:val="single" w:color="000000" w:sz="4" w:space="0"/>
              <w:left w:val="nil"/>
              <w:bottom w:val="single" w:color="000000" w:sz="4" w:space="0"/>
              <w:right w:val="single" w:color="000000" w:sz="4" w:space="0"/>
            </w:tcBorders>
            <w:vAlign w:val="center"/>
          </w:tcPr>
          <w:p w14:paraId="47F7901F">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签名</w:t>
            </w:r>
          </w:p>
        </w:tc>
        <w:tc>
          <w:tcPr>
            <w:tcW w:w="2127" w:type="dxa"/>
            <w:gridSpan w:val="2"/>
            <w:tcBorders>
              <w:top w:val="single" w:color="000000" w:sz="4" w:space="0"/>
              <w:left w:val="nil"/>
              <w:bottom w:val="single" w:color="000000" w:sz="4" w:space="0"/>
              <w:right w:val="single" w:color="000000" w:sz="4" w:space="0"/>
            </w:tcBorders>
            <w:vAlign w:val="center"/>
          </w:tcPr>
          <w:p w14:paraId="04543477">
            <w:pPr>
              <w:spacing w:after="0" w:line="360" w:lineRule="auto"/>
              <w:rPr>
                <w:rFonts w:ascii="仿宋_GB2312" w:hAnsi="仿宋" w:eastAsia="仿宋_GB2312" w:cs="宋体"/>
                <w:sz w:val="24"/>
                <w:szCs w:val="24"/>
              </w:rPr>
            </w:pPr>
          </w:p>
        </w:tc>
        <w:tc>
          <w:tcPr>
            <w:tcW w:w="992" w:type="dxa"/>
            <w:gridSpan w:val="3"/>
            <w:tcBorders>
              <w:top w:val="single" w:color="000000" w:sz="4" w:space="0"/>
              <w:left w:val="nil"/>
              <w:bottom w:val="single" w:color="000000" w:sz="4" w:space="0"/>
              <w:right w:val="single" w:color="000000" w:sz="4" w:space="0"/>
            </w:tcBorders>
            <w:vAlign w:val="center"/>
          </w:tcPr>
          <w:p w14:paraId="37883403">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日期</w:t>
            </w:r>
          </w:p>
        </w:tc>
        <w:tc>
          <w:tcPr>
            <w:tcW w:w="1559" w:type="dxa"/>
            <w:tcBorders>
              <w:top w:val="single" w:color="000000" w:sz="4" w:space="0"/>
              <w:left w:val="nil"/>
              <w:bottom w:val="single" w:color="000000" w:sz="4" w:space="0"/>
              <w:right w:val="single" w:color="000000" w:sz="4" w:space="0"/>
            </w:tcBorders>
          </w:tcPr>
          <w:p w14:paraId="220A1014">
            <w:pPr>
              <w:spacing w:after="0" w:line="360" w:lineRule="auto"/>
              <w:rPr>
                <w:rFonts w:ascii="仿宋_GB2312" w:hAnsi="仿宋" w:eastAsia="仿宋_GB2312" w:cs="宋体"/>
                <w:b/>
                <w:sz w:val="24"/>
                <w:szCs w:val="24"/>
              </w:rPr>
            </w:pPr>
          </w:p>
        </w:tc>
      </w:tr>
      <w:tr w14:paraId="4CA6634A">
        <w:tblPrEx>
          <w:tblCellMar>
            <w:top w:w="0" w:type="dxa"/>
            <w:left w:w="108" w:type="dxa"/>
            <w:bottom w:w="0" w:type="dxa"/>
            <w:right w:w="108" w:type="dxa"/>
          </w:tblCellMar>
        </w:tblPrEx>
        <w:trPr>
          <w:trHeight w:val="257" w:hRule="atLeast"/>
        </w:trPr>
        <w:tc>
          <w:tcPr>
            <w:tcW w:w="1844" w:type="dxa"/>
            <w:tcBorders>
              <w:top w:val="single" w:color="000000" w:sz="4" w:space="0"/>
              <w:left w:val="single" w:color="000000" w:sz="4" w:space="0"/>
              <w:bottom w:val="single" w:color="auto" w:sz="4" w:space="0"/>
              <w:right w:val="single" w:color="000000" w:sz="4" w:space="0"/>
            </w:tcBorders>
            <w:vAlign w:val="center"/>
          </w:tcPr>
          <w:p w14:paraId="0A4538A3">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核查组成员</w:t>
            </w:r>
          </w:p>
        </w:tc>
        <w:tc>
          <w:tcPr>
            <w:tcW w:w="7654" w:type="dxa"/>
            <w:gridSpan w:val="10"/>
            <w:tcBorders>
              <w:top w:val="single" w:color="000000" w:sz="4" w:space="0"/>
              <w:left w:val="nil"/>
              <w:bottom w:val="single" w:color="auto" w:sz="4" w:space="0"/>
              <w:right w:val="single" w:color="000000" w:sz="4" w:space="0"/>
            </w:tcBorders>
            <w:vAlign w:val="center"/>
          </w:tcPr>
          <w:p w14:paraId="7EC831B1">
            <w:pPr>
              <w:spacing w:after="0" w:line="360" w:lineRule="auto"/>
              <w:rPr>
                <w:rFonts w:ascii="仿宋_GB2312" w:hAnsi="仿宋" w:eastAsia="仿宋_GB2312" w:cs="宋体"/>
                <w:sz w:val="24"/>
                <w:szCs w:val="24"/>
              </w:rPr>
            </w:pPr>
          </w:p>
        </w:tc>
      </w:tr>
      <w:tr w14:paraId="39B61E16">
        <w:tblPrEx>
          <w:tblCellMar>
            <w:top w:w="0" w:type="dxa"/>
            <w:left w:w="108" w:type="dxa"/>
            <w:bottom w:w="0" w:type="dxa"/>
            <w:right w:w="108" w:type="dxa"/>
          </w:tblCellMar>
        </w:tblPrEx>
        <w:trPr>
          <w:trHeight w:val="363" w:hRule="atLeast"/>
        </w:trPr>
        <w:tc>
          <w:tcPr>
            <w:tcW w:w="1844" w:type="dxa"/>
            <w:tcBorders>
              <w:top w:val="single" w:color="auto" w:sz="4" w:space="0"/>
              <w:left w:val="single" w:color="auto" w:sz="4" w:space="0"/>
              <w:bottom w:val="single" w:color="auto" w:sz="4" w:space="0"/>
              <w:right w:val="single" w:color="auto" w:sz="4" w:space="0"/>
            </w:tcBorders>
            <w:vAlign w:val="center"/>
          </w:tcPr>
          <w:p w14:paraId="7506251B">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技术复核人</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7C354231">
            <w:pPr>
              <w:spacing w:after="0" w:line="360" w:lineRule="auto"/>
              <w:rPr>
                <w:rFonts w:ascii="仿宋_GB2312" w:hAnsi="仿宋" w:eastAsia="仿宋_GB2312" w:cs="宋体"/>
                <w:bCs/>
                <w:sz w:val="24"/>
                <w:szCs w:val="24"/>
              </w:rPr>
            </w:pPr>
          </w:p>
        </w:tc>
        <w:tc>
          <w:tcPr>
            <w:tcW w:w="943" w:type="dxa"/>
            <w:gridSpan w:val="3"/>
            <w:tcBorders>
              <w:top w:val="single" w:color="auto" w:sz="4" w:space="0"/>
              <w:left w:val="single" w:color="auto" w:sz="4" w:space="0"/>
              <w:bottom w:val="single" w:color="auto" w:sz="4" w:space="0"/>
              <w:right w:val="single" w:color="auto" w:sz="4" w:space="0"/>
            </w:tcBorders>
            <w:vAlign w:val="center"/>
          </w:tcPr>
          <w:p w14:paraId="40CBB60E">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签名</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6D6F221F">
            <w:pPr>
              <w:spacing w:after="0" w:line="360" w:lineRule="auto"/>
              <w:rPr>
                <w:rFonts w:ascii="仿宋_GB2312" w:hAnsi="仿宋" w:eastAsia="仿宋_GB2312" w:cs="宋体"/>
                <w:sz w:val="24"/>
                <w:szCs w:val="24"/>
              </w:rPr>
            </w:pPr>
          </w:p>
        </w:tc>
        <w:tc>
          <w:tcPr>
            <w:tcW w:w="945" w:type="dxa"/>
            <w:gridSpan w:val="2"/>
            <w:tcBorders>
              <w:top w:val="single" w:color="auto" w:sz="4" w:space="0"/>
              <w:left w:val="single" w:color="auto" w:sz="4" w:space="0"/>
              <w:bottom w:val="single" w:color="auto" w:sz="4" w:space="0"/>
              <w:right w:val="single" w:color="auto" w:sz="4" w:space="0"/>
            </w:tcBorders>
            <w:vAlign w:val="center"/>
          </w:tcPr>
          <w:p w14:paraId="3AE436A9">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日期</w:t>
            </w:r>
          </w:p>
        </w:tc>
        <w:tc>
          <w:tcPr>
            <w:tcW w:w="1559" w:type="dxa"/>
            <w:tcBorders>
              <w:top w:val="single" w:color="auto" w:sz="4" w:space="0"/>
              <w:left w:val="single" w:color="auto" w:sz="4" w:space="0"/>
              <w:bottom w:val="single" w:color="auto" w:sz="4" w:space="0"/>
              <w:right w:val="single" w:color="auto" w:sz="4" w:space="0"/>
            </w:tcBorders>
          </w:tcPr>
          <w:p w14:paraId="0A84D499">
            <w:pPr>
              <w:spacing w:after="0" w:line="360" w:lineRule="auto"/>
              <w:rPr>
                <w:rFonts w:ascii="仿宋_GB2312" w:hAnsi="仿宋" w:eastAsia="仿宋_GB2312" w:cs="宋体"/>
                <w:b/>
                <w:sz w:val="24"/>
                <w:szCs w:val="24"/>
              </w:rPr>
            </w:pPr>
          </w:p>
        </w:tc>
      </w:tr>
      <w:tr w14:paraId="1A3B83F7">
        <w:tblPrEx>
          <w:tblCellMar>
            <w:top w:w="0" w:type="dxa"/>
            <w:left w:w="108" w:type="dxa"/>
            <w:bottom w:w="0" w:type="dxa"/>
            <w:right w:w="108" w:type="dxa"/>
          </w:tblCellMar>
        </w:tblPrEx>
        <w:trPr>
          <w:trHeight w:val="411" w:hRule="atLeast"/>
        </w:trPr>
        <w:tc>
          <w:tcPr>
            <w:tcW w:w="1844" w:type="dxa"/>
            <w:tcBorders>
              <w:top w:val="single" w:color="auto" w:sz="4" w:space="0"/>
              <w:left w:val="single" w:color="auto" w:sz="4" w:space="0"/>
              <w:bottom w:val="single" w:color="auto" w:sz="4" w:space="0"/>
              <w:right w:val="single" w:color="auto" w:sz="4" w:space="0"/>
            </w:tcBorders>
            <w:vAlign w:val="center"/>
          </w:tcPr>
          <w:p w14:paraId="466516DD">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批准人</w:t>
            </w:r>
          </w:p>
        </w:tc>
        <w:tc>
          <w:tcPr>
            <w:tcW w:w="2048" w:type="dxa"/>
            <w:gridSpan w:val="2"/>
            <w:tcBorders>
              <w:top w:val="single" w:color="auto" w:sz="4" w:space="0"/>
              <w:left w:val="single" w:color="auto" w:sz="4" w:space="0"/>
              <w:bottom w:val="single" w:color="auto" w:sz="4" w:space="0"/>
              <w:right w:val="single" w:color="auto" w:sz="4" w:space="0"/>
            </w:tcBorders>
            <w:vAlign w:val="center"/>
          </w:tcPr>
          <w:p w14:paraId="7CFB2354">
            <w:pPr>
              <w:spacing w:after="0" w:line="360" w:lineRule="auto"/>
              <w:rPr>
                <w:rFonts w:ascii="仿宋_GB2312" w:hAnsi="仿宋" w:eastAsia="仿宋_GB2312" w:cs="宋体"/>
                <w:bCs/>
                <w:sz w:val="24"/>
                <w:szCs w:val="24"/>
              </w:rPr>
            </w:pPr>
          </w:p>
        </w:tc>
        <w:tc>
          <w:tcPr>
            <w:tcW w:w="943" w:type="dxa"/>
            <w:gridSpan w:val="3"/>
            <w:tcBorders>
              <w:top w:val="single" w:color="auto" w:sz="4" w:space="0"/>
              <w:left w:val="single" w:color="auto" w:sz="4" w:space="0"/>
              <w:bottom w:val="single" w:color="auto" w:sz="4" w:space="0"/>
              <w:right w:val="single" w:color="auto" w:sz="4" w:space="0"/>
            </w:tcBorders>
            <w:vAlign w:val="center"/>
          </w:tcPr>
          <w:p w14:paraId="05AA61FF">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签名</w:t>
            </w:r>
          </w:p>
        </w:tc>
        <w:tc>
          <w:tcPr>
            <w:tcW w:w="2159" w:type="dxa"/>
            <w:gridSpan w:val="2"/>
            <w:tcBorders>
              <w:top w:val="single" w:color="auto" w:sz="4" w:space="0"/>
              <w:left w:val="single" w:color="auto" w:sz="4" w:space="0"/>
              <w:bottom w:val="single" w:color="auto" w:sz="4" w:space="0"/>
              <w:right w:val="single" w:color="auto" w:sz="4" w:space="0"/>
            </w:tcBorders>
            <w:vAlign w:val="center"/>
          </w:tcPr>
          <w:p w14:paraId="656F0DC5">
            <w:pPr>
              <w:spacing w:after="0" w:line="360" w:lineRule="auto"/>
              <w:rPr>
                <w:rFonts w:ascii="仿宋_GB2312" w:hAnsi="仿宋" w:eastAsia="仿宋_GB2312" w:cs="宋体"/>
                <w:sz w:val="24"/>
                <w:szCs w:val="24"/>
              </w:rPr>
            </w:pPr>
          </w:p>
        </w:tc>
        <w:tc>
          <w:tcPr>
            <w:tcW w:w="945" w:type="dxa"/>
            <w:gridSpan w:val="2"/>
            <w:tcBorders>
              <w:top w:val="single" w:color="auto" w:sz="4" w:space="0"/>
              <w:left w:val="single" w:color="auto" w:sz="4" w:space="0"/>
              <w:bottom w:val="single" w:color="auto" w:sz="4" w:space="0"/>
              <w:right w:val="single" w:color="auto" w:sz="4" w:space="0"/>
            </w:tcBorders>
            <w:vAlign w:val="center"/>
          </w:tcPr>
          <w:p w14:paraId="367D87D5">
            <w:pPr>
              <w:spacing w:after="0" w:line="360" w:lineRule="auto"/>
              <w:rPr>
                <w:rFonts w:ascii="仿宋_GB2312" w:hAnsi="仿宋" w:eastAsia="仿宋_GB2312" w:cs="宋体"/>
                <w:sz w:val="24"/>
                <w:szCs w:val="24"/>
              </w:rPr>
            </w:pPr>
            <w:r>
              <w:rPr>
                <w:rFonts w:hint="eastAsia" w:ascii="仿宋_GB2312" w:hAnsi="仿宋" w:eastAsia="仿宋_GB2312" w:cs="宋体"/>
                <w:sz w:val="24"/>
                <w:szCs w:val="24"/>
              </w:rPr>
              <w:t>日期</w:t>
            </w:r>
          </w:p>
        </w:tc>
        <w:tc>
          <w:tcPr>
            <w:tcW w:w="1559" w:type="dxa"/>
            <w:tcBorders>
              <w:top w:val="single" w:color="auto" w:sz="4" w:space="0"/>
              <w:left w:val="single" w:color="auto" w:sz="4" w:space="0"/>
              <w:bottom w:val="single" w:color="auto" w:sz="4" w:space="0"/>
              <w:right w:val="single" w:color="auto" w:sz="4" w:space="0"/>
            </w:tcBorders>
          </w:tcPr>
          <w:p w14:paraId="3030F0C8">
            <w:pPr>
              <w:spacing w:after="0" w:line="360" w:lineRule="auto"/>
              <w:rPr>
                <w:rFonts w:ascii="仿宋_GB2312" w:hAnsi="仿宋" w:eastAsia="仿宋_GB2312" w:cs="宋体"/>
                <w:b/>
                <w:sz w:val="24"/>
                <w:szCs w:val="24"/>
              </w:rPr>
            </w:pPr>
          </w:p>
        </w:tc>
      </w:tr>
    </w:tbl>
    <w:p w14:paraId="3B6E5562">
      <w:pPr>
        <w:spacing w:after="0" w:line="560" w:lineRule="exact"/>
        <w:rPr>
          <w:rFonts w:ascii="仿宋_GB2312" w:hAnsi="仿宋" w:eastAsia="仿宋_GB2312" w:cs="宋体"/>
          <w:sz w:val="32"/>
          <w:szCs w:val="32"/>
        </w:rPr>
      </w:pPr>
    </w:p>
    <w:p w14:paraId="37E88F48">
      <w:pPr>
        <w:spacing w:after="0" w:line="560" w:lineRule="exact"/>
        <w:rPr>
          <w:rFonts w:ascii="仿宋_GB2312" w:hAnsi="仿宋" w:eastAsia="仿宋_GB2312" w:cs="宋体"/>
          <w:b/>
          <w:bCs/>
          <w:sz w:val="32"/>
          <w:szCs w:val="32"/>
        </w:rPr>
      </w:pPr>
      <w:r>
        <w:rPr>
          <w:rFonts w:hint="eastAsia" w:ascii="仿宋_GB2312" w:hAnsi="仿宋" w:eastAsia="仿宋_GB2312" w:cs="宋体"/>
          <w:sz w:val="32"/>
          <w:szCs w:val="32"/>
        </w:rPr>
        <w:br w:type="page"/>
      </w:r>
      <w:r>
        <w:rPr>
          <w:rFonts w:hint="eastAsia" w:ascii="仿宋_GB2312" w:hAnsi="仿宋" w:eastAsia="仿宋_GB2312" w:cs="宋体"/>
          <w:b/>
          <w:bCs/>
          <w:sz w:val="32"/>
          <w:szCs w:val="32"/>
        </w:rPr>
        <w:t>第三部分  目录</w:t>
      </w:r>
    </w:p>
    <w:p w14:paraId="4063D112">
      <w:pPr>
        <w:spacing w:after="0" w:line="560" w:lineRule="exact"/>
        <w:rPr>
          <w:rFonts w:ascii="仿宋_GB2312" w:hAnsi="仿宋" w:eastAsia="仿宋_GB2312" w:cs="宋体"/>
          <w:b/>
          <w:bCs/>
          <w:sz w:val="32"/>
          <w:szCs w:val="32"/>
        </w:rPr>
      </w:pPr>
      <w:r>
        <w:rPr>
          <w:rFonts w:hint="eastAsia" w:ascii="仿宋_GB2312" w:hAnsi="仿宋" w:eastAsia="仿宋_GB2312" w:cs="宋体"/>
          <w:b/>
          <w:bCs/>
          <w:sz w:val="32"/>
          <w:szCs w:val="32"/>
        </w:rPr>
        <w:t>第四部分  核查报告正文（至少包括以下内容）</w:t>
      </w:r>
    </w:p>
    <w:p w14:paraId="039FE603">
      <w:pPr>
        <w:spacing w:after="0" w:line="560" w:lineRule="exact"/>
        <w:ind w:right="850"/>
        <w:outlineLvl w:val="0"/>
        <w:rPr>
          <w:rFonts w:ascii="仿宋_GB2312" w:hAnsi="仿宋" w:eastAsia="仿宋_GB2312" w:cs="Arial"/>
          <w:b/>
          <w:sz w:val="32"/>
          <w:szCs w:val="32"/>
        </w:rPr>
      </w:pPr>
      <w:r>
        <w:rPr>
          <w:rFonts w:hint="eastAsia" w:ascii="仿宋_GB2312" w:hAnsi="仿宋" w:eastAsia="仿宋_GB2312" w:cs="Arial"/>
          <w:b/>
          <w:caps/>
          <w:sz w:val="32"/>
          <w:szCs w:val="32"/>
        </w:rPr>
        <w:t>1. 概述</w:t>
      </w:r>
    </w:p>
    <w:p w14:paraId="49A5A207">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1.1. 核查目的</w:t>
      </w:r>
    </w:p>
    <w:p w14:paraId="537DF6C9">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1.2. 核查范围</w:t>
      </w:r>
    </w:p>
    <w:p w14:paraId="4DC256EA">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1.3. 核查准则</w:t>
      </w:r>
    </w:p>
    <w:p w14:paraId="017F66F1">
      <w:pPr>
        <w:spacing w:after="0" w:line="560" w:lineRule="exact"/>
        <w:ind w:right="850"/>
        <w:outlineLvl w:val="0"/>
        <w:rPr>
          <w:rFonts w:ascii="仿宋_GB2312" w:hAnsi="仿宋" w:eastAsia="仿宋_GB2312" w:cs="Arial"/>
          <w:b/>
          <w:caps/>
          <w:sz w:val="32"/>
          <w:szCs w:val="32"/>
        </w:rPr>
      </w:pPr>
      <w:r>
        <w:rPr>
          <w:rFonts w:hint="eastAsia" w:ascii="仿宋_GB2312" w:hAnsi="仿宋" w:eastAsia="仿宋_GB2312" w:cs="Arial"/>
          <w:b/>
          <w:caps/>
          <w:sz w:val="32"/>
          <w:szCs w:val="32"/>
        </w:rPr>
        <w:t>2. 核查过程和方法</w:t>
      </w:r>
    </w:p>
    <w:p w14:paraId="796BEC02">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2.1. 核查组安排</w:t>
      </w:r>
    </w:p>
    <w:p w14:paraId="1897DF9C">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2.2. 文件评审</w:t>
      </w:r>
    </w:p>
    <w:p w14:paraId="7C402B56">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2.3. 现场访问</w:t>
      </w:r>
    </w:p>
    <w:p w14:paraId="6571D041">
      <w:pPr>
        <w:spacing w:after="0" w:line="560" w:lineRule="exact"/>
        <w:ind w:right="851"/>
        <w:rPr>
          <w:rFonts w:ascii="仿宋_GB2312" w:hAnsi="仿宋" w:eastAsia="仿宋_GB2312" w:cs="Arial"/>
          <w:sz w:val="32"/>
          <w:szCs w:val="32"/>
        </w:rPr>
      </w:pPr>
      <w:r>
        <w:rPr>
          <w:rFonts w:hint="eastAsia" w:ascii="仿宋_GB2312" w:hAnsi="仿宋" w:eastAsia="仿宋_GB2312" w:cs="Arial"/>
          <w:sz w:val="32"/>
          <w:szCs w:val="32"/>
        </w:rPr>
        <w:t>2.4. 核查报告编写及内部技术复核</w:t>
      </w:r>
    </w:p>
    <w:p w14:paraId="356A0D6E">
      <w:pPr>
        <w:spacing w:after="0" w:line="560" w:lineRule="exact"/>
        <w:ind w:left="851" w:right="851" w:hanging="851"/>
        <w:rPr>
          <w:rFonts w:ascii="仿宋_GB2312" w:hAnsi="仿宋" w:eastAsia="仿宋_GB2312" w:cs="Arial"/>
          <w:b/>
          <w:sz w:val="32"/>
          <w:szCs w:val="32"/>
        </w:rPr>
      </w:pPr>
      <w:r>
        <w:rPr>
          <w:rFonts w:hint="eastAsia" w:ascii="仿宋_GB2312" w:hAnsi="仿宋" w:eastAsia="仿宋_GB2312" w:cs="Arial"/>
          <w:b/>
          <w:sz w:val="32"/>
          <w:szCs w:val="32"/>
        </w:rPr>
        <w:t>3 .核查发现</w:t>
      </w:r>
    </w:p>
    <w:p w14:paraId="7CFBD6D7">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3.1  重点碳排放单位的基本信息的核查</w:t>
      </w:r>
    </w:p>
    <w:p w14:paraId="57901A04">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3.2  重点碳排放单位的设施边界及排放源识别的核查</w:t>
      </w:r>
    </w:p>
    <w:p w14:paraId="71049EB1">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3.3  核算方法、数据与《企业(单位)二氧化碳核算与报告指南》的符合性的核查</w:t>
      </w:r>
    </w:p>
    <w:p w14:paraId="36929FEA">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3.4  测量设备校准的符合性的核查</w:t>
      </w:r>
    </w:p>
    <w:p w14:paraId="3C27EE1D">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3.5  二氧化碳排放量计算过程及结果的核查</w:t>
      </w:r>
    </w:p>
    <w:p w14:paraId="765F015B">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3.6</w:t>
      </w:r>
      <w:r>
        <w:rPr>
          <w:rFonts w:hint="eastAsia" w:ascii="仿宋_GB2312" w:hAnsi="仿宋" w:eastAsia="仿宋_GB2312" w:cs="宋体"/>
          <w:sz w:val="32"/>
          <w:szCs w:val="32"/>
        </w:rPr>
        <w:tab/>
      </w:r>
      <w:r>
        <w:rPr>
          <w:rFonts w:hint="eastAsia" w:ascii="仿宋_GB2312" w:hAnsi="仿宋" w:eastAsia="仿宋_GB2312" w:cs="宋体"/>
          <w:sz w:val="32"/>
          <w:szCs w:val="32"/>
        </w:rPr>
        <w:t>新增排放设施及既有设施退出的核查</w:t>
      </w:r>
    </w:p>
    <w:p w14:paraId="0B8B7A85">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3.7</w:t>
      </w:r>
      <w:r>
        <w:rPr>
          <w:rFonts w:hint="eastAsia" w:ascii="仿宋_GB2312" w:hAnsi="仿宋" w:eastAsia="仿宋_GB2312" w:cs="宋体"/>
          <w:sz w:val="32"/>
          <w:szCs w:val="32"/>
        </w:rPr>
        <w:tab/>
      </w:r>
      <w:r>
        <w:rPr>
          <w:rFonts w:hint="eastAsia" w:ascii="仿宋_GB2312" w:hAnsi="仿宋" w:eastAsia="仿宋_GB2312" w:cs="宋体"/>
          <w:sz w:val="32"/>
          <w:szCs w:val="32"/>
        </w:rPr>
        <w:t>未来二氧化碳控制措施的核查</w:t>
      </w:r>
    </w:p>
    <w:p w14:paraId="2AE6F603">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3.8 对监测计划的核查</w:t>
      </w:r>
    </w:p>
    <w:p w14:paraId="59A7FA8D">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3.9</w:t>
      </w:r>
      <w:r>
        <w:rPr>
          <w:rFonts w:hint="eastAsia" w:ascii="仿宋_GB2312" w:hAnsi="仿宋" w:eastAsia="仿宋_GB2312" w:cs="宋体"/>
          <w:sz w:val="32"/>
          <w:szCs w:val="32"/>
        </w:rPr>
        <w:tab/>
      </w:r>
      <w:r>
        <w:rPr>
          <w:rFonts w:hint="eastAsia" w:ascii="仿宋_GB2312" w:hAnsi="仿宋" w:eastAsia="仿宋_GB2312" w:cs="宋体"/>
          <w:sz w:val="32"/>
          <w:szCs w:val="32"/>
        </w:rPr>
        <w:t>京内移动设施和京外能源消费总量的核查</w:t>
      </w:r>
    </w:p>
    <w:p w14:paraId="46FEE332">
      <w:pPr>
        <w:spacing w:after="0" w:line="560" w:lineRule="exact"/>
        <w:ind w:right="850"/>
        <w:rPr>
          <w:rFonts w:ascii="仿宋_GB2312" w:hAnsi="仿宋" w:eastAsia="仿宋_GB2312" w:cs="Arial"/>
          <w:caps/>
          <w:sz w:val="32"/>
          <w:szCs w:val="32"/>
        </w:rPr>
      </w:pPr>
      <w:r>
        <w:rPr>
          <w:rFonts w:hint="eastAsia" w:ascii="仿宋_GB2312" w:hAnsi="仿宋" w:eastAsia="仿宋_GB2312" w:cs="Arial"/>
          <w:caps/>
          <w:sz w:val="32"/>
          <w:szCs w:val="32"/>
        </w:rPr>
        <w:t>3.10对数据质量管理的核查</w:t>
      </w:r>
    </w:p>
    <w:p w14:paraId="7792F6F1">
      <w:pPr>
        <w:spacing w:after="0" w:line="560" w:lineRule="exact"/>
        <w:ind w:right="850"/>
        <w:outlineLvl w:val="0"/>
        <w:rPr>
          <w:rFonts w:ascii="仿宋_GB2312" w:hAnsi="仿宋" w:eastAsia="仿宋_GB2312" w:cs="Arial"/>
          <w:b/>
          <w:caps/>
          <w:sz w:val="32"/>
          <w:szCs w:val="32"/>
        </w:rPr>
      </w:pPr>
      <w:r>
        <w:rPr>
          <w:rFonts w:hint="eastAsia" w:ascii="仿宋_GB2312" w:hAnsi="仿宋" w:eastAsia="仿宋_GB2312" w:cs="Arial"/>
          <w:b/>
          <w:caps/>
          <w:sz w:val="32"/>
          <w:szCs w:val="32"/>
        </w:rPr>
        <w:t>4. 核查结论</w:t>
      </w:r>
    </w:p>
    <w:p w14:paraId="7A993D4F">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4.1</w:t>
      </w:r>
      <w:r>
        <w:rPr>
          <w:rFonts w:hint="eastAsia" w:ascii="仿宋_GB2312" w:hAnsi="仿宋" w:eastAsia="仿宋_GB2312" w:cs="宋体"/>
          <w:sz w:val="32"/>
          <w:szCs w:val="32"/>
        </w:rPr>
        <w:tab/>
      </w:r>
      <w:r>
        <w:rPr>
          <w:rFonts w:hint="eastAsia" w:ascii="仿宋_GB2312" w:hAnsi="仿宋" w:eastAsia="仿宋_GB2312" w:cs="宋体"/>
          <w:sz w:val="32"/>
          <w:szCs w:val="32"/>
        </w:rPr>
        <w:t>核算、报告与方法学的符合性</w:t>
      </w:r>
    </w:p>
    <w:p w14:paraId="52800E9E">
      <w:pPr>
        <w:spacing w:after="0" w:line="560" w:lineRule="exact"/>
        <w:ind w:left="640" w:hanging="640" w:hangingChars="200"/>
        <w:rPr>
          <w:rFonts w:ascii="仿宋_GB2312" w:hAnsi="仿宋" w:eastAsia="仿宋_GB2312" w:cs="宋体"/>
          <w:sz w:val="32"/>
          <w:szCs w:val="32"/>
        </w:rPr>
      </w:pPr>
      <w:r>
        <w:rPr>
          <w:rFonts w:hint="eastAsia" w:ascii="仿宋_GB2312" w:hAnsi="仿宋" w:eastAsia="仿宋_GB2312" w:cs="宋体"/>
          <w:sz w:val="32"/>
          <w:szCs w:val="32"/>
        </w:rPr>
        <w:t>4.2</w:t>
      </w:r>
      <w:r>
        <w:rPr>
          <w:rFonts w:hint="eastAsia" w:ascii="仿宋_GB2312" w:hAnsi="仿宋" w:eastAsia="仿宋_GB2312" w:cs="宋体"/>
          <w:sz w:val="32"/>
          <w:szCs w:val="32"/>
        </w:rPr>
        <w:tab/>
      </w:r>
      <w:r>
        <w:rPr>
          <w:rFonts w:hint="eastAsia" w:ascii="仿宋_GB2312" w:hAnsi="仿宋" w:eastAsia="仿宋_GB2312" w:cs="宋体"/>
          <w:sz w:val="32"/>
          <w:szCs w:val="32"/>
        </w:rPr>
        <w:t>本年度排放量及活动水平</w:t>
      </w:r>
      <w:r>
        <w:rPr>
          <w:rFonts w:ascii="仿宋_GB2312" w:hAnsi="仿宋" w:eastAsia="仿宋_GB2312" w:cs="宋体"/>
          <w:sz w:val="32"/>
          <w:szCs w:val="32"/>
        </w:rPr>
        <w:t>数据</w:t>
      </w:r>
      <w:r>
        <w:rPr>
          <w:rFonts w:hint="eastAsia" w:ascii="仿宋_GB2312" w:hAnsi="仿宋" w:eastAsia="仿宋_GB2312" w:cs="宋体"/>
          <w:sz w:val="32"/>
          <w:szCs w:val="32"/>
        </w:rPr>
        <w:t>的声明</w:t>
      </w:r>
    </w:p>
    <w:p w14:paraId="421B75D7">
      <w:pPr>
        <w:spacing w:after="0" w:line="560" w:lineRule="exact"/>
        <w:ind w:left="640" w:hanging="640" w:hangingChars="200"/>
        <w:rPr>
          <w:rFonts w:ascii="仿宋_GB2312" w:hAnsi="仿宋" w:eastAsia="仿宋_GB2312" w:cs="宋体"/>
          <w:sz w:val="32"/>
          <w:szCs w:val="32"/>
        </w:rPr>
      </w:pPr>
      <w:r>
        <w:rPr>
          <w:rFonts w:hint="eastAsia" w:ascii="仿宋_GB2312" w:hAnsi="仿宋" w:eastAsia="仿宋_GB2312" w:cs="宋体"/>
          <w:sz w:val="32"/>
          <w:szCs w:val="32"/>
        </w:rPr>
        <w:t>4.3</w:t>
      </w:r>
      <w:r>
        <w:rPr>
          <w:rFonts w:hint="eastAsia" w:ascii="仿宋_GB2312" w:hAnsi="仿宋" w:eastAsia="仿宋_GB2312"/>
          <w:sz w:val="32"/>
          <w:szCs w:val="32"/>
        </w:rPr>
        <w:t>本年度排放量及</w:t>
      </w:r>
      <w:r>
        <w:rPr>
          <w:rFonts w:ascii="仿宋_GB2312" w:hAnsi="仿宋" w:eastAsia="仿宋_GB2312"/>
          <w:sz w:val="32"/>
          <w:szCs w:val="32"/>
        </w:rPr>
        <w:t>活动水平</w:t>
      </w:r>
      <w:r>
        <w:rPr>
          <w:rFonts w:hint="eastAsia" w:ascii="仿宋_GB2312" w:hAnsi="仿宋" w:eastAsia="仿宋_GB2312"/>
          <w:sz w:val="32"/>
          <w:szCs w:val="32"/>
        </w:rPr>
        <w:t>波动的</w:t>
      </w:r>
      <w:r>
        <w:rPr>
          <w:rFonts w:ascii="仿宋_GB2312" w:hAnsi="仿宋" w:eastAsia="仿宋_GB2312"/>
          <w:sz w:val="32"/>
          <w:szCs w:val="32"/>
        </w:rPr>
        <w:t>原因说明</w:t>
      </w:r>
    </w:p>
    <w:p w14:paraId="2AFF93D2">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4.</w:t>
      </w:r>
      <w:r>
        <w:rPr>
          <w:rFonts w:ascii="仿宋_GB2312" w:hAnsi="仿宋" w:eastAsia="仿宋_GB2312" w:cs="宋体"/>
          <w:sz w:val="32"/>
          <w:szCs w:val="32"/>
        </w:rPr>
        <w:t>4</w:t>
      </w:r>
      <w:r>
        <w:rPr>
          <w:rFonts w:hint="eastAsia" w:ascii="仿宋_GB2312" w:hAnsi="仿宋" w:eastAsia="仿宋_GB2312"/>
          <w:sz w:val="32"/>
          <w:szCs w:val="32"/>
        </w:rPr>
        <w:t>核算</w:t>
      </w:r>
      <w:r>
        <w:rPr>
          <w:rFonts w:ascii="仿宋_GB2312" w:hAnsi="仿宋" w:eastAsia="仿宋_GB2312"/>
          <w:sz w:val="32"/>
          <w:szCs w:val="32"/>
        </w:rPr>
        <w:t>和报告边界变化（</w:t>
      </w:r>
      <w:r>
        <w:rPr>
          <w:rFonts w:hint="eastAsia" w:ascii="仿宋_GB2312" w:hAnsi="仿宋" w:eastAsia="仿宋_GB2312"/>
          <w:sz w:val="32"/>
          <w:szCs w:val="32"/>
        </w:rPr>
        <w:t>含</w:t>
      </w:r>
      <w:r>
        <w:rPr>
          <w:rFonts w:ascii="仿宋_GB2312" w:hAnsi="仿宋" w:eastAsia="仿宋_GB2312"/>
          <w:sz w:val="32"/>
          <w:szCs w:val="32"/>
        </w:rPr>
        <w:t>设施变化）</w:t>
      </w:r>
      <w:r>
        <w:rPr>
          <w:rFonts w:hint="eastAsia" w:ascii="仿宋_GB2312" w:hAnsi="仿宋" w:eastAsia="仿宋_GB2312"/>
          <w:sz w:val="32"/>
          <w:szCs w:val="32"/>
        </w:rPr>
        <w:t>情况</w:t>
      </w:r>
    </w:p>
    <w:p w14:paraId="6E80CCF0">
      <w:pPr>
        <w:spacing w:after="0" w:line="560" w:lineRule="exact"/>
        <w:rPr>
          <w:rFonts w:ascii="仿宋_GB2312" w:hAnsi="仿宋" w:eastAsia="仿宋_GB2312" w:cs="宋体"/>
          <w:sz w:val="32"/>
          <w:szCs w:val="32"/>
        </w:rPr>
      </w:pPr>
      <w:r>
        <w:rPr>
          <w:rFonts w:hint="eastAsia" w:ascii="仿宋_GB2312" w:hAnsi="仿宋" w:eastAsia="仿宋_GB2312" w:cs="宋体"/>
          <w:sz w:val="32"/>
          <w:szCs w:val="32"/>
        </w:rPr>
        <w:t>4.</w:t>
      </w:r>
      <w:r>
        <w:rPr>
          <w:rFonts w:ascii="仿宋_GB2312" w:hAnsi="仿宋" w:eastAsia="仿宋_GB2312" w:cs="宋体"/>
          <w:sz w:val="32"/>
          <w:szCs w:val="32"/>
        </w:rPr>
        <w:t>5</w:t>
      </w:r>
      <w:r>
        <w:rPr>
          <w:rFonts w:hint="eastAsia" w:ascii="仿宋_GB2312" w:hAnsi="仿宋" w:eastAsia="仿宋_GB2312" w:cs="宋体"/>
          <w:sz w:val="32"/>
          <w:szCs w:val="32"/>
        </w:rPr>
        <w:tab/>
      </w:r>
      <w:r>
        <w:rPr>
          <w:rFonts w:hint="eastAsia" w:ascii="仿宋_GB2312" w:hAnsi="仿宋" w:eastAsia="仿宋_GB2312" w:cs="宋体"/>
          <w:sz w:val="32"/>
          <w:szCs w:val="32"/>
        </w:rPr>
        <w:t>核查过程未覆盖到的问题的描述</w:t>
      </w:r>
    </w:p>
    <w:p w14:paraId="2B122407">
      <w:pPr>
        <w:spacing w:after="0" w:line="560" w:lineRule="exact"/>
        <w:ind w:right="850"/>
        <w:outlineLvl w:val="0"/>
        <w:rPr>
          <w:rFonts w:ascii="仿宋_GB2312" w:hAnsi="仿宋" w:eastAsia="仿宋_GB2312" w:cs="Arial"/>
          <w:b/>
          <w:caps/>
          <w:sz w:val="32"/>
          <w:szCs w:val="32"/>
        </w:rPr>
      </w:pPr>
      <w:r>
        <w:rPr>
          <w:rFonts w:hint="eastAsia" w:ascii="仿宋_GB2312" w:hAnsi="仿宋" w:eastAsia="仿宋_GB2312" w:cs="Arial"/>
          <w:b/>
          <w:caps/>
          <w:sz w:val="32"/>
          <w:szCs w:val="32"/>
        </w:rPr>
        <w:t>5. 附件</w:t>
      </w:r>
    </w:p>
    <w:p w14:paraId="61DEA531">
      <w:pPr>
        <w:spacing w:after="0" w:line="560" w:lineRule="exact"/>
        <w:ind w:right="850"/>
        <w:rPr>
          <w:rFonts w:ascii="仿宋_GB2312" w:hAnsi="仿宋" w:eastAsia="仿宋_GB2312" w:cs="Arial"/>
          <w:caps/>
          <w:sz w:val="32"/>
          <w:szCs w:val="32"/>
        </w:rPr>
      </w:pPr>
      <w:r>
        <w:rPr>
          <w:rFonts w:hint="eastAsia" w:ascii="仿宋_GB2312" w:hAnsi="仿宋" w:eastAsia="仿宋_GB2312" w:cs="Arial"/>
          <w:caps/>
          <w:sz w:val="32"/>
          <w:szCs w:val="32"/>
        </w:rPr>
        <w:t>附件1：不符合清单</w:t>
      </w:r>
    </w:p>
    <w:p w14:paraId="3AC85066">
      <w:pPr>
        <w:spacing w:after="0" w:line="560" w:lineRule="exact"/>
        <w:ind w:right="850"/>
        <w:rPr>
          <w:rFonts w:ascii="仿宋_GB2312" w:hAnsi="仿宋" w:eastAsia="仿宋_GB2312" w:cs="Arial"/>
          <w:caps/>
          <w:sz w:val="32"/>
          <w:szCs w:val="32"/>
        </w:rPr>
      </w:pPr>
      <w:r>
        <w:rPr>
          <w:rFonts w:hint="eastAsia" w:ascii="仿宋_GB2312" w:hAnsi="仿宋" w:eastAsia="仿宋_GB2312" w:cs="Arial"/>
          <w:caps/>
          <w:sz w:val="32"/>
          <w:szCs w:val="32"/>
        </w:rPr>
        <w:t>附件2：对今后核算活动的建议</w:t>
      </w:r>
    </w:p>
    <w:p w14:paraId="45631057">
      <w:pPr>
        <w:spacing w:after="0" w:line="560" w:lineRule="exact"/>
        <w:rPr>
          <w:rFonts w:ascii="仿宋_GB2312" w:hAnsi="仿宋" w:eastAsia="仿宋_GB2312" w:cs="宋体"/>
          <w:b/>
          <w:bCs/>
          <w:sz w:val="32"/>
          <w:szCs w:val="32"/>
        </w:rPr>
      </w:pPr>
    </w:p>
    <w:p w14:paraId="0D7DD803">
      <w:pPr>
        <w:spacing w:after="0" w:line="560" w:lineRule="exact"/>
        <w:rPr>
          <w:rFonts w:ascii="仿宋_GB2312" w:hAnsi="仿宋" w:eastAsia="仿宋_GB2312" w:cs="Arial"/>
          <w:caps/>
          <w:sz w:val="32"/>
          <w:szCs w:val="32"/>
        </w:rPr>
      </w:pPr>
      <w:r>
        <w:rPr>
          <w:rFonts w:hint="eastAsia" w:ascii="仿宋_GB2312" w:hAnsi="仿宋" w:eastAsia="仿宋_GB2312" w:cs="宋体"/>
          <w:b/>
          <w:bCs/>
          <w:sz w:val="32"/>
          <w:szCs w:val="32"/>
        </w:rPr>
        <w:t>第五部分  参考文件</w:t>
      </w:r>
      <w:r>
        <w:rPr>
          <w:rFonts w:ascii="仿宋_GB2312" w:hAnsi="仿宋" w:eastAsia="仿宋_GB2312" w:cs="Arial"/>
          <w:caps/>
          <w:sz w:val="32"/>
          <w:szCs w:val="32"/>
        </w:rPr>
        <w:br w:type="page"/>
      </w:r>
    </w:p>
    <w:p w14:paraId="37ABF91C">
      <w:pPr>
        <w:spacing w:after="0" w:line="560" w:lineRule="exact"/>
        <w:rPr>
          <w:rFonts w:ascii="黑体" w:hAnsi="黑体" w:eastAsia="黑体"/>
          <w:sz w:val="32"/>
          <w:szCs w:val="32"/>
        </w:rPr>
      </w:pPr>
      <w:r>
        <w:rPr>
          <w:rFonts w:hint="eastAsia" w:ascii="黑体" w:hAnsi="黑体" w:eastAsia="黑体"/>
          <w:sz w:val="32"/>
          <w:szCs w:val="32"/>
        </w:rPr>
        <w:t>附件2</w:t>
      </w:r>
    </w:p>
    <w:p w14:paraId="26819431">
      <w:pPr>
        <w:spacing w:after="0" w:line="560" w:lineRule="exact"/>
        <w:ind w:right="850"/>
        <w:jc w:val="center"/>
        <w:rPr>
          <w:rFonts w:cs="Arial" w:asciiTheme="majorEastAsia" w:hAnsiTheme="majorEastAsia" w:eastAsiaTheme="majorEastAsia"/>
          <w:b/>
          <w:caps/>
          <w:sz w:val="44"/>
          <w:szCs w:val="44"/>
        </w:rPr>
      </w:pPr>
    </w:p>
    <w:p w14:paraId="0BC0B44E">
      <w:pPr>
        <w:spacing w:after="0" w:line="560" w:lineRule="exact"/>
        <w:ind w:right="850"/>
        <w:jc w:val="center"/>
        <w:rPr>
          <w:rFonts w:cs="Arial" w:asciiTheme="majorEastAsia" w:hAnsiTheme="majorEastAsia" w:eastAsiaTheme="majorEastAsia"/>
          <w:b/>
          <w:caps/>
          <w:sz w:val="44"/>
          <w:szCs w:val="44"/>
        </w:rPr>
      </w:pPr>
      <w:r>
        <w:rPr>
          <w:rFonts w:hint="eastAsia" w:cs="Arial" w:asciiTheme="majorEastAsia" w:hAnsiTheme="majorEastAsia" w:eastAsiaTheme="majorEastAsia"/>
          <w:b/>
          <w:caps/>
          <w:sz w:val="44"/>
          <w:szCs w:val="44"/>
        </w:rPr>
        <w:t>扉页核查结论模板</w:t>
      </w:r>
    </w:p>
    <w:p w14:paraId="52559F5D">
      <w:pPr>
        <w:spacing w:after="0" w:line="560" w:lineRule="exac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核查结论</w:t>
      </w:r>
    </w:p>
    <w:p w14:paraId="43ED5689">
      <w:pPr>
        <w:spacing w:after="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Xxxx</w:t>
      </w:r>
      <w:r>
        <w:rPr>
          <w:rFonts w:hint="eastAsia" w:ascii="Times New Roman" w:hAnsi="Times New Roman" w:eastAsia="仿宋_GB2312"/>
          <w:color w:val="000000" w:themeColor="text1"/>
          <w:sz w:val="32"/>
          <w:szCs w:val="32"/>
          <w14:textFill>
            <w14:solidFill>
              <w14:schemeClr w14:val="tx1"/>
            </w14:solidFill>
          </w14:textFill>
        </w:rPr>
        <w:t>二氧化碳排放重点排放单位（以下简称排放单位）委托</w:t>
      </w:r>
      <w:r>
        <w:rPr>
          <w:rFonts w:ascii="Times New Roman" w:hAnsi="Times New Roman" w:eastAsia="仿宋_GB2312"/>
          <w:color w:val="000000" w:themeColor="text1"/>
          <w:sz w:val="32"/>
          <w:szCs w:val="32"/>
          <w14:textFill>
            <w14:solidFill>
              <w14:schemeClr w14:val="tx1"/>
            </w14:solidFill>
          </w14:textFill>
        </w:rPr>
        <w:t>xxx单位（核查机构）</w:t>
      </w:r>
      <w:r>
        <w:rPr>
          <w:rFonts w:hint="eastAsia" w:ascii="Times New Roman" w:hAnsi="Times New Roman" w:eastAsia="仿宋_GB2312"/>
          <w:color w:val="000000" w:themeColor="text1"/>
          <w:sz w:val="32"/>
          <w:szCs w:val="32"/>
          <w14:textFill>
            <w14:solidFill>
              <w14:schemeClr w14:val="tx1"/>
            </w14:solidFill>
          </w14:textFill>
        </w:rPr>
        <w:t>开展</w:t>
      </w:r>
      <w:r>
        <w:rPr>
          <w:rFonts w:ascii="Times New Roman" w:hAnsi="Times New Roman" w:eastAsia="仿宋_GB2312"/>
          <w:color w:val="000000" w:themeColor="text1"/>
          <w:sz w:val="32"/>
          <w:szCs w:val="32"/>
          <w14:textFill>
            <w14:solidFill>
              <w14:schemeClr w14:val="tx1"/>
            </w14:solidFill>
          </w14:textFill>
        </w:rPr>
        <w:t>XXXX</w:t>
      </w:r>
      <w:r>
        <w:rPr>
          <w:rFonts w:hint="eastAsia" w:ascii="Times New Roman" w:hAnsi="Times New Roman" w:eastAsia="仿宋_GB2312"/>
          <w:color w:val="000000" w:themeColor="text1"/>
          <w:sz w:val="32"/>
          <w:szCs w:val="32"/>
          <w14:textFill>
            <w14:solidFill>
              <w14:schemeClr w14:val="tx1"/>
            </w14:solidFill>
          </w14:textFill>
        </w:rPr>
        <w:t>年二氧化碳排放的核查工作。核查范围包括排放单位所有在北京市辖区内的固定设施和</w:t>
      </w:r>
      <w:r>
        <w:rPr>
          <w:rFonts w:hint="eastAsia" w:ascii="仿宋_GB2312" w:hAnsi="仿宋" w:eastAsia="仿宋_GB2312"/>
          <w:color w:val="000000" w:themeColor="text1"/>
          <w:sz w:val="32"/>
          <w:szCs w:val="32"/>
          <w14:textFill>
            <w14:solidFill>
              <w14:schemeClr w14:val="tx1"/>
            </w14:solidFill>
          </w14:textFill>
        </w:rPr>
        <w:t>以北京为注册地的交通运输行业的移动设施产生的二氧化碳直接排放和二氧化碳间接排放</w:t>
      </w:r>
    </w:p>
    <w:p w14:paraId="6783C332">
      <w:pPr>
        <w:spacing w:after="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通过文件评审、现场访问、核查报告编写及内部技术复核，核查组对排放单位</w:t>
      </w:r>
      <w:r>
        <w:rPr>
          <w:rFonts w:ascii="Times New Roman" w:hAnsi="Times New Roman" w:eastAsia="仿宋_GB2312"/>
          <w:color w:val="000000" w:themeColor="text1"/>
          <w:sz w:val="32"/>
          <w:szCs w:val="32"/>
          <w14:textFill>
            <w14:solidFill>
              <w14:schemeClr w14:val="tx1"/>
            </w14:solidFill>
          </w14:textFill>
        </w:rPr>
        <w:t>XXXX</w:t>
      </w:r>
      <w:r>
        <w:rPr>
          <w:rFonts w:hint="eastAsia" w:ascii="Times New Roman" w:hAnsi="Times New Roman" w:eastAsia="仿宋_GB2312"/>
          <w:color w:val="000000" w:themeColor="text1"/>
          <w:sz w:val="32"/>
          <w:szCs w:val="32"/>
          <w14:textFill>
            <w14:solidFill>
              <w14:schemeClr w14:val="tx1"/>
            </w14:solidFill>
          </w14:textFill>
        </w:rPr>
        <w:t>年度二氧化碳排放报告形成如下核查结论：</w:t>
      </w:r>
    </w:p>
    <w:p w14:paraId="7ECC5152">
      <w:pPr>
        <w:pStyle w:val="50"/>
        <w:numPr>
          <w:ilvl w:val="0"/>
          <w:numId w:val="30"/>
        </w:numPr>
        <w:spacing w:after="0" w:line="560" w:lineRule="exact"/>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核算、报告与方法学的符合性</w:t>
      </w:r>
    </w:p>
    <w:p w14:paraId="2753D26C">
      <w:pPr>
        <w:spacing w:after="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核查组确认所有不符合已全部关闭，排放单位的核算与报告均符合地方标准或适用的核算和报告指南（名称）的要求，核查组对本排放报告出具肯定的核查结论。</w:t>
      </w:r>
    </w:p>
    <w:p w14:paraId="1582F40F">
      <w:pPr>
        <w:spacing w:after="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本年度排放量及活动水平数据的声明</w:t>
      </w:r>
    </w:p>
    <w:p w14:paraId="6EDC88C5">
      <w:pPr>
        <w:spacing w:after="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经核查的直接和间接排放量与最终排放报告中数据一致。经核查的直接排放量为</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吨，间接排放量为</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吨，总排放量为</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w:t>
      </w:r>
    </w:p>
    <w:p w14:paraId="5AC9D69E">
      <w:pPr>
        <w:spacing w:after="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经核查活动水平数据</w:t>
      </w:r>
      <w:r>
        <w:rPr>
          <w:rFonts w:ascii="Times New Roman" w:hAnsi="Times New Roman" w:eastAsia="仿宋_GB2312"/>
          <w:color w:val="000000" w:themeColor="text1"/>
          <w:sz w:val="32"/>
          <w:szCs w:val="32"/>
          <w14:textFill>
            <w14:solidFill>
              <w14:schemeClr w14:val="tx1"/>
            </w14:solidFill>
          </w14:textFill>
        </w:rPr>
        <w:t>xxx</w:t>
      </w:r>
      <w:r>
        <w:rPr>
          <w:rFonts w:hint="eastAsia" w:ascii="Times New Roman" w:hAnsi="Times New Roman" w:eastAsia="仿宋_GB2312"/>
          <w:color w:val="000000" w:themeColor="text1"/>
          <w:sz w:val="32"/>
          <w:szCs w:val="32"/>
          <w14:textFill>
            <w14:solidFill>
              <w14:schemeClr w14:val="tx1"/>
            </w14:solidFill>
          </w14:textFill>
        </w:rPr>
        <w:t>（例如建筑面积）与最终排放报告中数据一致。经核查的建筑面积为</w:t>
      </w:r>
      <w:r>
        <w:rPr>
          <w:rFonts w:ascii="Times New Roman" w:hAnsi="Times New Roman" w:eastAsia="仿宋_GB2312"/>
          <w:color w:val="000000" w:themeColor="text1"/>
          <w:sz w:val="32"/>
          <w:szCs w:val="32"/>
          <w14:textFill>
            <w14:solidFill>
              <w14:schemeClr w14:val="tx1"/>
            </w14:solidFill>
          </w14:textFill>
        </w:rPr>
        <w:t>xxx</w:t>
      </w:r>
      <w:r>
        <w:rPr>
          <w:rFonts w:hint="eastAsia" w:ascii="Times New Roman" w:hAnsi="Times New Roman" w:eastAsia="仿宋_GB2312"/>
          <w:color w:val="000000" w:themeColor="text1"/>
          <w:sz w:val="32"/>
          <w:szCs w:val="32"/>
          <w14:textFill>
            <w14:solidFill>
              <w14:schemeClr w14:val="tx1"/>
            </w14:solidFill>
          </w14:textFill>
        </w:rPr>
        <w:t>平方米。</w:t>
      </w:r>
    </w:p>
    <w:p w14:paraId="361898A3">
      <w:pPr>
        <w:spacing w:after="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年度排放量及活动水平波动的原因说明</w:t>
      </w:r>
    </w:p>
    <w:p w14:paraId="09FADDC9">
      <w:pPr>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本年度排放量与上一年度排放量相比增加（或减少）</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w:t>
      </w:r>
      <w:r>
        <w:rPr>
          <w:rFonts w:ascii="Times New Roman" w:hAnsi="Times New Roman" w:eastAsia="仿宋_GB2312"/>
          <w:color w:val="000000" w:themeColor="text1"/>
          <w:sz w:val="32"/>
          <w:szCs w:val="32"/>
          <w14:textFill>
            <w14:solidFill>
              <w14:schemeClr w14:val="tx1"/>
            </w14:solidFill>
          </w14:textFill>
        </w:rPr>
        <w:t>/x.xx%</w:t>
      </w:r>
      <w:r>
        <w:rPr>
          <w:rFonts w:hint="eastAsia" w:ascii="Times New Roman" w:hAnsi="Times New Roman" w:eastAsia="仿宋_GB2312"/>
          <w:color w:val="000000" w:themeColor="text1"/>
          <w:sz w:val="32"/>
          <w:szCs w:val="32"/>
          <w14:textFill>
            <w14:solidFill>
              <w14:schemeClr w14:val="tx1"/>
            </w14:solidFill>
          </w14:textFill>
        </w:rPr>
        <w:t>，其中直接排放相比上一年度增加（或减少）</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w:t>
      </w:r>
      <w:r>
        <w:rPr>
          <w:rFonts w:ascii="Times New Roman" w:hAnsi="Times New Roman" w:eastAsia="仿宋_GB2312"/>
          <w:color w:val="000000" w:themeColor="text1"/>
          <w:sz w:val="32"/>
          <w:szCs w:val="32"/>
          <w14:textFill>
            <w14:solidFill>
              <w14:schemeClr w14:val="tx1"/>
            </w14:solidFill>
          </w14:textFill>
        </w:rPr>
        <w:t>/x.xx%</w:t>
      </w:r>
      <w:r>
        <w:rPr>
          <w:rFonts w:hint="eastAsia" w:ascii="Times New Roman" w:hAnsi="Times New Roman" w:eastAsia="仿宋_GB2312"/>
          <w:color w:val="000000" w:themeColor="text1"/>
          <w:sz w:val="32"/>
          <w:szCs w:val="32"/>
          <w14:textFill>
            <w14:solidFill>
              <w14:schemeClr w14:val="tx1"/>
            </w14:solidFill>
          </w14:textFill>
        </w:rPr>
        <w:t>，间接排放相比上一年度增加（或减少）</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w:t>
      </w:r>
      <w:r>
        <w:rPr>
          <w:rFonts w:ascii="Times New Roman" w:hAnsi="Times New Roman" w:eastAsia="仿宋_GB2312"/>
          <w:color w:val="000000" w:themeColor="text1"/>
          <w:sz w:val="32"/>
          <w:szCs w:val="32"/>
          <w14:textFill>
            <w14:solidFill>
              <w14:schemeClr w14:val="tx1"/>
            </w14:solidFill>
          </w14:textFill>
        </w:rPr>
        <w:t>/x.xx%</w:t>
      </w:r>
      <w:r>
        <w:rPr>
          <w:rFonts w:hint="eastAsia" w:ascii="Times New Roman" w:hAnsi="Times New Roman" w:eastAsia="仿宋_GB2312"/>
          <w:color w:val="000000" w:themeColor="text1"/>
          <w:sz w:val="32"/>
          <w:szCs w:val="32"/>
          <w14:textFill>
            <w14:solidFill>
              <w14:schemeClr w14:val="tx1"/>
            </w14:solidFill>
          </w14:textFill>
        </w:rPr>
        <w:t>，原因为</w:t>
      </w:r>
      <w:r>
        <w:rPr>
          <w:rFonts w:ascii="Times New Roman" w:hAnsi="Times New Roman" w:eastAsia="仿宋_GB2312"/>
          <w:color w:val="000000" w:themeColor="text1"/>
          <w:sz w:val="32"/>
          <w:szCs w:val="32"/>
          <w14:textFill>
            <w14:solidFill>
              <w14:schemeClr w14:val="tx1"/>
            </w14:solidFill>
          </w14:textFill>
        </w:rPr>
        <w:t>xxxxxxx</w:t>
      </w:r>
      <w:r>
        <w:rPr>
          <w:rFonts w:hint="eastAsia" w:ascii="Times New Roman" w:hAnsi="Times New Roman" w:eastAsia="仿宋_GB2312"/>
          <w:color w:val="000000" w:themeColor="text1"/>
          <w:sz w:val="32"/>
          <w:szCs w:val="32"/>
          <w14:textFill>
            <w14:solidFill>
              <w14:schemeClr w14:val="tx1"/>
            </w14:solidFill>
          </w14:textFill>
        </w:rPr>
        <w:t>。</w:t>
      </w:r>
    </w:p>
    <w:p w14:paraId="4563763E">
      <w:pPr>
        <w:spacing w:after="0"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本年度排放量相比历史基准年份排放量相比增加（或减少）</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吨，增加（或减少）比例为</w:t>
      </w:r>
      <w:r>
        <w:rPr>
          <w:rFonts w:ascii="Times New Roman" w:hAnsi="Times New Roman" w:eastAsia="仿宋_GB2312"/>
          <w:color w:val="000000" w:themeColor="text1"/>
          <w:sz w:val="32"/>
          <w:szCs w:val="32"/>
          <w14:textFill>
            <w14:solidFill>
              <w14:schemeClr w14:val="tx1"/>
            </w14:solidFill>
          </w14:textFill>
        </w:rPr>
        <w:t>x.xx%；</w:t>
      </w:r>
      <w:r>
        <w:rPr>
          <w:rFonts w:hint="eastAsia" w:ascii="Times New Roman" w:hAnsi="Times New Roman" w:eastAsia="仿宋_GB2312"/>
          <w:color w:val="000000" w:themeColor="text1"/>
          <w:sz w:val="32"/>
          <w:szCs w:val="32"/>
          <w14:textFill>
            <w14:solidFill>
              <w14:schemeClr w14:val="tx1"/>
            </w14:solidFill>
          </w14:textFill>
        </w:rPr>
        <w:t>本年度排放量相比上一年度增加（或减少）</w:t>
      </w:r>
      <w:r>
        <w:rPr>
          <w:rFonts w:ascii="Times New Roman" w:hAnsi="Times New Roman" w:eastAsia="仿宋_GB2312"/>
          <w:color w:val="000000" w:themeColor="text1"/>
          <w:sz w:val="32"/>
          <w:szCs w:val="32"/>
          <w14:textFill>
            <w14:solidFill>
              <w14:schemeClr w14:val="tx1"/>
            </w14:solidFill>
          </w14:textFill>
        </w:rPr>
        <w:t>xxxx.xx</w:t>
      </w:r>
      <w:r>
        <w:rPr>
          <w:rFonts w:hint="eastAsia" w:ascii="Times New Roman" w:hAnsi="Times New Roman" w:eastAsia="仿宋_GB2312"/>
          <w:color w:val="000000" w:themeColor="text1"/>
          <w:sz w:val="32"/>
          <w:szCs w:val="32"/>
          <w14:textFill>
            <w14:solidFill>
              <w14:schemeClr w14:val="tx1"/>
            </w14:solidFill>
          </w14:textFill>
        </w:rPr>
        <w:t>吨，增加（或减少）比例为</w:t>
      </w:r>
      <w:r>
        <w:rPr>
          <w:rFonts w:ascii="Times New Roman" w:hAnsi="Times New Roman" w:eastAsia="仿宋_GB2312"/>
          <w:color w:val="000000" w:themeColor="text1"/>
          <w:sz w:val="32"/>
          <w:szCs w:val="32"/>
          <w14:textFill>
            <w14:solidFill>
              <w14:schemeClr w14:val="tx1"/>
            </w14:solidFill>
          </w14:textFill>
        </w:rPr>
        <w:t>x.xx%</w:t>
      </w:r>
      <w:r>
        <w:rPr>
          <w:rFonts w:hint="eastAsia" w:ascii="Times New Roman" w:hAnsi="Times New Roman" w:eastAsia="仿宋_GB2312"/>
          <w:color w:val="000000" w:themeColor="text1"/>
          <w:sz w:val="32"/>
          <w:szCs w:val="32"/>
          <w14:textFill>
            <w14:solidFill>
              <w14:schemeClr w14:val="tx1"/>
            </w14:solidFill>
          </w14:textFill>
        </w:rPr>
        <w:t>。</w:t>
      </w:r>
    </w:p>
    <w:p w14:paraId="05F5A979">
      <w:pPr>
        <w:spacing w:after="0" w:line="560" w:lineRule="exact"/>
        <w:jc w:val="cente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表</w:t>
      </w:r>
      <w:r>
        <w:rPr>
          <w:rFonts w:ascii="Times New Roman" w:hAnsi="Times New Roman" w:eastAsia="仿宋_GB2312"/>
          <w:color w:val="000000" w:themeColor="text1"/>
          <w:sz w:val="24"/>
          <w14:textFill>
            <w14:solidFill>
              <w14:schemeClr w14:val="tx1"/>
            </w14:solidFill>
          </w14:textFill>
        </w:rPr>
        <w:t xml:space="preserve">XX  </w:t>
      </w:r>
      <w:r>
        <w:rPr>
          <w:rFonts w:hint="eastAsia" w:ascii="Times New Roman" w:hAnsi="Times New Roman" w:eastAsia="仿宋_GB2312"/>
          <w:color w:val="000000" w:themeColor="text1"/>
          <w:sz w:val="24"/>
          <w14:textFill>
            <w14:solidFill>
              <w14:schemeClr w14:val="tx1"/>
            </w14:solidFill>
          </w14:textFill>
        </w:rPr>
        <w:t>排放量汇总表</w:t>
      </w:r>
    </w:p>
    <w:tbl>
      <w:tblPr>
        <w:tblStyle w:val="35"/>
        <w:tblW w:w="8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37"/>
        <w:gridCol w:w="2335"/>
        <w:gridCol w:w="2422"/>
      </w:tblGrid>
      <w:tr w14:paraId="01E4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60" w:type="dxa"/>
            <w:vAlign w:val="center"/>
          </w:tcPr>
          <w:p w14:paraId="30A11BCC">
            <w:pPr>
              <w:spacing w:after="0" w:line="560" w:lineRule="exact"/>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年度</w:t>
            </w:r>
          </w:p>
        </w:tc>
        <w:tc>
          <w:tcPr>
            <w:tcW w:w="2337" w:type="dxa"/>
            <w:vAlign w:val="center"/>
          </w:tcPr>
          <w:p w14:paraId="426010EB">
            <w:pPr>
              <w:spacing w:after="0" w:line="560" w:lineRule="exact"/>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335" w:type="dxa"/>
            <w:vAlign w:val="center"/>
          </w:tcPr>
          <w:p w14:paraId="63BB62E3">
            <w:pPr>
              <w:spacing w:after="0" w:line="560" w:lineRule="exact"/>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422" w:type="dxa"/>
            <w:vAlign w:val="center"/>
          </w:tcPr>
          <w:p w14:paraId="54C5ED74">
            <w:pPr>
              <w:spacing w:after="0" w:line="560" w:lineRule="exact"/>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排放总量（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r>
      <w:tr w14:paraId="2726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60" w:type="dxa"/>
            <w:vAlign w:val="center"/>
          </w:tcPr>
          <w:p w14:paraId="00ED6FBA">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2016</w:t>
            </w:r>
          </w:p>
        </w:tc>
        <w:tc>
          <w:tcPr>
            <w:tcW w:w="2337" w:type="dxa"/>
            <w:vAlign w:val="center"/>
          </w:tcPr>
          <w:p w14:paraId="50FBFABC">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500.00</w:t>
            </w:r>
          </w:p>
        </w:tc>
        <w:tc>
          <w:tcPr>
            <w:tcW w:w="2335" w:type="dxa"/>
            <w:vAlign w:val="center"/>
          </w:tcPr>
          <w:p w14:paraId="66934DDE">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14297.00</w:t>
            </w:r>
          </w:p>
        </w:tc>
        <w:tc>
          <w:tcPr>
            <w:tcW w:w="2422" w:type="dxa"/>
            <w:vAlign w:val="center"/>
          </w:tcPr>
          <w:p w14:paraId="580DBFE8">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14797.00</w:t>
            </w:r>
          </w:p>
        </w:tc>
      </w:tr>
      <w:tr w14:paraId="180A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60" w:type="dxa"/>
            <w:vAlign w:val="center"/>
          </w:tcPr>
          <w:p w14:paraId="3970C367">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2017</w:t>
            </w:r>
          </w:p>
        </w:tc>
        <w:tc>
          <w:tcPr>
            <w:tcW w:w="2337" w:type="dxa"/>
            <w:vAlign w:val="center"/>
          </w:tcPr>
          <w:p w14:paraId="09143D61">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3000.00</w:t>
            </w:r>
          </w:p>
        </w:tc>
        <w:tc>
          <w:tcPr>
            <w:tcW w:w="2335" w:type="dxa"/>
            <w:vAlign w:val="center"/>
          </w:tcPr>
          <w:p w14:paraId="5253B778">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13643.00</w:t>
            </w:r>
          </w:p>
        </w:tc>
        <w:tc>
          <w:tcPr>
            <w:tcW w:w="2422" w:type="dxa"/>
            <w:vAlign w:val="center"/>
          </w:tcPr>
          <w:p w14:paraId="68480E13">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16643.00</w:t>
            </w:r>
          </w:p>
        </w:tc>
      </w:tr>
      <w:tr w14:paraId="30E1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60" w:type="dxa"/>
            <w:vAlign w:val="center"/>
          </w:tcPr>
          <w:p w14:paraId="3829DA82">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2018</w:t>
            </w:r>
          </w:p>
        </w:tc>
        <w:tc>
          <w:tcPr>
            <w:tcW w:w="2337" w:type="dxa"/>
            <w:vAlign w:val="center"/>
          </w:tcPr>
          <w:p w14:paraId="4DBBC477">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3500.00</w:t>
            </w:r>
          </w:p>
        </w:tc>
        <w:tc>
          <w:tcPr>
            <w:tcW w:w="2335" w:type="dxa"/>
            <w:vAlign w:val="center"/>
          </w:tcPr>
          <w:p w14:paraId="57657AFC">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13500.00</w:t>
            </w:r>
          </w:p>
        </w:tc>
        <w:tc>
          <w:tcPr>
            <w:tcW w:w="2422" w:type="dxa"/>
            <w:vAlign w:val="center"/>
          </w:tcPr>
          <w:p w14:paraId="1B2DEE4E">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17000.00</w:t>
            </w:r>
          </w:p>
        </w:tc>
      </w:tr>
      <w:tr w14:paraId="47B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60" w:type="dxa"/>
            <w:vAlign w:val="center"/>
          </w:tcPr>
          <w:p w14:paraId="67803E83">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2019</w:t>
            </w:r>
          </w:p>
        </w:tc>
        <w:tc>
          <w:tcPr>
            <w:tcW w:w="2337" w:type="dxa"/>
            <w:vAlign w:val="center"/>
          </w:tcPr>
          <w:p w14:paraId="2334BE3C">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4500.00</w:t>
            </w:r>
          </w:p>
        </w:tc>
        <w:tc>
          <w:tcPr>
            <w:tcW w:w="2335" w:type="dxa"/>
            <w:vAlign w:val="center"/>
          </w:tcPr>
          <w:p w14:paraId="4A339B1A">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13600.00</w:t>
            </w:r>
          </w:p>
        </w:tc>
        <w:tc>
          <w:tcPr>
            <w:tcW w:w="2422" w:type="dxa"/>
            <w:vAlign w:val="center"/>
          </w:tcPr>
          <w:p w14:paraId="0D0BA7A5">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18100.00</w:t>
            </w:r>
          </w:p>
        </w:tc>
      </w:tr>
      <w:tr w14:paraId="0111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60" w:type="dxa"/>
            <w:vAlign w:val="center"/>
          </w:tcPr>
          <w:p w14:paraId="0491ED73">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2020</w:t>
            </w:r>
          </w:p>
        </w:tc>
        <w:tc>
          <w:tcPr>
            <w:tcW w:w="2337" w:type="dxa"/>
            <w:vAlign w:val="center"/>
          </w:tcPr>
          <w:p w14:paraId="792A2B65">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4500.00</w:t>
            </w:r>
          </w:p>
        </w:tc>
        <w:tc>
          <w:tcPr>
            <w:tcW w:w="2335" w:type="dxa"/>
            <w:vAlign w:val="center"/>
          </w:tcPr>
          <w:p w14:paraId="7F1833B5">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14000.00</w:t>
            </w:r>
          </w:p>
        </w:tc>
        <w:tc>
          <w:tcPr>
            <w:tcW w:w="2422" w:type="dxa"/>
            <w:vAlign w:val="center"/>
          </w:tcPr>
          <w:p w14:paraId="622DADEE">
            <w:pPr>
              <w:spacing w:after="0" w:line="560" w:lineRule="exact"/>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18900.00</w:t>
            </w:r>
          </w:p>
        </w:tc>
      </w:tr>
    </w:tbl>
    <w:p w14:paraId="3605E834">
      <w:pPr>
        <w:ind w:firstLine="640" w:firstLineChars="200"/>
        <w:rPr>
          <w:rFonts w:ascii="Times New Roman" w:hAnsi="Times New Roman" w:eastAsia="仿宋_GB2312"/>
          <w:sz w:val="32"/>
          <w:szCs w:val="32"/>
        </w:rPr>
      </w:pPr>
    </w:p>
    <w:p w14:paraId="27895770">
      <w:pPr>
        <w:ind w:firstLine="440" w:firstLineChars="200"/>
        <w:rPr>
          <w:rFonts w:ascii="Times New Roman" w:hAnsi="Times New Roman" w:eastAsia="仿宋_GB2312"/>
          <w:sz w:val="32"/>
          <w:szCs w:val="32"/>
        </w:rPr>
      </w:pPr>
      <w:r>
        <w:rPr>
          <w:lang w:val="en-US"/>
        </w:rPr>
        <w:drawing>
          <wp:inline distT="0" distB="0" distL="0" distR="0">
            <wp:extent cx="4568825" cy="2740025"/>
            <wp:effectExtent l="0" t="0" r="3175" b="3175"/>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B84978">
      <w:pPr>
        <w:jc w:val="cente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图</w:t>
      </w:r>
      <w:r>
        <w:rPr>
          <w:rFonts w:ascii="Times New Roman" w:hAnsi="Times New Roman" w:eastAsia="仿宋_GB2312"/>
          <w:color w:val="000000" w:themeColor="text1"/>
          <w:sz w:val="24"/>
          <w14:textFill>
            <w14:solidFill>
              <w14:schemeClr w14:val="tx1"/>
            </w14:solidFill>
          </w14:textFill>
        </w:rPr>
        <w:t xml:space="preserve">XX  </w:t>
      </w:r>
      <w:r>
        <w:rPr>
          <w:rFonts w:hint="eastAsia" w:ascii="Times New Roman" w:hAnsi="Times New Roman" w:eastAsia="仿宋_GB2312"/>
          <w:color w:val="000000" w:themeColor="text1"/>
          <w:sz w:val="24"/>
          <w14:textFill>
            <w14:solidFill>
              <w14:schemeClr w14:val="tx1"/>
            </w14:solidFill>
          </w14:textFill>
        </w:rPr>
        <w:t>排放量变化趋势图（增加2</w:t>
      </w:r>
      <w:r>
        <w:rPr>
          <w:rFonts w:ascii="Times New Roman" w:hAnsi="Times New Roman" w:eastAsia="仿宋_GB2312"/>
          <w:color w:val="000000" w:themeColor="text1"/>
          <w:sz w:val="24"/>
          <w14:textFill>
            <w14:solidFill>
              <w14:schemeClr w14:val="tx1"/>
            </w14:solidFill>
          </w14:textFill>
        </w:rPr>
        <w:t>020年度）</w:t>
      </w:r>
    </w:p>
    <w:p w14:paraId="7178EAE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列表说明从基准年一直到现在每年直接和间接排放量及其变化情况，并说出变化的原因，活动水平的变化等。</w:t>
      </w:r>
    </w:p>
    <w:p w14:paraId="536737B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293B56D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57E48247">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排放单位核算和报告边界为北京市辖区内的xxxxx的厂区（或服务范围），与上一年度相比，增加（或减少）xxxx厂区（或服务范围）；与</w:t>
      </w:r>
      <w:r>
        <w:rPr>
          <w:rFonts w:hint="eastAsia" w:ascii="Times New Roman" w:hAnsi="Times New Roman" w:eastAsia="仿宋_GB2312"/>
          <w:sz w:val="32"/>
          <w:szCs w:val="32"/>
        </w:rPr>
        <w:t>历史</w:t>
      </w:r>
      <w:r>
        <w:rPr>
          <w:rFonts w:ascii="Times New Roman" w:hAnsi="Times New Roman" w:eastAsia="仿宋_GB2312"/>
          <w:sz w:val="32"/>
          <w:szCs w:val="32"/>
        </w:rPr>
        <w:t>基准年相比，增加（或减少）xxx厂区（或服务范围）。</w:t>
      </w:r>
    </w:p>
    <w:p w14:paraId="59F6EF51">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4.2 </w:t>
      </w:r>
      <w:r>
        <w:rPr>
          <w:rFonts w:ascii="Times New Roman" w:hAnsi="Times New Roman" w:eastAsia="仿宋"/>
          <w:sz w:val="32"/>
          <w:szCs w:val="32"/>
        </w:rPr>
        <w:t>本年度排放设施的变化</w:t>
      </w:r>
    </w:p>
    <w:p w14:paraId="3D80DB0F">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排放单位2018年xxxx设施（或服务范围）截至2018年底运行（或服务）时间不足12个月，符合既有设施排放配额调整的申请条件。此信息供既有设施调整配额参考。</w:t>
      </w:r>
    </w:p>
    <w:p w14:paraId="1F7813C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排放单位退出的既有设施（或服务范围）包括xxx。</w:t>
      </w:r>
    </w:p>
    <w:p w14:paraId="4965951B">
      <w:pPr>
        <w:spacing w:after="0" w:line="560" w:lineRule="exact"/>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56"/>
        <w:gridCol w:w="1223"/>
        <w:gridCol w:w="559"/>
        <w:gridCol w:w="802"/>
        <w:gridCol w:w="1028"/>
        <w:gridCol w:w="1436"/>
        <w:gridCol w:w="1436"/>
        <w:gridCol w:w="1425"/>
      </w:tblGrid>
      <w:tr w14:paraId="2C9E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62" w:type="dxa"/>
            <w:vMerge w:val="restart"/>
            <w:vAlign w:val="center"/>
          </w:tcPr>
          <w:p w14:paraId="3B05EBD0">
            <w:pPr>
              <w:spacing w:after="0" w:line="340" w:lineRule="exact"/>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756" w:type="dxa"/>
            <w:vMerge w:val="restart"/>
            <w:vAlign w:val="center"/>
          </w:tcPr>
          <w:p w14:paraId="7366864D">
            <w:pPr>
              <w:spacing w:after="0" w:line="340" w:lineRule="exact"/>
              <w:jc w:val="center"/>
              <w:rPr>
                <w:rFonts w:ascii="Times New Roman" w:hAnsi="Times New Roman" w:eastAsia="仿宋_GB2312"/>
                <w:sz w:val="24"/>
                <w:szCs w:val="24"/>
              </w:rPr>
            </w:pPr>
            <w:r>
              <w:rPr>
                <w:rFonts w:ascii="Times New Roman" w:hAnsi="Times New Roman" w:eastAsia="仿宋_GB2312"/>
                <w:sz w:val="24"/>
                <w:szCs w:val="24"/>
              </w:rPr>
              <w:t>既有设施名称</w:t>
            </w:r>
          </w:p>
        </w:tc>
        <w:tc>
          <w:tcPr>
            <w:tcW w:w="1223" w:type="dxa"/>
            <w:vMerge w:val="restart"/>
            <w:vAlign w:val="center"/>
          </w:tcPr>
          <w:p w14:paraId="2ADEC2D0">
            <w:pPr>
              <w:spacing w:after="0"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既有设施对应其它生产信息（如适用）</w:t>
            </w:r>
          </w:p>
        </w:tc>
        <w:tc>
          <w:tcPr>
            <w:tcW w:w="559" w:type="dxa"/>
            <w:vMerge w:val="restart"/>
            <w:vAlign w:val="center"/>
          </w:tcPr>
          <w:p w14:paraId="1881D68F">
            <w:pPr>
              <w:spacing w:after="0"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退出时间</w:t>
            </w:r>
          </w:p>
        </w:tc>
        <w:tc>
          <w:tcPr>
            <w:tcW w:w="802" w:type="dxa"/>
            <w:vMerge w:val="restart"/>
            <w:vAlign w:val="center"/>
          </w:tcPr>
          <w:p w14:paraId="54B950C0">
            <w:pPr>
              <w:spacing w:after="0"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是否由新增设施替代</w:t>
            </w:r>
          </w:p>
        </w:tc>
        <w:tc>
          <w:tcPr>
            <w:tcW w:w="1028" w:type="dxa"/>
            <w:vMerge w:val="restart"/>
            <w:tcBorders>
              <w:right w:val="single" w:color="auto" w:sz="4" w:space="0"/>
            </w:tcBorders>
            <w:vAlign w:val="center"/>
          </w:tcPr>
          <w:p w14:paraId="187E5431">
            <w:pPr>
              <w:spacing w:after="0"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年度</w:t>
            </w:r>
          </w:p>
        </w:tc>
        <w:tc>
          <w:tcPr>
            <w:tcW w:w="4297" w:type="dxa"/>
            <w:gridSpan w:val="3"/>
            <w:tcBorders>
              <w:left w:val="single" w:color="auto" w:sz="4" w:space="0"/>
            </w:tcBorders>
            <w:vAlign w:val="center"/>
          </w:tcPr>
          <w:p w14:paraId="4DC0B8DD">
            <w:pPr>
              <w:spacing w:after="0"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历史年度排放量</w:t>
            </w:r>
          </w:p>
        </w:tc>
      </w:tr>
      <w:tr w14:paraId="4B9B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462" w:type="dxa"/>
            <w:vMerge w:val="continue"/>
            <w:vAlign w:val="center"/>
          </w:tcPr>
          <w:p w14:paraId="4F0D050E">
            <w:pPr>
              <w:spacing w:line="340" w:lineRule="exact"/>
              <w:jc w:val="center"/>
              <w:rPr>
                <w:rFonts w:ascii="Times New Roman" w:hAnsi="Times New Roman" w:eastAsia="仿宋_GB2312"/>
                <w:sz w:val="24"/>
                <w:szCs w:val="24"/>
              </w:rPr>
            </w:pPr>
          </w:p>
        </w:tc>
        <w:tc>
          <w:tcPr>
            <w:tcW w:w="756" w:type="dxa"/>
            <w:vMerge w:val="continue"/>
            <w:vAlign w:val="center"/>
          </w:tcPr>
          <w:p w14:paraId="24D3DAA4">
            <w:pPr>
              <w:spacing w:line="340" w:lineRule="exact"/>
              <w:jc w:val="center"/>
              <w:rPr>
                <w:rFonts w:ascii="Times New Roman" w:hAnsi="Times New Roman" w:eastAsia="仿宋_GB2312"/>
                <w:sz w:val="24"/>
                <w:szCs w:val="24"/>
              </w:rPr>
            </w:pPr>
          </w:p>
        </w:tc>
        <w:tc>
          <w:tcPr>
            <w:tcW w:w="1223" w:type="dxa"/>
            <w:vMerge w:val="continue"/>
            <w:vAlign w:val="center"/>
          </w:tcPr>
          <w:p w14:paraId="62BB301C">
            <w:pPr>
              <w:spacing w:line="340" w:lineRule="exact"/>
              <w:jc w:val="center"/>
              <w:rPr>
                <w:rFonts w:ascii="Times New Roman" w:hAnsi="Times New Roman" w:eastAsia="仿宋_GB2312"/>
                <w:sz w:val="24"/>
                <w:szCs w:val="24"/>
              </w:rPr>
            </w:pPr>
          </w:p>
        </w:tc>
        <w:tc>
          <w:tcPr>
            <w:tcW w:w="559" w:type="dxa"/>
            <w:vMerge w:val="continue"/>
            <w:vAlign w:val="center"/>
          </w:tcPr>
          <w:p w14:paraId="35657CF0">
            <w:pPr>
              <w:spacing w:line="340" w:lineRule="exact"/>
              <w:jc w:val="center"/>
              <w:rPr>
                <w:rFonts w:ascii="Times New Roman" w:hAnsi="Times New Roman" w:eastAsia="仿宋_GB2312"/>
                <w:sz w:val="24"/>
                <w:szCs w:val="24"/>
              </w:rPr>
            </w:pPr>
          </w:p>
        </w:tc>
        <w:tc>
          <w:tcPr>
            <w:tcW w:w="802" w:type="dxa"/>
            <w:vMerge w:val="continue"/>
            <w:vAlign w:val="center"/>
          </w:tcPr>
          <w:p w14:paraId="3EDC574A">
            <w:pPr>
              <w:spacing w:line="340" w:lineRule="exact"/>
              <w:jc w:val="center"/>
              <w:rPr>
                <w:rFonts w:ascii="Times New Roman" w:hAnsi="Times New Roman" w:eastAsia="仿宋_GB2312"/>
                <w:sz w:val="24"/>
                <w:szCs w:val="24"/>
              </w:rPr>
            </w:pPr>
          </w:p>
        </w:tc>
        <w:tc>
          <w:tcPr>
            <w:tcW w:w="1028" w:type="dxa"/>
            <w:vMerge w:val="continue"/>
            <w:tcBorders>
              <w:right w:val="single" w:color="auto" w:sz="4" w:space="0"/>
            </w:tcBorders>
            <w:vAlign w:val="center"/>
          </w:tcPr>
          <w:p w14:paraId="23CD6B2D">
            <w:pPr>
              <w:spacing w:line="340" w:lineRule="exact"/>
              <w:jc w:val="center"/>
              <w:rPr>
                <w:rFonts w:ascii="Times New Roman" w:hAnsi="Times New Roman" w:eastAsia="仿宋_GB2312"/>
                <w:sz w:val="24"/>
                <w:szCs w:val="24"/>
              </w:rPr>
            </w:pPr>
          </w:p>
        </w:tc>
        <w:tc>
          <w:tcPr>
            <w:tcW w:w="1436" w:type="dxa"/>
            <w:tcBorders>
              <w:left w:val="single" w:color="auto" w:sz="4" w:space="0"/>
            </w:tcBorders>
            <w:vAlign w:val="center"/>
          </w:tcPr>
          <w:p w14:paraId="118F6C28">
            <w:pPr>
              <w:spacing w:after="0"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直接排放量</w:t>
            </w:r>
          </w:p>
          <w:p w14:paraId="0EA69704">
            <w:pPr>
              <w:spacing w:after="0"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tCO</w:t>
            </w:r>
            <w:r>
              <w:rPr>
                <w:rFonts w:ascii="Times New Roman" w:hAnsi="Times New Roman" w:eastAsia="仿宋_GB2312"/>
                <w:sz w:val="24"/>
                <w:szCs w:val="24"/>
                <w:vertAlign w:val="subscript"/>
              </w:rPr>
              <w:t>2</w:t>
            </w:r>
            <w:r>
              <w:rPr>
                <w:rFonts w:hint="eastAsia" w:ascii="Times New Roman" w:hAnsi="Times New Roman" w:eastAsia="仿宋_GB2312"/>
                <w:sz w:val="24"/>
                <w:szCs w:val="24"/>
              </w:rPr>
              <w:t>）</w:t>
            </w:r>
          </w:p>
        </w:tc>
        <w:tc>
          <w:tcPr>
            <w:tcW w:w="1436" w:type="dxa"/>
            <w:vAlign w:val="center"/>
          </w:tcPr>
          <w:p w14:paraId="3DE2726A">
            <w:pPr>
              <w:spacing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间接排放量（</w:t>
            </w:r>
            <w:r>
              <w:rPr>
                <w:rFonts w:ascii="Times New Roman" w:hAnsi="Times New Roman" w:eastAsia="仿宋_GB2312"/>
                <w:sz w:val="24"/>
                <w:szCs w:val="24"/>
              </w:rPr>
              <w:t>tCO</w:t>
            </w:r>
            <w:r>
              <w:rPr>
                <w:rFonts w:ascii="Times New Roman" w:hAnsi="Times New Roman" w:eastAsia="仿宋_GB2312"/>
                <w:sz w:val="24"/>
                <w:szCs w:val="24"/>
                <w:vertAlign w:val="subscript"/>
              </w:rPr>
              <w:t>2</w:t>
            </w:r>
            <w:r>
              <w:rPr>
                <w:rFonts w:hint="eastAsia" w:ascii="Times New Roman" w:hAnsi="Times New Roman" w:eastAsia="仿宋_GB2312"/>
                <w:sz w:val="24"/>
                <w:szCs w:val="24"/>
              </w:rPr>
              <w:t>）</w:t>
            </w:r>
          </w:p>
        </w:tc>
        <w:tc>
          <w:tcPr>
            <w:tcW w:w="1425" w:type="dxa"/>
            <w:vAlign w:val="center"/>
          </w:tcPr>
          <w:p w14:paraId="7A89B1B2">
            <w:pPr>
              <w:spacing w:line="340" w:lineRule="exact"/>
              <w:jc w:val="center"/>
              <w:rPr>
                <w:rFonts w:ascii="Times New Roman" w:hAnsi="Times New Roman" w:eastAsia="仿宋_GB2312"/>
                <w:sz w:val="24"/>
                <w:szCs w:val="24"/>
              </w:rPr>
            </w:pPr>
            <w:r>
              <w:rPr>
                <w:rFonts w:hint="eastAsia" w:ascii="Times New Roman" w:hAnsi="Times New Roman" w:eastAsia="仿宋_GB2312"/>
                <w:sz w:val="24"/>
                <w:szCs w:val="24"/>
              </w:rPr>
              <w:t>总排放量（</w:t>
            </w:r>
            <w:r>
              <w:rPr>
                <w:rFonts w:ascii="Times New Roman" w:hAnsi="Times New Roman" w:eastAsia="仿宋_GB2312"/>
                <w:sz w:val="24"/>
                <w:szCs w:val="24"/>
              </w:rPr>
              <w:t>tCO</w:t>
            </w:r>
            <w:r>
              <w:rPr>
                <w:rFonts w:ascii="Times New Roman" w:hAnsi="Times New Roman" w:eastAsia="仿宋_GB2312"/>
                <w:sz w:val="24"/>
                <w:szCs w:val="24"/>
                <w:vertAlign w:val="subscript"/>
              </w:rPr>
              <w:t>2</w:t>
            </w:r>
            <w:r>
              <w:rPr>
                <w:rFonts w:hint="eastAsia" w:ascii="Times New Roman" w:hAnsi="Times New Roman" w:eastAsia="仿宋_GB2312"/>
                <w:sz w:val="24"/>
                <w:szCs w:val="24"/>
              </w:rPr>
              <w:t>）</w:t>
            </w:r>
          </w:p>
        </w:tc>
      </w:tr>
      <w:tr w14:paraId="6590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62" w:type="dxa"/>
            <w:vMerge w:val="restart"/>
            <w:vAlign w:val="center"/>
          </w:tcPr>
          <w:p w14:paraId="3A554AEE">
            <w:pPr>
              <w:spacing w:after="0" w:line="340" w:lineRule="exact"/>
              <w:jc w:val="center"/>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vertAlign w:val="superscript"/>
              </w:rPr>
              <w:t>※</w:t>
            </w:r>
          </w:p>
        </w:tc>
        <w:tc>
          <w:tcPr>
            <w:tcW w:w="756" w:type="dxa"/>
            <w:vMerge w:val="restart"/>
            <w:vAlign w:val="center"/>
          </w:tcPr>
          <w:p w14:paraId="6858E528">
            <w:pPr>
              <w:spacing w:after="0" w:line="340" w:lineRule="exact"/>
              <w:jc w:val="center"/>
              <w:rPr>
                <w:rFonts w:ascii="Times New Roman" w:hAnsi="Times New Roman" w:eastAsia="仿宋_GB2312"/>
                <w:sz w:val="24"/>
                <w:szCs w:val="24"/>
              </w:rPr>
            </w:pPr>
          </w:p>
        </w:tc>
        <w:tc>
          <w:tcPr>
            <w:tcW w:w="1223" w:type="dxa"/>
            <w:vMerge w:val="restart"/>
            <w:vAlign w:val="center"/>
          </w:tcPr>
          <w:p w14:paraId="55EE5535">
            <w:pPr>
              <w:spacing w:after="0" w:line="340" w:lineRule="exact"/>
              <w:jc w:val="center"/>
              <w:rPr>
                <w:rFonts w:ascii="Times New Roman" w:hAnsi="Times New Roman" w:eastAsia="仿宋_GB2312"/>
                <w:sz w:val="24"/>
                <w:szCs w:val="24"/>
              </w:rPr>
            </w:pPr>
          </w:p>
        </w:tc>
        <w:tc>
          <w:tcPr>
            <w:tcW w:w="559" w:type="dxa"/>
            <w:vMerge w:val="restart"/>
            <w:vAlign w:val="center"/>
          </w:tcPr>
          <w:p w14:paraId="7366D560">
            <w:pPr>
              <w:spacing w:after="0" w:line="340" w:lineRule="exact"/>
              <w:jc w:val="center"/>
              <w:rPr>
                <w:rFonts w:ascii="Times New Roman" w:hAnsi="Times New Roman" w:eastAsia="仿宋_GB2312"/>
                <w:sz w:val="24"/>
                <w:szCs w:val="24"/>
              </w:rPr>
            </w:pPr>
          </w:p>
        </w:tc>
        <w:tc>
          <w:tcPr>
            <w:tcW w:w="802" w:type="dxa"/>
            <w:vMerge w:val="restart"/>
          </w:tcPr>
          <w:p w14:paraId="73250A5D">
            <w:pPr>
              <w:spacing w:after="0" w:line="340" w:lineRule="exact"/>
              <w:rPr>
                <w:rFonts w:ascii="Times New Roman" w:hAnsi="Times New Roman" w:eastAsia="仿宋_GB2312"/>
                <w:sz w:val="24"/>
                <w:szCs w:val="24"/>
              </w:rPr>
            </w:pPr>
          </w:p>
        </w:tc>
        <w:tc>
          <w:tcPr>
            <w:tcW w:w="1028" w:type="dxa"/>
            <w:tcBorders>
              <w:right w:val="single" w:color="auto" w:sz="4" w:space="0"/>
            </w:tcBorders>
          </w:tcPr>
          <w:p w14:paraId="67B481CB">
            <w:pPr>
              <w:spacing w:after="0" w:line="340" w:lineRule="exact"/>
              <w:rPr>
                <w:rFonts w:ascii="Times New Roman" w:hAnsi="Times New Roman" w:eastAsia="仿宋_GB2312"/>
                <w:sz w:val="24"/>
                <w:szCs w:val="24"/>
              </w:rPr>
            </w:pPr>
            <w:r>
              <w:rPr>
                <w:rFonts w:ascii="Times New Roman" w:hAnsi="Times New Roman" w:eastAsia="仿宋_GB2312"/>
                <w:sz w:val="24"/>
                <w:szCs w:val="24"/>
              </w:rPr>
              <w:t>2016</w:t>
            </w:r>
            <w:r>
              <w:rPr>
                <w:rFonts w:hint="eastAsia" w:ascii="Times New Roman" w:hAnsi="Times New Roman" w:eastAsia="仿宋_GB2312"/>
                <w:sz w:val="24"/>
                <w:szCs w:val="24"/>
              </w:rPr>
              <w:t>年</w:t>
            </w:r>
          </w:p>
        </w:tc>
        <w:tc>
          <w:tcPr>
            <w:tcW w:w="1436" w:type="dxa"/>
            <w:tcBorders>
              <w:left w:val="single" w:color="auto" w:sz="4" w:space="0"/>
            </w:tcBorders>
          </w:tcPr>
          <w:p w14:paraId="37804E9C">
            <w:pPr>
              <w:spacing w:after="0" w:line="340" w:lineRule="exact"/>
              <w:rPr>
                <w:rFonts w:ascii="Times New Roman" w:hAnsi="Times New Roman" w:eastAsia="仿宋_GB2312"/>
                <w:sz w:val="24"/>
                <w:szCs w:val="24"/>
              </w:rPr>
            </w:pPr>
          </w:p>
        </w:tc>
        <w:tc>
          <w:tcPr>
            <w:tcW w:w="1436" w:type="dxa"/>
          </w:tcPr>
          <w:p w14:paraId="4B502AF2">
            <w:pPr>
              <w:spacing w:after="0" w:line="340" w:lineRule="exact"/>
              <w:rPr>
                <w:rFonts w:ascii="Times New Roman" w:hAnsi="Times New Roman" w:eastAsia="仿宋_GB2312"/>
                <w:sz w:val="24"/>
                <w:szCs w:val="24"/>
              </w:rPr>
            </w:pPr>
          </w:p>
        </w:tc>
        <w:tc>
          <w:tcPr>
            <w:tcW w:w="1425" w:type="dxa"/>
          </w:tcPr>
          <w:p w14:paraId="4B803A85">
            <w:pPr>
              <w:spacing w:after="0" w:line="340" w:lineRule="exact"/>
              <w:rPr>
                <w:rFonts w:ascii="Times New Roman" w:hAnsi="Times New Roman" w:eastAsia="仿宋_GB2312"/>
                <w:sz w:val="24"/>
                <w:szCs w:val="24"/>
              </w:rPr>
            </w:pPr>
          </w:p>
        </w:tc>
      </w:tr>
      <w:tr w14:paraId="198F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62" w:type="dxa"/>
            <w:vMerge w:val="continue"/>
          </w:tcPr>
          <w:p w14:paraId="4D49A246">
            <w:pPr>
              <w:spacing w:after="0" w:line="340" w:lineRule="exact"/>
              <w:rPr>
                <w:rFonts w:ascii="Times New Roman" w:hAnsi="Times New Roman" w:eastAsia="仿宋_GB2312"/>
                <w:sz w:val="24"/>
                <w:szCs w:val="24"/>
              </w:rPr>
            </w:pPr>
          </w:p>
        </w:tc>
        <w:tc>
          <w:tcPr>
            <w:tcW w:w="756" w:type="dxa"/>
            <w:vMerge w:val="continue"/>
          </w:tcPr>
          <w:p w14:paraId="7ADE8C45">
            <w:pPr>
              <w:spacing w:after="0" w:line="340" w:lineRule="exact"/>
              <w:rPr>
                <w:rFonts w:ascii="Times New Roman" w:hAnsi="Times New Roman" w:eastAsia="仿宋_GB2312"/>
                <w:sz w:val="24"/>
                <w:szCs w:val="24"/>
              </w:rPr>
            </w:pPr>
          </w:p>
        </w:tc>
        <w:tc>
          <w:tcPr>
            <w:tcW w:w="1223" w:type="dxa"/>
            <w:vMerge w:val="continue"/>
          </w:tcPr>
          <w:p w14:paraId="4650B7FD">
            <w:pPr>
              <w:spacing w:after="0" w:line="340" w:lineRule="exact"/>
              <w:rPr>
                <w:rFonts w:ascii="Times New Roman" w:hAnsi="Times New Roman" w:eastAsia="仿宋_GB2312"/>
                <w:sz w:val="24"/>
                <w:szCs w:val="24"/>
              </w:rPr>
            </w:pPr>
          </w:p>
        </w:tc>
        <w:tc>
          <w:tcPr>
            <w:tcW w:w="559" w:type="dxa"/>
            <w:vMerge w:val="continue"/>
          </w:tcPr>
          <w:p w14:paraId="66C133E0">
            <w:pPr>
              <w:spacing w:after="0" w:line="340" w:lineRule="exact"/>
              <w:rPr>
                <w:rFonts w:ascii="Times New Roman" w:hAnsi="Times New Roman" w:eastAsia="仿宋_GB2312"/>
                <w:sz w:val="24"/>
                <w:szCs w:val="24"/>
              </w:rPr>
            </w:pPr>
          </w:p>
        </w:tc>
        <w:tc>
          <w:tcPr>
            <w:tcW w:w="802" w:type="dxa"/>
            <w:vMerge w:val="continue"/>
          </w:tcPr>
          <w:p w14:paraId="7F19C1AD">
            <w:pPr>
              <w:spacing w:after="0" w:line="340" w:lineRule="exact"/>
              <w:rPr>
                <w:rFonts w:ascii="Times New Roman" w:hAnsi="Times New Roman" w:eastAsia="仿宋_GB2312"/>
                <w:sz w:val="24"/>
                <w:szCs w:val="24"/>
              </w:rPr>
            </w:pPr>
          </w:p>
        </w:tc>
        <w:tc>
          <w:tcPr>
            <w:tcW w:w="1028" w:type="dxa"/>
            <w:tcBorders>
              <w:right w:val="single" w:color="auto" w:sz="4" w:space="0"/>
            </w:tcBorders>
          </w:tcPr>
          <w:p w14:paraId="198EE96E">
            <w:pPr>
              <w:spacing w:after="0" w:line="340" w:lineRule="exact"/>
              <w:rPr>
                <w:rFonts w:ascii="Times New Roman" w:hAnsi="Times New Roman" w:eastAsia="仿宋_GB2312"/>
                <w:sz w:val="24"/>
                <w:szCs w:val="24"/>
              </w:rPr>
            </w:pPr>
            <w:r>
              <w:rPr>
                <w:rFonts w:ascii="Times New Roman" w:hAnsi="Times New Roman" w:eastAsia="仿宋_GB2312"/>
                <w:sz w:val="24"/>
                <w:szCs w:val="24"/>
              </w:rPr>
              <w:t>2017</w:t>
            </w:r>
            <w:r>
              <w:rPr>
                <w:rFonts w:hint="eastAsia" w:ascii="Times New Roman" w:hAnsi="Times New Roman" w:eastAsia="仿宋_GB2312"/>
                <w:sz w:val="24"/>
                <w:szCs w:val="24"/>
              </w:rPr>
              <w:t>年</w:t>
            </w:r>
          </w:p>
        </w:tc>
        <w:tc>
          <w:tcPr>
            <w:tcW w:w="1436" w:type="dxa"/>
            <w:tcBorders>
              <w:left w:val="single" w:color="auto" w:sz="4" w:space="0"/>
            </w:tcBorders>
          </w:tcPr>
          <w:p w14:paraId="6440697E">
            <w:pPr>
              <w:spacing w:after="0" w:line="340" w:lineRule="exact"/>
              <w:rPr>
                <w:rFonts w:ascii="Times New Roman" w:hAnsi="Times New Roman" w:eastAsia="仿宋_GB2312"/>
                <w:sz w:val="24"/>
                <w:szCs w:val="24"/>
              </w:rPr>
            </w:pPr>
          </w:p>
        </w:tc>
        <w:tc>
          <w:tcPr>
            <w:tcW w:w="1436" w:type="dxa"/>
          </w:tcPr>
          <w:p w14:paraId="1D28D070">
            <w:pPr>
              <w:spacing w:after="0" w:line="340" w:lineRule="exact"/>
              <w:rPr>
                <w:rFonts w:ascii="Times New Roman" w:hAnsi="Times New Roman" w:eastAsia="仿宋_GB2312"/>
                <w:sz w:val="24"/>
                <w:szCs w:val="24"/>
              </w:rPr>
            </w:pPr>
          </w:p>
        </w:tc>
        <w:tc>
          <w:tcPr>
            <w:tcW w:w="1425" w:type="dxa"/>
          </w:tcPr>
          <w:p w14:paraId="719FE83E">
            <w:pPr>
              <w:spacing w:after="0" w:line="340" w:lineRule="exact"/>
              <w:rPr>
                <w:rFonts w:ascii="Times New Roman" w:hAnsi="Times New Roman" w:eastAsia="仿宋_GB2312"/>
                <w:sz w:val="24"/>
                <w:szCs w:val="24"/>
              </w:rPr>
            </w:pPr>
          </w:p>
        </w:tc>
      </w:tr>
      <w:tr w14:paraId="597F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62" w:type="dxa"/>
            <w:vMerge w:val="continue"/>
          </w:tcPr>
          <w:p w14:paraId="1997835A">
            <w:pPr>
              <w:spacing w:after="0" w:line="340" w:lineRule="exact"/>
              <w:rPr>
                <w:rFonts w:ascii="Times New Roman" w:hAnsi="Times New Roman" w:eastAsia="仿宋_GB2312"/>
                <w:sz w:val="24"/>
                <w:szCs w:val="24"/>
              </w:rPr>
            </w:pPr>
          </w:p>
        </w:tc>
        <w:tc>
          <w:tcPr>
            <w:tcW w:w="756" w:type="dxa"/>
            <w:vMerge w:val="continue"/>
          </w:tcPr>
          <w:p w14:paraId="137BB29C">
            <w:pPr>
              <w:spacing w:after="0" w:line="340" w:lineRule="exact"/>
              <w:rPr>
                <w:rFonts w:ascii="Times New Roman" w:hAnsi="Times New Roman" w:eastAsia="仿宋_GB2312"/>
                <w:sz w:val="24"/>
                <w:szCs w:val="24"/>
              </w:rPr>
            </w:pPr>
          </w:p>
        </w:tc>
        <w:tc>
          <w:tcPr>
            <w:tcW w:w="1223" w:type="dxa"/>
            <w:vMerge w:val="continue"/>
          </w:tcPr>
          <w:p w14:paraId="188724D5">
            <w:pPr>
              <w:spacing w:after="0" w:line="340" w:lineRule="exact"/>
              <w:rPr>
                <w:rFonts w:ascii="Times New Roman" w:hAnsi="Times New Roman" w:eastAsia="仿宋_GB2312"/>
                <w:sz w:val="24"/>
                <w:szCs w:val="24"/>
              </w:rPr>
            </w:pPr>
          </w:p>
        </w:tc>
        <w:tc>
          <w:tcPr>
            <w:tcW w:w="559" w:type="dxa"/>
            <w:vMerge w:val="continue"/>
          </w:tcPr>
          <w:p w14:paraId="20A77C5E">
            <w:pPr>
              <w:spacing w:after="0" w:line="340" w:lineRule="exact"/>
              <w:rPr>
                <w:rFonts w:ascii="Times New Roman" w:hAnsi="Times New Roman" w:eastAsia="仿宋_GB2312"/>
                <w:sz w:val="24"/>
                <w:szCs w:val="24"/>
              </w:rPr>
            </w:pPr>
          </w:p>
        </w:tc>
        <w:tc>
          <w:tcPr>
            <w:tcW w:w="802" w:type="dxa"/>
            <w:vMerge w:val="continue"/>
          </w:tcPr>
          <w:p w14:paraId="47D8C127">
            <w:pPr>
              <w:spacing w:after="0" w:line="340" w:lineRule="exact"/>
              <w:rPr>
                <w:rFonts w:ascii="Times New Roman" w:hAnsi="Times New Roman" w:eastAsia="仿宋_GB2312"/>
                <w:sz w:val="24"/>
                <w:szCs w:val="24"/>
              </w:rPr>
            </w:pPr>
          </w:p>
        </w:tc>
        <w:tc>
          <w:tcPr>
            <w:tcW w:w="1028" w:type="dxa"/>
            <w:tcBorders>
              <w:right w:val="single" w:color="auto" w:sz="4" w:space="0"/>
            </w:tcBorders>
          </w:tcPr>
          <w:p w14:paraId="718095E0">
            <w:pPr>
              <w:spacing w:after="0" w:line="340" w:lineRule="exact"/>
              <w:rPr>
                <w:rFonts w:ascii="Times New Roman" w:hAnsi="Times New Roman" w:eastAsia="仿宋_GB2312"/>
                <w:sz w:val="24"/>
                <w:szCs w:val="24"/>
              </w:rPr>
            </w:pPr>
            <w:r>
              <w:rPr>
                <w:rFonts w:ascii="Times New Roman" w:hAnsi="Times New Roman" w:eastAsia="仿宋_GB2312"/>
                <w:sz w:val="24"/>
                <w:szCs w:val="24"/>
              </w:rPr>
              <w:t>2018</w:t>
            </w:r>
            <w:r>
              <w:rPr>
                <w:rFonts w:hint="eastAsia" w:ascii="Times New Roman" w:hAnsi="Times New Roman" w:eastAsia="仿宋_GB2312"/>
                <w:sz w:val="24"/>
                <w:szCs w:val="24"/>
              </w:rPr>
              <w:t>年</w:t>
            </w:r>
          </w:p>
        </w:tc>
        <w:tc>
          <w:tcPr>
            <w:tcW w:w="1436" w:type="dxa"/>
            <w:tcBorders>
              <w:left w:val="single" w:color="auto" w:sz="4" w:space="0"/>
            </w:tcBorders>
          </w:tcPr>
          <w:p w14:paraId="4ED23F1D">
            <w:pPr>
              <w:spacing w:after="0" w:line="340" w:lineRule="exact"/>
              <w:rPr>
                <w:rFonts w:ascii="Times New Roman" w:hAnsi="Times New Roman" w:eastAsia="仿宋_GB2312"/>
                <w:sz w:val="24"/>
                <w:szCs w:val="24"/>
              </w:rPr>
            </w:pPr>
          </w:p>
        </w:tc>
        <w:tc>
          <w:tcPr>
            <w:tcW w:w="1436" w:type="dxa"/>
          </w:tcPr>
          <w:p w14:paraId="577532FA">
            <w:pPr>
              <w:spacing w:after="0" w:line="340" w:lineRule="exact"/>
              <w:rPr>
                <w:rFonts w:ascii="Times New Roman" w:hAnsi="Times New Roman" w:eastAsia="仿宋_GB2312"/>
                <w:sz w:val="24"/>
                <w:szCs w:val="24"/>
              </w:rPr>
            </w:pPr>
          </w:p>
        </w:tc>
        <w:tc>
          <w:tcPr>
            <w:tcW w:w="1425" w:type="dxa"/>
          </w:tcPr>
          <w:p w14:paraId="2F474730">
            <w:pPr>
              <w:spacing w:after="0" w:line="340" w:lineRule="exact"/>
              <w:rPr>
                <w:rFonts w:ascii="Times New Roman" w:hAnsi="Times New Roman" w:eastAsia="仿宋_GB2312"/>
                <w:sz w:val="24"/>
                <w:szCs w:val="24"/>
              </w:rPr>
            </w:pPr>
          </w:p>
        </w:tc>
      </w:tr>
      <w:tr w14:paraId="10E1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62" w:type="dxa"/>
            <w:vMerge w:val="restart"/>
            <w:vAlign w:val="center"/>
          </w:tcPr>
          <w:p w14:paraId="0B18027B">
            <w:pPr>
              <w:spacing w:after="0" w:line="340" w:lineRule="exact"/>
              <w:jc w:val="center"/>
              <w:rPr>
                <w:rFonts w:ascii="Times New Roman" w:hAnsi="Times New Roman" w:eastAsia="仿宋_GB2312"/>
                <w:sz w:val="24"/>
                <w:szCs w:val="24"/>
              </w:rPr>
            </w:pPr>
            <w:r>
              <w:rPr>
                <w:rFonts w:ascii="Times New Roman" w:hAnsi="Times New Roman" w:eastAsia="仿宋_GB2312"/>
                <w:sz w:val="24"/>
                <w:szCs w:val="24"/>
              </w:rPr>
              <w:t>2</w:t>
            </w:r>
          </w:p>
        </w:tc>
        <w:tc>
          <w:tcPr>
            <w:tcW w:w="756" w:type="dxa"/>
            <w:vMerge w:val="restart"/>
            <w:vAlign w:val="center"/>
          </w:tcPr>
          <w:p w14:paraId="6F3603A5">
            <w:pPr>
              <w:spacing w:after="0" w:line="340" w:lineRule="exact"/>
              <w:jc w:val="center"/>
              <w:rPr>
                <w:rFonts w:ascii="Times New Roman" w:hAnsi="Times New Roman" w:eastAsia="仿宋_GB2312"/>
                <w:sz w:val="24"/>
                <w:szCs w:val="24"/>
              </w:rPr>
            </w:pPr>
          </w:p>
        </w:tc>
        <w:tc>
          <w:tcPr>
            <w:tcW w:w="1223" w:type="dxa"/>
            <w:vMerge w:val="restart"/>
            <w:vAlign w:val="center"/>
          </w:tcPr>
          <w:p w14:paraId="5891BB4E">
            <w:pPr>
              <w:spacing w:after="0" w:line="340" w:lineRule="exact"/>
              <w:jc w:val="center"/>
              <w:rPr>
                <w:rFonts w:ascii="Times New Roman" w:hAnsi="Times New Roman" w:eastAsia="仿宋_GB2312"/>
                <w:sz w:val="24"/>
                <w:szCs w:val="24"/>
              </w:rPr>
            </w:pPr>
          </w:p>
        </w:tc>
        <w:tc>
          <w:tcPr>
            <w:tcW w:w="559" w:type="dxa"/>
            <w:vMerge w:val="restart"/>
            <w:vAlign w:val="center"/>
          </w:tcPr>
          <w:p w14:paraId="70230F9E">
            <w:pPr>
              <w:spacing w:after="0" w:line="340" w:lineRule="exact"/>
              <w:jc w:val="center"/>
              <w:rPr>
                <w:rFonts w:ascii="Times New Roman" w:hAnsi="Times New Roman" w:eastAsia="仿宋_GB2312"/>
                <w:sz w:val="24"/>
                <w:szCs w:val="24"/>
              </w:rPr>
            </w:pPr>
          </w:p>
        </w:tc>
        <w:tc>
          <w:tcPr>
            <w:tcW w:w="802" w:type="dxa"/>
            <w:vMerge w:val="restart"/>
          </w:tcPr>
          <w:p w14:paraId="0AC94C15">
            <w:pPr>
              <w:spacing w:after="0" w:line="340" w:lineRule="exact"/>
              <w:rPr>
                <w:rFonts w:ascii="Times New Roman" w:hAnsi="Times New Roman" w:eastAsia="仿宋_GB2312"/>
                <w:sz w:val="24"/>
                <w:szCs w:val="24"/>
              </w:rPr>
            </w:pPr>
          </w:p>
        </w:tc>
        <w:tc>
          <w:tcPr>
            <w:tcW w:w="1028" w:type="dxa"/>
            <w:tcBorders>
              <w:right w:val="single" w:color="auto" w:sz="4" w:space="0"/>
            </w:tcBorders>
          </w:tcPr>
          <w:p w14:paraId="31BBF249">
            <w:pPr>
              <w:spacing w:after="0" w:line="340" w:lineRule="exact"/>
              <w:rPr>
                <w:rFonts w:ascii="Times New Roman" w:hAnsi="Times New Roman" w:eastAsia="仿宋_GB2312"/>
                <w:sz w:val="24"/>
                <w:szCs w:val="24"/>
              </w:rPr>
            </w:pPr>
            <w:r>
              <w:rPr>
                <w:rFonts w:ascii="Times New Roman" w:hAnsi="Times New Roman" w:eastAsia="仿宋_GB2312"/>
                <w:sz w:val="24"/>
                <w:szCs w:val="24"/>
              </w:rPr>
              <w:t>2016</w:t>
            </w:r>
            <w:r>
              <w:rPr>
                <w:rFonts w:hint="eastAsia" w:ascii="Times New Roman" w:hAnsi="Times New Roman" w:eastAsia="仿宋_GB2312"/>
                <w:sz w:val="24"/>
                <w:szCs w:val="24"/>
              </w:rPr>
              <w:t>年</w:t>
            </w:r>
          </w:p>
        </w:tc>
        <w:tc>
          <w:tcPr>
            <w:tcW w:w="1436" w:type="dxa"/>
            <w:tcBorders>
              <w:left w:val="single" w:color="auto" w:sz="4" w:space="0"/>
            </w:tcBorders>
          </w:tcPr>
          <w:p w14:paraId="257E1B7D">
            <w:pPr>
              <w:spacing w:after="0" w:line="340" w:lineRule="exact"/>
              <w:rPr>
                <w:rFonts w:ascii="Times New Roman" w:hAnsi="Times New Roman" w:eastAsia="仿宋_GB2312"/>
                <w:sz w:val="24"/>
                <w:szCs w:val="24"/>
              </w:rPr>
            </w:pPr>
          </w:p>
        </w:tc>
        <w:tc>
          <w:tcPr>
            <w:tcW w:w="1436" w:type="dxa"/>
          </w:tcPr>
          <w:p w14:paraId="5C35DF09">
            <w:pPr>
              <w:spacing w:after="0" w:line="340" w:lineRule="exact"/>
              <w:rPr>
                <w:rFonts w:ascii="Times New Roman" w:hAnsi="Times New Roman" w:eastAsia="仿宋_GB2312"/>
                <w:sz w:val="24"/>
                <w:szCs w:val="24"/>
              </w:rPr>
            </w:pPr>
          </w:p>
        </w:tc>
        <w:tc>
          <w:tcPr>
            <w:tcW w:w="1425" w:type="dxa"/>
          </w:tcPr>
          <w:p w14:paraId="44EE7857">
            <w:pPr>
              <w:spacing w:after="0" w:line="340" w:lineRule="exact"/>
              <w:rPr>
                <w:rFonts w:ascii="Times New Roman" w:hAnsi="Times New Roman" w:eastAsia="仿宋_GB2312"/>
                <w:sz w:val="24"/>
                <w:szCs w:val="24"/>
              </w:rPr>
            </w:pPr>
          </w:p>
        </w:tc>
      </w:tr>
      <w:tr w14:paraId="72D1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62" w:type="dxa"/>
            <w:vMerge w:val="continue"/>
          </w:tcPr>
          <w:p w14:paraId="0965601C">
            <w:pPr>
              <w:spacing w:after="0" w:line="340" w:lineRule="exact"/>
              <w:rPr>
                <w:rFonts w:ascii="Times New Roman" w:hAnsi="Times New Roman" w:eastAsia="仿宋_GB2312"/>
                <w:sz w:val="24"/>
                <w:szCs w:val="24"/>
              </w:rPr>
            </w:pPr>
          </w:p>
        </w:tc>
        <w:tc>
          <w:tcPr>
            <w:tcW w:w="756" w:type="dxa"/>
            <w:vMerge w:val="continue"/>
          </w:tcPr>
          <w:p w14:paraId="47C8ED69">
            <w:pPr>
              <w:spacing w:after="0" w:line="340" w:lineRule="exact"/>
              <w:rPr>
                <w:rFonts w:ascii="Times New Roman" w:hAnsi="Times New Roman" w:eastAsia="仿宋_GB2312"/>
                <w:sz w:val="24"/>
                <w:szCs w:val="24"/>
              </w:rPr>
            </w:pPr>
          </w:p>
        </w:tc>
        <w:tc>
          <w:tcPr>
            <w:tcW w:w="1223" w:type="dxa"/>
            <w:vMerge w:val="continue"/>
          </w:tcPr>
          <w:p w14:paraId="185F2D2C">
            <w:pPr>
              <w:spacing w:after="0" w:line="340" w:lineRule="exact"/>
              <w:rPr>
                <w:rFonts w:ascii="Times New Roman" w:hAnsi="Times New Roman" w:eastAsia="仿宋_GB2312"/>
                <w:sz w:val="24"/>
                <w:szCs w:val="24"/>
              </w:rPr>
            </w:pPr>
          </w:p>
        </w:tc>
        <w:tc>
          <w:tcPr>
            <w:tcW w:w="559" w:type="dxa"/>
            <w:vMerge w:val="continue"/>
          </w:tcPr>
          <w:p w14:paraId="289D428F">
            <w:pPr>
              <w:spacing w:after="0" w:line="340" w:lineRule="exact"/>
              <w:rPr>
                <w:rFonts w:ascii="Times New Roman" w:hAnsi="Times New Roman" w:eastAsia="仿宋_GB2312"/>
                <w:sz w:val="24"/>
                <w:szCs w:val="24"/>
              </w:rPr>
            </w:pPr>
          </w:p>
        </w:tc>
        <w:tc>
          <w:tcPr>
            <w:tcW w:w="802" w:type="dxa"/>
            <w:vMerge w:val="continue"/>
          </w:tcPr>
          <w:p w14:paraId="54D39157">
            <w:pPr>
              <w:spacing w:after="0" w:line="340" w:lineRule="exact"/>
              <w:rPr>
                <w:rFonts w:ascii="Times New Roman" w:hAnsi="Times New Roman" w:eastAsia="仿宋_GB2312"/>
                <w:sz w:val="24"/>
                <w:szCs w:val="24"/>
              </w:rPr>
            </w:pPr>
          </w:p>
        </w:tc>
        <w:tc>
          <w:tcPr>
            <w:tcW w:w="1028" w:type="dxa"/>
            <w:tcBorders>
              <w:right w:val="single" w:color="auto" w:sz="4" w:space="0"/>
            </w:tcBorders>
          </w:tcPr>
          <w:p w14:paraId="07DF191A">
            <w:pPr>
              <w:spacing w:after="0" w:line="340" w:lineRule="exact"/>
              <w:rPr>
                <w:rFonts w:ascii="Times New Roman" w:hAnsi="Times New Roman" w:eastAsia="仿宋_GB2312"/>
                <w:sz w:val="24"/>
                <w:szCs w:val="24"/>
              </w:rPr>
            </w:pPr>
            <w:r>
              <w:rPr>
                <w:rFonts w:ascii="Times New Roman" w:hAnsi="Times New Roman" w:eastAsia="仿宋_GB2312"/>
                <w:sz w:val="24"/>
                <w:szCs w:val="24"/>
              </w:rPr>
              <w:t>2017</w:t>
            </w:r>
            <w:r>
              <w:rPr>
                <w:rFonts w:hint="eastAsia" w:ascii="Times New Roman" w:hAnsi="Times New Roman" w:eastAsia="仿宋_GB2312"/>
                <w:sz w:val="24"/>
                <w:szCs w:val="24"/>
              </w:rPr>
              <w:t>年</w:t>
            </w:r>
          </w:p>
        </w:tc>
        <w:tc>
          <w:tcPr>
            <w:tcW w:w="1436" w:type="dxa"/>
            <w:tcBorders>
              <w:left w:val="single" w:color="auto" w:sz="4" w:space="0"/>
            </w:tcBorders>
          </w:tcPr>
          <w:p w14:paraId="2D2146E4">
            <w:pPr>
              <w:spacing w:after="0" w:line="340" w:lineRule="exact"/>
              <w:rPr>
                <w:rFonts w:ascii="Times New Roman" w:hAnsi="Times New Roman" w:eastAsia="仿宋_GB2312"/>
                <w:sz w:val="24"/>
                <w:szCs w:val="24"/>
              </w:rPr>
            </w:pPr>
          </w:p>
        </w:tc>
        <w:tc>
          <w:tcPr>
            <w:tcW w:w="1436" w:type="dxa"/>
          </w:tcPr>
          <w:p w14:paraId="7B825DE1">
            <w:pPr>
              <w:spacing w:after="0" w:line="340" w:lineRule="exact"/>
              <w:rPr>
                <w:rFonts w:ascii="Times New Roman" w:hAnsi="Times New Roman" w:eastAsia="仿宋_GB2312"/>
                <w:sz w:val="24"/>
                <w:szCs w:val="24"/>
              </w:rPr>
            </w:pPr>
          </w:p>
        </w:tc>
        <w:tc>
          <w:tcPr>
            <w:tcW w:w="1425" w:type="dxa"/>
          </w:tcPr>
          <w:p w14:paraId="5BC482D1">
            <w:pPr>
              <w:spacing w:after="0" w:line="340" w:lineRule="exact"/>
              <w:rPr>
                <w:rFonts w:ascii="Times New Roman" w:hAnsi="Times New Roman" w:eastAsia="仿宋_GB2312"/>
                <w:sz w:val="24"/>
                <w:szCs w:val="24"/>
              </w:rPr>
            </w:pPr>
          </w:p>
        </w:tc>
      </w:tr>
      <w:tr w14:paraId="68DD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2" w:type="dxa"/>
            <w:vMerge w:val="continue"/>
          </w:tcPr>
          <w:p w14:paraId="0E64A31D">
            <w:pPr>
              <w:spacing w:after="0" w:line="340" w:lineRule="exact"/>
              <w:rPr>
                <w:rFonts w:ascii="Times New Roman" w:hAnsi="Times New Roman" w:eastAsia="仿宋_GB2312"/>
                <w:sz w:val="24"/>
                <w:szCs w:val="24"/>
              </w:rPr>
            </w:pPr>
          </w:p>
        </w:tc>
        <w:tc>
          <w:tcPr>
            <w:tcW w:w="756" w:type="dxa"/>
            <w:vMerge w:val="continue"/>
          </w:tcPr>
          <w:p w14:paraId="17EF694F">
            <w:pPr>
              <w:spacing w:after="0" w:line="340" w:lineRule="exact"/>
              <w:rPr>
                <w:rFonts w:ascii="Times New Roman" w:hAnsi="Times New Roman" w:eastAsia="仿宋_GB2312"/>
                <w:sz w:val="24"/>
                <w:szCs w:val="24"/>
              </w:rPr>
            </w:pPr>
          </w:p>
        </w:tc>
        <w:tc>
          <w:tcPr>
            <w:tcW w:w="1223" w:type="dxa"/>
            <w:vMerge w:val="continue"/>
          </w:tcPr>
          <w:p w14:paraId="7A56C27E">
            <w:pPr>
              <w:spacing w:after="0" w:line="340" w:lineRule="exact"/>
              <w:rPr>
                <w:rFonts w:ascii="Times New Roman" w:hAnsi="Times New Roman" w:eastAsia="仿宋_GB2312"/>
                <w:sz w:val="24"/>
                <w:szCs w:val="24"/>
              </w:rPr>
            </w:pPr>
          </w:p>
        </w:tc>
        <w:tc>
          <w:tcPr>
            <w:tcW w:w="559" w:type="dxa"/>
            <w:vMerge w:val="continue"/>
          </w:tcPr>
          <w:p w14:paraId="35455832">
            <w:pPr>
              <w:spacing w:after="0" w:line="340" w:lineRule="exact"/>
              <w:rPr>
                <w:rFonts w:ascii="Times New Roman" w:hAnsi="Times New Roman" w:eastAsia="仿宋_GB2312"/>
                <w:sz w:val="24"/>
                <w:szCs w:val="24"/>
              </w:rPr>
            </w:pPr>
          </w:p>
        </w:tc>
        <w:tc>
          <w:tcPr>
            <w:tcW w:w="802" w:type="dxa"/>
            <w:vMerge w:val="continue"/>
          </w:tcPr>
          <w:p w14:paraId="33F76342">
            <w:pPr>
              <w:spacing w:after="0" w:line="340" w:lineRule="exact"/>
              <w:rPr>
                <w:rFonts w:ascii="Times New Roman" w:hAnsi="Times New Roman" w:eastAsia="仿宋_GB2312"/>
                <w:sz w:val="24"/>
                <w:szCs w:val="24"/>
              </w:rPr>
            </w:pPr>
          </w:p>
        </w:tc>
        <w:tc>
          <w:tcPr>
            <w:tcW w:w="1028" w:type="dxa"/>
            <w:tcBorders>
              <w:right w:val="single" w:color="auto" w:sz="4" w:space="0"/>
            </w:tcBorders>
          </w:tcPr>
          <w:p w14:paraId="6EA87B11">
            <w:pPr>
              <w:spacing w:after="0" w:line="340" w:lineRule="exact"/>
              <w:rPr>
                <w:rFonts w:ascii="Times New Roman" w:hAnsi="Times New Roman" w:eastAsia="仿宋_GB2312"/>
                <w:sz w:val="24"/>
                <w:szCs w:val="24"/>
              </w:rPr>
            </w:pPr>
            <w:r>
              <w:rPr>
                <w:rFonts w:ascii="Times New Roman" w:hAnsi="Times New Roman" w:eastAsia="仿宋_GB2312"/>
                <w:sz w:val="24"/>
                <w:szCs w:val="24"/>
              </w:rPr>
              <w:t>2018</w:t>
            </w:r>
            <w:r>
              <w:rPr>
                <w:rFonts w:hint="eastAsia" w:ascii="Times New Roman" w:hAnsi="Times New Roman" w:eastAsia="仿宋_GB2312"/>
                <w:sz w:val="24"/>
                <w:szCs w:val="24"/>
              </w:rPr>
              <w:t>年</w:t>
            </w:r>
          </w:p>
        </w:tc>
        <w:tc>
          <w:tcPr>
            <w:tcW w:w="1436" w:type="dxa"/>
            <w:tcBorders>
              <w:left w:val="single" w:color="auto" w:sz="4" w:space="0"/>
            </w:tcBorders>
          </w:tcPr>
          <w:p w14:paraId="68616341">
            <w:pPr>
              <w:spacing w:after="0" w:line="340" w:lineRule="exact"/>
              <w:rPr>
                <w:rFonts w:ascii="Times New Roman" w:hAnsi="Times New Roman" w:eastAsia="仿宋_GB2312"/>
                <w:sz w:val="24"/>
                <w:szCs w:val="24"/>
              </w:rPr>
            </w:pPr>
          </w:p>
        </w:tc>
        <w:tc>
          <w:tcPr>
            <w:tcW w:w="1436" w:type="dxa"/>
          </w:tcPr>
          <w:p w14:paraId="57D47872">
            <w:pPr>
              <w:spacing w:after="0" w:line="340" w:lineRule="exact"/>
              <w:rPr>
                <w:rFonts w:ascii="Times New Roman" w:hAnsi="Times New Roman" w:eastAsia="仿宋_GB2312"/>
                <w:sz w:val="24"/>
                <w:szCs w:val="24"/>
              </w:rPr>
            </w:pPr>
          </w:p>
        </w:tc>
        <w:tc>
          <w:tcPr>
            <w:tcW w:w="1425" w:type="dxa"/>
          </w:tcPr>
          <w:p w14:paraId="6A96C979">
            <w:pPr>
              <w:spacing w:after="0" w:line="340" w:lineRule="exact"/>
              <w:rPr>
                <w:rFonts w:ascii="Times New Roman" w:hAnsi="Times New Roman" w:eastAsia="仿宋_GB2312"/>
                <w:sz w:val="24"/>
                <w:szCs w:val="24"/>
              </w:rPr>
            </w:pPr>
          </w:p>
        </w:tc>
      </w:tr>
    </w:tbl>
    <w:p w14:paraId="7656F564">
      <w:pPr>
        <w:rPr>
          <w:rFonts w:ascii="Times New Roman" w:hAnsi="Times New Roman"/>
        </w:rPr>
      </w:pPr>
      <w:r>
        <w:rPr>
          <w:rFonts w:ascii="Times New Roman" w:hAnsi="Times New Roman"/>
          <w:vertAlign w:val="superscript"/>
        </w:rPr>
        <w:t>※</w:t>
      </w:r>
      <w:r>
        <w:rPr>
          <w:rFonts w:ascii="Times New Roman" w:hAnsi="Times New Roman"/>
        </w:rPr>
        <w:t>注1：若有多个既有设施退出，请自行添加。</w:t>
      </w:r>
    </w:p>
    <w:p w14:paraId="6D321B5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排放单位新增设施（或新增服务范围）主要包括xxx。其中，xx替代了既有设施xx，新增设施及其排放量如下：</w:t>
      </w:r>
    </w:p>
    <w:p w14:paraId="56EE8C35">
      <w:pPr>
        <w:spacing w:after="0" w:line="560" w:lineRule="exact"/>
        <w:jc w:val="center"/>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t>表</w:t>
      </w:r>
      <w:r>
        <w:rPr>
          <w:rFonts w:ascii="Times New Roman" w:hAnsi="Times New Roman" w:eastAsia="仿宋_GB2312"/>
          <w:color w:val="000000" w:themeColor="text1"/>
          <w:sz w:val="24"/>
          <w14:textFill>
            <w14:solidFill>
              <w14:schemeClr w14:val="tx1"/>
            </w14:solidFill>
          </w14:textFill>
        </w:rPr>
        <w:t xml:space="preserve">XX  </w:t>
      </w:r>
      <w:r>
        <w:rPr>
          <w:rFonts w:hint="eastAsia" w:ascii="Times New Roman" w:hAnsi="Times New Roman" w:eastAsia="仿宋_GB2312"/>
          <w:color w:val="000000" w:themeColor="text1"/>
          <w:sz w:val="24"/>
          <w14:textFill>
            <w14:solidFill>
              <w14:schemeClr w14:val="tx1"/>
            </w14:solidFill>
          </w14:textFill>
        </w:rPr>
        <w:t>新增设施信息表</w:t>
      </w:r>
    </w:p>
    <w:tbl>
      <w:tblPr>
        <w:tblStyle w:val="35"/>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211"/>
        <w:gridCol w:w="1658"/>
        <w:gridCol w:w="2052"/>
        <w:gridCol w:w="1578"/>
        <w:gridCol w:w="1599"/>
      </w:tblGrid>
      <w:tr w14:paraId="4B3B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40" w:type="dxa"/>
            <w:vAlign w:val="center"/>
          </w:tcPr>
          <w:p w14:paraId="21BBEDB4">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序号</w:t>
            </w:r>
          </w:p>
        </w:tc>
        <w:tc>
          <w:tcPr>
            <w:tcW w:w="1211" w:type="dxa"/>
            <w:vAlign w:val="center"/>
          </w:tcPr>
          <w:p w14:paraId="5E385952">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设施新增年份</w:t>
            </w:r>
          </w:p>
        </w:tc>
        <w:tc>
          <w:tcPr>
            <w:tcW w:w="1658" w:type="dxa"/>
            <w:vAlign w:val="center"/>
          </w:tcPr>
          <w:p w14:paraId="035B3FCA">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新增设施类型</w:t>
            </w:r>
          </w:p>
        </w:tc>
        <w:tc>
          <w:tcPr>
            <w:tcW w:w="2052" w:type="dxa"/>
            <w:vAlign w:val="center"/>
          </w:tcPr>
          <w:p w14:paraId="682E8DC2">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是否替代既有设施，被替代既有设施类型</w:t>
            </w:r>
          </w:p>
        </w:tc>
        <w:tc>
          <w:tcPr>
            <w:tcW w:w="1578" w:type="dxa"/>
            <w:vAlign w:val="center"/>
          </w:tcPr>
          <w:p w14:paraId="4762236C">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新增设施排放量（吨）</w:t>
            </w:r>
          </w:p>
        </w:tc>
        <w:tc>
          <w:tcPr>
            <w:tcW w:w="1599" w:type="dxa"/>
            <w:vAlign w:val="center"/>
          </w:tcPr>
          <w:p w14:paraId="32645300">
            <w:pPr>
              <w:tabs>
                <w:tab w:val="left" w:pos="1701"/>
              </w:tabs>
              <w:spacing w:after="0" w:line="240" w:lineRule="auto"/>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替代既有设施的新增排放量</w:t>
            </w:r>
            <w:r>
              <w:rPr>
                <w:rFonts w:ascii="Times New Roman" w:hAnsi="Times New Roman" w:eastAsia="仿宋_GB2312"/>
                <w:color w:val="000000"/>
                <w:sz w:val="24"/>
                <w:szCs w:val="24"/>
              </w:rPr>
              <w:t>(</w:t>
            </w:r>
            <w:r>
              <w:rPr>
                <w:rFonts w:hint="eastAsia" w:ascii="Times New Roman" w:hAnsi="Times New Roman" w:eastAsia="仿宋_GB2312"/>
                <w:color w:val="000000"/>
                <w:sz w:val="24"/>
                <w:szCs w:val="24"/>
              </w:rPr>
              <w:t>吨</w:t>
            </w:r>
            <w:r>
              <w:rPr>
                <w:rFonts w:ascii="Times New Roman" w:hAnsi="Times New Roman" w:eastAsia="仿宋_GB2312"/>
                <w:color w:val="000000"/>
                <w:sz w:val="24"/>
                <w:szCs w:val="24"/>
              </w:rPr>
              <w:t>)</w:t>
            </w:r>
          </w:p>
        </w:tc>
      </w:tr>
      <w:tr w14:paraId="39E7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40" w:type="dxa"/>
          </w:tcPr>
          <w:p w14:paraId="51C69D65">
            <w:pPr>
              <w:spacing w:after="0" w:line="240" w:lineRule="auto"/>
              <w:jc w:val="center"/>
              <w:rPr>
                <w:rFonts w:ascii="Times New Roman" w:hAnsi="Times New Roman" w:eastAsia="仿宋"/>
                <w:sz w:val="24"/>
                <w:szCs w:val="24"/>
              </w:rPr>
            </w:pPr>
            <w:r>
              <w:rPr>
                <w:rFonts w:ascii="Times New Roman" w:hAnsi="Times New Roman" w:eastAsia="仿宋_GB2312"/>
                <w:color w:val="000000"/>
                <w:sz w:val="24"/>
                <w:szCs w:val="24"/>
              </w:rPr>
              <w:t>1</w:t>
            </w:r>
          </w:p>
        </w:tc>
        <w:tc>
          <w:tcPr>
            <w:tcW w:w="1211" w:type="dxa"/>
          </w:tcPr>
          <w:p w14:paraId="0801CF3D">
            <w:pPr>
              <w:spacing w:after="0" w:line="240" w:lineRule="auto"/>
              <w:rPr>
                <w:rFonts w:ascii="Times New Roman" w:hAnsi="Times New Roman" w:eastAsia="仿宋"/>
                <w:sz w:val="24"/>
                <w:szCs w:val="24"/>
              </w:rPr>
            </w:pPr>
          </w:p>
        </w:tc>
        <w:tc>
          <w:tcPr>
            <w:tcW w:w="1658" w:type="dxa"/>
          </w:tcPr>
          <w:p w14:paraId="061BC42F">
            <w:pPr>
              <w:spacing w:after="0" w:line="240" w:lineRule="auto"/>
              <w:rPr>
                <w:rFonts w:ascii="Times New Roman" w:hAnsi="Times New Roman" w:eastAsia="仿宋"/>
                <w:sz w:val="24"/>
                <w:szCs w:val="24"/>
              </w:rPr>
            </w:pPr>
          </w:p>
        </w:tc>
        <w:tc>
          <w:tcPr>
            <w:tcW w:w="2052" w:type="dxa"/>
          </w:tcPr>
          <w:p w14:paraId="4840A8BA">
            <w:pPr>
              <w:spacing w:after="0" w:line="240" w:lineRule="auto"/>
              <w:rPr>
                <w:rFonts w:ascii="Times New Roman" w:hAnsi="Times New Roman" w:eastAsia="仿宋"/>
                <w:sz w:val="24"/>
                <w:szCs w:val="24"/>
              </w:rPr>
            </w:pPr>
          </w:p>
        </w:tc>
        <w:tc>
          <w:tcPr>
            <w:tcW w:w="1578" w:type="dxa"/>
          </w:tcPr>
          <w:p w14:paraId="25499B48">
            <w:pPr>
              <w:spacing w:after="0" w:line="240" w:lineRule="auto"/>
              <w:rPr>
                <w:rFonts w:ascii="Times New Roman" w:hAnsi="Times New Roman" w:eastAsia="仿宋"/>
                <w:sz w:val="24"/>
                <w:szCs w:val="24"/>
              </w:rPr>
            </w:pPr>
          </w:p>
        </w:tc>
        <w:tc>
          <w:tcPr>
            <w:tcW w:w="1599" w:type="dxa"/>
          </w:tcPr>
          <w:p w14:paraId="0375B538">
            <w:pPr>
              <w:spacing w:after="0" w:line="240" w:lineRule="auto"/>
              <w:rPr>
                <w:rFonts w:ascii="Times New Roman" w:hAnsi="Times New Roman" w:eastAsia="仿宋"/>
                <w:sz w:val="24"/>
                <w:szCs w:val="24"/>
              </w:rPr>
            </w:pPr>
          </w:p>
        </w:tc>
      </w:tr>
      <w:tr w14:paraId="5E1C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40" w:type="dxa"/>
          </w:tcPr>
          <w:p w14:paraId="378FBBE1">
            <w:pPr>
              <w:spacing w:after="0" w:line="240" w:lineRule="auto"/>
              <w:jc w:val="center"/>
              <w:rPr>
                <w:rFonts w:ascii="Times New Roman" w:hAnsi="Times New Roman" w:eastAsia="仿宋"/>
                <w:sz w:val="24"/>
                <w:szCs w:val="24"/>
              </w:rPr>
            </w:pPr>
            <w:r>
              <w:rPr>
                <w:rFonts w:hint="eastAsia" w:ascii="Times New Roman" w:hAnsi="Times New Roman" w:eastAsia="仿宋_GB2312"/>
                <w:color w:val="000000"/>
                <w:sz w:val="24"/>
                <w:szCs w:val="24"/>
              </w:rPr>
              <w:t>合计</w:t>
            </w:r>
          </w:p>
        </w:tc>
        <w:tc>
          <w:tcPr>
            <w:tcW w:w="1211" w:type="dxa"/>
          </w:tcPr>
          <w:p w14:paraId="5AF4A86A">
            <w:pPr>
              <w:spacing w:after="0" w:line="240" w:lineRule="auto"/>
              <w:rPr>
                <w:rFonts w:ascii="Times New Roman" w:hAnsi="Times New Roman" w:eastAsia="仿宋"/>
                <w:sz w:val="24"/>
                <w:szCs w:val="24"/>
              </w:rPr>
            </w:pPr>
          </w:p>
        </w:tc>
        <w:tc>
          <w:tcPr>
            <w:tcW w:w="1658" w:type="dxa"/>
          </w:tcPr>
          <w:p w14:paraId="477671E7">
            <w:pPr>
              <w:spacing w:after="0" w:line="240" w:lineRule="auto"/>
              <w:rPr>
                <w:rFonts w:ascii="Times New Roman" w:hAnsi="Times New Roman" w:eastAsia="仿宋"/>
                <w:sz w:val="24"/>
                <w:szCs w:val="24"/>
              </w:rPr>
            </w:pPr>
          </w:p>
        </w:tc>
        <w:tc>
          <w:tcPr>
            <w:tcW w:w="2052" w:type="dxa"/>
          </w:tcPr>
          <w:p w14:paraId="0822D3EC">
            <w:pPr>
              <w:spacing w:after="0" w:line="240" w:lineRule="auto"/>
              <w:rPr>
                <w:rFonts w:ascii="Times New Roman" w:hAnsi="Times New Roman" w:eastAsia="仿宋"/>
                <w:sz w:val="24"/>
                <w:szCs w:val="24"/>
              </w:rPr>
            </w:pPr>
          </w:p>
        </w:tc>
        <w:tc>
          <w:tcPr>
            <w:tcW w:w="1578" w:type="dxa"/>
          </w:tcPr>
          <w:p w14:paraId="06E720CD">
            <w:pPr>
              <w:spacing w:after="0" w:line="240" w:lineRule="auto"/>
              <w:rPr>
                <w:rFonts w:ascii="Times New Roman" w:hAnsi="Times New Roman" w:eastAsia="仿宋"/>
                <w:sz w:val="24"/>
                <w:szCs w:val="24"/>
              </w:rPr>
            </w:pPr>
          </w:p>
        </w:tc>
        <w:tc>
          <w:tcPr>
            <w:tcW w:w="1599" w:type="dxa"/>
          </w:tcPr>
          <w:p w14:paraId="037E3DCC">
            <w:pPr>
              <w:spacing w:after="0" w:line="240" w:lineRule="auto"/>
              <w:rPr>
                <w:rFonts w:ascii="Times New Roman" w:hAnsi="Times New Roman" w:eastAsia="仿宋"/>
                <w:sz w:val="24"/>
                <w:szCs w:val="24"/>
              </w:rPr>
            </w:pPr>
          </w:p>
        </w:tc>
      </w:tr>
      <w:tr w14:paraId="4C39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038" w:type="dxa"/>
            <w:gridSpan w:val="6"/>
          </w:tcPr>
          <w:p w14:paraId="19B6E199">
            <w:pPr>
              <w:spacing w:after="0" w:line="240" w:lineRule="auto"/>
              <w:rPr>
                <w:rFonts w:ascii="Times New Roman" w:hAnsi="Times New Roman" w:eastAsia="仿宋"/>
                <w:sz w:val="24"/>
                <w:szCs w:val="24"/>
              </w:rPr>
            </w:pPr>
            <w:r>
              <w:rPr>
                <w:rFonts w:hint="eastAsia" w:ascii="Times New Roman" w:hAnsi="Times New Roman" w:eastAsia="仿宋"/>
                <w:sz w:val="24"/>
                <w:szCs w:val="24"/>
              </w:rPr>
              <w:t>备注：</w:t>
            </w:r>
          </w:p>
        </w:tc>
      </w:tr>
    </w:tbl>
    <w:p w14:paraId="3C622CB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新增设施排放量为xxxx.xx吨，是基准年份排放量的xx.xx%，新增设施对应的活动水平为xxx（例如新增建筑面积xxx平方米），此信息供新增设施配额发放参考。</w:t>
      </w:r>
    </w:p>
    <w:p w14:paraId="1B560E6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5.核查过程未覆盖的问题描述</w:t>
      </w:r>
    </w:p>
    <w:p w14:paraId="5A7C1965">
      <w:pPr>
        <w:spacing w:after="0" w:line="560" w:lineRule="exact"/>
        <w:ind w:firstLine="640" w:firstLineChars="200"/>
        <w:rPr>
          <w:rFonts w:ascii="Times New Roman" w:hAnsi="Times New Roman"/>
        </w:rPr>
      </w:pPr>
      <w:r>
        <w:rPr>
          <w:rFonts w:ascii="Times New Roman" w:hAnsi="Times New Roman" w:eastAsia="仿宋_GB2312"/>
          <w:sz w:val="32"/>
          <w:szCs w:val="32"/>
        </w:rPr>
        <w:t>本次核查中，由于xx原因，xxxx方面未覆盖。</w:t>
      </w:r>
      <w:r>
        <w:rPr>
          <w:rFonts w:ascii="Times New Roman" w:hAnsi="Times New Roman"/>
        </w:rPr>
        <w:br w:type="page"/>
      </w:r>
    </w:p>
    <w:p w14:paraId="26FF6796">
      <w:pPr>
        <w:pStyle w:val="4"/>
        <w:rPr>
          <w:rFonts w:asciiTheme="majorEastAsia" w:hAnsiTheme="majorEastAsia" w:eastAsiaTheme="majorEastAsia"/>
          <w:sz w:val="32"/>
          <w:szCs w:val="32"/>
        </w:rPr>
      </w:pPr>
      <w:r>
        <w:rPr>
          <w:rFonts w:hint="eastAsia" w:asciiTheme="majorEastAsia" w:hAnsiTheme="majorEastAsia" w:eastAsiaTheme="majorEastAsia"/>
          <w:sz w:val="32"/>
          <w:szCs w:val="32"/>
        </w:rPr>
        <w:t>热力生产和供应企业</w:t>
      </w:r>
    </w:p>
    <w:p w14:paraId="5BBB3E4E">
      <w:pPr>
        <w:spacing w:after="0" w:line="560" w:lineRule="exact"/>
        <w:rPr>
          <w:rFonts w:ascii="Times New Roman" w:hAnsi="Times New Roman" w:eastAsia="仿宋"/>
          <w:sz w:val="32"/>
          <w:szCs w:val="32"/>
        </w:rPr>
      </w:pPr>
      <w:r>
        <w:rPr>
          <w:rFonts w:ascii="Times New Roman" w:hAnsi="Times New Roman" w:eastAsia="仿宋"/>
          <w:sz w:val="32"/>
          <w:szCs w:val="32"/>
        </w:rPr>
        <w:t>核查结论</w:t>
      </w:r>
    </w:p>
    <w:p w14:paraId="211752FD">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xxxx公司（以下简称排放单位）委托xxx公司开展XXXX年二氧化碳排放的核查工作。核查范围包括排放单位所有在北京市辖区内固定设施导致的二氧化碳直接排放和二氧化碳间接排放。</w:t>
      </w:r>
    </w:p>
    <w:p w14:paraId="53F99B00">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通过文件评审、现场访问、核查报告编写及内部技术复核，核查组对排放单位XXXX年度二氧化碳排放报告形成如下核查结论：</w:t>
      </w:r>
    </w:p>
    <w:p w14:paraId="7A0A2470">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1. 核算、报告与方法学的符合性</w:t>
      </w:r>
    </w:p>
    <w:p w14:paraId="5B50DA88">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核查组确认所有不符合已全部关闭，排放单位的核算与报告均符合方法学</w:t>
      </w:r>
      <w:r>
        <w:rPr>
          <w:rFonts w:hint="eastAsia" w:ascii="Times New Roman" w:hAnsi="Times New Roman" w:eastAsia="仿宋"/>
          <w:sz w:val="32"/>
          <w:szCs w:val="32"/>
        </w:rPr>
        <w:t>《二氧化碳排放核算和报告要求热力生产和供应业》（DB11/T 1784-2020）</w:t>
      </w:r>
      <w:r>
        <w:rPr>
          <w:rFonts w:ascii="Times New Roman" w:hAnsi="Times New Roman" w:eastAsia="仿宋"/>
          <w:sz w:val="32"/>
          <w:szCs w:val="32"/>
        </w:rPr>
        <w:t>的要求，核查组对本排放报告出具肯定的核查结论。</w:t>
      </w:r>
    </w:p>
    <w:p w14:paraId="20E2B02C">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2. 本年度排放量及活动水平数据的声明</w:t>
      </w:r>
    </w:p>
    <w:p w14:paraId="3F894453">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经核查的直接和间接排放量与最终排放报告中数据一致。经核查的直接排放量为310424.18</w:t>
      </w:r>
      <w:r>
        <w:rPr>
          <w:rFonts w:ascii="Times New Roman" w:hAnsi="Times New Roman" w:eastAsia="仿宋"/>
          <w:color w:val="000000"/>
          <w:sz w:val="32"/>
          <w:szCs w:val="32"/>
        </w:rPr>
        <w:t>吨，间接排放量为36779.13吨，总排放量为347203.31吨</w:t>
      </w:r>
      <w:r>
        <w:rPr>
          <w:rFonts w:ascii="Times New Roman" w:hAnsi="Times New Roman" w:eastAsia="仿宋"/>
          <w:sz w:val="32"/>
          <w:szCs w:val="32"/>
        </w:rPr>
        <w:t>。</w:t>
      </w:r>
    </w:p>
    <w:p w14:paraId="0E43D30D">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经核查的供热量与最终排放报告中数据一致。其中燃气锅炉直供的建筑物供热量为xxxxTJ，燃气锅炉间供的热力站一次侧输入热源产生热量为xxxxTJ，燃煤锅炉直供的建筑供热量为xxxxTJ，燃煤锅炉间供的热力站一次侧输入热源产生热量为xxxxTJ，电锅炉所供的建筑供热量为xxxxTJ，燃油锅炉所供的建筑供热量为xxxxTJ，地源热泵所供的建筑供热量为xxxxTJ，其他供热方式所供的建筑物供热量为xxxxTJ；热力站一次侧输入热量为xxxTJ。</w:t>
      </w:r>
    </w:p>
    <w:p w14:paraId="3205C70A">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3. 年度</w:t>
      </w:r>
      <w:r>
        <w:rPr>
          <w:rFonts w:hint="eastAsia" w:ascii="Times New Roman" w:hAnsi="Times New Roman" w:eastAsia="仿宋"/>
          <w:sz w:val="32"/>
          <w:szCs w:val="32"/>
        </w:rPr>
        <w:t>排放量及活动水平</w:t>
      </w:r>
      <w:r>
        <w:rPr>
          <w:rFonts w:ascii="Times New Roman" w:hAnsi="Times New Roman" w:eastAsia="仿宋"/>
          <w:sz w:val="32"/>
          <w:szCs w:val="32"/>
        </w:rPr>
        <w:t>波动的原因说明</w:t>
      </w:r>
    </w:p>
    <w:p w14:paraId="03FC70B0">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本年度排放量与上年度排放量相比增加</w:t>
      </w:r>
      <w:r>
        <w:rPr>
          <w:rFonts w:ascii="Times New Roman" w:hAnsi="Times New Roman" w:eastAsia="仿宋"/>
          <w:color w:val="000000"/>
          <w:sz w:val="32"/>
          <w:szCs w:val="32"/>
        </w:rPr>
        <w:t>71782.51吨/26.06%</w:t>
      </w:r>
      <w:r>
        <w:rPr>
          <w:rFonts w:ascii="Times New Roman" w:hAnsi="Times New Roman" w:eastAsia="仿宋"/>
          <w:sz w:val="32"/>
          <w:szCs w:val="32"/>
        </w:rPr>
        <w:t>，</w:t>
      </w:r>
      <w:bookmarkStart w:id="17" w:name="OLE_LINK2"/>
      <w:bookmarkStart w:id="18" w:name="OLE_LINK3"/>
      <w:r>
        <w:rPr>
          <w:rFonts w:ascii="Times New Roman" w:hAnsi="Times New Roman" w:eastAsia="仿宋"/>
          <w:sz w:val="32"/>
          <w:szCs w:val="32"/>
        </w:rPr>
        <w:t>其中直接排放相比上一年度增加66006.69吨/27.01%，间接排放相比上一年度增加</w:t>
      </w:r>
      <w:bookmarkEnd w:id="17"/>
      <w:bookmarkEnd w:id="18"/>
      <w:r>
        <w:rPr>
          <w:rFonts w:ascii="Times New Roman" w:hAnsi="Times New Roman" w:eastAsia="仿宋"/>
          <w:sz w:val="32"/>
          <w:szCs w:val="32"/>
        </w:rPr>
        <w:t>5775.82吨/18.63%，原因为排放单位2019年通过新建、划转和收购增加了xx个热源厂，供热量明显增加，热力站耗电量也相应有所提高。</w:t>
      </w:r>
    </w:p>
    <w:p w14:paraId="73365A6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本年度排放量相比历史基准年份排放量相比上升71782.51吨，上升比例为26.06%，原因为排放单位增加了xx个热源厂含xx座燃气锅炉、xx座燃煤锅炉</w:t>
      </w:r>
      <w:r>
        <w:rPr>
          <w:rFonts w:hint="eastAsia" w:ascii="Times New Roman" w:hAnsi="Times New Roman" w:eastAsia="仿宋_GB2312"/>
          <w:sz w:val="32"/>
          <w:szCs w:val="32"/>
        </w:rPr>
        <w:t>、xx座燃油锅炉、xx座电锅炉</w:t>
      </w:r>
      <w:r>
        <w:rPr>
          <w:rFonts w:ascii="Times New Roman" w:hAnsi="Times New Roman" w:eastAsia="仿宋_GB2312"/>
          <w:sz w:val="32"/>
          <w:szCs w:val="32"/>
        </w:rPr>
        <w:t>，增加了xx个热力站，供热面积增加了xxx平方米，供热量增加了xxxxTJ；相比上一年度增加了XXX，原因是XXX</w:t>
      </w:r>
    </w:p>
    <w:p w14:paraId="361D0A10">
      <w:pPr>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85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2323"/>
        <w:gridCol w:w="2430"/>
        <w:gridCol w:w="2460"/>
      </w:tblGrid>
      <w:tr w14:paraId="47BF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65" w:type="dxa"/>
            <w:vAlign w:val="center"/>
          </w:tcPr>
          <w:p w14:paraId="3C7C2EFE">
            <w:pPr>
              <w:spacing w:line="240" w:lineRule="auto"/>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年度</w:t>
            </w:r>
          </w:p>
        </w:tc>
        <w:tc>
          <w:tcPr>
            <w:tcW w:w="2323" w:type="dxa"/>
            <w:vAlign w:val="center"/>
          </w:tcPr>
          <w:p w14:paraId="379B65B2">
            <w:pPr>
              <w:spacing w:line="240" w:lineRule="auto"/>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430" w:type="dxa"/>
            <w:vAlign w:val="center"/>
          </w:tcPr>
          <w:p w14:paraId="30D46881">
            <w:pPr>
              <w:spacing w:line="240" w:lineRule="auto"/>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460" w:type="dxa"/>
            <w:vAlign w:val="center"/>
          </w:tcPr>
          <w:p w14:paraId="67323346">
            <w:pPr>
              <w:spacing w:line="240" w:lineRule="auto"/>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排放总量（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r>
      <w:tr w14:paraId="6DD1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5" w:type="dxa"/>
            <w:vAlign w:val="center"/>
          </w:tcPr>
          <w:p w14:paraId="23BF6B5D">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2016</w:t>
            </w:r>
          </w:p>
        </w:tc>
        <w:tc>
          <w:tcPr>
            <w:tcW w:w="2323" w:type="dxa"/>
            <w:vAlign w:val="center"/>
          </w:tcPr>
          <w:p w14:paraId="37281E03">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229417.49</w:t>
            </w:r>
          </w:p>
        </w:tc>
        <w:tc>
          <w:tcPr>
            <w:tcW w:w="2430" w:type="dxa"/>
            <w:vAlign w:val="center"/>
          </w:tcPr>
          <w:p w14:paraId="4B5F2113">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29003.31</w:t>
            </w:r>
          </w:p>
        </w:tc>
        <w:tc>
          <w:tcPr>
            <w:tcW w:w="2460" w:type="dxa"/>
            <w:vAlign w:val="center"/>
          </w:tcPr>
          <w:p w14:paraId="007DF6FD">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258420.80</w:t>
            </w:r>
          </w:p>
        </w:tc>
      </w:tr>
      <w:tr w14:paraId="2EBF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5" w:type="dxa"/>
            <w:vAlign w:val="center"/>
          </w:tcPr>
          <w:p w14:paraId="7A59D226">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2017</w:t>
            </w:r>
          </w:p>
        </w:tc>
        <w:tc>
          <w:tcPr>
            <w:tcW w:w="2323" w:type="dxa"/>
            <w:vAlign w:val="center"/>
          </w:tcPr>
          <w:p w14:paraId="1551EE78">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234417.49</w:t>
            </w:r>
          </w:p>
        </w:tc>
        <w:tc>
          <w:tcPr>
            <w:tcW w:w="2430" w:type="dxa"/>
            <w:vAlign w:val="center"/>
          </w:tcPr>
          <w:p w14:paraId="033ACF3A">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30203.31</w:t>
            </w:r>
          </w:p>
        </w:tc>
        <w:tc>
          <w:tcPr>
            <w:tcW w:w="2460" w:type="dxa"/>
            <w:vAlign w:val="center"/>
          </w:tcPr>
          <w:p w14:paraId="58EE83C3">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264620.80</w:t>
            </w:r>
          </w:p>
        </w:tc>
      </w:tr>
      <w:tr w14:paraId="4BDF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5" w:type="dxa"/>
            <w:vAlign w:val="center"/>
          </w:tcPr>
          <w:p w14:paraId="722C9666">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2018</w:t>
            </w:r>
          </w:p>
        </w:tc>
        <w:tc>
          <w:tcPr>
            <w:tcW w:w="2323" w:type="dxa"/>
            <w:vAlign w:val="center"/>
          </w:tcPr>
          <w:p w14:paraId="7E745931">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244417.49</w:t>
            </w:r>
          </w:p>
        </w:tc>
        <w:tc>
          <w:tcPr>
            <w:tcW w:w="2430" w:type="dxa"/>
            <w:vAlign w:val="center"/>
          </w:tcPr>
          <w:p w14:paraId="7AA5C7C7">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31003.31</w:t>
            </w:r>
          </w:p>
        </w:tc>
        <w:tc>
          <w:tcPr>
            <w:tcW w:w="2460" w:type="dxa"/>
            <w:vAlign w:val="center"/>
          </w:tcPr>
          <w:p w14:paraId="2AC8BBBB">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275420.80</w:t>
            </w:r>
          </w:p>
        </w:tc>
      </w:tr>
      <w:tr w14:paraId="70E0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5" w:type="dxa"/>
            <w:vAlign w:val="center"/>
          </w:tcPr>
          <w:p w14:paraId="51871D82">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2019</w:t>
            </w:r>
          </w:p>
        </w:tc>
        <w:tc>
          <w:tcPr>
            <w:tcW w:w="2323" w:type="dxa"/>
            <w:vAlign w:val="center"/>
          </w:tcPr>
          <w:p w14:paraId="4CD17291">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310424.18</w:t>
            </w:r>
          </w:p>
        </w:tc>
        <w:tc>
          <w:tcPr>
            <w:tcW w:w="2430" w:type="dxa"/>
            <w:vAlign w:val="center"/>
          </w:tcPr>
          <w:p w14:paraId="09BBBD4C">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36779.13</w:t>
            </w:r>
          </w:p>
        </w:tc>
        <w:tc>
          <w:tcPr>
            <w:tcW w:w="2460" w:type="dxa"/>
            <w:vAlign w:val="center"/>
          </w:tcPr>
          <w:p w14:paraId="2E489503">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347203.31</w:t>
            </w:r>
          </w:p>
        </w:tc>
      </w:tr>
      <w:tr w14:paraId="73AA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65" w:type="dxa"/>
            <w:vAlign w:val="center"/>
          </w:tcPr>
          <w:p w14:paraId="1E21AC70">
            <w:pPr>
              <w:spacing w:line="240" w:lineRule="auto"/>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2</w:t>
            </w:r>
            <w:r>
              <w:rPr>
                <w:rFonts w:ascii="Times New Roman" w:hAnsi="Times New Roman" w:eastAsia="仿宋_GB2312"/>
                <w:color w:val="000000"/>
                <w:sz w:val="21"/>
                <w:szCs w:val="21"/>
              </w:rPr>
              <w:t>020</w:t>
            </w:r>
          </w:p>
        </w:tc>
        <w:tc>
          <w:tcPr>
            <w:tcW w:w="2323" w:type="dxa"/>
            <w:vAlign w:val="center"/>
          </w:tcPr>
          <w:p w14:paraId="5DD54A6D">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310424.18</w:t>
            </w:r>
          </w:p>
        </w:tc>
        <w:tc>
          <w:tcPr>
            <w:tcW w:w="2430" w:type="dxa"/>
            <w:vAlign w:val="center"/>
          </w:tcPr>
          <w:p w14:paraId="0877D43A">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36779.13</w:t>
            </w:r>
          </w:p>
        </w:tc>
        <w:tc>
          <w:tcPr>
            <w:tcW w:w="2460" w:type="dxa"/>
            <w:vAlign w:val="center"/>
          </w:tcPr>
          <w:p w14:paraId="7791F132">
            <w:pPr>
              <w:spacing w:line="240"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347203.31</w:t>
            </w:r>
          </w:p>
        </w:tc>
      </w:tr>
    </w:tbl>
    <w:p w14:paraId="6D4D75ED">
      <w:pPr>
        <w:ind w:firstLine="440" w:firstLineChars="200"/>
        <w:rPr>
          <w:rFonts w:ascii="Times New Roman" w:hAnsi="Times New Roman" w:eastAsia="仿宋_GB2312"/>
          <w:sz w:val="32"/>
          <w:szCs w:val="32"/>
        </w:rPr>
      </w:pPr>
      <w:r>
        <w:rPr>
          <w:lang w:val="en-US"/>
        </w:rPr>
        <w:drawing>
          <wp:inline distT="0" distB="0" distL="0" distR="0">
            <wp:extent cx="4867910" cy="2919095"/>
            <wp:effectExtent l="4445" t="4445" r="23495" b="10160"/>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F06AD77">
      <w:pPr>
        <w:spacing w:after="0" w:line="560"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图1  排放量变化趋势图（增加</w:t>
      </w:r>
      <w:r>
        <w:rPr>
          <w:rFonts w:hint="eastAsia" w:ascii="Times New Roman" w:hAnsi="Times New Roman" w:eastAsia="仿宋_GB2312"/>
          <w:sz w:val="32"/>
          <w:szCs w:val="32"/>
        </w:rPr>
        <w:t>2</w:t>
      </w:r>
      <w:r>
        <w:rPr>
          <w:rFonts w:ascii="Times New Roman" w:hAnsi="Times New Roman" w:eastAsia="仿宋_GB2312"/>
          <w:sz w:val="32"/>
          <w:szCs w:val="32"/>
        </w:rPr>
        <w:t>020年度）</w:t>
      </w:r>
    </w:p>
    <w:p w14:paraId="1094135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4B31CED6">
      <w:pPr>
        <w:spacing w:after="0" w:line="560" w:lineRule="exact"/>
        <w:ind w:firstLine="640" w:firstLineChars="200"/>
        <w:rPr>
          <w:rFonts w:ascii="Times New Roman" w:hAnsi="Times New Roman" w:eastAsia="仿宋_GB2312"/>
          <w:sz w:val="32"/>
          <w:szCs w:val="32"/>
        </w:rPr>
      </w:pPr>
      <w:r>
        <w:rPr>
          <w:rFonts w:ascii="Times New Roman" w:hAnsi="Times New Roman" w:eastAsia="仿宋"/>
          <w:sz w:val="32"/>
          <w:szCs w:val="32"/>
        </w:rPr>
        <w:t>4.1 本年度</w:t>
      </w:r>
      <w:r>
        <w:rPr>
          <w:rFonts w:ascii="Times New Roman" w:hAnsi="Times New Roman" w:eastAsia="仿宋_GB2312"/>
          <w:sz w:val="32"/>
          <w:szCs w:val="32"/>
        </w:rPr>
        <w:t>场所边界的变化</w:t>
      </w:r>
    </w:p>
    <w:p w14:paraId="5E2425FF">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排放单位核算和报告边界为北京市辖区内所涉及的热源厂xxx个，热力站xxx座，热力管网xxx公里，总供热面积xxx亿平方米，此外，还包括位于xxx的办公楼。</w:t>
      </w:r>
    </w:p>
    <w:p w14:paraId="3EBF5C62">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相比上年度，增加xxx个热源厂、xxx座热力站，增加供热面积xxx平方米。</w:t>
      </w:r>
    </w:p>
    <w:p w14:paraId="1B9CD068">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相比基准年，增加xxx个热源厂、xxx座热力站，增加供热面积xxx平方米。</w:t>
      </w:r>
    </w:p>
    <w:p w14:paraId="4F214D2D">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4.2本年度排放设施的变化</w:t>
      </w:r>
    </w:p>
    <w:p w14:paraId="78036E87">
      <w:pPr>
        <w:spacing w:after="0" w:line="560" w:lineRule="exact"/>
        <w:ind w:firstLine="465"/>
        <w:rPr>
          <w:rFonts w:ascii="Times New Roman" w:hAnsi="Times New Roman" w:eastAsia="仿宋"/>
          <w:sz w:val="32"/>
          <w:szCs w:val="32"/>
        </w:rPr>
      </w:pPr>
      <w:r>
        <w:rPr>
          <w:rFonts w:ascii="Times New Roman" w:hAnsi="Times New Roman" w:eastAsia="仿宋"/>
          <w:sz w:val="32"/>
          <w:szCs w:val="32"/>
        </w:rPr>
        <w:t>排放单位不涉及既有设施配额调整。</w:t>
      </w:r>
    </w:p>
    <w:p w14:paraId="62A284A6">
      <w:pPr>
        <w:spacing w:after="0" w:line="560" w:lineRule="exact"/>
        <w:ind w:firstLine="465"/>
        <w:rPr>
          <w:rFonts w:ascii="Times New Roman" w:hAnsi="Times New Roman" w:eastAsia="仿宋"/>
          <w:bCs/>
          <w:sz w:val="32"/>
          <w:szCs w:val="32"/>
        </w:rPr>
      </w:pPr>
      <w:r>
        <w:rPr>
          <w:rFonts w:ascii="Times New Roman" w:hAnsi="Times New Roman" w:eastAsia="仿宋"/>
          <w:bCs/>
          <w:sz w:val="32"/>
          <w:szCs w:val="32"/>
        </w:rPr>
        <w:t>排放单位退出的既有设施包括xx热源厂的2台燃气锅炉。</w:t>
      </w:r>
    </w:p>
    <w:p w14:paraId="22D52BFA">
      <w:pPr>
        <w:spacing w:after="0" w:line="560" w:lineRule="exact"/>
        <w:ind w:firstLine="465"/>
        <w:rPr>
          <w:rFonts w:ascii="Times New Roman" w:hAnsi="Times New Roman" w:eastAsia="仿宋"/>
          <w:bCs/>
          <w:sz w:val="32"/>
          <w:szCs w:val="32"/>
        </w:rPr>
      </w:pPr>
    </w:p>
    <w:p w14:paraId="0A9BD584">
      <w:pPr>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38"/>
        <w:gridCol w:w="1003"/>
        <w:gridCol w:w="839"/>
        <w:gridCol w:w="825"/>
        <w:gridCol w:w="1190"/>
        <w:gridCol w:w="1292"/>
        <w:gridCol w:w="1173"/>
        <w:gridCol w:w="1114"/>
      </w:tblGrid>
      <w:tr w14:paraId="7D6D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2" w:type="dxa"/>
            <w:vMerge w:val="restart"/>
            <w:vAlign w:val="center"/>
          </w:tcPr>
          <w:p w14:paraId="67985BBF">
            <w:pPr>
              <w:spacing w:after="0"/>
              <w:jc w:val="center"/>
              <w:rPr>
                <w:rFonts w:ascii="Times New Roman" w:hAnsi="Times New Roman" w:eastAsia="仿宋_GB2312"/>
                <w:sz w:val="24"/>
              </w:rPr>
            </w:pPr>
            <w:r>
              <w:rPr>
                <w:rFonts w:ascii="Times New Roman" w:hAnsi="Times New Roman" w:eastAsia="仿宋_GB2312"/>
                <w:sz w:val="24"/>
              </w:rPr>
              <w:t>序号</w:t>
            </w:r>
          </w:p>
        </w:tc>
        <w:tc>
          <w:tcPr>
            <w:tcW w:w="738" w:type="dxa"/>
            <w:vMerge w:val="restart"/>
            <w:vAlign w:val="center"/>
          </w:tcPr>
          <w:p w14:paraId="50338C70">
            <w:pPr>
              <w:spacing w:after="0"/>
              <w:jc w:val="center"/>
              <w:rPr>
                <w:rFonts w:ascii="Times New Roman" w:hAnsi="Times New Roman" w:eastAsia="仿宋_GB2312"/>
                <w:sz w:val="24"/>
              </w:rPr>
            </w:pPr>
            <w:r>
              <w:rPr>
                <w:rFonts w:ascii="Times New Roman" w:hAnsi="Times New Roman" w:eastAsia="仿宋_GB2312"/>
                <w:sz w:val="24"/>
              </w:rPr>
              <w:t>既有设施名称</w:t>
            </w:r>
          </w:p>
        </w:tc>
        <w:tc>
          <w:tcPr>
            <w:tcW w:w="1003" w:type="dxa"/>
            <w:vMerge w:val="restart"/>
            <w:vAlign w:val="center"/>
          </w:tcPr>
          <w:p w14:paraId="35696217">
            <w:pPr>
              <w:spacing w:after="0"/>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839" w:type="dxa"/>
            <w:vMerge w:val="restart"/>
            <w:vAlign w:val="center"/>
          </w:tcPr>
          <w:p w14:paraId="26DE7395">
            <w:pPr>
              <w:spacing w:after="0"/>
              <w:jc w:val="center"/>
              <w:rPr>
                <w:rFonts w:ascii="Times New Roman" w:hAnsi="Times New Roman" w:eastAsia="仿宋_GB2312"/>
                <w:sz w:val="24"/>
              </w:rPr>
            </w:pPr>
            <w:r>
              <w:rPr>
                <w:rFonts w:ascii="Times New Roman" w:hAnsi="Times New Roman" w:eastAsia="仿宋_GB2312"/>
                <w:sz w:val="24"/>
              </w:rPr>
              <w:t>退出时间</w:t>
            </w:r>
          </w:p>
        </w:tc>
        <w:tc>
          <w:tcPr>
            <w:tcW w:w="825" w:type="dxa"/>
            <w:vMerge w:val="restart"/>
            <w:vAlign w:val="center"/>
          </w:tcPr>
          <w:p w14:paraId="086F3BC5">
            <w:pPr>
              <w:spacing w:after="0"/>
              <w:jc w:val="center"/>
              <w:rPr>
                <w:rFonts w:ascii="Times New Roman" w:hAnsi="Times New Roman" w:eastAsia="仿宋_GB2312"/>
                <w:sz w:val="24"/>
              </w:rPr>
            </w:pPr>
            <w:r>
              <w:rPr>
                <w:rFonts w:ascii="Times New Roman" w:hAnsi="Times New Roman" w:eastAsia="仿宋_GB2312"/>
                <w:sz w:val="24"/>
              </w:rPr>
              <w:t>是否由新增设施替代</w:t>
            </w:r>
          </w:p>
        </w:tc>
        <w:tc>
          <w:tcPr>
            <w:tcW w:w="1190" w:type="dxa"/>
            <w:vMerge w:val="restart"/>
            <w:tcBorders>
              <w:right w:val="single" w:color="auto" w:sz="4" w:space="0"/>
            </w:tcBorders>
            <w:vAlign w:val="center"/>
          </w:tcPr>
          <w:p w14:paraId="2808FF4F">
            <w:pPr>
              <w:spacing w:after="0"/>
              <w:jc w:val="center"/>
              <w:rPr>
                <w:rFonts w:ascii="Times New Roman" w:hAnsi="Times New Roman" w:eastAsia="仿宋_GB2312"/>
                <w:sz w:val="24"/>
              </w:rPr>
            </w:pPr>
            <w:r>
              <w:rPr>
                <w:rFonts w:ascii="Times New Roman" w:hAnsi="Times New Roman" w:eastAsia="仿宋_GB2312"/>
                <w:sz w:val="24"/>
              </w:rPr>
              <w:t>年度</w:t>
            </w:r>
          </w:p>
        </w:tc>
        <w:tc>
          <w:tcPr>
            <w:tcW w:w="3579" w:type="dxa"/>
            <w:gridSpan w:val="3"/>
            <w:tcBorders>
              <w:left w:val="single" w:color="auto" w:sz="4" w:space="0"/>
            </w:tcBorders>
            <w:vAlign w:val="center"/>
          </w:tcPr>
          <w:p w14:paraId="71C9024F">
            <w:pPr>
              <w:spacing w:after="0"/>
              <w:jc w:val="center"/>
              <w:rPr>
                <w:rFonts w:ascii="Times New Roman" w:hAnsi="Times New Roman" w:eastAsia="仿宋_GB2312"/>
                <w:sz w:val="24"/>
              </w:rPr>
            </w:pPr>
            <w:r>
              <w:rPr>
                <w:rFonts w:ascii="Times New Roman" w:hAnsi="Times New Roman" w:eastAsia="仿宋_GB2312"/>
                <w:sz w:val="24"/>
              </w:rPr>
              <w:t>历史年度排放量</w:t>
            </w:r>
          </w:p>
        </w:tc>
      </w:tr>
      <w:tr w14:paraId="078C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62" w:type="dxa"/>
            <w:vMerge w:val="continue"/>
            <w:vAlign w:val="center"/>
          </w:tcPr>
          <w:p w14:paraId="56DDDB57">
            <w:pPr>
              <w:spacing w:after="0"/>
              <w:jc w:val="center"/>
              <w:rPr>
                <w:rFonts w:ascii="Times New Roman" w:hAnsi="Times New Roman" w:eastAsia="仿宋_GB2312"/>
                <w:sz w:val="24"/>
              </w:rPr>
            </w:pPr>
          </w:p>
        </w:tc>
        <w:tc>
          <w:tcPr>
            <w:tcW w:w="738" w:type="dxa"/>
            <w:vMerge w:val="continue"/>
            <w:vAlign w:val="center"/>
          </w:tcPr>
          <w:p w14:paraId="67DDAC5C">
            <w:pPr>
              <w:spacing w:after="0"/>
              <w:jc w:val="center"/>
              <w:rPr>
                <w:rFonts w:ascii="Times New Roman" w:hAnsi="Times New Roman" w:eastAsia="仿宋_GB2312"/>
                <w:sz w:val="24"/>
              </w:rPr>
            </w:pPr>
          </w:p>
        </w:tc>
        <w:tc>
          <w:tcPr>
            <w:tcW w:w="1003" w:type="dxa"/>
            <w:vMerge w:val="continue"/>
            <w:vAlign w:val="center"/>
          </w:tcPr>
          <w:p w14:paraId="0A2021C5">
            <w:pPr>
              <w:spacing w:after="0"/>
              <w:jc w:val="center"/>
              <w:rPr>
                <w:rFonts w:ascii="Times New Roman" w:hAnsi="Times New Roman" w:eastAsia="仿宋_GB2312"/>
                <w:sz w:val="24"/>
              </w:rPr>
            </w:pPr>
          </w:p>
        </w:tc>
        <w:tc>
          <w:tcPr>
            <w:tcW w:w="839" w:type="dxa"/>
            <w:vMerge w:val="continue"/>
            <w:vAlign w:val="center"/>
          </w:tcPr>
          <w:p w14:paraId="627BBDD9">
            <w:pPr>
              <w:spacing w:after="0"/>
              <w:jc w:val="center"/>
              <w:rPr>
                <w:rFonts w:ascii="Times New Roman" w:hAnsi="Times New Roman" w:eastAsia="仿宋_GB2312"/>
                <w:sz w:val="24"/>
              </w:rPr>
            </w:pPr>
          </w:p>
        </w:tc>
        <w:tc>
          <w:tcPr>
            <w:tcW w:w="825" w:type="dxa"/>
            <w:vMerge w:val="continue"/>
            <w:vAlign w:val="center"/>
          </w:tcPr>
          <w:p w14:paraId="0DE5CE2B">
            <w:pPr>
              <w:spacing w:after="0"/>
              <w:jc w:val="center"/>
              <w:rPr>
                <w:rFonts w:ascii="Times New Roman" w:hAnsi="Times New Roman" w:eastAsia="仿宋_GB2312"/>
                <w:sz w:val="24"/>
              </w:rPr>
            </w:pPr>
          </w:p>
        </w:tc>
        <w:tc>
          <w:tcPr>
            <w:tcW w:w="1190" w:type="dxa"/>
            <w:vMerge w:val="continue"/>
            <w:tcBorders>
              <w:right w:val="single" w:color="auto" w:sz="4" w:space="0"/>
            </w:tcBorders>
            <w:vAlign w:val="center"/>
          </w:tcPr>
          <w:p w14:paraId="0515226C">
            <w:pPr>
              <w:spacing w:after="0"/>
              <w:jc w:val="center"/>
              <w:rPr>
                <w:rFonts w:ascii="Times New Roman" w:hAnsi="Times New Roman" w:eastAsia="仿宋_GB2312"/>
                <w:sz w:val="24"/>
              </w:rPr>
            </w:pPr>
          </w:p>
        </w:tc>
        <w:tc>
          <w:tcPr>
            <w:tcW w:w="1292" w:type="dxa"/>
            <w:tcBorders>
              <w:left w:val="single" w:color="auto" w:sz="4" w:space="0"/>
            </w:tcBorders>
            <w:vAlign w:val="center"/>
          </w:tcPr>
          <w:p w14:paraId="65A83475">
            <w:pPr>
              <w:spacing w:after="0"/>
              <w:jc w:val="center"/>
              <w:rPr>
                <w:rFonts w:ascii="Times New Roman" w:hAnsi="Times New Roman" w:eastAsia="仿宋_GB2312"/>
                <w:sz w:val="24"/>
              </w:rPr>
            </w:pPr>
            <w:r>
              <w:rPr>
                <w:rFonts w:ascii="Times New Roman" w:hAnsi="Times New Roman" w:eastAsia="仿宋_GB2312"/>
                <w:sz w:val="24"/>
              </w:rPr>
              <w:t>直接排放量</w:t>
            </w:r>
          </w:p>
          <w:p w14:paraId="59C159A7">
            <w:pPr>
              <w:spacing w:after="0"/>
              <w:jc w:val="center"/>
              <w:rPr>
                <w:rFonts w:ascii="Times New Roman" w:hAnsi="Times New Roman" w:eastAsia="仿宋_GB2312"/>
                <w:sz w:val="24"/>
              </w:rPr>
            </w:pPr>
            <w:r>
              <w:rPr>
                <w:rFonts w:ascii="Times New Roman" w:hAnsi="Times New Roman" w:eastAsia="仿宋_GB2312"/>
                <w:sz w:val="24"/>
              </w:rPr>
              <w:t>（tCO</w:t>
            </w:r>
            <w:r>
              <w:rPr>
                <w:rFonts w:ascii="Times New Roman" w:hAnsi="Times New Roman" w:eastAsia="仿宋_GB2312"/>
                <w:sz w:val="24"/>
                <w:vertAlign w:val="subscript"/>
              </w:rPr>
              <w:t>2</w:t>
            </w:r>
            <w:r>
              <w:rPr>
                <w:rFonts w:ascii="Times New Roman" w:hAnsi="Times New Roman" w:eastAsia="仿宋_GB2312"/>
                <w:sz w:val="24"/>
              </w:rPr>
              <w:t>）</w:t>
            </w:r>
          </w:p>
        </w:tc>
        <w:tc>
          <w:tcPr>
            <w:tcW w:w="1173" w:type="dxa"/>
            <w:vAlign w:val="center"/>
          </w:tcPr>
          <w:p w14:paraId="079610E9">
            <w:pPr>
              <w:spacing w:after="0"/>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14" w:type="dxa"/>
            <w:vAlign w:val="center"/>
          </w:tcPr>
          <w:p w14:paraId="23867FE3">
            <w:pPr>
              <w:spacing w:after="0"/>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5973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2" w:type="dxa"/>
            <w:vMerge w:val="restart"/>
            <w:vAlign w:val="center"/>
          </w:tcPr>
          <w:p w14:paraId="2A68DB21">
            <w:pPr>
              <w:spacing w:after="0"/>
              <w:jc w:val="center"/>
              <w:rPr>
                <w:rFonts w:ascii="Times New Roman" w:hAnsi="Times New Roman" w:eastAsia="仿宋_GB2312"/>
                <w:sz w:val="24"/>
              </w:rPr>
            </w:pPr>
            <w:r>
              <w:rPr>
                <w:rFonts w:ascii="Times New Roman" w:hAnsi="Times New Roman" w:eastAsia="仿宋_GB2312"/>
                <w:sz w:val="24"/>
              </w:rPr>
              <w:t>1</w:t>
            </w:r>
          </w:p>
        </w:tc>
        <w:tc>
          <w:tcPr>
            <w:tcW w:w="738" w:type="dxa"/>
            <w:vMerge w:val="restart"/>
            <w:vAlign w:val="center"/>
          </w:tcPr>
          <w:p w14:paraId="7FBC45C0">
            <w:pPr>
              <w:spacing w:after="0"/>
              <w:jc w:val="center"/>
              <w:rPr>
                <w:rFonts w:ascii="Times New Roman" w:hAnsi="Times New Roman" w:eastAsia="仿宋_GB2312"/>
                <w:sz w:val="24"/>
              </w:rPr>
            </w:pPr>
            <w:r>
              <w:rPr>
                <w:rFonts w:ascii="Times New Roman" w:hAnsi="Times New Roman" w:eastAsia="仿宋_GB2312"/>
                <w:sz w:val="24"/>
              </w:rPr>
              <w:t>燃气锅炉</w:t>
            </w:r>
          </w:p>
        </w:tc>
        <w:tc>
          <w:tcPr>
            <w:tcW w:w="1003" w:type="dxa"/>
            <w:vMerge w:val="restart"/>
            <w:vAlign w:val="center"/>
          </w:tcPr>
          <w:p w14:paraId="57920E21">
            <w:pPr>
              <w:spacing w:after="0"/>
              <w:jc w:val="center"/>
              <w:rPr>
                <w:rFonts w:ascii="Times New Roman" w:hAnsi="Times New Roman" w:eastAsia="仿宋_GB2312"/>
                <w:sz w:val="24"/>
              </w:rPr>
            </w:pPr>
          </w:p>
        </w:tc>
        <w:tc>
          <w:tcPr>
            <w:tcW w:w="839" w:type="dxa"/>
            <w:vMerge w:val="restart"/>
            <w:vAlign w:val="center"/>
          </w:tcPr>
          <w:p w14:paraId="2299C7CB">
            <w:pPr>
              <w:spacing w:after="0"/>
              <w:jc w:val="center"/>
              <w:rPr>
                <w:rFonts w:ascii="Times New Roman" w:hAnsi="Times New Roman" w:eastAsia="仿宋_GB2312"/>
                <w:sz w:val="24"/>
              </w:rPr>
            </w:pPr>
            <w:r>
              <w:rPr>
                <w:rFonts w:ascii="Times New Roman" w:hAnsi="Times New Roman" w:eastAsia="仿宋_GB2312"/>
                <w:sz w:val="24"/>
              </w:rPr>
              <w:t>2017</w:t>
            </w:r>
          </w:p>
        </w:tc>
        <w:tc>
          <w:tcPr>
            <w:tcW w:w="825" w:type="dxa"/>
            <w:vMerge w:val="restart"/>
            <w:vAlign w:val="center"/>
          </w:tcPr>
          <w:p w14:paraId="684685DD">
            <w:pPr>
              <w:spacing w:after="0"/>
              <w:jc w:val="center"/>
              <w:rPr>
                <w:rFonts w:ascii="Times New Roman" w:hAnsi="Times New Roman" w:eastAsia="仿宋_GB2312"/>
                <w:sz w:val="24"/>
              </w:rPr>
            </w:pPr>
            <w:r>
              <w:rPr>
                <w:rFonts w:ascii="Times New Roman" w:hAnsi="Times New Roman" w:eastAsia="仿宋_GB2312"/>
                <w:sz w:val="24"/>
              </w:rPr>
              <w:t>否</w:t>
            </w:r>
          </w:p>
        </w:tc>
        <w:tc>
          <w:tcPr>
            <w:tcW w:w="1190" w:type="dxa"/>
            <w:tcBorders>
              <w:right w:val="single" w:color="auto" w:sz="4" w:space="0"/>
            </w:tcBorders>
          </w:tcPr>
          <w:p w14:paraId="01842034">
            <w:pPr>
              <w:spacing w:after="0"/>
              <w:rPr>
                <w:rFonts w:ascii="Times New Roman" w:hAnsi="Times New Roman" w:eastAsia="仿宋_GB2312"/>
                <w:sz w:val="24"/>
              </w:rPr>
            </w:pPr>
            <w:r>
              <w:rPr>
                <w:rFonts w:ascii="Times New Roman" w:hAnsi="Times New Roman" w:eastAsia="仿宋_GB2312"/>
                <w:sz w:val="24"/>
              </w:rPr>
              <w:t>2016年</w:t>
            </w:r>
          </w:p>
        </w:tc>
        <w:tc>
          <w:tcPr>
            <w:tcW w:w="1292" w:type="dxa"/>
            <w:tcBorders>
              <w:left w:val="single" w:color="auto" w:sz="4" w:space="0"/>
            </w:tcBorders>
          </w:tcPr>
          <w:p w14:paraId="6BBC7BEC">
            <w:pPr>
              <w:spacing w:after="0"/>
              <w:rPr>
                <w:rFonts w:ascii="Times New Roman" w:hAnsi="Times New Roman" w:eastAsia="仿宋_GB2312"/>
                <w:sz w:val="24"/>
              </w:rPr>
            </w:pPr>
            <w:r>
              <w:rPr>
                <w:rFonts w:ascii="Times New Roman" w:hAnsi="Times New Roman" w:eastAsia="仿宋_GB2312"/>
                <w:sz w:val="24"/>
              </w:rPr>
              <w:t>2000.00</w:t>
            </w:r>
          </w:p>
        </w:tc>
        <w:tc>
          <w:tcPr>
            <w:tcW w:w="1173" w:type="dxa"/>
          </w:tcPr>
          <w:p w14:paraId="10EA98D7">
            <w:pPr>
              <w:spacing w:after="0"/>
              <w:rPr>
                <w:rFonts w:ascii="Times New Roman" w:hAnsi="Times New Roman" w:eastAsia="仿宋_GB2312"/>
                <w:sz w:val="24"/>
              </w:rPr>
            </w:pPr>
            <w:r>
              <w:rPr>
                <w:rFonts w:ascii="Times New Roman" w:hAnsi="Times New Roman" w:eastAsia="仿宋_GB2312"/>
                <w:sz w:val="24"/>
              </w:rPr>
              <w:t>30.00</w:t>
            </w:r>
          </w:p>
        </w:tc>
        <w:tc>
          <w:tcPr>
            <w:tcW w:w="1114" w:type="dxa"/>
          </w:tcPr>
          <w:p w14:paraId="326AE56A">
            <w:pPr>
              <w:spacing w:after="0"/>
              <w:rPr>
                <w:rFonts w:ascii="Times New Roman" w:hAnsi="Times New Roman" w:eastAsia="仿宋_GB2312"/>
                <w:sz w:val="24"/>
              </w:rPr>
            </w:pPr>
            <w:r>
              <w:rPr>
                <w:rFonts w:ascii="Times New Roman" w:hAnsi="Times New Roman" w:eastAsia="仿宋_GB2312"/>
                <w:sz w:val="24"/>
              </w:rPr>
              <w:t>2030.00</w:t>
            </w:r>
          </w:p>
        </w:tc>
      </w:tr>
      <w:tr w14:paraId="53C5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2" w:type="dxa"/>
            <w:vMerge w:val="continue"/>
          </w:tcPr>
          <w:p w14:paraId="2DEB45D0">
            <w:pPr>
              <w:spacing w:after="0"/>
              <w:rPr>
                <w:rFonts w:ascii="Times New Roman" w:hAnsi="Times New Roman" w:eastAsia="仿宋_GB2312"/>
                <w:sz w:val="24"/>
              </w:rPr>
            </w:pPr>
          </w:p>
        </w:tc>
        <w:tc>
          <w:tcPr>
            <w:tcW w:w="738" w:type="dxa"/>
            <w:vMerge w:val="continue"/>
          </w:tcPr>
          <w:p w14:paraId="7EB3F33E">
            <w:pPr>
              <w:spacing w:after="0"/>
              <w:rPr>
                <w:rFonts w:ascii="Times New Roman" w:hAnsi="Times New Roman" w:eastAsia="仿宋_GB2312"/>
                <w:sz w:val="24"/>
              </w:rPr>
            </w:pPr>
          </w:p>
        </w:tc>
        <w:tc>
          <w:tcPr>
            <w:tcW w:w="1003" w:type="dxa"/>
            <w:vMerge w:val="continue"/>
          </w:tcPr>
          <w:p w14:paraId="4F12E383">
            <w:pPr>
              <w:spacing w:after="0"/>
              <w:rPr>
                <w:rFonts w:ascii="Times New Roman" w:hAnsi="Times New Roman" w:eastAsia="仿宋_GB2312"/>
                <w:sz w:val="24"/>
              </w:rPr>
            </w:pPr>
          </w:p>
        </w:tc>
        <w:tc>
          <w:tcPr>
            <w:tcW w:w="839" w:type="dxa"/>
            <w:vMerge w:val="continue"/>
          </w:tcPr>
          <w:p w14:paraId="00F5520F">
            <w:pPr>
              <w:spacing w:after="0"/>
              <w:rPr>
                <w:rFonts w:ascii="Times New Roman" w:hAnsi="Times New Roman" w:eastAsia="仿宋_GB2312"/>
                <w:sz w:val="24"/>
              </w:rPr>
            </w:pPr>
          </w:p>
        </w:tc>
        <w:tc>
          <w:tcPr>
            <w:tcW w:w="825" w:type="dxa"/>
            <w:vMerge w:val="continue"/>
          </w:tcPr>
          <w:p w14:paraId="477A8B5A">
            <w:pPr>
              <w:spacing w:after="0"/>
              <w:rPr>
                <w:rFonts w:ascii="Times New Roman" w:hAnsi="Times New Roman" w:eastAsia="仿宋_GB2312"/>
                <w:sz w:val="24"/>
              </w:rPr>
            </w:pPr>
          </w:p>
        </w:tc>
        <w:tc>
          <w:tcPr>
            <w:tcW w:w="1190" w:type="dxa"/>
            <w:tcBorders>
              <w:right w:val="single" w:color="auto" w:sz="4" w:space="0"/>
            </w:tcBorders>
          </w:tcPr>
          <w:p w14:paraId="72359879">
            <w:pPr>
              <w:spacing w:after="0"/>
              <w:rPr>
                <w:rFonts w:ascii="Times New Roman" w:hAnsi="Times New Roman" w:eastAsia="仿宋_GB2312"/>
                <w:sz w:val="24"/>
              </w:rPr>
            </w:pPr>
            <w:r>
              <w:rPr>
                <w:rFonts w:ascii="Times New Roman" w:hAnsi="Times New Roman" w:eastAsia="仿宋_GB2312"/>
                <w:sz w:val="24"/>
              </w:rPr>
              <w:t>2017年</w:t>
            </w:r>
          </w:p>
        </w:tc>
        <w:tc>
          <w:tcPr>
            <w:tcW w:w="1292" w:type="dxa"/>
            <w:tcBorders>
              <w:left w:val="single" w:color="auto" w:sz="4" w:space="0"/>
            </w:tcBorders>
          </w:tcPr>
          <w:p w14:paraId="11B9A600">
            <w:pPr>
              <w:spacing w:after="0"/>
              <w:rPr>
                <w:rFonts w:ascii="Times New Roman" w:hAnsi="Times New Roman" w:eastAsia="仿宋_GB2312"/>
                <w:sz w:val="24"/>
              </w:rPr>
            </w:pPr>
            <w:r>
              <w:rPr>
                <w:rFonts w:ascii="Times New Roman" w:hAnsi="Times New Roman" w:eastAsia="仿宋_GB2312"/>
                <w:sz w:val="24"/>
              </w:rPr>
              <w:t>800.00</w:t>
            </w:r>
          </w:p>
        </w:tc>
        <w:tc>
          <w:tcPr>
            <w:tcW w:w="1173" w:type="dxa"/>
          </w:tcPr>
          <w:p w14:paraId="1BD78B2F">
            <w:pPr>
              <w:spacing w:after="0"/>
              <w:rPr>
                <w:rFonts w:ascii="Times New Roman" w:hAnsi="Times New Roman" w:eastAsia="仿宋_GB2312"/>
                <w:sz w:val="24"/>
              </w:rPr>
            </w:pPr>
            <w:r>
              <w:rPr>
                <w:rFonts w:ascii="Times New Roman" w:hAnsi="Times New Roman" w:eastAsia="仿宋_GB2312"/>
                <w:sz w:val="24"/>
              </w:rPr>
              <w:t>10.00</w:t>
            </w:r>
          </w:p>
        </w:tc>
        <w:tc>
          <w:tcPr>
            <w:tcW w:w="1114" w:type="dxa"/>
          </w:tcPr>
          <w:p w14:paraId="56FC82B2">
            <w:pPr>
              <w:spacing w:after="0"/>
              <w:rPr>
                <w:rFonts w:ascii="Times New Roman" w:hAnsi="Times New Roman" w:eastAsia="仿宋_GB2312"/>
                <w:sz w:val="24"/>
              </w:rPr>
            </w:pPr>
            <w:r>
              <w:rPr>
                <w:rFonts w:ascii="Times New Roman" w:hAnsi="Times New Roman" w:eastAsia="仿宋_GB2312"/>
                <w:sz w:val="24"/>
              </w:rPr>
              <w:t>810.00</w:t>
            </w:r>
          </w:p>
        </w:tc>
      </w:tr>
      <w:tr w14:paraId="013D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62" w:type="dxa"/>
            <w:vMerge w:val="continue"/>
          </w:tcPr>
          <w:p w14:paraId="5C3DE3D1">
            <w:pPr>
              <w:spacing w:after="0"/>
              <w:rPr>
                <w:rFonts w:ascii="Times New Roman" w:hAnsi="Times New Roman" w:eastAsia="仿宋_GB2312"/>
                <w:sz w:val="24"/>
              </w:rPr>
            </w:pPr>
          </w:p>
        </w:tc>
        <w:tc>
          <w:tcPr>
            <w:tcW w:w="738" w:type="dxa"/>
            <w:vMerge w:val="continue"/>
          </w:tcPr>
          <w:p w14:paraId="127B4CEA">
            <w:pPr>
              <w:spacing w:after="0"/>
              <w:rPr>
                <w:rFonts w:ascii="Times New Roman" w:hAnsi="Times New Roman" w:eastAsia="仿宋_GB2312"/>
                <w:sz w:val="24"/>
              </w:rPr>
            </w:pPr>
          </w:p>
        </w:tc>
        <w:tc>
          <w:tcPr>
            <w:tcW w:w="1003" w:type="dxa"/>
            <w:vMerge w:val="continue"/>
          </w:tcPr>
          <w:p w14:paraId="6BF7A78E">
            <w:pPr>
              <w:spacing w:after="0"/>
              <w:rPr>
                <w:rFonts w:ascii="Times New Roman" w:hAnsi="Times New Roman" w:eastAsia="仿宋_GB2312"/>
                <w:sz w:val="24"/>
              </w:rPr>
            </w:pPr>
          </w:p>
        </w:tc>
        <w:tc>
          <w:tcPr>
            <w:tcW w:w="839" w:type="dxa"/>
            <w:vMerge w:val="continue"/>
          </w:tcPr>
          <w:p w14:paraId="08E70B8B">
            <w:pPr>
              <w:spacing w:after="0"/>
              <w:rPr>
                <w:rFonts w:ascii="Times New Roman" w:hAnsi="Times New Roman" w:eastAsia="仿宋_GB2312"/>
                <w:sz w:val="24"/>
              </w:rPr>
            </w:pPr>
          </w:p>
        </w:tc>
        <w:tc>
          <w:tcPr>
            <w:tcW w:w="825" w:type="dxa"/>
            <w:vMerge w:val="continue"/>
          </w:tcPr>
          <w:p w14:paraId="4C214C2E">
            <w:pPr>
              <w:spacing w:after="0"/>
              <w:rPr>
                <w:rFonts w:ascii="Times New Roman" w:hAnsi="Times New Roman" w:eastAsia="仿宋_GB2312"/>
                <w:sz w:val="24"/>
              </w:rPr>
            </w:pPr>
          </w:p>
        </w:tc>
        <w:tc>
          <w:tcPr>
            <w:tcW w:w="1190" w:type="dxa"/>
            <w:tcBorders>
              <w:right w:val="single" w:color="auto" w:sz="4" w:space="0"/>
            </w:tcBorders>
          </w:tcPr>
          <w:p w14:paraId="41ED785C">
            <w:pPr>
              <w:spacing w:after="0"/>
              <w:rPr>
                <w:rFonts w:ascii="Times New Roman" w:hAnsi="Times New Roman" w:eastAsia="仿宋_GB2312"/>
                <w:sz w:val="24"/>
              </w:rPr>
            </w:pPr>
            <w:r>
              <w:rPr>
                <w:rFonts w:ascii="Times New Roman" w:hAnsi="Times New Roman" w:eastAsia="仿宋_GB2312"/>
                <w:sz w:val="24"/>
              </w:rPr>
              <w:t>2018年</w:t>
            </w:r>
          </w:p>
        </w:tc>
        <w:tc>
          <w:tcPr>
            <w:tcW w:w="1292" w:type="dxa"/>
            <w:tcBorders>
              <w:left w:val="single" w:color="auto" w:sz="4" w:space="0"/>
            </w:tcBorders>
            <w:vAlign w:val="center"/>
          </w:tcPr>
          <w:p w14:paraId="13C903DE">
            <w:pPr>
              <w:spacing w:after="0"/>
              <w:jc w:val="center"/>
              <w:rPr>
                <w:rFonts w:ascii="Times New Roman" w:hAnsi="Times New Roman" w:eastAsia="仿宋_GB2312"/>
                <w:sz w:val="24"/>
              </w:rPr>
            </w:pPr>
            <w:r>
              <w:rPr>
                <w:rFonts w:ascii="Times New Roman" w:hAnsi="Times New Roman" w:eastAsia="仿宋_GB2312"/>
                <w:sz w:val="24"/>
              </w:rPr>
              <w:t>/</w:t>
            </w:r>
          </w:p>
        </w:tc>
        <w:tc>
          <w:tcPr>
            <w:tcW w:w="1173" w:type="dxa"/>
            <w:vAlign w:val="center"/>
          </w:tcPr>
          <w:p w14:paraId="12D270E0">
            <w:pPr>
              <w:spacing w:after="0"/>
              <w:jc w:val="center"/>
              <w:rPr>
                <w:rFonts w:ascii="Times New Roman" w:hAnsi="Times New Roman" w:eastAsia="仿宋_GB2312"/>
                <w:sz w:val="24"/>
              </w:rPr>
            </w:pPr>
            <w:r>
              <w:rPr>
                <w:rFonts w:ascii="Times New Roman" w:hAnsi="Times New Roman" w:eastAsia="仿宋_GB2312"/>
                <w:sz w:val="24"/>
              </w:rPr>
              <w:t>/</w:t>
            </w:r>
          </w:p>
        </w:tc>
        <w:tc>
          <w:tcPr>
            <w:tcW w:w="1114" w:type="dxa"/>
            <w:vAlign w:val="center"/>
          </w:tcPr>
          <w:p w14:paraId="6C67152F">
            <w:pPr>
              <w:tabs>
                <w:tab w:val="left" w:pos="420"/>
              </w:tabs>
              <w:spacing w:after="0"/>
              <w:jc w:val="center"/>
              <w:rPr>
                <w:rFonts w:ascii="Times New Roman" w:hAnsi="Times New Roman" w:eastAsia="仿宋_GB2312"/>
                <w:sz w:val="24"/>
              </w:rPr>
            </w:pPr>
            <w:r>
              <w:rPr>
                <w:rFonts w:ascii="Times New Roman" w:hAnsi="Times New Roman" w:eastAsia="仿宋_GB2312"/>
                <w:sz w:val="24"/>
              </w:rPr>
              <w:t>/</w:t>
            </w:r>
          </w:p>
        </w:tc>
      </w:tr>
    </w:tbl>
    <w:p w14:paraId="2F606686">
      <w:pPr>
        <w:spacing w:after="0" w:line="560" w:lineRule="exact"/>
        <w:ind w:firstLine="465"/>
        <w:rPr>
          <w:rFonts w:ascii="Times New Roman" w:hAnsi="Times New Roman" w:eastAsia="仿宋"/>
          <w:sz w:val="32"/>
          <w:szCs w:val="32"/>
        </w:rPr>
      </w:pPr>
      <w:r>
        <w:rPr>
          <w:rFonts w:ascii="Times New Roman" w:hAnsi="Times New Roman" w:eastAsia="仿宋"/>
          <w:bCs/>
          <w:sz w:val="32"/>
          <w:szCs w:val="32"/>
        </w:rPr>
        <w:t>排放单位新增设施主要包括新建、划转及收购的热源厂的锅炉以及原有热源厂新增的排放设施，新增设施及其排放量信息具体如下，</w:t>
      </w:r>
      <w:r>
        <w:rPr>
          <w:rFonts w:ascii="Times New Roman" w:hAnsi="Times New Roman" w:eastAsia="仿宋"/>
          <w:sz w:val="32"/>
          <w:szCs w:val="32"/>
        </w:rPr>
        <w:t>信息供新增设施配额发放参考。</w:t>
      </w:r>
    </w:p>
    <w:p w14:paraId="21D68BDF">
      <w:pPr>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24"/>
        <w:gridCol w:w="3805"/>
        <w:gridCol w:w="1314"/>
        <w:gridCol w:w="1364"/>
        <w:gridCol w:w="1095"/>
      </w:tblGrid>
      <w:tr w14:paraId="1B1B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532" w:type="dxa"/>
            <w:vAlign w:val="center"/>
          </w:tcPr>
          <w:p w14:paraId="20C54810">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序号</w:t>
            </w:r>
          </w:p>
        </w:tc>
        <w:tc>
          <w:tcPr>
            <w:tcW w:w="924" w:type="dxa"/>
            <w:vAlign w:val="center"/>
          </w:tcPr>
          <w:p w14:paraId="20AC8571">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设施新增年份</w:t>
            </w:r>
          </w:p>
        </w:tc>
        <w:tc>
          <w:tcPr>
            <w:tcW w:w="3805" w:type="dxa"/>
            <w:vAlign w:val="center"/>
          </w:tcPr>
          <w:p w14:paraId="50725855">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新增设施类型</w:t>
            </w:r>
          </w:p>
        </w:tc>
        <w:tc>
          <w:tcPr>
            <w:tcW w:w="1314" w:type="dxa"/>
            <w:vAlign w:val="center"/>
          </w:tcPr>
          <w:p w14:paraId="76F1B2BD">
            <w:pPr>
              <w:keepNext w:val="0"/>
              <w:keepLines w:val="0"/>
              <w:pageBreakBefore w:val="0"/>
              <w:widowControl/>
              <w:kinsoku/>
              <w:wordWrap/>
              <w:overflowPunct/>
              <w:topLinePunct w:val="0"/>
              <w:autoSpaceDE/>
              <w:autoSpaceDN/>
              <w:bidi w:val="0"/>
              <w:adjustRightInd/>
              <w:snapToGrid/>
              <w:spacing w:after="0"/>
              <w:ind w:left="-110" w:leftChars="-50" w:right="-110" w:rightChars="-50"/>
              <w:jc w:val="center"/>
              <w:textAlignment w:val="auto"/>
              <w:rPr>
                <w:rFonts w:ascii="Times New Roman" w:hAnsi="Times New Roman" w:eastAsia="仿宋"/>
                <w:bCs/>
                <w:sz w:val="24"/>
              </w:rPr>
            </w:pPr>
            <w:r>
              <w:rPr>
                <w:rFonts w:ascii="Times New Roman" w:hAnsi="Times New Roman" w:eastAsia="仿宋"/>
                <w:bCs/>
                <w:sz w:val="24"/>
              </w:rPr>
              <w:t>是否替代既有设施，</w:t>
            </w:r>
            <w:r>
              <w:rPr>
                <w:rFonts w:ascii="Times New Roman" w:hAnsi="Times New Roman" w:eastAsia="仿宋_GB2312"/>
                <w:color w:val="000000"/>
                <w:sz w:val="24"/>
              </w:rPr>
              <w:t>被替代既有设施类型</w:t>
            </w:r>
          </w:p>
        </w:tc>
        <w:tc>
          <w:tcPr>
            <w:tcW w:w="1364" w:type="dxa"/>
            <w:vAlign w:val="center"/>
          </w:tcPr>
          <w:p w14:paraId="3616636A">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新增设施排放量（吨）</w:t>
            </w:r>
          </w:p>
        </w:tc>
        <w:tc>
          <w:tcPr>
            <w:tcW w:w="1095" w:type="dxa"/>
            <w:vAlign w:val="center"/>
          </w:tcPr>
          <w:p w14:paraId="3A634507">
            <w:pPr>
              <w:keepNext w:val="0"/>
              <w:keepLines w:val="0"/>
              <w:pageBreakBefore w:val="0"/>
              <w:widowControl/>
              <w:kinsoku/>
              <w:wordWrap/>
              <w:overflowPunct/>
              <w:topLinePunct w:val="0"/>
              <w:autoSpaceDE/>
              <w:autoSpaceDN/>
              <w:bidi w:val="0"/>
              <w:adjustRightInd/>
              <w:snapToGrid/>
              <w:spacing w:after="0"/>
              <w:ind w:left="-110" w:leftChars="-50" w:right="-110" w:rightChars="-50"/>
              <w:jc w:val="center"/>
              <w:textAlignment w:val="auto"/>
              <w:rPr>
                <w:rFonts w:ascii="Times New Roman" w:hAnsi="Times New Roman" w:eastAsia="仿宋"/>
                <w:bCs/>
                <w:sz w:val="24"/>
              </w:rPr>
            </w:pPr>
            <w:r>
              <w:rPr>
                <w:rFonts w:hint="eastAsia" w:ascii="Times New Roman" w:hAnsi="Times New Roman" w:eastAsia="仿宋"/>
                <w:bCs/>
                <w:sz w:val="24"/>
              </w:rPr>
              <w:t>替代既有设施的新增排放量(吨)</w:t>
            </w:r>
          </w:p>
        </w:tc>
      </w:tr>
      <w:tr w14:paraId="550D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61F4D988">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1</w:t>
            </w:r>
          </w:p>
        </w:tc>
        <w:tc>
          <w:tcPr>
            <w:tcW w:w="924" w:type="dxa"/>
            <w:vAlign w:val="center"/>
          </w:tcPr>
          <w:p w14:paraId="7F5A764B">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2019</w:t>
            </w:r>
          </w:p>
        </w:tc>
        <w:tc>
          <w:tcPr>
            <w:tcW w:w="3805" w:type="dxa"/>
            <w:vAlign w:val="center"/>
          </w:tcPr>
          <w:p w14:paraId="2D660226">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燃气锅炉x</w:t>
            </w:r>
            <w:r>
              <w:rPr>
                <w:rFonts w:hint="eastAsia" w:ascii="Times New Roman" w:hAnsi="Times New Roman" w:eastAsia="仿宋"/>
                <w:bCs/>
                <w:sz w:val="24"/>
              </w:rPr>
              <w:t>x</w:t>
            </w:r>
            <w:r>
              <w:rPr>
                <w:rFonts w:ascii="Times New Roman" w:hAnsi="Times New Roman" w:eastAsia="仿宋"/>
                <w:bCs/>
                <w:sz w:val="24"/>
              </w:rPr>
              <w:t>台：</w:t>
            </w:r>
            <w:r>
              <w:rPr>
                <w:rFonts w:ascii="Times New Roman" w:hAnsi="Times New Roman" w:eastAsia="仿宋"/>
                <w:sz w:val="24"/>
              </w:rPr>
              <w:t>xxx、xxx、xxx</w:t>
            </w:r>
          </w:p>
        </w:tc>
        <w:tc>
          <w:tcPr>
            <w:tcW w:w="1314" w:type="dxa"/>
            <w:vAlign w:val="center"/>
          </w:tcPr>
          <w:p w14:paraId="472C72C7">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否</w:t>
            </w:r>
          </w:p>
        </w:tc>
        <w:tc>
          <w:tcPr>
            <w:tcW w:w="1364" w:type="dxa"/>
            <w:vAlign w:val="center"/>
          </w:tcPr>
          <w:p w14:paraId="4E4A6813">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color w:val="000000"/>
                <w:sz w:val="24"/>
              </w:rPr>
              <w:t xml:space="preserve">58000.00 </w:t>
            </w:r>
          </w:p>
        </w:tc>
        <w:tc>
          <w:tcPr>
            <w:tcW w:w="1095" w:type="dxa"/>
            <w:vAlign w:val="center"/>
          </w:tcPr>
          <w:p w14:paraId="1C55C2CF">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w:t>
            </w:r>
          </w:p>
        </w:tc>
      </w:tr>
      <w:tr w14:paraId="78DE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6D89FB28">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2</w:t>
            </w:r>
          </w:p>
        </w:tc>
        <w:tc>
          <w:tcPr>
            <w:tcW w:w="924" w:type="dxa"/>
            <w:vAlign w:val="center"/>
          </w:tcPr>
          <w:p w14:paraId="3AEC50B2">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2019</w:t>
            </w:r>
          </w:p>
        </w:tc>
        <w:tc>
          <w:tcPr>
            <w:tcW w:w="3805" w:type="dxa"/>
            <w:vAlign w:val="center"/>
          </w:tcPr>
          <w:p w14:paraId="5E889209">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燃煤锅炉</w:t>
            </w:r>
            <w:r>
              <w:rPr>
                <w:rFonts w:hint="eastAsia" w:ascii="Times New Roman" w:hAnsi="Times New Roman" w:eastAsia="仿宋"/>
                <w:bCs/>
                <w:sz w:val="24"/>
              </w:rPr>
              <w:t>x</w:t>
            </w:r>
            <w:r>
              <w:rPr>
                <w:rFonts w:ascii="Times New Roman" w:hAnsi="Times New Roman" w:eastAsia="仿宋"/>
                <w:bCs/>
                <w:sz w:val="24"/>
              </w:rPr>
              <w:t>x台：</w:t>
            </w:r>
            <w:r>
              <w:rPr>
                <w:rFonts w:ascii="Times New Roman" w:hAnsi="Times New Roman" w:eastAsia="仿宋"/>
                <w:sz w:val="24"/>
              </w:rPr>
              <w:t>xxx、xxx、xxx</w:t>
            </w:r>
          </w:p>
        </w:tc>
        <w:tc>
          <w:tcPr>
            <w:tcW w:w="1314" w:type="dxa"/>
            <w:vAlign w:val="center"/>
          </w:tcPr>
          <w:p w14:paraId="3C11544C">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否</w:t>
            </w:r>
          </w:p>
        </w:tc>
        <w:tc>
          <w:tcPr>
            <w:tcW w:w="1364" w:type="dxa"/>
            <w:vAlign w:val="center"/>
          </w:tcPr>
          <w:p w14:paraId="23C21B92">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color w:val="000000"/>
                <w:sz w:val="24"/>
              </w:rPr>
              <w:t xml:space="preserve">4000.00 </w:t>
            </w:r>
          </w:p>
        </w:tc>
        <w:tc>
          <w:tcPr>
            <w:tcW w:w="1095" w:type="dxa"/>
            <w:vAlign w:val="center"/>
          </w:tcPr>
          <w:p w14:paraId="44823EA5">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w:t>
            </w:r>
          </w:p>
        </w:tc>
      </w:tr>
      <w:tr w14:paraId="7646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1ABDD40A">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3</w:t>
            </w:r>
          </w:p>
        </w:tc>
        <w:tc>
          <w:tcPr>
            <w:tcW w:w="924" w:type="dxa"/>
            <w:vAlign w:val="center"/>
          </w:tcPr>
          <w:p w14:paraId="091E107A">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2019</w:t>
            </w:r>
          </w:p>
        </w:tc>
        <w:tc>
          <w:tcPr>
            <w:tcW w:w="3805" w:type="dxa"/>
            <w:vAlign w:val="center"/>
          </w:tcPr>
          <w:p w14:paraId="75611494">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燃油锅炉xx台：</w:t>
            </w:r>
            <w:r>
              <w:rPr>
                <w:rFonts w:ascii="Times New Roman" w:hAnsi="Times New Roman" w:eastAsia="仿宋"/>
                <w:sz w:val="24"/>
              </w:rPr>
              <w:t>xxx、xxx、xxx</w:t>
            </w:r>
          </w:p>
        </w:tc>
        <w:tc>
          <w:tcPr>
            <w:tcW w:w="1314" w:type="dxa"/>
            <w:vAlign w:val="center"/>
          </w:tcPr>
          <w:p w14:paraId="487CF7A8">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否</w:t>
            </w:r>
          </w:p>
        </w:tc>
        <w:tc>
          <w:tcPr>
            <w:tcW w:w="1364" w:type="dxa"/>
            <w:vAlign w:val="center"/>
          </w:tcPr>
          <w:p w14:paraId="476972BC">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color w:val="000000"/>
                <w:sz w:val="24"/>
              </w:rPr>
              <w:t>2000.00</w:t>
            </w:r>
          </w:p>
        </w:tc>
        <w:tc>
          <w:tcPr>
            <w:tcW w:w="1095" w:type="dxa"/>
            <w:vAlign w:val="center"/>
          </w:tcPr>
          <w:p w14:paraId="7780B641">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w:t>
            </w:r>
          </w:p>
        </w:tc>
      </w:tr>
      <w:tr w14:paraId="3128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4C66378D">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4</w:t>
            </w:r>
          </w:p>
        </w:tc>
        <w:tc>
          <w:tcPr>
            <w:tcW w:w="924" w:type="dxa"/>
            <w:vAlign w:val="center"/>
          </w:tcPr>
          <w:p w14:paraId="090DF06B">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2019</w:t>
            </w:r>
          </w:p>
        </w:tc>
        <w:tc>
          <w:tcPr>
            <w:tcW w:w="3805" w:type="dxa"/>
            <w:vAlign w:val="center"/>
          </w:tcPr>
          <w:p w14:paraId="7A428007">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电锅炉xx台：</w:t>
            </w:r>
            <w:r>
              <w:rPr>
                <w:rFonts w:ascii="Times New Roman" w:hAnsi="Times New Roman" w:eastAsia="仿宋"/>
                <w:sz w:val="24"/>
              </w:rPr>
              <w:t>xxx、xxx、xxx</w:t>
            </w:r>
          </w:p>
        </w:tc>
        <w:tc>
          <w:tcPr>
            <w:tcW w:w="1314" w:type="dxa"/>
            <w:vAlign w:val="center"/>
          </w:tcPr>
          <w:p w14:paraId="5F88FA87">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否</w:t>
            </w:r>
          </w:p>
        </w:tc>
        <w:tc>
          <w:tcPr>
            <w:tcW w:w="1364" w:type="dxa"/>
            <w:vAlign w:val="center"/>
          </w:tcPr>
          <w:p w14:paraId="151603F0">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color w:val="000000"/>
                <w:sz w:val="24"/>
              </w:rPr>
              <w:t>600.00</w:t>
            </w:r>
          </w:p>
        </w:tc>
        <w:tc>
          <w:tcPr>
            <w:tcW w:w="1095" w:type="dxa"/>
            <w:vAlign w:val="center"/>
          </w:tcPr>
          <w:p w14:paraId="319C8C99">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w:t>
            </w:r>
          </w:p>
        </w:tc>
      </w:tr>
      <w:tr w14:paraId="4858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594BB3A0">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5</w:t>
            </w:r>
          </w:p>
        </w:tc>
        <w:tc>
          <w:tcPr>
            <w:tcW w:w="924" w:type="dxa"/>
            <w:vAlign w:val="center"/>
          </w:tcPr>
          <w:p w14:paraId="5CD22FBD">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2019</w:t>
            </w:r>
          </w:p>
        </w:tc>
        <w:tc>
          <w:tcPr>
            <w:tcW w:w="3805" w:type="dxa"/>
            <w:vAlign w:val="center"/>
          </w:tcPr>
          <w:p w14:paraId="70B72FD5">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热力站：xx座</w:t>
            </w:r>
          </w:p>
        </w:tc>
        <w:tc>
          <w:tcPr>
            <w:tcW w:w="1314" w:type="dxa"/>
            <w:vAlign w:val="center"/>
          </w:tcPr>
          <w:p w14:paraId="6794862B">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否</w:t>
            </w:r>
          </w:p>
        </w:tc>
        <w:tc>
          <w:tcPr>
            <w:tcW w:w="1364" w:type="dxa"/>
            <w:vAlign w:val="center"/>
          </w:tcPr>
          <w:p w14:paraId="11B4D8F9">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color w:val="000000"/>
                <w:sz w:val="24"/>
              </w:rPr>
            </w:pPr>
            <w:r>
              <w:rPr>
                <w:rFonts w:hint="eastAsia" w:ascii="Times New Roman" w:hAnsi="Times New Roman" w:eastAsia="仿宋"/>
                <w:color w:val="000000"/>
                <w:sz w:val="24"/>
              </w:rPr>
              <w:t>3000.00</w:t>
            </w:r>
          </w:p>
        </w:tc>
        <w:tc>
          <w:tcPr>
            <w:tcW w:w="1095" w:type="dxa"/>
            <w:vAlign w:val="center"/>
          </w:tcPr>
          <w:p w14:paraId="5595DF5B">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p>
        </w:tc>
      </w:tr>
      <w:tr w14:paraId="7CE2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37C1D7F6">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6</w:t>
            </w:r>
          </w:p>
        </w:tc>
        <w:tc>
          <w:tcPr>
            <w:tcW w:w="924" w:type="dxa"/>
            <w:vAlign w:val="center"/>
          </w:tcPr>
          <w:p w14:paraId="6872906F">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2</w:t>
            </w:r>
            <w:r>
              <w:rPr>
                <w:rFonts w:ascii="Times New Roman" w:hAnsi="Times New Roman" w:eastAsia="仿宋"/>
                <w:bCs/>
                <w:sz w:val="24"/>
              </w:rPr>
              <w:t>020</w:t>
            </w:r>
          </w:p>
        </w:tc>
        <w:tc>
          <w:tcPr>
            <w:tcW w:w="3805" w:type="dxa"/>
            <w:vAlign w:val="center"/>
          </w:tcPr>
          <w:p w14:paraId="6DD47AA9">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热力站：xx座</w:t>
            </w:r>
          </w:p>
        </w:tc>
        <w:tc>
          <w:tcPr>
            <w:tcW w:w="1314" w:type="dxa"/>
            <w:vAlign w:val="center"/>
          </w:tcPr>
          <w:p w14:paraId="006D8AE9">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hint="eastAsia" w:ascii="Times New Roman" w:hAnsi="Times New Roman" w:eastAsia="仿宋"/>
                <w:bCs/>
                <w:sz w:val="24"/>
              </w:rPr>
              <w:t>否</w:t>
            </w:r>
          </w:p>
        </w:tc>
        <w:tc>
          <w:tcPr>
            <w:tcW w:w="1364" w:type="dxa"/>
            <w:vAlign w:val="center"/>
          </w:tcPr>
          <w:p w14:paraId="43676E50">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color w:val="000000"/>
                <w:sz w:val="24"/>
              </w:rPr>
            </w:pPr>
            <w:r>
              <w:rPr>
                <w:rFonts w:hint="eastAsia" w:ascii="Times New Roman" w:hAnsi="Times New Roman" w:eastAsia="仿宋"/>
                <w:color w:val="000000"/>
                <w:sz w:val="24"/>
              </w:rPr>
              <w:t>3000.00</w:t>
            </w:r>
          </w:p>
        </w:tc>
        <w:tc>
          <w:tcPr>
            <w:tcW w:w="1095" w:type="dxa"/>
            <w:vAlign w:val="center"/>
          </w:tcPr>
          <w:p w14:paraId="1ED6110D">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w:t>
            </w:r>
          </w:p>
        </w:tc>
      </w:tr>
      <w:tr w14:paraId="6044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tcPr>
          <w:p w14:paraId="0F214507">
            <w:pPr>
              <w:keepNext w:val="0"/>
              <w:keepLines w:val="0"/>
              <w:pageBreakBefore w:val="0"/>
              <w:widowControl/>
              <w:kinsoku/>
              <w:wordWrap/>
              <w:overflowPunct/>
              <w:topLinePunct w:val="0"/>
              <w:autoSpaceDE/>
              <w:autoSpaceDN/>
              <w:bidi w:val="0"/>
              <w:adjustRightInd/>
              <w:snapToGrid/>
              <w:spacing w:after="0"/>
              <w:ind w:left="-110" w:leftChars="-50" w:right="-110" w:rightChars="-50"/>
              <w:jc w:val="center"/>
              <w:textAlignment w:val="auto"/>
              <w:rPr>
                <w:rFonts w:ascii="Times New Roman" w:hAnsi="Times New Roman" w:eastAsia="仿宋"/>
                <w:bCs/>
                <w:sz w:val="24"/>
              </w:rPr>
            </w:pPr>
            <w:r>
              <w:rPr>
                <w:rFonts w:ascii="Times New Roman" w:hAnsi="Times New Roman" w:eastAsia="仿宋"/>
                <w:bCs/>
                <w:sz w:val="24"/>
              </w:rPr>
              <w:t>合计</w:t>
            </w:r>
          </w:p>
        </w:tc>
        <w:tc>
          <w:tcPr>
            <w:tcW w:w="924" w:type="dxa"/>
          </w:tcPr>
          <w:p w14:paraId="1FF2371A">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p>
        </w:tc>
        <w:tc>
          <w:tcPr>
            <w:tcW w:w="3805" w:type="dxa"/>
          </w:tcPr>
          <w:p w14:paraId="63AF3CF3">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p>
        </w:tc>
        <w:tc>
          <w:tcPr>
            <w:tcW w:w="1314" w:type="dxa"/>
          </w:tcPr>
          <w:p w14:paraId="1606E73D">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p>
        </w:tc>
        <w:tc>
          <w:tcPr>
            <w:tcW w:w="1364" w:type="dxa"/>
          </w:tcPr>
          <w:p w14:paraId="6060A818">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color w:val="000000"/>
                <w:sz w:val="24"/>
              </w:rPr>
              <w:t xml:space="preserve">70600.00 </w:t>
            </w:r>
          </w:p>
        </w:tc>
        <w:tc>
          <w:tcPr>
            <w:tcW w:w="1095" w:type="dxa"/>
            <w:vAlign w:val="center"/>
          </w:tcPr>
          <w:p w14:paraId="58759821">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eastAsia="仿宋"/>
                <w:bCs/>
                <w:sz w:val="24"/>
              </w:rPr>
            </w:pPr>
            <w:r>
              <w:rPr>
                <w:rFonts w:ascii="Times New Roman" w:hAnsi="Times New Roman" w:eastAsia="仿宋"/>
                <w:bCs/>
                <w:sz w:val="24"/>
              </w:rPr>
              <w:t>/</w:t>
            </w:r>
          </w:p>
        </w:tc>
      </w:tr>
    </w:tbl>
    <w:p w14:paraId="7CA584F1">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新增设施排放量为70600.00吨，是基准年份排放量的XX%，新增燃气锅炉为直供，</w:t>
      </w:r>
      <w:r>
        <w:rPr>
          <w:rFonts w:ascii="Times New Roman" w:hAnsi="Times New Roman" w:eastAsia="仿宋"/>
          <w:sz w:val="32"/>
          <w:szCs w:val="32"/>
        </w:rPr>
        <w:t>建筑物供热量为xxxxTJ；新增燃煤锅炉为直供，建筑供热量为xxxxTJ；燃油锅炉所供的建筑供热量为xxxxTJ</w:t>
      </w:r>
      <w:r>
        <w:rPr>
          <w:rFonts w:ascii="Times New Roman" w:hAnsi="Times New Roman" w:eastAsia="仿宋_GB2312"/>
          <w:sz w:val="32"/>
          <w:szCs w:val="32"/>
        </w:rPr>
        <w:t>；</w:t>
      </w:r>
      <w:r>
        <w:rPr>
          <w:rFonts w:ascii="Times New Roman" w:hAnsi="Times New Roman" w:eastAsia="仿宋"/>
          <w:sz w:val="32"/>
          <w:szCs w:val="32"/>
        </w:rPr>
        <w:t>电锅炉所供的建筑供热量为xxxxTJ；新增设施对应的热力站一次侧输入热量为xxxxTJ。</w:t>
      </w:r>
      <w:r>
        <w:rPr>
          <w:rFonts w:ascii="Times New Roman" w:hAnsi="Times New Roman" w:eastAsia="仿宋_GB2312"/>
          <w:sz w:val="32"/>
          <w:szCs w:val="32"/>
        </w:rPr>
        <w:t>此信息供新增设施配额发放参考。</w:t>
      </w:r>
    </w:p>
    <w:p w14:paraId="708FBDCB">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5. 核查过程未覆盖的问题描述</w:t>
      </w:r>
    </w:p>
    <w:p w14:paraId="5DF86936">
      <w:pPr>
        <w:spacing w:after="0" w:line="560" w:lineRule="exact"/>
        <w:ind w:firstLine="640" w:firstLineChars="200"/>
        <w:rPr>
          <w:rFonts w:ascii="Times New Roman" w:hAnsi="Times New Roman" w:eastAsia="仿宋"/>
          <w:sz w:val="32"/>
          <w:szCs w:val="32"/>
        </w:rPr>
      </w:pPr>
      <w:r>
        <w:rPr>
          <w:rFonts w:ascii="Times New Roman" w:hAnsi="Times New Roman" w:eastAsia="仿宋"/>
          <w:sz w:val="32"/>
          <w:szCs w:val="32"/>
        </w:rPr>
        <w:t>由于天然气表和电表分别为燃气公司及电力公司管控，因此未能核查这些仪表的检定信息。</w:t>
      </w:r>
    </w:p>
    <w:p w14:paraId="4BA9B7FD">
      <w:pPr>
        <w:rPr>
          <w:rFonts w:ascii="Times New Roman" w:hAnsi="Times New Roman"/>
        </w:rPr>
      </w:pPr>
      <w:r>
        <w:rPr>
          <w:rFonts w:ascii="Times New Roman" w:hAnsi="Times New Roman"/>
        </w:rPr>
        <w:br w:type="page"/>
      </w:r>
    </w:p>
    <w:p w14:paraId="26FBABC4">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电力生产企业</w:t>
      </w:r>
    </w:p>
    <w:p w14:paraId="5B5D8DE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核查结论</w:t>
      </w:r>
    </w:p>
    <w:p w14:paraId="3CC1B135">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5D792CBC">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571CA215">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2920F7B3">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w:t>
      </w:r>
      <w:r>
        <w:rPr>
          <w:rFonts w:hint="eastAsia" w:ascii="Times New Roman" w:hAnsi="Times New Roman" w:eastAsia="仿宋_GB2312"/>
          <w:sz w:val="32"/>
          <w:szCs w:val="32"/>
        </w:rPr>
        <w:t>《二氧化碳排放核算和报告要求电力生产业》（DB11/T 1781-2020）</w:t>
      </w:r>
      <w:r>
        <w:rPr>
          <w:rFonts w:ascii="Times New Roman" w:hAnsi="Times New Roman" w:eastAsia="仿宋_GB2312"/>
          <w:sz w:val="32"/>
          <w:szCs w:val="32"/>
        </w:rPr>
        <w:t>的要求，核查组对本排放报告出具肯定的核查结论。</w:t>
      </w:r>
    </w:p>
    <w:p w14:paraId="6747DD3E">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19011346">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经核查的直接和间接排放量与最终排放报告中的数据一致。经核查的直接排放量为2799714.26吨，间接排放量为3888.38吨，总排放量为2803602.64吨。</w:t>
      </w:r>
    </w:p>
    <w:p w14:paraId="4C80E9FA">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经核查的供电量、供热量与最终排放报告中数据一致。经核查的一期1#机组供电量为xxxMWh，供热量为xxxxTJ，供热比为xxx；二期2#机组供电量为xxxMWh，供热量为xxxxTJ，供热比为xxx；三期二拖一（</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#）机组供电量为xxxMWh，供热量为xxxxTJ，供热比为xxx</w:t>
      </w:r>
      <w:r>
        <w:rPr>
          <w:rFonts w:hint="eastAsia" w:ascii="Times New Roman" w:hAnsi="Times New Roman" w:eastAsia="仿宋_GB2312"/>
          <w:sz w:val="32"/>
          <w:szCs w:val="32"/>
        </w:rPr>
        <w:t>；</w:t>
      </w:r>
      <w:r>
        <w:rPr>
          <w:rFonts w:ascii="Times New Roman" w:hAnsi="Times New Roman" w:eastAsia="仿宋_GB2312"/>
          <w:sz w:val="32"/>
          <w:szCs w:val="32"/>
        </w:rPr>
        <w:t>燃气热水炉供热量为xxxxTJ。</w:t>
      </w:r>
    </w:p>
    <w:p w14:paraId="11400028">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 年度排放量及活动水平波动的原因说明</w:t>
      </w:r>
    </w:p>
    <w:p w14:paraId="5E8DC52A">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与上年度排放量相比增加242659.68吨/9.48%，其中直接排放相比上年度增加242159.68吨/9.47%，间接排放相比上一年度增加500.00吨/14.76%。由于电网调控原因，供电量大幅上升，相比上一年度上升40.00%，其中一期燃机供电量增加，二期燃机供电量下降，三期燃机在11月开始投入使用；同时，周边企业的热能消耗需求基本保持不变，供热量变化不大。因此主要是由于供电量上升导致碳排放量大幅增加。</w:t>
      </w:r>
    </w:p>
    <w:p w14:paraId="71E21C92">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本年度排放量相比历史基准年份排放量增加242659.68吨，上升比例为9.48%，受电网调控，供电量相比基准年增加40.00%，而供热量变化幅度不大，导致排放量上升。</w:t>
      </w:r>
    </w:p>
    <w:p w14:paraId="6D4281C3">
      <w:pPr>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8718" w:type="dxa"/>
        <w:tblInd w:w="108" w:type="dxa"/>
        <w:tblLayout w:type="fixed"/>
        <w:tblCellMar>
          <w:top w:w="0" w:type="dxa"/>
          <w:left w:w="108" w:type="dxa"/>
          <w:bottom w:w="0" w:type="dxa"/>
          <w:right w:w="108" w:type="dxa"/>
        </w:tblCellMar>
      </w:tblPr>
      <w:tblGrid>
        <w:gridCol w:w="1387"/>
        <w:gridCol w:w="2361"/>
        <w:gridCol w:w="2470"/>
        <w:gridCol w:w="2500"/>
      </w:tblGrid>
      <w:tr w14:paraId="3BAD8998">
        <w:tblPrEx>
          <w:tblCellMar>
            <w:top w:w="0" w:type="dxa"/>
            <w:left w:w="108" w:type="dxa"/>
            <w:bottom w:w="0" w:type="dxa"/>
            <w:right w:w="108" w:type="dxa"/>
          </w:tblCellMar>
        </w:tblPrEx>
        <w:trPr>
          <w:trHeight w:val="762" w:hRule="atLeast"/>
        </w:trPr>
        <w:tc>
          <w:tcPr>
            <w:tcW w:w="1387" w:type="dxa"/>
            <w:tcBorders>
              <w:top w:val="single" w:color="auto" w:sz="4" w:space="0"/>
              <w:left w:val="single" w:color="auto" w:sz="4" w:space="0"/>
              <w:bottom w:val="single" w:color="auto" w:sz="4" w:space="0"/>
              <w:right w:val="single" w:color="auto" w:sz="4" w:space="0"/>
            </w:tcBorders>
            <w:vAlign w:val="center"/>
          </w:tcPr>
          <w:p w14:paraId="2196982C">
            <w:pPr>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年度</w:t>
            </w:r>
          </w:p>
        </w:tc>
        <w:tc>
          <w:tcPr>
            <w:tcW w:w="2361" w:type="dxa"/>
            <w:tcBorders>
              <w:top w:val="single" w:color="auto" w:sz="4" w:space="0"/>
              <w:left w:val="nil"/>
              <w:bottom w:val="single" w:color="auto" w:sz="4" w:space="0"/>
              <w:right w:val="single" w:color="auto" w:sz="4" w:space="0"/>
            </w:tcBorders>
            <w:vAlign w:val="center"/>
          </w:tcPr>
          <w:p w14:paraId="6E4400C8">
            <w:pPr>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470" w:type="dxa"/>
            <w:tcBorders>
              <w:top w:val="single" w:color="auto" w:sz="4" w:space="0"/>
              <w:left w:val="nil"/>
              <w:bottom w:val="single" w:color="auto" w:sz="4" w:space="0"/>
              <w:right w:val="single" w:color="auto" w:sz="4" w:space="0"/>
            </w:tcBorders>
            <w:vAlign w:val="center"/>
          </w:tcPr>
          <w:p w14:paraId="3511C8C0">
            <w:pPr>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500" w:type="dxa"/>
            <w:tcBorders>
              <w:top w:val="single" w:color="auto" w:sz="4" w:space="0"/>
              <w:left w:val="nil"/>
              <w:bottom w:val="single" w:color="auto" w:sz="4" w:space="0"/>
              <w:right w:val="single" w:color="auto" w:sz="4" w:space="0"/>
            </w:tcBorders>
            <w:vAlign w:val="center"/>
          </w:tcPr>
          <w:p w14:paraId="3B7073BF">
            <w:pPr>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排放总量（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r>
      <w:tr w14:paraId="786E5DA4">
        <w:tblPrEx>
          <w:tblCellMar>
            <w:top w:w="0" w:type="dxa"/>
            <w:left w:w="108" w:type="dxa"/>
            <w:bottom w:w="0" w:type="dxa"/>
            <w:right w:w="108" w:type="dxa"/>
          </w:tblCellMar>
        </w:tblPrEx>
        <w:trPr>
          <w:trHeight w:val="663" w:hRule="atLeast"/>
        </w:trPr>
        <w:tc>
          <w:tcPr>
            <w:tcW w:w="1387" w:type="dxa"/>
            <w:tcBorders>
              <w:top w:val="nil"/>
              <w:left w:val="single" w:color="auto" w:sz="4" w:space="0"/>
              <w:bottom w:val="single" w:color="auto" w:sz="4" w:space="0"/>
              <w:right w:val="single" w:color="auto" w:sz="4" w:space="0"/>
            </w:tcBorders>
            <w:vAlign w:val="center"/>
          </w:tcPr>
          <w:p w14:paraId="1A221DD5">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361" w:type="dxa"/>
            <w:tcBorders>
              <w:top w:val="nil"/>
              <w:left w:val="nil"/>
              <w:bottom w:val="single" w:color="auto" w:sz="4" w:space="0"/>
              <w:right w:val="single" w:color="auto" w:sz="4" w:space="0"/>
            </w:tcBorders>
            <w:vAlign w:val="center"/>
          </w:tcPr>
          <w:p w14:paraId="0E2FB512">
            <w:pPr>
              <w:jc w:val="center"/>
              <w:textAlignment w:val="center"/>
              <w:rPr>
                <w:rFonts w:ascii="Times New Roman" w:hAnsi="Times New Roman"/>
                <w:color w:val="000000"/>
                <w:sz w:val="24"/>
              </w:rPr>
            </w:pPr>
            <w:r>
              <w:rPr>
                <w:rFonts w:ascii="Times New Roman" w:hAnsi="Times New Roman" w:eastAsia="仿宋_GB2312"/>
                <w:color w:val="000000"/>
                <w:sz w:val="24"/>
              </w:rPr>
              <w:t>1571714.26</w:t>
            </w:r>
          </w:p>
        </w:tc>
        <w:tc>
          <w:tcPr>
            <w:tcW w:w="2470" w:type="dxa"/>
            <w:tcBorders>
              <w:top w:val="nil"/>
              <w:left w:val="nil"/>
              <w:bottom w:val="single" w:color="auto" w:sz="4" w:space="0"/>
              <w:right w:val="single" w:color="auto" w:sz="4" w:space="0"/>
            </w:tcBorders>
            <w:vAlign w:val="center"/>
          </w:tcPr>
          <w:p w14:paraId="67EE4673">
            <w:pPr>
              <w:jc w:val="center"/>
              <w:textAlignment w:val="center"/>
              <w:rPr>
                <w:rFonts w:ascii="Times New Roman" w:hAnsi="Times New Roman"/>
                <w:color w:val="000000"/>
                <w:sz w:val="24"/>
              </w:rPr>
            </w:pPr>
            <w:r>
              <w:rPr>
                <w:rFonts w:ascii="Times New Roman" w:hAnsi="Times New Roman" w:eastAsia="仿宋_GB2312"/>
                <w:color w:val="000000"/>
                <w:sz w:val="24"/>
              </w:rPr>
              <w:t>2688.38</w:t>
            </w:r>
          </w:p>
        </w:tc>
        <w:tc>
          <w:tcPr>
            <w:tcW w:w="2500" w:type="dxa"/>
            <w:tcBorders>
              <w:top w:val="nil"/>
              <w:left w:val="nil"/>
              <w:bottom w:val="single" w:color="auto" w:sz="4" w:space="0"/>
              <w:right w:val="single" w:color="auto" w:sz="4" w:space="0"/>
            </w:tcBorders>
            <w:vAlign w:val="center"/>
          </w:tcPr>
          <w:p w14:paraId="1861F49C">
            <w:pPr>
              <w:jc w:val="center"/>
              <w:textAlignment w:val="center"/>
              <w:rPr>
                <w:rFonts w:ascii="Times New Roman" w:hAnsi="Times New Roman"/>
                <w:color w:val="000000"/>
                <w:sz w:val="24"/>
              </w:rPr>
            </w:pPr>
            <w:r>
              <w:rPr>
                <w:rFonts w:ascii="Times New Roman" w:hAnsi="Times New Roman" w:eastAsia="仿宋_GB2312"/>
                <w:color w:val="000000"/>
                <w:sz w:val="24"/>
              </w:rPr>
              <w:t>1574402.64</w:t>
            </w:r>
          </w:p>
        </w:tc>
      </w:tr>
      <w:tr w14:paraId="55FFB02C">
        <w:tblPrEx>
          <w:tblCellMar>
            <w:top w:w="0" w:type="dxa"/>
            <w:left w:w="108" w:type="dxa"/>
            <w:bottom w:w="0" w:type="dxa"/>
            <w:right w:w="108" w:type="dxa"/>
          </w:tblCellMar>
        </w:tblPrEx>
        <w:trPr>
          <w:trHeight w:val="627" w:hRule="atLeast"/>
        </w:trPr>
        <w:tc>
          <w:tcPr>
            <w:tcW w:w="1387" w:type="dxa"/>
            <w:tcBorders>
              <w:top w:val="nil"/>
              <w:left w:val="single" w:color="auto" w:sz="4" w:space="0"/>
              <w:bottom w:val="single" w:color="auto" w:sz="4" w:space="0"/>
              <w:right w:val="single" w:color="auto" w:sz="4" w:space="0"/>
            </w:tcBorders>
            <w:vAlign w:val="center"/>
          </w:tcPr>
          <w:p w14:paraId="29102402">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361" w:type="dxa"/>
            <w:tcBorders>
              <w:top w:val="nil"/>
              <w:left w:val="nil"/>
              <w:bottom w:val="single" w:color="auto" w:sz="4" w:space="0"/>
              <w:right w:val="single" w:color="auto" w:sz="4" w:space="0"/>
            </w:tcBorders>
            <w:vAlign w:val="center"/>
          </w:tcPr>
          <w:p w14:paraId="22B72648">
            <w:pPr>
              <w:jc w:val="center"/>
              <w:textAlignment w:val="center"/>
              <w:rPr>
                <w:rFonts w:ascii="Times New Roman" w:hAnsi="Times New Roman"/>
                <w:color w:val="000000"/>
                <w:sz w:val="24"/>
              </w:rPr>
            </w:pPr>
            <w:r>
              <w:rPr>
                <w:rFonts w:ascii="Times New Roman" w:hAnsi="Times New Roman" w:eastAsia="仿宋_GB2312"/>
                <w:color w:val="000000"/>
                <w:sz w:val="24"/>
              </w:rPr>
              <w:t>1619714.26</w:t>
            </w:r>
          </w:p>
        </w:tc>
        <w:tc>
          <w:tcPr>
            <w:tcW w:w="2470" w:type="dxa"/>
            <w:tcBorders>
              <w:top w:val="nil"/>
              <w:left w:val="nil"/>
              <w:bottom w:val="single" w:color="auto" w:sz="4" w:space="0"/>
              <w:right w:val="single" w:color="auto" w:sz="4" w:space="0"/>
            </w:tcBorders>
            <w:vAlign w:val="center"/>
          </w:tcPr>
          <w:p w14:paraId="23895D42">
            <w:pPr>
              <w:jc w:val="center"/>
              <w:textAlignment w:val="center"/>
              <w:rPr>
                <w:rFonts w:ascii="Times New Roman" w:hAnsi="Times New Roman"/>
                <w:color w:val="000000"/>
                <w:sz w:val="24"/>
              </w:rPr>
            </w:pPr>
            <w:r>
              <w:rPr>
                <w:rFonts w:ascii="Times New Roman" w:hAnsi="Times New Roman" w:eastAsia="仿宋_GB2312"/>
                <w:color w:val="000000"/>
                <w:sz w:val="24"/>
              </w:rPr>
              <w:t>2988.38</w:t>
            </w:r>
          </w:p>
        </w:tc>
        <w:tc>
          <w:tcPr>
            <w:tcW w:w="2500" w:type="dxa"/>
            <w:tcBorders>
              <w:top w:val="nil"/>
              <w:left w:val="nil"/>
              <w:bottom w:val="single" w:color="auto" w:sz="4" w:space="0"/>
              <w:right w:val="single" w:color="auto" w:sz="4" w:space="0"/>
            </w:tcBorders>
            <w:vAlign w:val="center"/>
          </w:tcPr>
          <w:p w14:paraId="5A188BDB">
            <w:pPr>
              <w:jc w:val="center"/>
              <w:textAlignment w:val="center"/>
              <w:rPr>
                <w:rFonts w:ascii="Times New Roman" w:hAnsi="Times New Roman"/>
                <w:color w:val="000000"/>
                <w:sz w:val="24"/>
              </w:rPr>
            </w:pPr>
            <w:r>
              <w:rPr>
                <w:rFonts w:ascii="Times New Roman" w:hAnsi="Times New Roman" w:eastAsia="仿宋_GB2312"/>
                <w:color w:val="000000"/>
                <w:sz w:val="24"/>
              </w:rPr>
              <w:t>1622702.64</w:t>
            </w:r>
          </w:p>
        </w:tc>
      </w:tr>
      <w:tr w14:paraId="173B725B">
        <w:tblPrEx>
          <w:tblCellMar>
            <w:top w:w="0" w:type="dxa"/>
            <w:left w:w="108" w:type="dxa"/>
            <w:bottom w:w="0" w:type="dxa"/>
            <w:right w:w="108" w:type="dxa"/>
          </w:tblCellMar>
        </w:tblPrEx>
        <w:trPr>
          <w:trHeight w:val="627" w:hRule="atLeast"/>
        </w:trPr>
        <w:tc>
          <w:tcPr>
            <w:tcW w:w="1387" w:type="dxa"/>
            <w:tcBorders>
              <w:top w:val="nil"/>
              <w:left w:val="single" w:color="auto" w:sz="4" w:space="0"/>
              <w:bottom w:val="single" w:color="auto" w:sz="4" w:space="0"/>
              <w:right w:val="single" w:color="auto" w:sz="4" w:space="0"/>
            </w:tcBorders>
            <w:vAlign w:val="center"/>
          </w:tcPr>
          <w:p w14:paraId="4432A021">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361" w:type="dxa"/>
            <w:tcBorders>
              <w:top w:val="nil"/>
              <w:left w:val="nil"/>
              <w:bottom w:val="single" w:color="auto" w:sz="4" w:space="0"/>
              <w:right w:val="single" w:color="auto" w:sz="4" w:space="0"/>
            </w:tcBorders>
            <w:vAlign w:val="center"/>
          </w:tcPr>
          <w:p w14:paraId="1F77EEBB">
            <w:pPr>
              <w:jc w:val="center"/>
              <w:textAlignment w:val="center"/>
              <w:rPr>
                <w:rFonts w:ascii="Times New Roman" w:hAnsi="Times New Roman"/>
                <w:color w:val="000000"/>
                <w:sz w:val="24"/>
              </w:rPr>
            </w:pPr>
            <w:r>
              <w:rPr>
                <w:rFonts w:ascii="Times New Roman" w:hAnsi="Times New Roman" w:eastAsia="仿宋_GB2312"/>
                <w:color w:val="000000"/>
                <w:sz w:val="24"/>
              </w:rPr>
              <w:t>2557554.58</w:t>
            </w:r>
          </w:p>
        </w:tc>
        <w:tc>
          <w:tcPr>
            <w:tcW w:w="2470" w:type="dxa"/>
            <w:tcBorders>
              <w:top w:val="nil"/>
              <w:left w:val="nil"/>
              <w:bottom w:val="single" w:color="auto" w:sz="4" w:space="0"/>
              <w:right w:val="single" w:color="auto" w:sz="4" w:space="0"/>
            </w:tcBorders>
            <w:vAlign w:val="center"/>
          </w:tcPr>
          <w:p w14:paraId="7112A32A">
            <w:pPr>
              <w:jc w:val="center"/>
              <w:textAlignment w:val="center"/>
              <w:rPr>
                <w:rFonts w:ascii="Times New Roman" w:hAnsi="Times New Roman"/>
                <w:color w:val="000000"/>
                <w:sz w:val="24"/>
              </w:rPr>
            </w:pPr>
            <w:r>
              <w:rPr>
                <w:rFonts w:ascii="Times New Roman" w:hAnsi="Times New Roman" w:eastAsia="仿宋_GB2312"/>
                <w:color w:val="000000"/>
                <w:sz w:val="24"/>
              </w:rPr>
              <w:t>3388.38</w:t>
            </w:r>
          </w:p>
        </w:tc>
        <w:tc>
          <w:tcPr>
            <w:tcW w:w="2500" w:type="dxa"/>
            <w:tcBorders>
              <w:top w:val="nil"/>
              <w:left w:val="nil"/>
              <w:bottom w:val="single" w:color="auto" w:sz="4" w:space="0"/>
              <w:right w:val="single" w:color="auto" w:sz="4" w:space="0"/>
            </w:tcBorders>
            <w:vAlign w:val="center"/>
          </w:tcPr>
          <w:p w14:paraId="09332477">
            <w:pPr>
              <w:jc w:val="center"/>
              <w:textAlignment w:val="center"/>
              <w:rPr>
                <w:rFonts w:ascii="Times New Roman" w:hAnsi="Times New Roman"/>
                <w:color w:val="000000"/>
                <w:sz w:val="24"/>
              </w:rPr>
            </w:pPr>
            <w:r>
              <w:rPr>
                <w:rFonts w:ascii="Times New Roman" w:hAnsi="Times New Roman" w:eastAsia="仿宋_GB2312"/>
                <w:color w:val="000000"/>
                <w:sz w:val="24"/>
              </w:rPr>
              <w:t>2560942.96</w:t>
            </w:r>
          </w:p>
        </w:tc>
      </w:tr>
      <w:tr w14:paraId="0E90DE24">
        <w:tblPrEx>
          <w:tblCellMar>
            <w:top w:w="0" w:type="dxa"/>
            <w:left w:w="108" w:type="dxa"/>
            <w:bottom w:w="0" w:type="dxa"/>
            <w:right w:w="108" w:type="dxa"/>
          </w:tblCellMar>
        </w:tblPrEx>
        <w:trPr>
          <w:trHeight w:val="627" w:hRule="atLeast"/>
        </w:trPr>
        <w:tc>
          <w:tcPr>
            <w:tcW w:w="1387" w:type="dxa"/>
            <w:tcBorders>
              <w:top w:val="single" w:color="auto" w:sz="4" w:space="0"/>
              <w:left w:val="single" w:color="auto" w:sz="4" w:space="0"/>
              <w:bottom w:val="single" w:color="auto" w:sz="4" w:space="0"/>
              <w:right w:val="single" w:color="auto" w:sz="4" w:space="0"/>
            </w:tcBorders>
            <w:vAlign w:val="center"/>
          </w:tcPr>
          <w:p w14:paraId="10A2AD19">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361" w:type="dxa"/>
            <w:tcBorders>
              <w:top w:val="single" w:color="auto" w:sz="4" w:space="0"/>
              <w:left w:val="nil"/>
              <w:bottom w:val="single" w:color="auto" w:sz="4" w:space="0"/>
              <w:right w:val="single" w:color="auto" w:sz="4" w:space="0"/>
            </w:tcBorders>
            <w:vAlign w:val="center"/>
          </w:tcPr>
          <w:p w14:paraId="63C62FDD">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2799714.26</w:t>
            </w:r>
          </w:p>
        </w:tc>
        <w:tc>
          <w:tcPr>
            <w:tcW w:w="2470" w:type="dxa"/>
            <w:tcBorders>
              <w:top w:val="single" w:color="auto" w:sz="4" w:space="0"/>
              <w:left w:val="nil"/>
              <w:bottom w:val="single" w:color="auto" w:sz="4" w:space="0"/>
              <w:right w:val="single" w:color="auto" w:sz="4" w:space="0"/>
            </w:tcBorders>
            <w:vAlign w:val="center"/>
          </w:tcPr>
          <w:p w14:paraId="7FE9F59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3888.38</w:t>
            </w:r>
          </w:p>
        </w:tc>
        <w:tc>
          <w:tcPr>
            <w:tcW w:w="2500" w:type="dxa"/>
            <w:tcBorders>
              <w:top w:val="single" w:color="auto" w:sz="4" w:space="0"/>
              <w:left w:val="nil"/>
              <w:bottom w:val="single" w:color="auto" w:sz="4" w:space="0"/>
              <w:right w:val="single" w:color="auto" w:sz="4" w:space="0"/>
            </w:tcBorders>
            <w:vAlign w:val="center"/>
          </w:tcPr>
          <w:p w14:paraId="01D2A3B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2803602.64</w:t>
            </w:r>
          </w:p>
        </w:tc>
      </w:tr>
      <w:tr w14:paraId="764CA571">
        <w:tblPrEx>
          <w:tblCellMar>
            <w:top w:w="0" w:type="dxa"/>
            <w:left w:w="108" w:type="dxa"/>
            <w:bottom w:w="0" w:type="dxa"/>
            <w:right w:w="108" w:type="dxa"/>
          </w:tblCellMar>
        </w:tblPrEx>
        <w:trPr>
          <w:trHeight w:val="639" w:hRule="atLeast"/>
        </w:trPr>
        <w:tc>
          <w:tcPr>
            <w:tcW w:w="1387" w:type="dxa"/>
            <w:tcBorders>
              <w:top w:val="single" w:color="auto" w:sz="4" w:space="0"/>
              <w:left w:val="single" w:color="auto" w:sz="4" w:space="0"/>
              <w:bottom w:val="single" w:color="auto" w:sz="4" w:space="0"/>
              <w:right w:val="single" w:color="auto" w:sz="4" w:space="0"/>
            </w:tcBorders>
            <w:vAlign w:val="center"/>
          </w:tcPr>
          <w:p w14:paraId="7406D6E9">
            <w:pPr>
              <w:jc w:val="center"/>
              <w:rPr>
                <w:rFonts w:ascii="Times New Roman" w:hAnsi="Times New Roman" w:eastAsia="仿宋_GB2312"/>
                <w:color w:val="000000"/>
                <w:sz w:val="24"/>
              </w:rPr>
            </w:pPr>
            <w:r>
              <w:rPr>
                <w:rFonts w:hint="eastAsia" w:ascii="Times New Roman" w:hAnsi="Times New Roman" w:eastAsia="仿宋_GB2312"/>
                <w:color w:val="000000"/>
                <w:sz w:val="24"/>
              </w:rPr>
              <w:t>2</w:t>
            </w:r>
            <w:r>
              <w:rPr>
                <w:rFonts w:ascii="Times New Roman" w:hAnsi="Times New Roman" w:eastAsia="仿宋_GB2312"/>
                <w:color w:val="000000"/>
                <w:sz w:val="24"/>
              </w:rPr>
              <w:t>020</w:t>
            </w:r>
          </w:p>
        </w:tc>
        <w:tc>
          <w:tcPr>
            <w:tcW w:w="2361" w:type="dxa"/>
            <w:tcBorders>
              <w:top w:val="single" w:color="auto" w:sz="4" w:space="0"/>
              <w:left w:val="nil"/>
              <w:bottom w:val="single" w:color="auto" w:sz="4" w:space="0"/>
              <w:right w:val="single" w:color="auto" w:sz="4" w:space="0"/>
            </w:tcBorders>
            <w:vAlign w:val="center"/>
          </w:tcPr>
          <w:p w14:paraId="42851C5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2799714.26</w:t>
            </w:r>
          </w:p>
        </w:tc>
        <w:tc>
          <w:tcPr>
            <w:tcW w:w="2470" w:type="dxa"/>
            <w:tcBorders>
              <w:top w:val="single" w:color="auto" w:sz="4" w:space="0"/>
              <w:left w:val="nil"/>
              <w:bottom w:val="single" w:color="auto" w:sz="4" w:space="0"/>
              <w:right w:val="single" w:color="auto" w:sz="4" w:space="0"/>
            </w:tcBorders>
            <w:vAlign w:val="center"/>
          </w:tcPr>
          <w:p w14:paraId="772BD5D8">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3888.38</w:t>
            </w:r>
          </w:p>
        </w:tc>
        <w:tc>
          <w:tcPr>
            <w:tcW w:w="2500" w:type="dxa"/>
            <w:tcBorders>
              <w:top w:val="single" w:color="auto" w:sz="4" w:space="0"/>
              <w:left w:val="nil"/>
              <w:bottom w:val="single" w:color="auto" w:sz="4" w:space="0"/>
              <w:right w:val="single" w:color="auto" w:sz="4" w:space="0"/>
            </w:tcBorders>
            <w:vAlign w:val="center"/>
          </w:tcPr>
          <w:p w14:paraId="30953A3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2803602.64</w:t>
            </w:r>
          </w:p>
        </w:tc>
      </w:tr>
    </w:tbl>
    <w:p w14:paraId="22CA379C">
      <w:pPr>
        <w:ind w:firstLine="440" w:firstLineChars="200"/>
        <w:jc w:val="center"/>
        <w:rPr>
          <w:rFonts w:ascii="Times New Roman" w:hAnsi="Times New Roman"/>
        </w:rPr>
      </w:pPr>
      <w:r>
        <w:rPr>
          <w:lang w:val="en-US"/>
        </w:rPr>
        <w:drawing>
          <wp:inline distT="0" distB="0" distL="0" distR="0">
            <wp:extent cx="5107940" cy="3063240"/>
            <wp:effectExtent l="4445" t="4445" r="12065" b="1841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027E047">
      <w:pPr>
        <w:spacing w:after="0" w:line="560" w:lineRule="exact"/>
        <w:jc w:val="center"/>
        <w:rPr>
          <w:rFonts w:ascii="Times New Roman" w:hAnsi="Times New Roman" w:eastAsia="仿宋_GB2312"/>
          <w:sz w:val="24"/>
        </w:rPr>
      </w:pPr>
      <w:r>
        <w:rPr>
          <w:rFonts w:ascii="Times New Roman" w:hAnsi="Times New Roman" w:eastAsia="仿宋_GB2312"/>
          <w:sz w:val="24"/>
        </w:rPr>
        <w:t>图xx  排放量变化趋势图（增加</w:t>
      </w:r>
      <w:r>
        <w:rPr>
          <w:rFonts w:hint="eastAsia" w:ascii="Times New Roman" w:hAnsi="Times New Roman" w:eastAsia="仿宋_GB2312"/>
          <w:sz w:val="24"/>
        </w:rPr>
        <w:t>2</w:t>
      </w:r>
      <w:r>
        <w:rPr>
          <w:rFonts w:ascii="Times New Roman" w:hAnsi="Times New Roman" w:eastAsia="仿宋_GB2312"/>
          <w:sz w:val="24"/>
        </w:rPr>
        <w:t>020年度）</w:t>
      </w:r>
    </w:p>
    <w:p w14:paraId="0F609725">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4.核算和报告边界及变化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0C321920">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60F35B2A">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排放单位核算和报告边界为位于xxx的生产厂区，</w:t>
      </w:r>
      <w:r>
        <w:rPr>
          <w:rFonts w:hint="eastAsia" w:ascii="Times New Roman" w:hAnsi="Times New Roman" w:eastAsia="仿宋_GB2312"/>
          <w:sz w:val="32"/>
          <w:szCs w:val="32"/>
        </w:rPr>
        <w:t>包含一期的xxMW1#燃气机组、二期xxMW2#燃气机组，三期二拖一3#-5#燃机机组，以及xxMW燃气热水炉。</w:t>
      </w:r>
      <w:r>
        <w:rPr>
          <w:rFonts w:ascii="Times New Roman" w:hAnsi="Times New Roman" w:eastAsia="仿宋_GB2312"/>
          <w:sz w:val="32"/>
          <w:szCs w:val="32"/>
        </w:rPr>
        <w:t>与上年度相比，场所边界无变化；与基准年相比，场所边界无变化。</w:t>
      </w:r>
    </w:p>
    <w:p w14:paraId="37E63A8B">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4A0076C7">
      <w:pPr>
        <w:spacing w:after="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排放单位不涉及既有设施配额调整。</w:t>
      </w:r>
    </w:p>
    <w:p w14:paraId="5CD5F13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排放单位无既有设施退出。</w:t>
      </w:r>
    </w:p>
    <w:p w14:paraId="4A11E2CA">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排放单位新增设施主要包括燃气机组及热水锅炉，均未替代既有设施。新增设施及其排放量信息如下：</w:t>
      </w:r>
    </w:p>
    <w:p w14:paraId="704BC354">
      <w:pPr>
        <w:spacing w:after="0" w:line="560" w:lineRule="exact"/>
        <w:ind w:firstLine="640" w:firstLineChars="200"/>
        <w:rPr>
          <w:rFonts w:ascii="Times New Roman" w:hAnsi="Times New Roman" w:eastAsia="仿宋_GB2312"/>
          <w:sz w:val="32"/>
          <w:szCs w:val="32"/>
        </w:rPr>
      </w:pPr>
    </w:p>
    <w:p w14:paraId="216FD541">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217"/>
        <w:gridCol w:w="1668"/>
        <w:gridCol w:w="1564"/>
        <w:gridCol w:w="1564"/>
        <w:gridCol w:w="1564"/>
      </w:tblGrid>
      <w:tr w14:paraId="194D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14:paraId="4F63A26A">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1217" w:type="dxa"/>
            <w:vAlign w:val="center"/>
          </w:tcPr>
          <w:p w14:paraId="2DC136E8">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1668" w:type="dxa"/>
            <w:vAlign w:val="center"/>
          </w:tcPr>
          <w:p w14:paraId="6F3862D1">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新增设施类型/名称</w:t>
            </w:r>
          </w:p>
        </w:tc>
        <w:tc>
          <w:tcPr>
            <w:tcW w:w="1564" w:type="dxa"/>
            <w:vAlign w:val="center"/>
          </w:tcPr>
          <w:p w14:paraId="32CA9217">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1564" w:type="dxa"/>
            <w:vAlign w:val="center"/>
          </w:tcPr>
          <w:p w14:paraId="7A6AF1B8">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1564" w:type="dxa"/>
            <w:vAlign w:val="center"/>
          </w:tcPr>
          <w:p w14:paraId="2742BA70">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10DE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0A956AF3">
            <w:pPr>
              <w:jc w:val="center"/>
              <w:rPr>
                <w:rFonts w:ascii="Times New Roman" w:hAnsi="Times New Roman" w:eastAsia="仿宋_GB2312"/>
                <w:sz w:val="24"/>
              </w:rPr>
            </w:pPr>
            <w:r>
              <w:rPr>
                <w:rFonts w:ascii="Times New Roman" w:hAnsi="Times New Roman" w:eastAsia="仿宋_GB2312"/>
                <w:color w:val="000000"/>
                <w:sz w:val="24"/>
              </w:rPr>
              <w:t>1</w:t>
            </w:r>
          </w:p>
        </w:tc>
        <w:tc>
          <w:tcPr>
            <w:tcW w:w="1217" w:type="dxa"/>
          </w:tcPr>
          <w:p w14:paraId="21A1F370">
            <w:pPr>
              <w:jc w:val="center"/>
              <w:rPr>
                <w:rFonts w:ascii="Times New Roman" w:hAnsi="Times New Roman" w:eastAsia="仿宋_GB2312"/>
                <w:sz w:val="24"/>
              </w:rPr>
            </w:pPr>
            <w:r>
              <w:rPr>
                <w:rFonts w:ascii="Times New Roman" w:hAnsi="Times New Roman" w:eastAsia="仿宋_GB2312"/>
                <w:sz w:val="24"/>
              </w:rPr>
              <w:t>2019</w:t>
            </w:r>
          </w:p>
        </w:tc>
        <w:tc>
          <w:tcPr>
            <w:tcW w:w="1668" w:type="dxa"/>
          </w:tcPr>
          <w:p w14:paraId="7C1CF089">
            <w:pPr>
              <w:jc w:val="center"/>
              <w:rPr>
                <w:rFonts w:ascii="Times New Roman" w:hAnsi="Times New Roman" w:eastAsia="仿宋_GB2312"/>
                <w:sz w:val="24"/>
              </w:rPr>
            </w:pPr>
            <w:r>
              <w:rPr>
                <w:rFonts w:hint="eastAsia" w:ascii="Times New Roman" w:hAnsi="Times New Roman" w:eastAsia="仿宋_GB2312"/>
                <w:sz w:val="24"/>
              </w:rPr>
              <w:t>二拖一燃气机组（3#-5#）</w:t>
            </w:r>
          </w:p>
        </w:tc>
        <w:tc>
          <w:tcPr>
            <w:tcW w:w="1564" w:type="dxa"/>
          </w:tcPr>
          <w:p w14:paraId="75AB3936">
            <w:pPr>
              <w:jc w:val="center"/>
              <w:rPr>
                <w:rFonts w:ascii="Times New Roman" w:hAnsi="Times New Roman" w:eastAsia="仿宋_GB2312"/>
                <w:sz w:val="24"/>
              </w:rPr>
            </w:pPr>
            <w:r>
              <w:rPr>
                <w:rFonts w:ascii="Times New Roman" w:hAnsi="Times New Roman" w:eastAsia="仿宋_GB2312"/>
                <w:sz w:val="24"/>
              </w:rPr>
              <w:t>否</w:t>
            </w:r>
          </w:p>
        </w:tc>
        <w:tc>
          <w:tcPr>
            <w:tcW w:w="1564" w:type="dxa"/>
          </w:tcPr>
          <w:p w14:paraId="78DE2185">
            <w:pPr>
              <w:jc w:val="center"/>
              <w:textAlignment w:val="top"/>
              <w:rPr>
                <w:rFonts w:ascii="Times New Roman" w:hAnsi="Times New Roman" w:eastAsia="仿宋_GB2312"/>
                <w:sz w:val="24"/>
              </w:rPr>
            </w:pPr>
            <w:r>
              <w:rPr>
                <w:rFonts w:ascii="Times New Roman" w:hAnsi="Times New Roman" w:eastAsia="仿宋_GB2312"/>
                <w:color w:val="000000"/>
                <w:sz w:val="24"/>
              </w:rPr>
              <w:t xml:space="preserve">118000.00 </w:t>
            </w:r>
          </w:p>
        </w:tc>
        <w:tc>
          <w:tcPr>
            <w:tcW w:w="1564" w:type="dxa"/>
          </w:tcPr>
          <w:p w14:paraId="237D9958">
            <w:pPr>
              <w:jc w:val="center"/>
              <w:rPr>
                <w:rFonts w:ascii="Times New Roman" w:hAnsi="Times New Roman" w:eastAsia="仿宋_GB2312"/>
                <w:sz w:val="24"/>
              </w:rPr>
            </w:pPr>
            <w:r>
              <w:rPr>
                <w:rFonts w:ascii="Times New Roman" w:hAnsi="Times New Roman" w:eastAsia="仿宋_GB2312"/>
                <w:sz w:val="24"/>
              </w:rPr>
              <w:t>/</w:t>
            </w:r>
          </w:p>
        </w:tc>
      </w:tr>
      <w:tr w14:paraId="50CE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5B090763">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1217" w:type="dxa"/>
          </w:tcPr>
          <w:p w14:paraId="490C3FA7">
            <w:pPr>
              <w:jc w:val="center"/>
              <w:rPr>
                <w:rFonts w:ascii="Times New Roman" w:hAnsi="Times New Roman" w:eastAsia="仿宋_GB2312"/>
                <w:sz w:val="24"/>
              </w:rPr>
            </w:pPr>
            <w:r>
              <w:rPr>
                <w:rFonts w:ascii="Times New Roman" w:hAnsi="Times New Roman" w:eastAsia="仿宋_GB2312"/>
                <w:sz w:val="24"/>
              </w:rPr>
              <w:t>2019</w:t>
            </w:r>
          </w:p>
        </w:tc>
        <w:tc>
          <w:tcPr>
            <w:tcW w:w="1668" w:type="dxa"/>
          </w:tcPr>
          <w:p w14:paraId="5C70C1F3">
            <w:pPr>
              <w:jc w:val="center"/>
              <w:rPr>
                <w:rFonts w:ascii="Times New Roman" w:hAnsi="Times New Roman" w:eastAsia="仿宋_GB2312"/>
                <w:sz w:val="24"/>
              </w:rPr>
            </w:pPr>
            <w:r>
              <w:rPr>
                <w:rFonts w:hint="eastAsia" w:ascii="Times New Roman" w:hAnsi="Times New Roman" w:eastAsia="仿宋_GB2312"/>
                <w:sz w:val="24"/>
              </w:rPr>
              <w:t>燃气热水锅炉</w:t>
            </w:r>
          </w:p>
        </w:tc>
        <w:tc>
          <w:tcPr>
            <w:tcW w:w="1564" w:type="dxa"/>
          </w:tcPr>
          <w:p w14:paraId="34709B97">
            <w:pPr>
              <w:jc w:val="center"/>
              <w:rPr>
                <w:rFonts w:ascii="Times New Roman" w:hAnsi="Times New Roman" w:eastAsia="仿宋_GB2312"/>
                <w:sz w:val="24"/>
              </w:rPr>
            </w:pPr>
            <w:r>
              <w:rPr>
                <w:rFonts w:ascii="Times New Roman" w:hAnsi="Times New Roman" w:eastAsia="仿宋_GB2312"/>
                <w:sz w:val="24"/>
              </w:rPr>
              <w:t>否</w:t>
            </w:r>
          </w:p>
        </w:tc>
        <w:tc>
          <w:tcPr>
            <w:tcW w:w="1564" w:type="dxa"/>
          </w:tcPr>
          <w:p w14:paraId="0A95A26B">
            <w:pPr>
              <w:jc w:val="center"/>
              <w:textAlignment w:val="top"/>
              <w:rPr>
                <w:rFonts w:ascii="Times New Roman" w:hAnsi="Times New Roman" w:eastAsia="仿宋_GB2312"/>
                <w:sz w:val="24"/>
              </w:rPr>
            </w:pPr>
            <w:r>
              <w:rPr>
                <w:rFonts w:ascii="Times New Roman" w:hAnsi="Times New Roman" w:eastAsia="仿宋_GB2312"/>
                <w:color w:val="000000"/>
                <w:sz w:val="24"/>
              </w:rPr>
              <w:t xml:space="preserve">60000.00 </w:t>
            </w:r>
          </w:p>
        </w:tc>
        <w:tc>
          <w:tcPr>
            <w:tcW w:w="1564" w:type="dxa"/>
          </w:tcPr>
          <w:p w14:paraId="7F4F1BEA">
            <w:pPr>
              <w:jc w:val="center"/>
              <w:rPr>
                <w:rFonts w:ascii="Times New Roman" w:hAnsi="Times New Roman" w:eastAsia="仿宋_GB2312"/>
                <w:sz w:val="24"/>
              </w:rPr>
            </w:pPr>
            <w:r>
              <w:rPr>
                <w:rFonts w:ascii="Times New Roman" w:hAnsi="Times New Roman" w:eastAsia="仿宋_GB2312"/>
                <w:sz w:val="24"/>
              </w:rPr>
              <w:t>/</w:t>
            </w:r>
          </w:p>
        </w:tc>
      </w:tr>
      <w:tr w14:paraId="4789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6BA72D50">
            <w:pPr>
              <w:jc w:val="center"/>
              <w:rPr>
                <w:rFonts w:ascii="Times New Roman" w:hAnsi="Times New Roman" w:eastAsia="仿宋_GB2312"/>
                <w:color w:val="000000"/>
                <w:sz w:val="24"/>
              </w:rPr>
            </w:pPr>
            <w:r>
              <w:rPr>
                <w:rFonts w:hint="eastAsia" w:ascii="Times New Roman" w:hAnsi="Times New Roman" w:eastAsia="仿宋_GB2312"/>
                <w:color w:val="000000"/>
                <w:sz w:val="24"/>
              </w:rPr>
              <w:t>3</w:t>
            </w:r>
          </w:p>
        </w:tc>
        <w:tc>
          <w:tcPr>
            <w:tcW w:w="1217" w:type="dxa"/>
          </w:tcPr>
          <w:p w14:paraId="2F183BD8">
            <w:pPr>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020</w:t>
            </w:r>
          </w:p>
        </w:tc>
        <w:tc>
          <w:tcPr>
            <w:tcW w:w="1668" w:type="dxa"/>
          </w:tcPr>
          <w:p w14:paraId="25D68A96">
            <w:pPr>
              <w:jc w:val="center"/>
              <w:rPr>
                <w:rFonts w:ascii="Times New Roman" w:hAnsi="Times New Roman" w:eastAsia="仿宋_GB2312"/>
                <w:sz w:val="24"/>
              </w:rPr>
            </w:pPr>
            <w:r>
              <w:rPr>
                <w:rFonts w:hint="eastAsia" w:ascii="Times New Roman" w:hAnsi="Times New Roman" w:eastAsia="仿宋_GB2312"/>
                <w:sz w:val="24"/>
              </w:rPr>
              <w:t>燃气热水锅炉</w:t>
            </w:r>
          </w:p>
        </w:tc>
        <w:tc>
          <w:tcPr>
            <w:tcW w:w="1564" w:type="dxa"/>
          </w:tcPr>
          <w:p w14:paraId="1C17C265">
            <w:pPr>
              <w:jc w:val="center"/>
              <w:rPr>
                <w:rFonts w:ascii="Times New Roman" w:hAnsi="Times New Roman" w:eastAsia="仿宋_GB2312"/>
                <w:sz w:val="24"/>
              </w:rPr>
            </w:pPr>
            <w:r>
              <w:rPr>
                <w:rFonts w:ascii="Times New Roman" w:hAnsi="Times New Roman" w:eastAsia="仿宋_GB2312"/>
                <w:sz w:val="24"/>
              </w:rPr>
              <w:t>否</w:t>
            </w:r>
          </w:p>
        </w:tc>
        <w:tc>
          <w:tcPr>
            <w:tcW w:w="1564" w:type="dxa"/>
          </w:tcPr>
          <w:p w14:paraId="6824ECD3">
            <w:pPr>
              <w:jc w:val="center"/>
              <w:textAlignment w:val="top"/>
              <w:rPr>
                <w:rFonts w:ascii="Times New Roman" w:hAnsi="Times New Roman" w:eastAsia="仿宋_GB2312"/>
                <w:color w:val="000000"/>
                <w:sz w:val="24"/>
              </w:rPr>
            </w:pPr>
            <w:r>
              <w:rPr>
                <w:rFonts w:hint="eastAsia" w:ascii="Times New Roman" w:hAnsi="Times New Roman" w:eastAsia="仿宋_GB2312"/>
                <w:color w:val="000000"/>
                <w:sz w:val="24"/>
              </w:rPr>
              <w:t>X</w:t>
            </w:r>
            <w:r>
              <w:rPr>
                <w:rFonts w:ascii="Times New Roman" w:hAnsi="Times New Roman" w:eastAsia="仿宋_GB2312"/>
                <w:color w:val="000000"/>
                <w:sz w:val="24"/>
              </w:rPr>
              <w:t>XXX</w:t>
            </w:r>
          </w:p>
        </w:tc>
        <w:tc>
          <w:tcPr>
            <w:tcW w:w="1564" w:type="dxa"/>
          </w:tcPr>
          <w:p w14:paraId="6B684654">
            <w:pPr>
              <w:jc w:val="center"/>
              <w:rPr>
                <w:rFonts w:ascii="Times New Roman" w:hAnsi="Times New Roman" w:eastAsia="仿宋_GB2312"/>
                <w:sz w:val="24"/>
              </w:rPr>
            </w:pPr>
          </w:p>
        </w:tc>
      </w:tr>
      <w:tr w14:paraId="1118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15C97B8A">
            <w:pPr>
              <w:jc w:val="center"/>
              <w:rPr>
                <w:rFonts w:ascii="Times New Roman" w:hAnsi="Times New Roman" w:eastAsia="仿宋_GB2312"/>
                <w:color w:val="000000"/>
                <w:sz w:val="24"/>
              </w:rPr>
            </w:pPr>
            <w:r>
              <w:rPr>
                <w:rFonts w:ascii="Times New Roman" w:hAnsi="Times New Roman" w:eastAsia="仿宋_GB2312"/>
                <w:color w:val="000000"/>
                <w:sz w:val="24"/>
              </w:rPr>
              <w:t>合计</w:t>
            </w:r>
          </w:p>
        </w:tc>
        <w:tc>
          <w:tcPr>
            <w:tcW w:w="1217" w:type="dxa"/>
          </w:tcPr>
          <w:p w14:paraId="17E3BE78">
            <w:pPr>
              <w:jc w:val="center"/>
              <w:rPr>
                <w:rFonts w:ascii="Times New Roman" w:hAnsi="Times New Roman" w:eastAsia="仿宋_GB2312"/>
                <w:sz w:val="24"/>
              </w:rPr>
            </w:pPr>
          </w:p>
        </w:tc>
        <w:tc>
          <w:tcPr>
            <w:tcW w:w="1668" w:type="dxa"/>
          </w:tcPr>
          <w:p w14:paraId="60889625">
            <w:pPr>
              <w:jc w:val="center"/>
              <w:rPr>
                <w:rFonts w:ascii="Times New Roman" w:hAnsi="Times New Roman" w:eastAsia="仿宋_GB2312"/>
                <w:sz w:val="24"/>
              </w:rPr>
            </w:pPr>
          </w:p>
        </w:tc>
        <w:tc>
          <w:tcPr>
            <w:tcW w:w="1564" w:type="dxa"/>
          </w:tcPr>
          <w:p w14:paraId="6BB9EBCE">
            <w:pPr>
              <w:jc w:val="center"/>
              <w:rPr>
                <w:rFonts w:ascii="Times New Roman" w:hAnsi="Times New Roman" w:eastAsia="仿宋_GB2312"/>
                <w:sz w:val="24"/>
              </w:rPr>
            </w:pPr>
          </w:p>
        </w:tc>
        <w:tc>
          <w:tcPr>
            <w:tcW w:w="1564" w:type="dxa"/>
            <w:vAlign w:val="center"/>
          </w:tcPr>
          <w:p w14:paraId="6BBD5893">
            <w:pPr>
              <w:jc w:val="center"/>
              <w:textAlignment w:val="center"/>
              <w:rPr>
                <w:rFonts w:ascii="Times New Roman" w:hAnsi="Times New Roman" w:eastAsia="仿宋_GB2312"/>
                <w:sz w:val="24"/>
              </w:rPr>
            </w:pPr>
            <w:r>
              <w:rPr>
                <w:rFonts w:ascii="Times New Roman" w:hAnsi="Times New Roman"/>
                <w:color w:val="000000"/>
                <w:sz w:val="24"/>
              </w:rPr>
              <w:t xml:space="preserve">XXXX </w:t>
            </w:r>
          </w:p>
        </w:tc>
        <w:tc>
          <w:tcPr>
            <w:tcW w:w="1564" w:type="dxa"/>
          </w:tcPr>
          <w:p w14:paraId="5734059F">
            <w:pPr>
              <w:jc w:val="center"/>
              <w:rPr>
                <w:rFonts w:ascii="Times New Roman" w:hAnsi="Times New Roman" w:eastAsia="仿宋_GB2312"/>
                <w:sz w:val="24"/>
              </w:rPr>
            </w:pPr>
            <w:r>
              <w:rPr>
                <w:rFonts w:ascii="Times New Roman" w:hAnsi="Times New Roman" w:eastAsia="仿宋_GB2312"/>
                <w:sz w:val="24"/>
              </w:rPr>
              <w:t>/</w:t>
            </w:r>
          </w:p>
        </w:tc>
      </w:tr>
    </w:tbl>
    <w:p w14:paraId="4F8E31E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根据北京市配额核定方法，发电企业（热电联产）采用基准线法进行配额核定，无需核查新增设施的活动水平数据。</w:t>
      </w:r>
    </w:p>
    <w:p w14:paraId="3EF706B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5.核查过程未覆盖的问题描述</w:t>
      </w:r>
    </w:p>
    <w:p w14:paraId="7EE5D52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由于柴油流量计未进行校验而无法核对。核查准则中所要求的其他内容已在本次核查中全面覆盖。</w:t>
      </w:r>
    </w:p>
    <w:p w14:paraId="094FE91B">
      <w:pPr>
        <w:pStyle w:val="4"/>
        <w:spacing w:before="0" w:after="0" w:line="560" w:lineRule="exact"/>
        <w:rPr>
          <w:rFonts w:ascii="Times New Roman" w:hAnsi="Times New Roman" w:eastAsia="仿宋_GB2312"/>
          <w:szCs w:val="32"/>
        </w:rPr>
        <w:sectPr>
          <w:footerReference r:id="rId16" w:type="default"/>
          <w:pgSz w:w="11906" w:h="16838"/>
          <w:pgMar w:top="2098" w:right="1474" w:bottom="1984" w:left="1587" w:header="851" w:footer="1587" w:gutter="0"/>
          <w:pgNumType w:fmt="decimal"/>
          <w:cols w:space="0" w:num="1"/>
          <w:docGrid w:type="lines" w:linePitch="312" w:charSpace="0"/>
        </w:sectPr>
      </w:pPr>
    </w:p>
    <w:p w14:paraId="74EB6DC6">
      <w:pPr>
        <w:pStyle w:val="4"/>
        <w:rPr>
          <w:rFonts w:asciiTheme="majorEastAsia" w:hAnsiTheme="majorEastAsia" w:eastAsiaTheme="majorEastAsia"/>
          <w:sz w:val="32"/>
          <w:szCs w:val="32"/>
        </w:rPr>
      </w:pPr>
      <w:r>
        <w:rPr>
          <w:rFonts w:hint="eastAsia" w:asciiTheme="majorEastAsia" w:hAnsiTheme="majorEastAsia" w:eastAsiaTheme="majorEastAsia"/>
          <w:sz w:val="32"/>
          <w:szCs w:val="32"/>
        </w:rPr>
        <w:t>水泥制造企业</w:t>
      </w:r>
    </w:p>
    <w:p w14:paraId="6C35B46E">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515F9E5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6964AD74">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124F77C6">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w:t>
      </w:r>
      <w:r>
        <w:rPr>
          <w:rFonts w:hint="eastAsia" w:ascii="Times New Roman" w:hAnsi="Times New Roman" w:eastAsia="仿宋_GB2312"/>
          <w:sz w:val="32"/>
          <w:szCs w:val="32"/>
        </w:rPr>
        <w:t>《二氧化碳排放核算和报告要求水泥制造业》（DB11/T 1782-2020）</w:t>
      </w:r>
      <w:r>
        <w:rPr>
          <w:rFonts w:ascii="Times New Roman" w:hAnsi="Times New Roman" w:eastAsia="仿宋_GB2312"/>
          <w:sz w:val="32"/>
          <w:szCs w:val="32"/>
        </w:rPr>
        <w:t>的要求，核查组对本排放报告出具肯定的核查结论。</w:t>
      </w:r>
    </w:p>
    <w:p w14:paraId="14C8DB56">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0AA1204C">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数据一致。经核查的直接排放量为4500.00吨（其中化石燃料燃烧排放量为3200.00吨，工业生产过程排放量为500.00吨，废弃物处理排放量为800.00吨），间接排放量为13600.00吨，总排放量为18100.00吨。</w:t>
      </w:r>
    </w:p>
    <w:p w14:paraId="4F58FC93">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的协同处理废弃物的种类、数量、废弃物预处置及协同处置部分耗电量与最终排放报告中数据一致。经核查的协同处理废弃物种类为xxx，处理量为xxxx吨。废弃物的预处置部分的耗电量为xxxMWh，废弃物的协同处置部分的耗电量为xxxMWh。</w:t>
      </w:r>
    </w:p>
    <w:p w14:paraId="3BF00DCA">
      <w:pPr>
        <w:spacing w:after="0" w:line="560" w:lineRule="exact"/>
        <w:ind w:firstLine="640" w:firstLineChars="200"/>
        <w:jc w:val="both"/>
        <w:rPr>
          <w:rFonts w:ascii="Times New Roman" w:hAnsi="Times New Roman" w:eastAsia="仿宋_GB2312"/>
          <w:b/>
          <w:bCs/>
          <w:sz w:val="32"/>
          <w:szCs w:val="32"/>
        </w:rPr>
      </w:pPr>
      <w:r>
        <w:rPr>
          <w:rFonts w:ascii="Times New Roman" w:hAnsi="Times New Roman" w:eastAsia="仿宋_GB2312"/>
          <w:sz w:val="32"/>
          <w:szCs w:val="32"/>
        </w:rPr>
        <w:t>3. 年度排放量及活动水平波动的原因说明</w:t>
      </w:r>
    </w:p>
    <w:p w14:paraId="3F179CBC">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年度排放量与上一年度排放量相比增加了1100.00吨/6.47%，其中直接排放量增加了1000.00吨/28.57%，间接排放量增加了100.00吨/0.74%。原因为xxxxxx。</w:t>
      </w:r>
    </w:p>
    <w:p w14:paraId="517FF564">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本年度排放量与历史基准年份排放量相比增加了1100.00吨，增加比例为6.47%。原因为xxxxxx。</w:t>
      </w:r>
    </w:p>
    <w:p w14:paraId="30A57171">
      <w:pPr>
        <w:spacing w:after="0" w:line="560" w:lineRule="exact"/>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85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2323"/>
        <w:gridCol w:w="2430"/>
        <w:gridCol w:w="2460"/>
      </w:tblGrid>
      <w:tr w14:paraId="776A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65" w:type="dxa"/>
            <w:vAlign w:val="center"/>
          </w:tcPr>
          <w:p w14:paraId="141C379F">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2323" w:type="dxa"/>
            <w:vAlign w:val="center"/>
          </w:tcPr>
          <w:p w14:paraId="10B0315F">
            <w:pPr>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430" w:type="dxa"/>
            <w:vAlign w:val="center"/>
          </w:tcPr>
          <w:p w14:paraId="540CB887">
            <w:pPr>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间接排放量（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c>
          <w:tcPr>
            <w:tcW w:w="2460" w:type="dxa"/>
            <w:vAlign w:val="center"/>
          </w:tcPr>
          <w:p w14:paraId="3801C538">
            <w:pPr>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排放总量（</w:t>
            </w:r>
            <w:r>
              <w:rPr>
                <w:rFonts w:ascii="Times New Roman" w:hAnsi="Times New Roman" w:eastAsia="仿宋_GB2312"/>
                <w:color w:val="000000"/>
                <w:sz w:val="21"/>
                <w:szCs w:val="21"/>
              </w:rPr>
              <w:t>tCO</w:t>
            </w:r>
            <w:r>
              <w:rPr>
                <w:rFonts w:ascii="Times New Roman" w:hAnsi="Times New Roman" w:eastAsia="仿宋_GB2312"/>
                <w:color w:val="000000"/>
                <w:sz w:val="21"/>
                <w:szCs w:val="21"/>
                <w:vertAlign w:val="subscript"/>
              </w:rPr>
              <w:t>2</w:t>
            </w:r>
            <w:r>
              <w:rPr>
                <w:rFonts w:hint="eastAsia" w:ascii="Times New Roman" w:hAnsi="Times New Roman" w:eastAsia="仿宋_GB2312"/>
                <w:color w:val="000000"/>
                <w:sz w:val="21"/>
                <w:szCs w:val="21"/>
              </w:rPr>
              <w:t>）</w:t>
            </w:r>
          </w:p>
        </w:tc>
      </w:tr>
      <w:tr w14:paraId="6ED6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65" w:type="dxa"/>
            <w:vAlign w:val="center"/>
          </w:tcPr>
          <w:p w14:paraId="0214358F">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323" w:type="dxa"/>
            <w:vAlign w:val="center"/>
          </w:tcPr>
          <w:p w14:paraId="28D71B4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1000.00 </w:t>
            </w:r>
          </w:p>
        </w:tc>
        <w:tc>
          <w:tcPr>
            <w:tcW w:w="2430" w:type="dxa"/>
            <w:vAlign w:val="center"/>
          </w:tcPr>
          <w:p w14:paraId="31F8FE0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14000.00 </w:t>
            </w:r>
          </w:p>
        </w:tc>
        <w:tc>
          <w:tcPr>
            <w:tcW w:w="2460" w:type="dxa"/>
            <w:vAlign w:val="center"/>
          </w:tcPr>
          <w:p w14:paraId="26DB0422">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15000.00 </w:t>
            </w:r>
          </w:p>
        </w:tc>
      </w:tr>
      <w:tr w14:paraId="23D3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5" w:type="dxa"/>
            <w:vAlign w:val="center"/>
          </w:tcPr>
          <w:p w14:paraId="0D14E601">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323" w:type="dxa"/>
            <w:vAlign w:val="center"/>
          </w:tcPr>
          <w:p w14:paraId="7DC489E4">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3000.00 </w:t>
            </w:r>
          </w:p>
        </w:tc>
        <w:tc>
          <w:tcPr>
            <w:tcW w:w="2430" w:type="dxa"/>
            <w:vAlign w:val="center"/>
          </w:tcPr>
          <w:p w14:paraId="19A6375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13000.00 </w:t>
            </w:r>
          </w:p>
        </w:tc>
        <w:tc>
          <w:tcPr>
            <w:tcW w:w="2460" w:type="dxa"/>
            <w:vAlign w:val="center"/>
          </w:tcPr>
          <w:p w14:paraId="5200D54D">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16000.00 </w:t>
            </w:r>
          </w:p>
        </w:tc>
      </w:tr>
      <w:tr w14:paraId="5C8F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5" w:type="dxa"/>
            <w:vAlign w:val="center"/>
          </w:tcPr>
          <w:p w14:paraId="1C233E58">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323" w:type="dxa"/>
            <w:vAlign w:val="center"/>
          </w:tcPr>
          <w:p w14:paraId="4BCC2FCA">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3500.00 </w:t>
            </w:r>
          </w:p>
        </w:tc>
        <w:tc>
          <w:tcPr>
            <w:tcW w:w="2430" w:type="dxa"/>
            <w:vAlign w:val="center"/>
          </w:tcPr>
          <w:p w14:paraId="7D74BE1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13500.00 </w:t>
            </w:r>
          </w:p>
        </w:tc>
        <w:tc>
          <w:tcPr>
            <w:tcW w:w="2460" w:type="dxa"/>
            <w:vAlign w:val="center"/>
          </w:tcPr>
          <w:p w14:paraId="1C5A6B1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17000.00 </w:t>
            </w:r>
          </w:p>
        </w:tc>
      </w:tr>
      <w:tr w14:paraId="6407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5" w:type="dxa"/>
            <w:vAlign w:val="center"/>
          </w:tcPr>
          <w:p w14:paraId="762DE00D">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323" w:type="dxa"/>
            <w:vAlign w:val="center"/>
          </w:tcPr>
          <w:p w14:paraId="7A0302E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4500.00 </w:t>
            </w:r>
          </w:p>
        </w:tc>
        <w:tc>
          <w:tcPr>
            <w:tcW w:w="2430" w:type="dxa"/>
            <w:vAlign w:val="center"/>
          </w:tcPr>
          <w:p w14:paraId="3A1A2770">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13600.00 </w:t>
            </w:r>
          </w:p>
        </w:tc>
        <w:tc>
          <w:tcPr>
            <w:tcW w:w="2460" w:type="dxa"/>
            <w:vAlign w:val="center"/>
          </w:tcPr>
          <w:p w14:paraId="47900C0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18100.00 </w:t>
            </w:r>
          </w:p>
        </w:tc>
      </w:tr>
      <w:tr w14:paraId="40C3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5" w:type="dxa"/>
            <w:vAlign w:val="center"/>
          </w:tcPr>
          <w:p w14:paraId="45BD4A28">
            <w:pPr>
              <w:jc w:val="center"/>
              <w:rPr>
                <w:rFonts w:ascii="Times New Roman" w:hAnsi="Times New Roman" w:eastAsia="仿宋_GB2312"/>
                <w:color w:val="000000"/>
                <w:sz w:val="24"/>
              </w:rPr>
            </w:pPr>
            <w:r>
              <w:rPr>
                <w:rFonts w:hint="eastAsia" w:ascii="Times New Roman" w:hAnsi="Times New Roman" w:eastAsia="仿宋_GB2312"/>
                <w:color w:val="000000"/>
                <w:sz w:val="24"/>
              </w:rPr>
              <w:t>2</w:t>
            </w:r>
            <w:r>
              <w:rPr>
                <w:rFonts w:ascii="Times New Roman" w:hAnsi="Times New Roman" w:eastAsia="仿宋_GB2312"/>
                <w:color w:val="000000"/>
                <w:sz w:val="24"/>
              </w:rPr>
              <w:t>020</w:t>
            </w:r>
          </w:p>
        </w:tc>
        <w:tc>
          <w:tcPr>
            <w:tcW w:w="2323" w:type="dxa"/>
            <w:vAlign w:val="center"/>
          </w:tcPr>
          <w:p w14:paraId="69D60583">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4500.00 </w:t>
            </w:r>
          </w:p>
        </w:tc>
        <w:tc>
          <w:tcPr>
            <w:tcW w:w="2430" w:type="dxa"/>
            <w:vAlign w:val="center"/>
          </w:tcPr>
          <w:p w14:paraId="6965984A">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13600.00 </w:t>
            </w:r>
          </w:p>
        </w:tc>
        <w:tc>
          <w:tcPr>
            <w:tcW w:w="2460" w:type="dxa"/>
            <w:vAlign w:val="center"/>
          </w:tcPr>
          <w:p w14:paraId="3AD5BA6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18100.00 </w:t>
            </w:r>
          </w:p>
        </w:tc>
      </w:tr>
    </w:tbl>
    <w:p w14:paraId="43BEEDBE">
      <w:pPr>
        <w:ind w:firstLine="640" w:firstLineChars="200"/>
        <w:rPr>
          <w:rFonts w:ascii="Times New Roman" w:hAnsi="Times New Roman" w:eastAsia="仿宋_GB2312"/>
          <w:sz w:val="32"/>
          <w:szCs w:val="32"/>
        </w:rPr>
      </w:pPr>
    </w:p>
    <w:p w14:paraId="35D45E05">
      <w:pPr>
        <w:ind w:firstLine="440" w:firstLineChars="200"/>
        <w:rPr>
          <w:rFonts w:ascii="Times New Roman" w:hAnsi="Times New Roman" w:eastAsia="仿宋_GB2312"/>
          <w:sz w:val="32"/>
          <w:szCs w:val="32"/>
        </w:rPr>
      </w:pPr>
      <w:r>
        <w:rPr>
          <w:lang w:val="en-US"/>
        </w:rPr>
        <w:drawing>
          <wp:inline distT="0" distB="0" distL="0" distR="0">
            <wp:extent cx="5180330" cy="3107055"/>
            <wp:effectExtent l="4445" t="4445" r="15875" b="12700"/>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839E56">
      <w:pPr>
        <w:spacing w:after="0" w:line="560" w:lineRule="exact"/>
        <w:jc w:val="center"/>
        <w:rPr>
          <w:rFonts w:ascii="Times New Roman" w:hAnsi="Times New Roman" w:eastAsia="仿宋_GB2312"/>
          <w:sz w:val="32"/>
          <w:szCs w:val="32"/>
        </w:rPr>
      </w:pPr>
      <w:r>
        <w:rPr>
          <w:rFonts w:ascii="Times New Roman" w:hAnsi="Times New Roman" w:eastAsia="仿宋_GB2312"/>
          <w:sz w:val="24"/>
        </w:rPr>
        <w:t>图XX  排放量变化趋势图（增加</w:t>
      </w:r>
      <w:r>
        <w:rPr>
          <w:rFonts w:hint="eastAsia" w:ascii="Times New Roman" w:hAnsi="Times New Roman" w:eastAsia="仿宋_GB2312"/>
          <w:sz w:val="24"/>
        </w:rPr>
        <w:t>2</w:t>
      </w:r>
      <w:r>
        <w:rPr>
          <w:rFonts w:ascii="Times New Roman" w:hAnsi="Times New Roman" w:eastAsia="仿宋_GB2312"/>
          <w:sz w:val="24"/>
        </w:rPr>
        <w:t>020年）</w:t>
      </w:r>
    </w:p>
    <w:p w14:paraId="64DC80AF">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7F4AB52A">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31993B87">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排放单位核算和报告边界为位于xxx的生产厂区，有2条xxxx生产线，xx个废弃物预处理车间。与上一年度相比，场所边界无变化；与基准年相比，场所边界无变化。</w:t>
      </w:r>
    </w:p>
    <w:p w14:paraId="2EF6EC7B">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62C8EEDA">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排放单位2018年xxxx设施（或服务范围）截至2018年底运行（或服务）时间不足12个月，符合既有设施排放配额调整的申请条件。此信息供既有设施调整配额参考。</w:t>
      </w:r>
    </w:p>
    <w:p w14:paraId="1F735764">
      <w:pPr>
        <w:spacing w:after="0" w:line="560" w:lineRule="exact"/>
        <w:ind w:firstLine="465"/>
        <w:jc w:val="both"/>
        <w:rPr>
          <w:rFonts w:ascii="Times New Roman" w:hAnsi="Times New Roman" w:eastAsia="仿宋_GB2312"/>
          <w:sz w:val="32"/>
          <w:szCs w:val="32"/>
        </w:rPr>
      </w:pPr>
      <w:r>
        <w:rPr>
          <w:rFonts w:ascii="Times New Roman" w:hAnsi="Times New Roman" w:eastAsia="仿宋_GB2312"/>
          <w:sz w:val="32"/>
          <w:szCs w:val="32"/>
        </w:rPr>
        <w:t>排放单位既有设施退出为xxx，未被新增设施替代。</w:t>
      </w:r>
    </w:p>
    <w:p w14:paraId="532AF07B">
      <w:pPr>
        <w:spacing w:after="0" w:line="560" w:lineRule="exact"/>
        <w:ind w:firstLine="465"/>
        <w:jc w:val="both"/>
        <w:rPr>
          <w:rFonts w:ascii="Times New Roman" w:hAnsi="Times New Roman" w:eastAsia="仿宋_GB2312"/>
          <w:sz w:val="32"/>
          <w:szCs w:val="32"/>
        </w:rPr>
      </w:pPr>
    </w:p>
    <w:p w14:paraId="23A3A683">
      <w:pPr>
        <w:spacing w:after="0" w:line="560" w:lineRule="exact"/>
        <w:ind w:firstLine="465"/>
        <w:jc w:val="both"/>
        <w:rPr>
          <w:rFonts w:ascii="Times New Roman" w:hAnsi="Times New Roman" w:eastAsia="仿宋_GB2312"/>
          <w:sz w:val="32"/>
          <w:szCs w:val="32"/>
        </w:rPr>
      </w:pPr>
    </w:p>
    <w:p w14:paraId="429E2F61">
      <w:pPr>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35"/>
        <w:gridCol w:w="1259"/>
        <w:gridCol w:w="708"/>
        <w:gridCol w:w="909"/>
        <w:gridCol w:w="1072"/>
        <w:gridCol w:w="1177"/>
        <w:gridCol w:w="1177"/>
        <w:gridCol w:w="1177"/>
      </w:tblGrid>
      <w:tr w14:paraId="5E9C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41" w:type="dxa"/>
            <w:vMerge w:val="restart"/>
            <w:vAlign w:val="center"/>
          </w:tcPr>
          <w:p w14:paraId="78384EFF">
            <w:pPr>
              <w:spacing w:after="80"/>
              <w:jc w:val="center"/>
              <w:rPr>
                <w:rFonts w:ascii="Times New Roman" w:hAnsi="Times New Roman" w:eastAsia="仿宋_GB2312"/>
                <w:sz w:val="24"/>
              </w:rPr>
            </w:pPr>
            <w:r>
              <w:rPr>
                <w:rFonts w:ascii="Times New Roman" w:hAnsi="Times New Roman" w:eastAsia="仿宋_GB2312"/>
                <w:sz w:val="24"/>
              </w:rPr>
              <w:t>序号</w:t>
            </w:r>
          </w:p>
        </w:tc>
        <w:tc>
          <w:tcPr>
            <w:tcW w:w="835" w:type="dxa"/>
            <w:vMerge w:val="restart"/>
            <w:vAlign w:val="center"/>
          </w:tcPr>
          <w:p w14:paraId="1ACB64CC">
            <w:pPr>
              <w:spacing w:after="80"/>
              <w:jc w:val="center"/>
              <w:rPr>
                <w:rFonts w:ascii="Times New Roman" w:hAnsi="Times New Roman" w:eastAsia="仿宋_GB2312"/>
                <w:sz w:val="24"/>
              </w:rPr>
            </w:pPr>
            <w:r>
              <w:rPr>
                <w:rFonts w:ascii="Times New Roman" w:hAnsi="Times New Roman" w:eastAsia="仿宋_GB2312"/>
                <w:sz w:val="24"/>
              </w:rPr>
              <w:t>既有设施名称</w:t>
            </w:r>
          </w:p>
        </w:tc>
        <w:tc>
          <w:tcPr>
            <w:tcW w:w="1259" w:type="dxa"/>
            <w:vMerge w:val="restart"/>
            <w:vAlign w:val="center"/>
          </w:tcPr>
          <w:p w14:paraId="022DFAE7">
            <w:pPr>
              <w:spacing w:after="80"/>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708" w:type="dxa"/>
            <w:vMerge w:val="restart"/>
            <w:vAlign w:val="center"/>
          </w:tcPr>
          <w:p w14:paraId="181D91BC">
            <w:pPr>
              <w:spacing w:after="80"/>
              <w:jc w:val="center"/>
              <w:rPr>
                <w:rFonts w:ascii="Times New Roman" w:hAnsi="Times New Roman" w:eastAsia="仿宋_GB2312"/>
                <w:sz w:val="24"/>
              </w:rPr>
            </w:pPr>
            <w:r>
              <w:rPr>
                <w:rFonts w:ascii="Times New Roman" w:hAnsi="Times New Roman" w:eastAsia="仿宋_GB2312"/>
                <w:sz w:val="24"/>
              </w:rPr>
              <w:t>退出时间</w:t>
            </w:r>
          </w:p>
        </w:tc>
        <w:tc>
          <w:tcPr>
            <w:tcW w:w="909" w:type="dxa"/>
            <w:vMerge w:val="restart"/>
            <w:vAlign w:val="center"/>
          </w:tcPr>
          <w:p w14:paraId="4E58F7AE">
            <w:pPr>
              <w:spacing w:after="80"/>
              <w:jc w:val="center"/>
              <w:rPr>
                <w:rFonts w:ascii="Times New Roman" w:hAnsi="Times New Roman" w:eastAsia="仿宋_GB2312"/>
                <w:sz w:val="24"/>
              </w:rPr>
            </w:pPr>
            <w:r>
              <w:rPr>
                <w:rFonts w:ascii="Times New Roman" w:hAnsi="Times New Roman" w:eastAsia="仿宋_GB2312"/>
                <w:sz w:val="24"/>
              </w:rPr>
              <w:t>是否由新增设施替代</w:t>
            </w:r>
          </w:p>
        </w:tc>
        <w:tc>
          <w:tcPr>
            <w:tcW w:w="1072" w:type="dxa"/>
            <w:vMerge w:val="restart"/>
            <w:tcBorders>
              <w:right w:val="single" w:color="auto" w:sz="4" w:space="0"/>
            </w:tcBorders>
            <w:vAlign w:val="center"/>
          </w:tcPr>
          <w:p w14:paraId="1AD3FEDD">
            <w:pPr>
              <w:spacing w:after="80"/>
              <w:jc w:val="center"/>
              <w:rPr>
                <w:rFonts w:ascii="Times New Roman" w:hAnsi="Times New Roman" w:eastAsia="仿宋_GB2312"/>
                <w:sz w:val="24"/>
              </w:rPr>
            </w:pPr>
            <w:r>
              <w:rPr>
                <w:rFonts w:ascii="Times New Roman" w:hAnsi="Times New Roman" w:eastAsia="仿宋_GB2312"/>
                <w:sz w:val="24"/>
              </w:rPr>
              <w:t>年度</w:t>
            </w:r>
          </w:p>
        </w:tc>
        <w:tc>
          <w:tcPr>
            <w:tcW w:w="3531" w:type="dxa"/>
            <w:gridSpan w:val="3"/>
            <w:tcBorders>
              <w:left w:val="single" w:color="auto" w:sz="4" w:space="0"/>
            </w:tcBorders>
            <w:vAlign w:val="center"/>
          </w:tcPr>
          <w:p w14:paraId="65130FF4">
            <w:pPr>
              <w:spacing w:after="80"/>
              <w:jc w:val="center"/>
              <w:rPr>
                <w:rFonts w:ascii="Times New Roman" w:hAnsi="Times New Roman" w:eastAsia="仿宋_GB2312"/>
                <w:sz w:val="24"/>
              </w:rPr>
            </w:pPr>
            <w:r>
              <w:rPr>
                <w:rFonts w:ascii="Times New Roman" w:hAnsi="Times New Roman" w:eastAsia="仿宋_GB2312"/>
                <w:sz w:val="24"/>
              </w:rPr>
              <w:t>历史年度排放量</w:t>
            </w:r>
          </w:p>
        </w:tc>
      </w:tr>
      <w:tr w14:paraId="19C0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41" w:type="dxa"/>
            <w:vMerge w:val="continue"/>
            <w:vAlign w:val="center"/>
          </w:tcPr>
          <w:p w14:paraId="5C37903A">
            <w:pPr>
              <w:spacing w:after="80"/>
              <w:jc w:val="center"/>
              <w:rPr>
                <w:rFonts w:ascii="Times New Roman" w:hAnsi="Times New Roman" w:eastAsia="仿宋_GB2312"/>
                <w:sz w:val="24"/>
              </w:rPr>
            </w:pPr>
          </w:p>
        </w:tc>
        <w:tc>
          <w:tcPr>
            <w:tcW w:w="835" w:type="dxa"/>
            <w:vMerge w:val="continue"/>
            <w:vAlign w:val="center"/>
          </w:tcPr>
          <w:p w14:paraId="4C5C8E1A">
            <w:pPr>
              <w:spacing w:after="80"/>
              <w:jc w:val="center"/>
              <w:rPr>
                <w:rFonts w:ascii="Times New Roman" w:hAnsi="Times New Roman" w:eastAsia="仿宋_GB2312"/>
                <w:sz w:val="24"/>
              </w:rPr>
            </w:pPr>
          </w:p>
        </w:tc>
        <w:tc>
          <w:tcPr>
            <w:tcW w:w="1259" w:type="dxa"/>
            <w:vMerge w:val="continue"/>
            <w:vAlign w:val="center"/>
          </w:tcPr>
          <w:p w14:paraId="025025BE">
            <w:pPr>
              <w:spacing w:after="80"/>
              <w:jc w:val="center"/>
              <w:rPr>
                <w:rFonts w:ascii="Times New Roman" w:hAnsi="Times New Roman" w:eastAsia="仿宋_GB2312"/>
                <w:sz w:val="24"/>
              </w:rPr>
            </w:pPr>
          </w:p>
        </w:tc>
        <w:tc>
          <w:tcPr>
            <w:tcW w:w="708" w:type="dxa"/>
            <w:vMerge w:val="continue"/>
            <w:vAlign w:val="center"/>
          </w:tcPr>
          <w:p w14:paraId="75A4EE2C">
            <w:pPr>
              <w:spacing w:after="80"/>
              <w:jc w:val="center"/>
              <w:rPr>
                <w:rFonts w:ascii="Times New Roman" w:hAnsi="Times New Roman" w:eastAsia="仿宋_GB2312"/>
                <w:sz w:val="24"/>
              </w:rPr>
            </w:pPr>
          </w:p>
        </w:tc>
        <w:tc>
          <w:tcPr>
            <w:tcW w:w="909" w:type="dxa"/>
            <w:vMerge w:val="continue"/>
            <w:vAlign w:val="center"/>
          </w:tcPr>
          <w:p w14:paraId="0828BA27">
            <w:pPr>
              <w:spacing w:after="80"/>
              <w:jc w:val="center"/>
              <w:rPr>
                <w:rFonts w:ascii="Times New Roman" w:hAnsi="Times New Roman" w:eastAsia="仿宋_GB2312"/>
                <w:sz w:val="24"/>
              </w:rPr>
            </w:pPr>
          </w:p>
        </w:tc>
        <w:tc>
          <w:tcPr>
            <w:tcW w:w="1072" w:type="dxa"/>
            <w:vMerge w:val="continue"/>
            <w:tcBorders>
              <w:right w:val="single" w:color="auto" w:sz="4" w:space="0"/>
            </w:tcBorders>
            <w:vAlign w:val="center"/>
          </w:tcPr>
          <w:p w14:paraId="71B1ABEE">
            <w:pPr>
              <w:spacing w:after="80"/>
              <w:jc w:val="center"/>
              <w:rPr>
                <w:rFonts w:ascii="Times New Roman" w:hAnsi="Times New Roman" w:eastAsia="仿宋_GB2312"/>
                <w:sz w:val="24"/>
              </w:rPr>
            </w:pPr>
          </w:p>
        </w:tc>
        <w:tc>
          <w:tcPr>
            <w:tcW w:w="1177" w:type="dxa"/>
            <w:tcBorders>
              <w:left w:val="single" w:color="auto" w:sz="4" w:space="0"/>
            </w:tcBorders>
            <w:vAlign w:val="center"/>
          </w:tcPr>
          <w:p w14:paraId="7D5AF270">
            <w:pPr>
              <w:spacing w:after="80"/>
              <w:jc w:val="center"/>
              <w:rPr>
                <w:rFonts w:ascii="Times New Roman" w:hAnsi="Times New Roman" w:eastAsia="仿宋_GB2312"/>
                <w:sz w:val="24"/>
              </w:rPr>
            </w:pPr>
            <w:r>
              <w:rPr>
                <w:rFonts w:ascii="Times New Roman" w:hAnsi="Times New Roman" w:eastAsia="仿宋_GB2312"/>
                <w:sz w:val="24"/>
              </w:rPr>
              <w:t>直接排放量</w:t>
            </w:r>
          </w:p>
          <w:p w14:paraId="64A146A8">
            <w:pPr>
              <w:spacing w:after="80"/>
              <w:jc w:val="center"/>
              <w:rPr>
                <w:rFonts w:ascii="Times New Roman" w:hAnsi="Times New Roman" w:eastAsia="仿宋_GB2312"/>
                <w:sz w:val="24"/>
              </w:rPr>
            </w:pPr>
            <w:r>
              <w:rPr>
                <w:rFonts w:ascii="Times New Roman" w:hAnsi="Times New Roman" w:eastAsia="仿宋_GB2312"/>
                <w:sz w:val="24"/>
              </w:rPr>
              <w:t>（tCO</w:t>
            </w:r>
            <w:r>
              <w:rPr>
                <w:rFonts w:ascii="Times New Roman" w:hAnsi="Times New Roman" w:eastAsia="仿宋_GB2312"/>
                <w:sz w:val="24"/>
                <w:vertAlign w:val="subscript"/>
              </w:rPr>
              <w:t>2</w:t>
            </w:r>
            <w:r>
              <w:rPr>
                <w:rFonts w:ascii="Times New Roman" w:hAnsi="Times New Roman" w:eastAsia="仿宋_GB2312"/>
                <w:sz w:val="24"/>
              </w:rPr>
              <w:t>）</w:t>
            </w:r>
          </w:p>
        </w:tc>
        <w:tc>
          <w:tcPr>
            <w:tcW w:w="1177" w:type="dxa"/>
            <w:vAlign w:val="center"/>
          </w:tcPr>
          <w:p w14:paraId="14CA7D30">
            <w:pPr>
              <w:spacing w:after="80"/>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77" w:type="dxa"/>
            <w:vAlign w:val="center"/>
          </w:tcPr>
          <w:p w14:paraId="0ECF510D">
            <w:pPr>
              <w:spacing w:after="80"/>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36C9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41" w:type="dxa"/>
            <w:vMerge w:val="restart"/>
            <w:vAlign w:val="center"/>
          </w:tcPr>
          <w:p w14:paraId="355C0BAA">
            <w:pPr>
              <w:spacing w:after="80"/>
              <w:jc w:val="center"/>
              <w:rPr>
                <w:rFonts w:ascii="Times New Roman" w:hAnsi="Times New Roman" w:eastAsia="仿宋_GB2312"/>
                <w:sz w:val="24"/>
              </w:rPr>
            </w:pPr>
            <w:r>
              <w:rPr>
                <w:rFonts w:ascii="Times New Roman" w:hAnsi="Times New Roman" w:eastAsia="仿宋_GB2312"/>
                <w:sz w:val="24"/>
              </w:rPr>
              <w:t>1</w:t>
            </w:r>
          </w:p>
        </w:tc>
        <w:tc>
          <w:tcPr>
            <w:tcW w:w="835" w:type="dxa"/>
            <w:vMerge w:val="restart"/>
            <w:vAlign w:val="center"/>
          </w:tcPr>
          <w:p w14:paraId="3177CCA8">
            <w:pPr>
              <w:spacing w:after="80"/>
              <w:jc w:val="center"/>
              <w:rPr>
                <w:rFonts w:ascii="Times New Roman" w:hAnsi="Times New Roman" w:eastAsia="仿宋_GB2312"/>
                <w:sz w:val="24"/>
              </w:rPr>
            </w:pPr>
            <w:r>
              <w:rPr>
                <w:rFonts w:ascii="Times New Roman" w:hAnsi="Times New Roman" w:eastAsia="仿宋_GB2312"/>
                <w:sz w:val="24"/>
              </w:rPr>
              <w:t>xxx</w:t>
            </w:r>
          </w:p>
        </w:tc>
        <w:tc>
          <w:tcPr>
            <w:tcW w:w="1259" w:type="dxa"/>
            <w:vMerge w:val="restart"/>
            <w:vAlign w:val="center"/>
          </w:tcPr>
          <w:p w14:paraId="1E4E7069">
            <w:pPr>
              <w:spacing w:after="80"/>
              <w:jc w:val="center"/>
              <w:rPr>
                <w:rFonts w:ascii="Times New Roman" w:hAnsi="Times New Roman" w:eastAsia="仿宋_GB2312"/>
                <w:sz w:val="24"/>
              </w:rPr>
            </w:pPr>
          </w:p>
        </w:tc>
        <w:tc>
          <w:tcPr>
            <w:tcW w:w="708" w:type="dxa"/>
            <w:vMerge w:val="restart"/>
            <w:vAlign w:val="center"/>
          </w:tcPr>
          <w:p w14:paraId="4D1343D2">
            <w:pPr>
              <w:spacing w:after="80"/>
              <w:jc w:val="center"/>
              <w:rPr>
                <w:rFonts w:ascii="Times New Roman" w:hAnsi="Times New Roman" w:eastAsia="仿宋_GB2312"/>
                <w:sz w:val="24"/>
              </w:rPr>
            </w:pPr>
            <w:r>
              <w:rPr>
                <w:rFonts w:ascii="Times New Roman" w:hAnsi="Times New Roman" w:eastAsia="仿宋_GB2312"/>
                <w:sz w:val="24"/>
              </w:rPr>
              <w:t>2018</w:t>
            </w:r>
          </w:p>
        </w:tc>
        <w:tc>
          <w:tcPr>
            <w:tcW w:w="909" w:type="dxa"/>
            <w:vMerge w:val="restart"/>
            <w:vAlign w:val="center"/>
          </w:tcPr>
          <w:p w14:paraId="3934C7B4">
            <w:pPr>
              <w:spacing w:after="80"/>
              <w:jc w:val="center"/>
              <w:rPr>
                <w:rFonts w:ascii="Times New Roman" w:hAnsi="Times New Roman" w:eastAsia="仿宋_GB2312"/>
                <w:sz w:val="24"/>
              </w:rPr>
            </w:pPr>
            <w:r>
              <w:rPr>
                <w:rFonts w:ascii="Times New Roman" w:hAnsi="Times New Roman" w:eastAsia="仿宋_GB2312"/>
                <w:sz w:val="24"/>
              </w:rPr>
              <w:t>否</w:t>
            </w:r>
          </w:p>
        </w:tc>
        <w:tc>
          <w:tcPr>
            <w:tcW w:w="1072" w:type="dxa"/>
            <w:tcBorders>
              <w:right w:val="single" w:color="auto" w:sz="4" w:space="0"/>
            </w:tcBorders>
          </w:tcPr>
          <w:p w14:paraId="7DA42DD7">
            <w:pPr>
              <w:spacing w:after="80"/>
              <w:rPr>
                <w:rFonts w:ascii="Times New Roman" w:hAnsi="Times New Roman" w:eastAsia="仿宋_GB2312"/>
                <w:sz w:val="24"/>
              </w:rPr>
            </w:pPr>
            <w:r>
              <w:rPr>
                <w:rFonts w:ascii="Times New Roman" w:hAnsi="Times New Roman" w:eastAsia="仿宋_GB2312"/>
                <w:sz w:val="24"/>
              </w:rPr>
              <w:t>2016年</w:t>
            </w:r>
          </w:p>
        </w:tc>
        <w:tc>
          <w:tcPr>
            <w:tcW w:w="1177" w:type="dxa"/>
            <w:tcBorders>
              <w:left w:val="single" w:color="auto" w:sz="4" w:space="0"/>
            </w:tcBorders>
            <w:vAlign w:val="center"/>
          </w:tcPr>
          <w:p w14:paraId="5DF4F311">
            <w:pPr>
              <w:spacing w:after="80"/>
              <w:jc w:val="center"/>
              <w:rPr>
                <w:rFonts w:ascii="Times New Roman" w:hAnsi="Times New Roman" w:eastAsia="仿宋_GB2312"/>
                <w:sz w:val="24"/>
              </w:rPr>
            </w:pPr>
            <w:r>
              <w:rPr>
                <w:rFonts w:ascii="Times New Roman" w:hAnsi="Times New Roman" w:eastAsia="仿宋_GB2312"/>
                <w:sz w:val="24"/>
              </w:rPr>
              <w:t>200.00</w:t>
            </w:r>
          </w:p>
        </w:tc>
        <w:tc>
          <w:tcPr>
            <w:tcW w:w="1177" w:type="dxa"/>
            <w:vAlign w:val="center"/>
          </w:tcPr>
          <w:p w14:paraId="395F861F">
            <w:pPr>
              <w:spacing w:after="80"/>
              <w:jc w:val="center"/>
              <w:rPr>
                <w:rFonts w:ascii="Times New Roman" w:hAnsi="Times New Roman" w:eastAsia="仿宋_GB2312"/>
                <w:sz w:val="24"/>
              </w:rPr>
            </w:pPr>
            <w:r>
              <w:rPr>
                <w:rFonts w:ascii="Times New Roman" w:hAnsi="Times New Roman" w:eastAsia="仿宋_GB2312"/>
                <w:sz w:val="24"/>
              </w:rPr>
              <w:t>60.00</w:t>
            </w:r>
          </w:p>
        </w:tc>
        <w:tc>
          <w:tcPr>
            <w:tcW w:w="1177" w:type="dxa"/>
            <w:vAlign w:val="center"/>
          </w:tcPr>
          <w:p w14:paraId="421BDC00">
            <w:pPr>
              <w:spacing w:after="80"/>
              <w:jc w:val="center"/>
              <w:rPr>
                <w:rFonts w:ascii="Times New Roman" w:hAnsi="Times New Roman" w:eastAsia="仿宋_GB2312"/>
                <w:sz w:val="24"/>
              </w:rPr>
            </w:pPr>
            <w:r>
              <w:rPr>
                <w:rFonts w:ascii="Times New Roman" w:hAnsi="Times New Roman" w:eastAsia="仿宋_GB2312"/>
                <w:sz w:val="24"/>
              </w:rPr>
              <w:t>260.00</w:t>
            </w:r>
          </w:p>
        </w:tc>
      </w:tr>
      <w:tr w14:paraId="3F89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41" w:type="dxa"/>
            <w:vMerge w:val="continue"/>
          </w:tcPr>
          <w:p w14:paraId="354FC5CD">
            <w:pPr>
              <w:spacing w:after="80"/>
              <w:rPr>
                <w:rFonts w:ascii="Times New Roman" w:hAnsi="Times New Roman" w:eastAsia="仿宋_GB2312"/>
                <w:sz w:val="24"/>
              </w:rPr>
            </w:pPr>
          </w:p>
        </w:tc>
        <w:tc>
          <w:tcPr>
            <w:tcW w:w="835" w:type="dxa"/>
            <w:vMerge w:val="continue"/>
          </w:tcPr>
          <w:p w14:paraId="6760E1D6">
            <w:pPr>
              <w:spacing w:after="80"/>
              <w:rPr>
                <w:rFonts w:ascii="Times New Roman" w:hAnsi="Times New Roman" w:eastAsia="仿宋_GB2312"/>
                <w:sz w:val="24"/>
              </w:rPr>
            </w:pPr>
          </w:p>
        </w:tc>
        <w:tc>
          <w:tcPr>
            <w:tcW w:w="1259" w:type="dxa"/>
            <w:vMerge w:val="continue"/>
          </w:tcPr>
          <w:p w14:paraId="71A059D3">
            <w:pPr>
              <w:spacing w:after="80"/>
              <w:rPr>
                <w:rFonts w:ascii="Times New Roman" w:hAnsi="Times New Roman" w:eastAsia="仿宋_GB2312"/>
                <w:sz w:val="24"/>
              </w:rPr>
            </w:pPr>
          </w:p>
        </w:tc>
        <w:tc>
          <w:tcPr>
            <w:tcW w:w="708" w:type="dxa"/>
            <w:vMerge w:val="continue"/>
          </w:tcPr>
          <w:p w14:paraId="40A4644D">
            <w:pPr>
              <w:spacing w:after="80"/>
              <w:rPr>
                <w:rFonts w:ascii="Times New Roman" w:hAnsi="Times New Roman" w:eastAsia="仿宋_GB2312"/>
                <w:sz w:val="24"/>
              </w:rPr>
            </w:pPr>
          </w:p>
        </w:tc>
        <w:tc>
          <w:tcPr>
            <w:tcW w:w="909" w:type="dxa"/>
            <w:vMerge w:val="continue"/>
          </w:tcPr>
          <w:p w14:paraId="18872B48">
            <w:pPr>
              <w:spacing w:after="80"/>
              <w:rPr>
                <w:rFonts w:ascii="Times New Roman" w:hAnsi="Times New Roman" w:eastAsia="仿宋_GB2312"/>
                <w:sz w:val="24"/>
              </w:rPr>
            </w:pPr>
          </w:p>
        </w:tc>
        <w:tc>
          <w:tcPr>
            <w:tcW w:w="1072" w:type="dxa"/>
            <w:tcBorders>
              <w:right w:val="single" w:color="auto" w:sz="4" w:space="0"/>
            </w:tcBorders>
          </w:tcPr>
          <w:p w14:paraId="581CB57E">
            <w:pPr>
              <w:spacing w:after="80"/>
              <w:rPr>
                <w:rFonts w:ascii="Times New Roman" w:hAnsi="Times New Roman" w:eastAsia="仿宋_GB2312"/>
                <w:sz w:val="24"/>
              </w:rPr>
            </w:pPr>
            <w:r>
              <w:rPr>
                <w:rFonts w:ascii="Times New Roman" w:hAnsi="Times New Roman" w:eastAsia="仿宋_GB2312"/>
                <w:sz w:val="24"/>
              </w:rPr>
              <w:t>2017年</w:t>
            </w:r>
          </w:p>
        </w:tc>
        <w:tc>
          <w:tcPr>
            <w:tcW w:w="1177" w:type="dxa"/>
            <w:tcBorders>
              <w:left w:val="single" w:color="auto" w:sz="4" w:space="0"/>
            </w:tcBorders>
            <w:vAlign w:val="center"/>
          </w:tcPr>
          <w:p w14:paraId="7CB124B2">
            <w:pPr>
              <w:spacing w:after="80"/>
              <w:jc w:val="center"/>
              <w:rPr>
                <w:rFonts w:ascii="Times New Roman" w:hAnsi="Times New Roman" w:eastAsia="仿宋_GB2312"/>
                <w:sz w:val="24"/>
              </w:rPr>
            </w:pPr>
            <w:r>
              <w:rPr>
                <w:rFonts w:ascii="Times New Roman" w:hAnsi="Times New Roman" w:eastAsia="仿宋_GB2312"/>
                <w:sz w:val="24"/>
              </w:rPr>
              <w:t>180.00</w:t>
            </w:r>
          </w:p>
        </w:tc>
        <w:tc>
          <w:tcPr>
            <w:tcW w:w="1177" w:type="dxa"/>
            <w:vAlign w:val="center"/>
          </w:tcPr>
          <w:p w14:paraId="5E46923B">
            <w:pPr>
              <w:spacing w:after="80"/>
              <w:jc w:val="center"/>
              <w:rPr>
                <w:rFonts w:ascii="Times New Roman" w:hAnsi="Times New Roman" w:eastAsia="仿宋_GB2312"/>
                <w:sz w:val="24"/>
              </w:rPr>
            </w:pPr>
            <w:r>
              <w:rPr>
                <w:rFonts w:ascii="Times New Roman" w:hAnsi="Times New Roman" w:eastAsia="仿宋_GB2312"/>
                <w:sz w:val="24"/>
              </w:rPr>
              <w:t>65.00</w:t>
            </w:r>
          </w:p>
        </w:tc>
        <w:tc>
          <w:tcPr>
            <w:tcW w:w="1177" w:type="dxa"/>
            <w:vAlign w:val="center"/>
          </w:tcPr>
          <w:p w14:paraId="232E0734">
            <w:pPr>
              <w:spacing w:after="80"/>
              <w:jc w:val="center"/>
              <w:rPr>
                <w:rFonts w:ascii="Times New Roman" w:hAnsi="Times New Roman" w:eastAsia="仿宋_GB2312"/>
                <w:sz w:val="24"/>
              </w:rPr>
            </w:pPr>
            <w:r>
              <w:rPr>
                <w:rFonts w:ascii="Times New Roman" w:hAnsi="Times New Roman" w:eastAsia="仿宋_GB2312"/>
                <w:sz w:val="24"/>
              </w:rPr>
              <w:t>245.00</w:t>
            </w:r>
          </w:p>
        </w:tc>
      </w:tr>
      <w:tr w14:paraId="4AF3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41" w:type="dxa"/>
            <w:vMerge w:val="continue"/>
          </w:tcPr>
          <w:p w14:paraId="2353F83C">
            <w:pPr>
              <w:spacing w:after="80"/>
              <w:rPr>
                <w:rFonts w:ascii="Times New Roman" w:hAnsi="Times New Roman" w:eastAsia="仿宋_GB2312"/>
                <w:sz w:val="24"/>
              </w:rPr>
            </w:pPr>
          </w:p>
        </w:tc>
        <w:tc>
          <w:tcPr>
            <w:tcW w:w="835" w:type="dxa"/>
            <w:vMerge w:val="continue"/>
          </w:tcPr>
          <w:p w14:paraId="09AFF77F">
            <w:pPr>
              <w:spacing w:after="80"/>
              <w:rPr>
                <w:rFonts w:ascii="Times New Roman" w:hAnsi="Times New Roman" w:eastAsia="仿宋_GB2312"/>
                <w:sz w:val="24"/>
              </w:rPr>
            </w:pPr>
          </w:p>
        </w:tc>
        <w:tc>
          <w:tcPr>
            <w:tcW w:w="1259" w:type="dxa"/>
            <w:vMerge w:val="continue"/>
          </w:tcPr>
          <w:p w14:paraId="26A7FA56">
            <w:pPr>
              <w:spacing w:after="80"/>
              <w:rPr>
                <w:rFonts w:ascii="Times New Roman" w:hAnsi="Times New Roman" w:eastAsia="仿宋_GB2312"/>
                <w:sz w:val="24"/>
              </w:rPr>
            </w:pPr>
          </w:p>
        </w:tc>
        <w:tc>
          <w:tcPr>
            <w:tcW w:w="708" w:type="dxa"/>
            <w:vMerge w:val="continue"/>
          </w:tcPr>
          <w:p w14:paraId="04FED939">
            <w:pPr>
              <w:spacing w:after="80"/>
              <w:rPr>
                <w:rFonts w:ascii="Times New Roman" w:hAnsi="Times New Roman" w:eastAsia="仿宋_GB2312"/>
                <w:sz w:val="24"/>
              </w:rPr>
            </w:pPr>
          </w:p>
        </w:tc>
        <w:tc>
          <w:tcPr>
            <w:tcW w:w="909" w:type="dxa"/>
            <w:vMerge w:val="continue"/>
          </w:tcPr>
          <w:p w14:paraId="5B17991E">
            <w:pPr>
              <w:spacing w:after="80"/>
              <w:rPr>
                <w:rFonts w:ascii="Times New Roman" w:hAnsi="Times New Roman" w:eastAsia="仿宋_GB2312"/>
                <w:sz w:val="24"/>
              </w:rPr>
            </w:pPr>
          </w:p>
        </w:tc>
        <w:tc>
          <w:tcPr>
            <w:tcW w:w="1072" w:type="dxa"/>
            <w:tcBorders>
              <w:right w:val="single" w:color="auto" w:sz="4" w:space="0"/>
            </w:tcBorders>
          </w:tcPr>
          <w:p w14:paraId="12A9526F">
            <w:pPr>
              <w:spacing w:after="80"/>
              <w:rPr>
                <w:rFonts w:ascii="Times New Roman" w:hAnsi="Times New Roman" w:eastAsia="仿宋_GB2312"/>
                <w:sz w:val="24"/>
              </w:rPr>
            </w:pPr>
            <w:r>
              <w:rPr>
                <w:rFonts w:ascii="Times New Roman" w:hAnsi="Times New Roman" w:eastAsia="仿宋_GB2312"/>
                <w:sz w:val="24"/>
              </w:rPr>
              <w:t>2018年</w:t>
            </w:r>
          </w:p>
        </w:tc>
        <w:tc>
          <w:tcPr>
            <w:tcW w:w="1177" w:type="dxa"/>
            <w:tcBorders>
              <w:left w:val="single" w:color="auto" w:sz="4" w:space="0"/>
            </w:tcBorders>
            <w:vAlign w:val="center"/>
          </w:tcPr>
          <w:p w14:paraId="690ADCE4">
            <w:pPr>
              <w:spacing w:after="80"/>
              <w:jc w:val="center"/>
              <w:rPr>
                <w:rFonts w:ascii="Times New Roman" w:hAnsi="Times New Roman" w:eastAsia="仿宋_GB2312"/>
                <w:sz w:val="24"/>
              </w:rPr>
            </w:pPr>
            <w:r>
              <w:rPr>
                <w:rFonts w:ascii="Times New Roman" w:hAnsi="Times New Roman" w:eastAsia="仿宋_GB2312"/>
                <w:sz w:val="24"/>
              </w:rPr>
              <w:t>20.00</w:t>
            </w:r>
          </w:p>
        </w:tc>
        <w:tc>
          <w:tcPr>
            <w:tcW w:w="1177" w:type="dxa"/>
            <w:vAlign w:val="center"/>
          </w:tcPr>
          <w:p w14:paraId="054D4027">
            <w:pPr>
              <w:spacing w:after="80"/>
              <w:jc w:val="center"/>
              <w:rPr>
                <w:rFonts w:ascii="Times New Roman" w:hAnsi="Times New Roman" w:eastAsia="仿宋_GB2312"/>
                <w:sz w:val="24"/>
              </w:rPr>
            </w:pPr>
            <w:r>
              <w:rPr>
                <w:rFonts w:ascii="Times New Roman" w:hAnsi="Times New Roman" w:eastAsia="仿宋_GB2312"/>
                <w:sz w:val="24"/>
              </w:rPr>
              <w:t>5.00</w:t>
            </w:r>
          </w:p>
        </w:tc>
        <w:tc>
          <w:tcPr>
            <w:tcW w:w="1177" w:type="dxa"/>
            <w:vAlign w:val="center"/>
          </w:tcPr>
          <w:p w14:paraId="55E11FAC">
            <w:pPr>
              <w:spacing w:after="80"/>
              <w:jc w:val="center"/>
              <w:rPr>
                <w:rFonts w:ascii="Times New Roman" w:hAnsi="Times New Roman" w:eastAsia="仿宋_GB2312"/>
                <w:sz w:val="24"/>
              </w:rPr>
            </w:pPr>
            <w:r>
              <w:rPr>
                <w:rFonts w:ascii="Times New Roman" w:hAnsi="Times New Roman" w:eastAsia="仿宋_GB2312"/>
                <w:sz w:val="24"/>
              </w:rPr>
              <w:t>25.00</w:t>
            </w:r>
          </w:p>
        </w:tc>
      </w:tr>
    </w:tbl>
    <w:p w14:paraId="5A968E1F">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排放单位新增设施主要为生产用电设备，其排放量信息见下表：</w:t>
      </w:r>
    </w:p>
    <w:p w14:paraId="7DEAED17">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262"/>
        <w:gridCol w:w="2276"/>
        <w:gridCol w:w="1610"/>
        <w:gridCol w:w="1237"/>
        <w:gridCol w:w="1477"/>
      </w:tblGrid>
      <w:tr w14:paraId="6D62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74" w:type="dxa"/>
            <w:vAlign w:val="center"/>
          </w:tcPr>
          <w:p w14:paraId="7E597933">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1262" w:type="dxa"/>
            <w:vAlign w:val="center"/>
          </w:tcPr>
          <w:p w14:paraId="58182D03">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2276" w:type="dxa"/>
            <w:vAlign w:val="center"/>
          </w:tcPr>
          <w:p w14:paraId="7AD5BF4B">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1610" w:type="dxa"/>
            <w:vAlign w:val="center"/>
          </w:tcPr>
          <w:p w14:paraId="7CDC0749">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1237" w:type="dxa"/>
            <w:vAlign w:val="center"/>
          </w:tcPr>
          <w:p w14:paraId="6E0FF44E">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1477" w:type="dxa"/>
            <w:vAlign w:val="center"/>
          </w:tcPr>
          <w:p w14:paraId="12BDCE21">
            <w:pPr>
              <w:tabs>
                <w:tab w:val="left" w:pos="1701"/>
              </w:tabs>
              <w:spacing w:after="0"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20C7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4" w:type="dxa"/>
            <w:vAlign w:val="center"/>
          </w:tcPr>
          <w:p w14:paraId="61007CD0">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62" w:type="dxa"/>
            <w:vAlign w:val="center"/>
          </w:tcPr>
          <w:p w14:paraId="5B20F5F5">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276" w:type="dxa"/>
            <w:vAlign w:val="center"/>
          </w:tcPr>
          <w:p w14:paraId="128A68E7">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xxx</w:t>
            </w:r>
          </w:p>
        </w:tc>
        <w:tc>
          <w:tcPr>
            <w:tcW w:w="1610" w:type="dxa"/>
            <w:vAlign w:val="center"/>
          </w:tcPr>
          <w:p w14:paraId="41B55062">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否</w:t>
            </w:r>
          </w:p>
        </w:tc>
        <w:tc>
          <w:tcPr>
            <w:tcW w:w="1237" w:type="dxa"/>
            <w:vAlign w:val="center"/>
          </w:tcPr>
          <w:p w14:paraId="27CFE60C">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300.00</w:t>
            </w:r>
          </w:p>
        </w:tc>
        <w:tc>
          <w:tcPr>
            <w:tcW w:w="1477" w:type="dxa"/>
            <w:vAlign w:val="center"/>
          </w:tcPr>
          <w:p w14:paraId="0A750B07">
            <w:pPr>
              <w:tabs>
                <w:tab w:val="left" w:pos="1701"/>
              </w:tabs>
              <w:spacing w:after="0" w:line="32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r>
      <w:tr w14:paraId="7D10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4" w:type="dxa"/>
            <w:vAlign w:val="center"/>
          </w:tcPr>
          <w:p w14:paraId="2320F529">
            <w:pPr>
              <w:spacing w:after="0" w:line="320" w:lineRule="exact"/>
              <w:jc w:val="center"/>
              <w:rPr>
                <w:rFonts w:ascii="Times New Roman" w:hAnsi="Times New Roman" w:eastAsia="仿宋_GB2312"/>
                <w:sz w:val="24"/>
              </w:rPr>
            </w:pPr>
            <w:r>
              <w:rPr>
                <w:rFonts w:ascii="Times New Roman" w:hAnsi="Times New Roman" w:eastAsia="仿宋_GB2312"/>
                <w:color w:val="000000"/>
                <w:sz w:val="24"/>
              </w:rPr>
              <w:t>2</w:t>
            </w:r>
          </w:p>
        </w:tc>
        <w:tc>
          <w:tcPr>
            <w:tcW w:w="1262" w:type="dxa"/>
            <w:vAlign w:val="center"/>
          </w:tcPr>
          <w:p w14:paraId="664E5385">
            <w:pPr>
              <w:spacing w:after="0" w:line="320" w:lineRule="exact"/>
              <w:jc w:val="center"/>
              <w:rPr>
                <w:rFonts w:ascii="Times New Roman" w:hAnsi="Times New Roman" w:eastAsia="仿宋_GB2312"/>
                <w:sz w:val="24"/>
              </w:rPr>
            </w:pPr>
            <w:r>
              <w:rPr>
                <w:rFonts w:ascii="Times New Roman" w:hAnsi="Times New Roman" w:eastAsia="仿宋_GB2312"/>
                <w:sz w:val="24"/>
              </w:rPr>
              <w:t>2019</w:t>
            </w:r>
          </w:p>
        </w:tc>
        <w:tc>
          <w:tcPr>
            <w:tcW w:w="2276" w:type="dxa"/>
            <w:vAlign w:val="center"/>
          </w:tcPr>
          <w:p w14:paraId="45908EA8">
            <w:pPr>
              <w:spacing w:after="0" w:line="320" w:lineRule="exact"/>
              <w:jc w:val="center"/>
              <w:rPr>
                <w:rFonts w:ascii="Times New Roman" w:hAnsi="Times New Roman" w:eastAsia="仿宋_GB2312"/>
                <w:sz w:val="24"/>
              </w:rPr>
            </w:pPr>
            <w:r>
              <w:rPr>
                <w:rFonts w:ascii="Times New Roman" w:hAnsi="Times New Roman" w:eastAsia="仿宋_GB2312"/>
                <w:sz w:val="24"/>
              </w:rPr>
              <w:t>xxx</w:t>
            </w:r>
          </w:p>
        </w:tc>
        <w:tc>
          <w:tcPr>
            <w:tcW w:w="1610" w:type="dxa"/>
            <w:vAlign w:val="center"/>
          </w:tcPr>
          <w:p w14:paraId="50F817EA">
            <w:pPr>
              <w:spacing w:after="0" w:line="320" w:lineRule="exact"/>
              <w:jc w:val="center"/>
              <w:rPr>
                <w:rFonts w:ascii="Times New Roman" w:hAnsi="Times New Roman" w:eastAsia="仿宋_GB2312"/>
                <w:sz w:val="24"/>
              </w:rPr>
            </w:pPr>
            <w:r>
              <w:rPr>
                <w:rFonts w:ascii="Times New Roman" w:hAnsi="Times New Roman" w:eastAsia="仿宋_GB2312"/>
                <w:sz w:val="24"/>
              </w:rPr>
              <w:t>否</w:t>
            </w:r>
          </w:p>
        </w:tc>
        <w:tc>
          <w:tcPr>
            <w:tcW w:w="1237" w:type="dxa"/>
            <w:vAlign w:val="center"/>
          </w:tcPr>
          <w:p w14:paraId="73781720">
            <w:pPr>
              <w:spacing w:after="0" w:line="320" w:lineRule="exact"/>
              <w:jc w:val="center"/>
              <w:rPr>
                <w:rFonts w:ascii="Times New Roman" w:hAnsi="Times New Roman" w:eastAsia="仿宋_GB2312"/>
                <w:sz w:val="24"/>
              </w:rPr>
            </w:pPr>
            <w:r>
              <w:rPr>
                <w:rFonts w:ascii="Times New Roman" w:hAnsi="Times New Roman" w:eastAsia="仿宋_GB2312"/>
                <w:sz w:val="24"/>
              </w:rPr>
              <w:t>500.00</w:t>
            </w:r>
          </w:p>
        </w:tc>
        <w:tc>
          <w:tcPr>
            <w:tcW w:w="1477" w:type="dxa"/>
            <w:vAlign w:val="center"/>
          </w:tcPr>
          <w:p w14:paraId="540A3BEA">
            <w:pPr>
              <w:spacing w:after="0" w:line="320" w:lineRule="exact"/>
              <w:jc w:val="center"/>
              <w:rPr>
                <w:rFonts w:ascii="Times New Roman" w:hAnsi="Times New Roman" w:eastAsia="仿宋_GB2312"/>
                <w:sz w:val="24"/>
              </w:rPr>
            </w:pPr>
            <w:r>
              <w:rPr>
                <w:rFonts w:ascii="Times New Roman" w:hAnsi="Times New Roman" w:eastAsia="仿宋_GB2312"/>
                <w:sz w:val="24"/>
              </w:rPr>
              <w:t>/</w:t>
            </w:r>
          </w:p>
        </w:tc>
      </w:tr>
      <w:tr w14:paraId="11EA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4" w:type="dxa"/>
            <w:vAlign w:val="center"/>
          </w:tcPr>
          <w:p w14:paraId="22BD889C">
            <w:pPr>
              <w:spacing w:after="0"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3</w:t>
            </w:r>
          </w:p>
        </w:tc>
        <w:tc>
          <w:tcPr>
            <w:tcW w:w="1262" w:type="dxa"/>
            <w:vAlign w:val="center"/>
          </w:tcPr>
          <w:p w14:paraId="1E0B4DD7">
            <w:pPr>
              <w:spacing w:after="0" w:line="320" w:lineRule="exact"/>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020</w:t>
            </w:r>
          </w:p>
        </w:tc>
        <w:tc>
          <w:tcPr>
            <w:tcW w:w="2276" w:type="dxa"/>
            <w:vAlign w:val="center"/>
          </w:tcPr>
          <w:p w14:paraId="484A383B">
            <w:pPr>
              <w:spacing w:after="0" w:line="320" w:lineRule="exact"/>
              <w:jc w:val="center"/>
              <w:rPr>
                <w:rFonts w:ascii="Times New Roman" w:hAnsi="Times New Roman" w:eastAsia="仿宋_GB2312"/>
                <w:sz w:val="24"/>
              </w:rPr>
            </w:pPr>
            <w:r>
              <w:rPr>
                <w:rFonts w:hint="eastAsia" w:ascii="Times New Roman" w:hAnsi="Times New Roman" w:eastAsia="仿宋_GB2312"/>
                <w:sz w:val="24"/>
              </w:rPr>
              <w:t>X</w:t>
            </w:r>
            <w:r>
              <w:rPr>
                <w:rFonts w:ascii="Times New Roman" w:hAnsi="Times New Roman" w:eastAsia="仿宋_GB2312"/>
                <w:sz w:val="24"/>
              </w:rPr>
              <w:t>XX</w:t>
            </w:r>
          </w:p>
        </w:tc>
        <w:tc>
          <w:tcPr>
            <w:tcW w:w="1610" w:type="dxa"/>
            <w:vAlign w:val="center"/>
          </w:tcPr>
          <w:p w14:paraId="6F9ED2A7">
            <w:pPr>
              <w:spacing w:after="0" w:line="320" w:lineRule="exact"/>
              <w:jc w:val="center"/>
              <w:rPr>
                <w:rFonts w:ascii="Times New Roman" w:hAnsi="Times New Roman" w:eastAsia="仿宋_GB2312"/>
                <w:sz w:val="24"/>
              </w:rPr>
            </w:pPr>
            <w:r>
              <w:rPr>
                <w:rFonts w:ascii="Times New Roman" w:hAnsi="Times New Roman" w:eastAsia="仿宋_GB2312"/>
                <w:sz w:val="24"/>
              </w:rPr>
              <w:t>否</w:t>
            </w:r>
          </w:p>
        </w:tc>
        <w:tc>
          <w:tcPr>
            <w:tcW w:w="1237" w:type="dxa"/>
            <w:vAlign w:val="center"/>
          </w:tcPr>
          <w:p w14:paraId="4279F77A">
            <w:pPr>
              <w:spacing w:after="0" w:line="320" w:lineRule="exact"/>
              <w:jc w:val="center"/>
              <w:rPr>
                <w:rFonts w:ascii="Times New Roman" w:hAnsi="Times New Roman" w:eastAsia="仿宋_GB2312"/>
                <w:sz w:val="24"/>
              </w:rPr>
            </w:pPr>
            <w:r>
              <w:rPr>
                <w:rFonts w:hint="eastAsia" w:ascii="Times New Roman" w:hAnsi="Times New Roman" w:eastAsia="仿宋_GB2312"/>
                <w:sz w:val="24"/>
              </w:rPr>
              <w:t>X</w:t>
            </w:r>
            <w:r>
              <w:rPr>
                <w:rFonts w:ascii="Times New Roman" w:hAnsi="Times New Roman" w:eastAsia="仿宋_GB2312"/>
                <w:sz w:val="24"/>
              </w:rPr>
              <w:t>XX</w:t>
            </w:r>
          </w:p>
        </w:tc>
        <w:tc>
          <w:tcPr>
            <w:tcW w:w="1477" w:type="dxa"/>
            <w:vAlign w:val="center"/>
          </w:tcPr>
          <w:p w14:paraId="5EF0BE6A">
            <w:pPr>
              <w:spacing w:after="0" w:line="320" w:lineRule="exact"/>
              <w:jc w:val="center"/>
              <w:rPr>
                <w:rFonts w:ascii="Times New Roman" w:hAnsi="Times New Roman" w:eastAsia="仿宋_GB2312"/>
                <w:sz w:val="24"/>
              </w:rPr>
            </w:pPr>
          </w:p>
        </w:tc>
      </w:tr>
      <w:tr w14:paraId="5545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74" w:type="dxa"/>
          </w:tcPr>
          <w:p w14:paraId="320FB082">
            <w:pPr>
              <w:spacing w:after="0" w:line="320" w:lineRule="exact"/>
              <w:jc w:val="center"/>
              <w:rPr>
                <w:rFonts w:ascii="Times New Roman" w:hAnsi="Times New Roman" w:eastAsia="仿宋_GB2312"/>
                <w:sz w:val="24"/>
              </w:rPr>
            </w:pPr>
            <w:r>
              <w:rPr>
                <w:rFonts w:ascii="Times New Roman" w:hAnsi="Times New Roman" w:eastAsia="仿宋_GB2312"/>
                <w:color w:val="000000"/>
                <w:sz w:val="24"/>
              </w:rPr>
              <w:t>合计</w:t>
            </w:r>
          </w:p>
        </w:tc>
        <w:tc>
          <w:tcPr>
            <w:tcW w:w="1262" w:type="dxa"/>
          </w:tcPr>
          <w:p w14:paraId="536712F5">
            <w:pPr>
              <w:spacing w:after="0" w:line="320" w:lineRule="exact"/>
              <w:rPr>
                <w:rFonts w:ascii="Times New Roman" w:hAnsi="Times New Roman" w:eastAsia="仿宋_GB2312"/>
                <w:sz w:val="24"/>
              </w:rPr>
            </w:pPr>
          </w:p>
        </w:tc>
        <w:tc>
          <w:tcPr>
            <w:tcW w:w="2276" w:type="dxa"/>
          </w:tcPr>
          <w:p w14:paraId="5A038080">
            <w:pPr>
              <w:spacing w:after="0" w:line="320" w:lineRule="exact"/>
              <w:rPr>
                <w:rFonts w:ascii="Times New Roman" w:hAnsi="Times New Roman" w:eastAsia="仿宋_GB2312"/>
                <w:sz w:val="24"/>
              </w:rPr>
            </w:pPr>
          </w:p>
        </w:tc>
        <w:tc>
          <w:tcPr>
            <w:tcW w:w="1610" w:type="dxa"/>
          </w:tcPr>
          <w:p w14:paraId="03C92BB2">
            <w:pPr>
              <w:spacing w:after="0" w:line="320" w:lineRule="exact"/>
              <w:rPr>
                <w:rFonts w:ascii="Times New Roman" w:hAnsi="Times New Roman" w:eastAsia="仿宋_GB2312"/>
                <w:sz w:val="24"/>
              </w:rPr>
            </w:pPr>
          </w:p>
        </w:tc>
        <w:tc>
          <w:tcPr>
            <w:tcW w:w="1237" w:type="dxa"/>
            <w:vAlign w:val="center"/>
          </w:tcPr>
          <w:p w14:paraId="1F08DD7B">
            <w:pPr>
              <w:spacing w:after="0" w:line="320" w:lineRule="exact"/>
              <w:jc w:val="center"/>
              <w:rPr>
                <w:rFonts w:ascii="Times New Roman" w:hAnsi="Times New Roman" w:eastAsia="仿宋_GB2312"/>
                <w:sz w:val="24"/>
              </w:rPr>
            </w:pPr>
            <w:r>
              <w:rPr>
                <w:rFonts w:ascii="Times New Roman" w:hAnsi="Times New Roman" w:eastAsia="仿宋_GB2312"/>
                <w:sz w:val="24"/>
              </w:rPr>
              <w:t>XXX</w:t>
            </w:r>
          </w:p>
        </w:tc>
        <w:tc>
          <w:tcPr>
            <w:tcW w:w="1477" w:type="dxa"/>
          </w:tcPr>
          <w:p w14:paraId="3E382173">
            <w:pPr>
              <w:spacing w:after="0" w:line="320" w:lineRule="exact"/>
              <w:jc w:val="center"/>
              <w:rPr>
                <w:rFonts w:ascii="Times New Roman" w:hAnsi="Times New Roman" w:eastAsia="仿宋_GB2312"/>
                <w:sz w:val="24"/>
              </w:rPr>
            </w:pPr>
            <w:r>
              <w:rPr>
                <w:rFonts w:ascii="Times New Roman" w:hAnsi="Times New Roman" w:eastAsia="仿宋_GB2312"/>
                <w:sz w:val="24"/>
              </w:rPr>
              <w:t>/</w:t>
            </w:r>
          </w:p>
        </w:tc>
      </w:tr>
    </w:tbl>
    <w:p w14:paraId="51D6489E">
      <w:pPr>
        <w:spacing w:after="0" w:line="560" w:lineRule="exact"/>
        <w:ind w:firstLine="465"/>
        <w:jc w:val="both"/>
        <w:rPr>
          <w:rFonts w:ascii="Times New Roman" w:hAnsi="Times New Roman" w:eastAsia="仿宋_GB2312"/>
          <w:sz w:val="32"/>
          <w:szCs w:val="32"/>
        </w:rPr>
      </w:pPr>
      <w:r>
        <w:rPr>
          <w:rFonts w:ascii="Times New Roman" w:hAnsi="Times New Roman" w:eastAsia="仿宋_GB2312"/>
          <w:sz w:val="32"/>
          <w:szCs w:val="32"/>
        </w:rPr>
        <w:t>排放单位2020年新增设施的总排放量为XXX吨，是基准年排放量的XXX%</w:t>
      </w:r>
      <w:r>
        <w:rPr>
          <w:rStyle w:val="39"/>
          <w:rFonts w:eastAsia="仿宋_GB2312"/>
          <w:sz w:val="32"/>
          <w:szCs w:val="32"/>
        </w:rPr>
        <w:t>，新增设施主要用于废弃物协同处置，对应的xx废弃物处理量为xxx吨</w:t>
      </w:r>
      <w:r>
        <w:rPr>
          <w:rFonts w:ascii="Times New Roman" w:hAnsi="Times New Roman" w:eastAsia="仿宋_GB2312"/>
          <w:sz w:val="32"/>
          <w:szCs w:val="32"/>
        </w:rPr>
        <w:t>。此信息供新增设施发放配额参考。</w:t>
      </w:r>
    </w:p>
    <w:p w14:paraId="076B92C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1521740B">
      <w:pPr>
        <w:spacing w:after="0" w:line="560" w:lineRule="exact"/>
        <w:ind w:firstLine="640" w:firstLineChars="200"/>
        <w:rPr>
          <w:rFonts w:ascii="Times New Roman" w:hAnsi="Times New Roman"/>
        </w:rPr>
      </w:pPr>
      <w:r>
        <w:rPr>
          <w:rFonts w:ascii="Times New Roman" w:hAnsi="Times New Roman" w:eastAsia="仿宋_GB2312"/>
          <w:sz w:val="32"/>
          <w:szCs w:val="32"/>
        </w:rPr>
        <w:t>由于天然气表和电表分别为燃气公司及电力公司管控，因此未能核查这些仪表的检定信息。</w:t>
      </w:r>
    </w:p>
    <w:p w14:paraId="1908B3E7">
      <w:pPr>
        <w:spacing w:after="0" w:line="560" w:lineRule="exact"/>
        <w:rPr>
          <w:rFonts w:ascii="Times New Roman" w:hAnsi="Times New Roman"/>
        </w:rPr>
        <w:sectPr>
          <w:pgSz w:w="11906" w:h="16838"/>
          <w:pgMar w:top="2098" w:right="1474" w:bottom="1984" w:left="1587" w:header="851" w:footer="1587" w:gutter="0"/>
          <w:pgNumType w:fmt="decimal"/>
          <w:cols w:space="0" w:num="1"/>
          <w:docGrid w:type="lines" w:linePitch="312" w:charSpace="0"/>
        </w:sectPr>
      </w:pPr>
    </w:p>
    <w:p w14:paraId="4938D8DF">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石油化工生产企业</w:t>
      </w:r>
    </w:p>
    <w:p w14:paraId="18246C0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二氧化碳排放的核查工作。核查范围包括排放单位所有在北京市行政辖区内固定设施导致的二氧化碳直接排放和二氧化碳间接排放。</w:t>
      </w:r>
    </w:p>
    <w:p w14:paraId="6FAD7D6F">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6B47FD25">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3C560996">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w:t>
      </w:r>
      <w:r>
        <w:rPr>
          <w:rFonts w:hint="eastAsia" w:ascii="Times New Roman" w:hAnsi="Times New Roman" w:eastAsia="仿宋_GB2312"/>
          <w:sz w:val="32"/>
          <w:szCs w:val="32"/>
        </w:rPr>
        <w:t>《二氧化碳排放核算和报告要求石油化工生产业》（DB11/T 1783-2020）</w:t>
      </w:r>
      <w:r>
        <w:rPr>
          <w:rFonts w:ascii="Times New Roman" w:hAnsi="Times New Roman" w:eastAsia="仿宋_GB2312"/>
          <w:sz w:val="32"/>
          <w:szCs w:val="32"/>
        </w:rPr>
        <w:t>的要求，核查组对本排放报告出具肯定的核查结论。</w:t>
      </w:r>
    </w:p>
    <w:p w14:paraId="6E926C61">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0C7F9EA1">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经核查的直接和间接排放量与最终排放报告中的数据一致。经核查的直接排放量为2000.00吨（化石燃料燃烧排放量为1500.00吨，工业生产过程排放量为500.00吨），间接排放量为12000.00吨，总排放量为14000.00吨。</w:t>
      </w:r>
    </w:p>
    <w:p w14:paraId="1AA5E544">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经核查的产品产量、产值与最终排放报告中数据一致。经核查的</w:t>
      </w:r>
      <w:r>
        <w:rPr>
          <w:rFonts w:ascii="Times New Roman" w:hAnsi="Times New Roman" w:eastAsia="仿宋_GB2312"/>
          <w:sz w:val="32"/>
          <w:szCs w:val="32"/>
        </w:rPr>
        <w:t>xx</w:t>
      </w:r>
      <w:r>
        <w:rPr>
          <w:rFonts w:hint="eastAsia" w:ascii="Times New Roman" w:hAnsi="Times New Roman" w:eastAsia="仿宋_GB2312"/>
          <w:sz w:val="32"/>
          <w:szCs w:val="32"/>
        </w:rPr>
        <w:t>产品产量为</w:t>
      </w:r>
      <w:r>
        <w:rPr>
          <w:rFonts w:ascii="Times New Roman" w:hAnsi="Times New Roman" w:eastAsia="仿宋_GB2312"/>
          <w:sz w:val="32"/>
          <w:szCs w:val="32"/>
        </w:rPr>
        <w:t>xx</w:t>
      </w:r>
      <w:r>
        <w:rPr>
          <w:rFonts w:hint="eastAsia" w:ascii="Times New Roman" w:hAnsi="Times New Roman" w:eastAsia="仿宋_GB2312"/>
          <w:sz w:val="32"/>
          <w:szCs w:val="32"/>
        </w:rPr>
        <w:t>吨，产值为</w:t>
      </w:r>
      <w:r>
        <w:rPr>
          <w:rFonts w:ascii="Times New Roman" w:hAnsi="Times New Roman" w:eastAsia="仿宋_GB2312"/>
          <w:sz w:val="32"/>
          <w:szCs w:val="32"/>
        </w:rPr>
        <w:t>xxx</w:t>
      </w:r>
      <w:r>
        <w:rPr>
          <w:rFonts w:hint="eastAsia" w:ascii="Times New Roman" w:hAnsi="Times New Roman" w:eastAsia="仿宋_GB2312"/>
          <w:sz w:val="32"/>
          <w:szCs w:val="32"/>
        </w:rPr>
        <w:t>万元。</w:t>
      </w:r>
    </w:p>
    <w:p w14:paraId="1928E660">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 年度排放量及活动水平波动的原因说明</w:t>
      </w:r>
    </w:p>
    <w:p w14:paraId="2FABA4F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本年度排放量与上年度排放量相比下降了3000.00吨/17.65%，其中，直接排放量下降了1500.00吨/42.86%，间接排放量下降了1500.00吨/11.11%。原因为xxxxxx。</w:t>
      </w:r>
    </w:p>
    <w:p w14:paraId="6667F76B">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本年度排放量与历史基准年份排放量相比下降了3000.00吨，下降比例为17.65%。原因为xxxxxx。</w:t>
      </w:r>
    </w:p>
    <w:p w14:paraId="7DE550F6">
      <w:pPr>
        <w:spacing w:after="0" w:line="560" w:lineRule="exact"/>
        <w:ind w:firstLine="480" w:firstLineChars="200"/>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pPr w:leftFromText="180" w:rightFromText="180" w:vertAnchor="text" w:horzAnchor="page" w:tblpX="1779" w:tblpY="291"/>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361"/>
        <w:gridCol w:w="2470"/>
        <w:gridCol w:w="2500"/>
      </w:tblGrid>
      <w:tr w14:paraId="13BA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7" w:type="dxa"/>
            <w:vAlign w:val="center"/>
          </w:tcPr>
          <w:p w14:paraId="3CD57034">
            <w:pPr>
              <w:spacing w:after="80"/>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2361" w:type="dxa"/>
            <w:vAlign w:val="center"/>
          </w:tcPr>
          <w:p w14:paraId="1F0766F1">
            <w:pPr>
              <w:spacing w:after="80"/>
              <w:jc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2470" w:type="dxa"/>
            <w:vAlign w:val="center"/>
          </w:tcPr>
          <w:p w14:paraId="715C3023">
            <w:pPr>
              <w:spacing w:after="80"/>
              <w:jc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2500" w:type="dxa"/>
            <w:vAlign w:val="center"/>
          </w:tcPr>
          <w:p w14:paraId="0E3E0176">
            <w:pPr>
              <w:spacing w:after="80"/>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7639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7" w:type="dxa"/>
            <w:vAlign w:val="center"/>
          </w:tcPr>
          <w:p w14:paraId="0937F555">
            <w:pPr>
              <w:spacing w:after="80"/>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2361" w:type="dxa"/>
            <w:vAlign w:val="center"/>
          </w:tcPr>
          <w:p w14:paraId="784DA2D0">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5000.00 </w:t>
            </w:r>
          </w:p>
        </w:tc>
        <w:tc>
          <w:tcPr>
            <w:tcW w:w="2470" w:type="dxa"/>
            <w:vAlign w:val="center"/>
          </w:tcPr>
          <w:p w14:paraId="64E76975">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14297.00 </w:t>
            </w:r>
          </w:p>
        </w:tc>
        <w:tc>
          <w:tcPr>
            <w:tcW w:w="2500" w:type="dxa"/>
            <w:vAlign w:val="center"/>
          </w:tcPr>
          <w:p w14:paraId="5C654C44">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19297.00 </w:t>
            </w:r>
          </w:p>
        </w:tc>
      </w:tr>
      <w:tr w14:paraId="3388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7" w:type="dxa"/>
            <w:vAlign w:val="center"/>
          </w:tcPr>
          <w:p w14:paraId="341C3E89">
            <w:pPr>
              <w:spacing w:after="80"/>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2361" w:type="dxa"/>
            <w:vAlign w:val="center"/>
          </w:tcPr>
          <w:p w14:paraId="6B7DF8BA">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3000.00 </w:t>
            </w:r>
          </w:p>
        </w:tc>
        <w:tc>
          <w:tcPr>
            <w:tcW w:w="2470" w:type="dxa"/>
            <w:vAlign w:val="center"/>
          </w:tcPr>
          <w:p w14:paraId="45208F21">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13643.00 </w:t>
            </w:r>
          </w:p>
        </w:tc>
        <w:tc>
          <w:tcPr>
            <w:tcW w:w="2500" w:type="dxa"/>
            <w:vAlign w:val="center"/>
          </w:tcPr>
          <w:p w14:paraId="58E929CA">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16643.00 </w:t>
            </w:r>
          </w:p>
        </w:tc>
      </w:tr>
      <w:tr w14:paraId="00F3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7" w:type="dxa"/>
            <w:vAlign w:val="center"/>
          </w:tcPr>
          <w:p w14:paraId="0AE0E339">
            <w:pPr>
              <w:spacing w:after="80"/>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2361" w:type="dxa"/>
            <w:vAlign w:val="center"/>
          </w:tcPr>
          <w:p w14:paraId="2C31D76C">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3500.00 </w:t>
            </w:r>
          </w:p>
        </w:tc>
        <w:tc>
          <w:tcPr>
            <w:tcW w:w="2470" w:type="dxa"/>
            <w:vAlign w:val="center"/>
          </w:tcPr>
          <w:p w14:paraId="1DC3FC03">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13500.00 </w:t>
            </w:r>
          </w:p>
        </w:tc>
        <w:tc>
          <w:tcPr>
            <w:tcW w:w="2500" w:type="dxa"/>
            <w:vAlign w:val="center"/>
          </w:tcPr>
          <w:p w14:paraId="106CFFE8">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17000.00 </w:t>
            </w:r>
          </w:p>
        </w:tc>
      </w:tr>
      <w:tr w14:paraId="648A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7" w:type="dxa"/>
            <w:vAlign w:val="center"/>
          </w:tcPr>
          <w:p w14:paraId="67B2B2ED">
            <w:pPr>
              <w:spacing w:after="80"/>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361" w:type="dxa"/>
            <w:vAlign w:val="center"/>
          </w:tcPr>
          <w:p w14:paraId="6ABBFFD6">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2000.00 </w:t>
            </w:r>
          </w:p>
        </w:tc>
        <w:tc>
          <w:tcPr>
            <w:tcW w:w="2470" w:type="dxa"/>
            <w:vAlign w:val="center"/>
          </w:tcPr>
          <w:p w14:paraId="61108A33">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12000.00 </w:t>
            </w:r>
          </w:p>
        </w:tc>
        <w:tc>
          <w:tcPr>
            <w:tcW w:w="2500" w:type="dxa"/>
            <w:vAlign w:val="center"/>
          </w:tcPr>
          <w:p w14:paraId="1D7BD0F2">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14000.00 </w:t>
            </w:r>
          </w:p>
        </w:tc>
      </w:tr>
      <w:tr w14:paraId="050C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87" w:type="dxa"/>
            <w:vAlign w:val="center"/>
          </w:tcPr>
          <w:p w14:paraId="456F1F53">
            <w:pPr>
              <w:spacing w:after="80"/>
              <w:jc w:val="center"/>
              <w:rPr>
                <w:rFonts w:ascii="Times New Roman" w:hAnsi="Times New Roman" w:eastAsia="仿宋_GB2312"/>
                <w:color w:val="000000"/>
                <w:sz w:val="24"/>
              </w:rPr>
            </w:pPr>
            <w:r>
              <w:rPr>
                <w:rFonts w:hint="eastAsia" w:ascii="Times New Roman" w:hAnsi="Times New Roman" w:eastAsia="仿宋_GB2312"/>
                <w:color w:val="000000"/>
                <w:sz w:val="24"/>
              </w:rPr>
              <w:t>2</w:t>
            </w:r>
            <w:r>
              <w:rPr>
                <w:rFonts w:ascii="Times New Roman" w:hAnsi="Times New Roman" w:eastAsia="仿宋_GB2312"/>
                <w:color w:val="000000"/>
                <w:sz w:val="24"/>
              </w:rPr>
              <w:t>020</w:t>
            </w:r>
          </w:p>
        </w:tc>
        <w:tc>
          <w:tcPr>
            <w:tcW w:w="2361" w:type="dxa"/>
            <w:vAlign w:val="center"/>
          </w:tcPr>
          <w:p w14:paraId="3AA0E788">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2000.00 </w:t>
            </w:r>
          </w:p>
        </w:tc>
        <w:tc>
          <w:tcPr>
            <w:tcW w:w="2470" w:type="dxa"/>
            <w:vAlign w:val="center"/>
          </w:tcPr>
          <w:p w14:paraId="5256A2CF">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12000.00 </w:t>
            </w:r>
          </w:p>
        </w:tc>
        <w:tc>
          <w:tcPr>
            <w:tcW w:w="2500" w:type="dxa"/>
            <w:vAlign w:val="center"/>
          </w:tcPr>
          <w:p w14:paraId="6A4D9B86">
            <w:pPr>
              <w:spacing w:after="80"/>
              <w:jc w:val="center"/>
              <w:rPr>
                <w:rFonts w:ascii="Times New Roman" w:hAnsi="Times New Roman" w:eastAsia="仿宋_GB2312"/>
                <w:color w:val="000000"/>
                <w:sz w:val="24"/>
              </w:rPr>
            </w:pPr>
            <w:r>
              <w:rPr>
                <w:rFonts w:ascii="Times New Roman" w:hAnsi="Times New Roman" w:eastAsia="仿宋_GB2312"/>
                <w:color w:val="000000"/>
                <w:sz w:val="24"/>
              </w:rPr>
              <w:t xml:space="preserve">14000.00 </w:t>
            </w:r>
          </w:p>
        </w:tc>
      </w:tr>
    </w:tbl>
    <w:p w14:paraId="17DB962C">
      <w:pPr>
        <w:spacing w:after="0" w:line="560" w:lineRule="exact"/>
        <w:jc w:val="center"/>
        <w:rPr>
          <w:rFonts w:ascii="Times New Roman" w:hAnsi="Times New Roman" w:eastAsia="仿宋_GB2312"/>
          <w:sz w:val="32"/>
          <w:szCs w:val="32"/>
        </w:rPr>
      </w:pPr>
    </w:p>
    <w:p w14:paraId="19F73FFA">
      <w:pPr>
        <w:ind w:firstLine="440" w:firstLineChars="200"/>
        <w:rPr>
          <w:rFonts w:ascii="Times New Roman" w:hAnsi="Times New Roman"/>
        </w:rPr>
      </w:pPr>
      <w:r>
        <w:rPr>
          <w:lang w:val="en-US"/>
        </w:rPr>
        <w:drawing>
          <wp:inline distT="0" distB="0" distL="0" distR="0">
            <wp:extent cx="4568825" cy="2740025"/>
            <wp:effectExtent l="4445" t="4445" r="17780" b="17780"/>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04625E">
      <w:pPr>
        <w:spacing w:after="0" w:line="560" w:lineRule="exact"/>
        <w:jc w:val="center"/>
        <w:rPr>
          <w:rFonts w:ascii="Times New Roman" w:hAnsi="Times New Roman"/>
        </w:rPr>
      </w:pPr>
      <w:r>
        <w:rPr>
          <w:rFonts w:ascii="Times New Roman" w:hAnsi="Times New Roman" w:eastAsia="仿宋_GB2312"/>
          <w:sz w:val="24"/>
        </w:rPr>
        <w:t>图XX  排放量变化趋势图（增加</w:t>
      </w:r>
      <w:r>
        <w:rPr>
          <w:rFonts w:hint="eastAsia" w:ascii="Times New Roman" w:hAnsi="Times New Roman" w:eastAsia="仿宋_GB2312"/>
          <w:sz w:val="24"/>
        </w:rPr>
        <w:t>2</w:t>
      </w:r>
      <w:r>
        <w:rPr>
          <w:rFonts w:ascii="Times New Roman" w:hAnsi="Times New Roman" w:eastAsia="仿宋_GB2312"/>
          <w:sz w:val="24"/>
        </w:rPr>
        <w:t>020年度）</w:t>
      </w:r>
    </w:p>
    <w:p w14:paraId="1E447B36">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608884AD">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4FE3E25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排放单位核算和报告边界为位于xxx的生产厂区，有2条xxxx生产线。与上年度相比，场所边界无变化；与基准年相比，场所边界无变化。</w:t>
      </w:r>
    </w:p>
    <w:p w14:paraId="3B59C06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0BDB9F87">
      <w:pPr>
        <w:spacing w:after="0" w:line="56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排放单位不涉及既有设施排放配额调整。</w:t>
      </w:r>
    </w:p>
    <w:p w14:paraId="6EFC1B2A">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排放单位既有设施退出为xxx，未被新增设施替代。</w:t>
      </w:r>
    </w:p>
    <w:p w14:paraId="18346FCE">
      <w:pPr>
        <w:spacing w:after="0" w:line="560" w:lineRule="exact"/>
        <w:ind w:firstLine="640" w:firstLineChars="200"/>
        <w:rPr>
          <w:rFonts w:ascii="Times New Roman" w:hAnsi="Times New Roman" w:eastAsia="仿宋_GB2312"/>
          <w:sz w:val="32"/>
          <w:szCs w:val="32"/>
        </w:rPr>
      </w:pPr>
    </w:p>
    <w:p w14:paraId="15E73C9A">
      <w:pPr>
        <w:spacing w:after="0" w:line="560" w:lineRule="exact"/>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67"/>
        <w:gridCol w:w="1091"/>
        <w:gridCol w:w="712"/>
        <w:gridCol w:w="811"/>
        <w:gridCol w:w="1183"/>
        <w:gridCol w:w="1185"/>
        <w:gridCol w:w="1185"/>
        <w:gridCol w:w="1185"/>
      </w:tblGrid>
      <w:tr w14:paraId="3624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59" w:type="dxa"/>
            <w:vMerge w:val="restart"/>
            <w:vAlign w:val="center"/>
          </w:tcPr>
          <w:p w14:paraId="21CA76C9">
            <w:pPr>
              <w:jc w:val="center"/>
              <w:rPr>
                <w:rFonts w:ascii="Times New Roman" w:hAnsi="Times New Roman" w:eastAsia="仿宋_GB2312"/>
                <w:sz w:val="24"/>
              </w:rPr>
            </w:pPr>
            <w:r>
              <w:rPr>
                <w:rFonts w:ascii="Times New Roman" w:hAnsi="Times New Roman" w:eastAsia="仿宋_GB2312"/>
                <w:sz w:val="24"/>
              </w:rPr>
              <w:t>序号</w:t>
            </w:r>
          </w:p>
        </w:tc>
        <w:tc>
          <w:tcPr>
            <w:tcW w:w="767" w:type="dxa"/>
            <w:vMerge w:val="restart"/>
            <w:vAlign w:val="center"/>
          </w:tcPr>
          <w:p w14:paraId="3793ACEB">
            <w:pPr>
              <w:jc w:val="center"/>
              <w:rPr>
                <w:rFonts w:ascii="Times New Roman" w:hAnsi="Times New Roman" w:eastAsia="仿宋_GB2312"/>
                <w:sz w:val="24"/>
              </w:rPr>
            </w:pPr>
            <w:r>
              <w:rPr>
                <w:rFonts w:ascii="Times New Roman" w:hAnsi="Times New Roman" w:eastAsia="仿宋_GB2312"/>
                <w:sz w:val="24"/>
              </w:rPr>
              <w:t>既有设施名称</w:t>
            </w:r>
          </w:p>
        </w:tc>
        <w:tc>
          <w:tcPr>
            <w:tcW w:w="1091" w:type="dxa"/>
            <w:vMerge w:val="restart"/>
            <w:vAlign w:val="center"/>
          </w:tcPr>
          <w:p w14:paraId="151D333F">
            <w:pPr>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712" w:type="dxa"/>
            <w:vMerge w:val="restart"/>
            <w:vAlign w:val="center"/>
          </w:tcPr>
          <w:p w14:paraId="230BF9A8">
            <w:pPr>
              <w:jc w:val="center"/>
              <w:rPr>
                <w:rFonts w:ascii="Times New Roman" w:hAnsi="Times New Roman" w:eastAsia="仿宋_GB2312"/>
                <w:sz w:val="24"/>
              </w:rPr>
            </w:pPr>
            <w:r>
              <w:rPr>
                <w:rFonts w:ascii="Times New Roman" w:hAnsi="Times New Roman" w:eastAsia="仿宋_GB2312"/>
                <w:sz w:val="24"/>
              </w:rPr>
              <w:t>退出时间</w:t>
            </w:r>
          </w:p>
        </w:tc>
        <w:tc>
          <w:tcPr>
            <w:tcW w:w="811" w:type="dxa"/>
            <w:vMerge w:val="restart"/>
            <w:vAlign w:val="center"/>
          </w:tcPr>
          <w:p w14:paraId="5B6046EF">
            <w:pPr>
              <w:jc w:val="center"/>
              <w:rPr>
                <w:rFonts w:ascii="Times New Roman" w:hAnsi="Times New Roman" w:eastAsia="仿宋_GB2312"/>
                <w:sz w:val="24"/>
              </w:rPr>
            </w:pPr>
            <w:r>
              <w:rPr>
                <w:rFonts w:ascii="Times New Roman" w:hAnsi="Times New Roman" w:eastAsia="仿宋_GB2312"/>
                <w:sz w:val="24"/>
              </w:rPr>
              <w:t>是否由新增设施替代</w:t>
            </w:r>
          </w:p>
        </w:tc>
        <w:tc>
          <w:tcPr>
            <w:tcW w:w="1183" w:type="dxa"/>
            <w:vMerge w:val="restart"/>
            <w:tcBorders>
              <w:right w:val="single" w:color="auto" w:sz="4" w:space="0"/>
            </w:tcBorders>
            <w:vAlign w:val="center"/>
          </w:tcPr>
          <w:p w14:paraId="21A1E456">
            <w:pPr>
              <w:jc w:val="center"/>
              <w:rPr>
                <w:rFonts w:ascii="Times New Roman" w:hAnsi="Times New Roman" w:eastAsia="仿宋_GB2312"/>
                <w:sz w:val="24"/>
              </w:rPr>
            </w:pPr>
            <w:r>
              <w:rPr>
                <w:rFonts w:ascii="Times New Roman" w:hAnsi="Times New Roman" w:eastAsia="仿宋_GB2312"/>
                <w:sz w:val="24"/>
              </w:rPr>
              <w:t>年度</w:t>
            </w:r>
          </w:p>
        </w:tc>
        <w:tc>
          <w:tcPr>
            <w:tcW w:w="3555" w:type="dxa"/>
            <w:gridSpan w:val="3"/>
            <w:tcBorders>
              <w:left w:val="single" w:color="auto" w:sz="4" w:space="0"/>
            </w:tcBorders>
            <w:vAlign w:val="center"/>
          </w:tcPr>
          <w:p w14:paraId="67E80FBF">
            <w:pPr>
              <w:jc w:val="center"/>
              <w:rPr>
                <w:rFonts w:ascii="Times New Roman" w:hAnsi="Times New Roman" w:eastAsia="仿宋_GB2312"/>
                <w:sz w:val="24"/>
              </w:rPr>
            </w:pPr>
            <w:r>
              <w:rPr>
                <w:rFonts w:ascii="Times New Roman" w:hAnsi="Times New Roman" w:eastAsia="仿宋_GB2312"/>
                <w:sz w:val="24"/>
              </w:rPr>
              <w:t>历史年度排放量</w:t>
            </w:r>
          </w:p>
        </w:tc>
      </w:tr>
      <w:tr w14:paraId="3D7A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459" w:type="dxa"/>
            <w:vMerge w:val="continue"/>
            <w:vAlign w:val="center"/>
          </w:tcPr>
          <w:p w14:paraId="4665AA9A">
            <w:pPr>
              <w:jc w:val="center"/>
              <w:rPr>
                <w:rFonts w:ascii="Times New Roman" w:hAnsi="Times New Roman" w:eastAsia="仿宋_GB2312"/>
                <w:sz w:val="24"/>
              </w:rPr>
            </w:pPr>
          </w:p>
        </w:tc>
        <w:tc>
          <w:tcPr>
            <w:tcW w:w="767" w:type="dxa"/>
            <w:vMerge w:val="continue"/>
            <w:vAlign w:val="center"/>
          </w:tcPr>
          <w:p w14:paraId="62EDFB3F">
            <w:pPr>
              <w:jc w:val="center"/>
              <w:rPr>
                <w:rFonts w:ascii="Times New Roman" w:hAnsi="Times New Roman" w:eastAsia="仿宋_GB2312"/>
                <w:sz w:val="24"/>
              </w:rPr>
            </w:pPr>
          </w:p>
        </w:tc>
        <w:tc>
          <w:tcPr>
            <w:tcW w:w="1091" w:type="dxa"/>
            <w:vMerge w:val="continue"/>
            <w:vAlign w:val="center"/>
          </w:tcPr>
          <w:p w14:paraId="38597727">
            <w:pPr>
              <w:jc w:val="center"/>
              <w:rPr>
                <w:rFonts w:ascii="Times New Roman" w:hAnsi="Times New Roman" w:eastAsia="仿宋_GB2312"/>
                <w:sz w:val="24"/>
              </w:rPr>
            </w:pPr>
          </w:p>
        </w:tc>
        <w:tc>
          <w:tcPr>
            <w:tcW w:w="712" w:type="dxa"/>
            <w:vMerge w:val="continue"/>
            <w:vAlign w:val="center"/>
          </w:tcPr>
          <w:p w14:paraId="24018103">
            <w:pPr>
              <w:jc w:val="center"/>
              <w:rPr>
                <w:rFonts w:ascii="Times New Roman" w:hAnsi="Times New Roman" w:eastAsia="仿宋_GB2312"/>
                <w:sz w:val="24"/>
              </w:rPr>
            </w:pPr>
          </w:p>
        </w:tc>
        <w:tc>
          <w:tcPr>
            <w:tcW w:w="811" w:type="dxa"/>
            <w:vMerge w:val="continue"/>
            <w:vAlign w:val="center"/>
          </w:tcPr>
          <w:p w14:paraId="4CD99CA1">
            <w:pPr>
              <w:jc w:val="center"/>
              <w:rPr>
                <w:rFonts w:ascii="Times New Roman" w:hAnsi="Times New Roman" w:eastAsia="仿宋_GB2312"/>
                <w:sz w:val="24"/>
              </w:rPr>
            </w:pPr>
          </w:p>
        </w:tc>
        <w:tc>
          <w:tcPr>
            <w:tcW w:w="1183" w:type="dxa"/>
            <w:vMerge w:val="continue"/>
            <w:tcBorders>
              <w:right w:val="single" w:color="auto" w:sz="4" w:space="0"/>
            </w:tcBorders>
            <w:vAlign w:val="center"/>
          </w:tcPr>
          <w:p w14:paraId="72D429D7">
            <w:pPr>
              <w:jc w:val="center"/>
              <w:rPr>
                <w:rFonts w:ascii="Times New Roman" w:hAnsi="Times New Roman" w:eastAsia="仿宋_GB2312"/>
                <w:sz w:val="24"/>
              </w:rPr>
            </w:pPr>
          </w:p>
        </w:tc>
        <w:tc>
          <w:tcPr>
            <w:tcW w:w="1185" w:type="dxa"/>
            <w:tcBorders>
              <w:left w:val="single" w:color="auto" w:sz="4" w:space="0"/>
            </w:tcBorders>
            <w:vAlign w:val="center"/>
          </w:tcPr>
          <w:p w14:paraId="275011C8">
            <w:pPr>
              <w:jc w:val="center"/>
              <w:rPr>
                <w:rFonts w:ascii="Times New Roman" w:hAnsi="Times New Roman" w:eastAsia="仿宋_GB2312"/>
                <w:sz w:val="24"/>
              </w:rPr>
            </w:pPr>
            <w:r>
              <w:rPr>
                <w:rFonts w:ascii="Times New Roman" w:hAnsi="Times New Roman" w:eastAsia="仿宋_GB2312"/>
                <w:sz w:val="24"/>
              </w:rPr>
              <w:t>直接排放量</w:t>
            </w:r>
          </w:p>
          <w:p w14:paraId="5ABCFA86">
            <w:pPr>
              <w:jc w:val="center"/>
              <w:rPr>
                <w:rFonts w:ascii="Times New Roman" w:hAnsi="Times New Roman" w:eastAsia="仿宋_GB2312"/>
                <w:sz w:val="24"/>
              </w:rPr>
            </w:pPr>
            <w:r>
              <w:rPr>
                <w:rFonts w:ascii="Times New Roman" w:hAnsi="Times New Roman" w:eastAsia="仿宋_GB2312"/>
                <w:sz w:val="24"/>
              </w:rPr>
              <w:t>（tCO</w:t>
            </w:r>
            <w:r>
              <w:rPr>
                <w:rFonts w:ascii="Times New Roman" w:hAnsi="Times New Roman" w:eastAsia="仿宋_GB2312"/>
                <w:sz w:val="24"/>
                <w:vertAlign w:val="subscript"/>
              </w:rPr>
              <w:t>2</w:t>
            </w:r>
            <w:r>
              <w:rPr>
                <w:rFonts w:ascii="Times New Roman" w:hAnsi="Times New Roman" w:eastAsia="仿宋_GB2312"/>
                <w:sz w:val="24"/>
              </w:rPr>
              <w:t>）</w:t>
            </w:r>
          </w:p>
        </w:tc>
        <w:tc>
          <w:tcPr>
            <w:tcW w:w="1185" w:type="dxa"/>
            <w:vAlign w:val="center"/>
          </w:tcPr>
          <w:p w14:paraId="30F1B277">
            <w:pPr>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185" w:type="dxa"/>
            <w:vAlign w:val="center"/>
          </w:tcPr>
          <w:p w14:paraId="3BE697B6">
            <w:pPr>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0484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59" w:type="dxa"/>
            <w:vMerge w:val="restart"/>
            <w:vAlign w:val="center"/>
          </w:tcPr>
          <w:p w14:paraId="32B1B0DE">
            <w:pPr>
              <w:jc w:val="center"/>
              <w:rPr>
                <w:rFonts w:ascii="Times New Roman" w:hAnsi="Times New Roman" w:eastAsia="仿宋_GB2312"/>
                <w:sz w:val="24"/>
              </w:rPr>
            </w:pPr>
            <w:r>
              <w:rPr>
                <w:rFonts w:ascii="Times New Roman" w:hAnsi="Times New Roman" w:eastAsia="仿宋_GB2312"/>
                <w:sz w:val="24"/>
              </w:rPr>
              <w:t>1</w:t>
            </w:r>
          </w:p>
        </w:tc>
        <w:tc>
          <w:tcPr>
            <w:tcW w:w="767" w:type="dxa"/>
            <w:vMerge w:val="restart"/>
            <w:vAlign w:val="center"/>
          </w:tcPr>
          <w:p w14:paraId="6D0E2B7B">
            <w:pPr>
              <w:jc w:val="center"/>
              <w:rPr>
                <w:rFonts w:ascii="Times New Roman" w:hAnsi="Times New Roman" w:eastAsia="仿宋_GB2312"/>
                <w:sz w:val="24"/>
              </w:rPr>
            </w:pPr>
            <w:r>
              <w:rPr>
                <w:rFonts w:ascii="Times New Roman" w:hAnsi="Times New Roman" w:eastAsia="仿宋_GB2312"/>
                <w:sz w:val="24"/>
              </w:rPr>
              <w:t>xxx</w:t>
            </w:r>
          </w:p>
        </w:tc>
        <w:tc>
          <w:tcPr>
            <w:tcW w:w="1091" w:type="dxa"/>
            <w:vMerge w:val="restart"/>
            <w:vAlign w:val="center"/>
          </w:tcPr>
          <w:p w14:paraId="78487FA1">
            <w:pPr>
              <w:jc w:val="center"/>
              <w:rPr>
                <w:rFonts w:ascii="Times New Roman" w:hAnsi="Times New Roman" w:eastAsia="仿宋_GB2312"/>
                <w:sz w:val="24"/>
              </w:rPr>
            </w:pPr>
          </w:p>
        </w:tc>
        <w:tc>
          <w:tcPr>
            <w:tcW w:w="712" w:type="dxa"/>
            <w:vMerge w:val="restart"/>
            <w:vAlign w:val="center"/>
          </w:tcPr>
          <w:p w14:paraId="37D30304">
            <w:pPr>
              <w:jc w:val="center"/>
              <w:rPr>
                <w:rFonts w:ascii="Times New Roman" w:hAnsi="Times New Roman" w:eastAsia="仿宋_GB2312"/>
                <w:sz w:val="24"/>
              </w:rPr>
            </w:pPr>
            <w:r>
              <w:rPr>
                <w:rFonts w:ascii="Times New Roman" w:hAnsi="Times New Roman" w:eastAsia="仿宋_GB2312"/>
                <w:sz w:val="24"/>
              </w:rPr>
              <w:t>2018</w:t>
            </w:r>
          </w:p>
        </w:tc>
        <w:tc>
          <w:tcPr>
            <w:tcW w:w="811" w:type="dxa"/>
            <w:vMerge w:val="restart"/>
            <w:vAlign w:val="center"/>
          </w:tcPr>
          <w:p w14:paraId="6615353B">
            <w:pPr>
              <w:jc w:val="center"/>
              <w:rPr>
                <w:rFonts w:ascii="Times New Roman" w:hAnsi="Times New Roman" w:eastAsia="仿宋_GB2312"/>
                <w:sz w:val="24"/>
              </w:rPr>
            </w:pPr>
            <w:r>
              <w:rPr>
                <w:rFonts w:ascii="Times New Roman" w:hAnsi="Times New Roman" w:eastAsia="仿宋_GB2312"/>
                <w:sz w:val="24"/>
              </w:rPr>
              <w:t>否</w:t>
            </w:r>
          </w:p>
        </w:tc>
        <w:tc>
          <w:tcPr>
            <w:tcW w:w="1183" w:type="dxa"/>
            <w:tcBorders>
              <w:right w:val="single" w:color="auto" w:sz="4" w:space="0"/>
            </w:tcBorders>
          </w:tcPr>
          <w:p w14:paraId="6BED50E7">
            <w:pPr>
              <w:rPr>
                <w:rFonts w:ascii="Times New Roman" w:hAnsi="Times New Roman" w:eastAsia="仿宋_GB2312"/>
                <w:sz w:val="24"/>
              </w:rPr>
            </w:pPr>
            <w:r>
              <w:rPr>
                <w:rFonts w:ascii="Times New Roman" w:hAnsi="Times New Roman" w:eastAsia="仿宋_GB2312"/>
                <w:sz w:val="24"/>
              </w:rPr>
              <w:t>2016年</w:t>
            </w:r>
          </w:p>
        </w:tc>
        <w:tc>
          <w:tcPr>
            <w:tcW w:w="1185" w:type="dxa"/>
            <w:tcBorders>
              <w:left w:val="single" w:color="auto" w:sz="4" w:space="0"/>
            </w:tcBorders>
          </w:tcPr>
          <w:p w14:paraId="03A37FF6">
            <w:pPr>
              <w:rPr>
                <w:rFonts w:ascii="Times New Roman" w:hAnsi="Times New Roman" w:eastAsia="仿宋_GB2312"/>
                <w:sz w:val="24"/>
              </w:rPr>
            </w:pPr>
            <w:r>
              <w:rPr>
                <w:rFonts w:ascii="Times New Roman" w:hAnsi="Times New Roman" w:eastAsia="仿宋_GB2312"/>
                <w:sz w:val="24"/>
              </w:rPr>
              <w:t>100.00</w:t>
            </w:r>
          </w:p>
        </w:tc>
        <w:tc>
          <w:tcPr>
            <w:tcW w:w="1185" w:type="dxa"/>
          </w:tcPr>
          <w:p w14:paraId="3875E5AB">
            <w:pPr>
              <w:rPr>
                <w:rFonts w:ascii="Times New Roman" w:hAnsi="Times New Roman" w:eastAsia="仿宋_GB2312"/>
                <w:sz w:val="24"/>
              </w:rPr>
            </w:pPr>
            <w:r>
              <w:rPr>
                <w:rFonts w:ascii="Times New Roman" w:hAnsi="Times New Roman" w:eastAsia="仿宋_GB2312"/>
                <w:sz w:val="24"/>
              </w:rPr>
              <w:t>20.00</w:t>
            </w:r>
          </w:p>
        </w:tc>
        <w:tc>
          <w:tcPr>
            <w:tcW w:w="1185" w:type="dxa"/>
          </w:tcPr>
          <w:p w14:paraId="064964DF">
            <w:pPr>
              <w:rPr>
                <w:rFonts w:ascii="Times New Roman" w:hAnsi="Times New Roman" w:eastAsia="仿宋_GB2312"/>
                <w:sz w:val="24"/>
              </w:rPr>
            </w:pPr>
            <w:r>
              <w:rPr>
                <w:rFonts w:ascii="Times New Roman" w:hAnsi="Times New Roman" w:eastAsia="仿宋_GB2312"/>
                <w:sz w:val="24"/>
              </w:rPr>
              <w:t>120.00</w:t>
            </w:r>
          </w:p>
        </w:tc>
      </w:tr>
      <w:tr w14:paraId="2C6D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459" w:type="dxa"/>
            <w:vMerge w:val="continue"/>
          </w:tcPr>
          <w:p w14:paraId="6BD8EA6D">
            <w:pPr>
              <w:rPr>
                <w:rFonts w:ascii="Times New Roman" w:hAnsi="Times New Roman" w:eastAsia="仿宋_GB2312"/>
                <w:sz w:val="24"/>
              </w:rPr>
            </w:pPr>
          </w:p>
        </w:tc>
        <w:tc>
          <w:tcPr>
            <w:tcW w:w="767" w:type="dxa"/>
            <w:vMerge w:val="continue"/>
          </w:tcPr>
          <w:p w14:paraId="2740813D">
            <w:pPr>
              <w:rPr>
                <w:rFonts w:ascii="Times New Roman" w:hAnsi="Times New Roman" w:eastAsia="仿宋_GB2312"/>
                <w:sz w:val="24"/>
              </w:rPr>
            </w:pPr>
          </w:p>
        </w:tc>
        <w:tc>
          <w:tcPr>
            <w:tcW w:w="1091" w:type="dxa"/>
            <w:vMerge w:val="continue"/>
          </w:tcPr>
          <w:p w14:paraId="05964B6B">
            <w:pPr>
              <w:rPr>
                <w:rFonts w:ascii="Times New Roman" w:hAnsi="Times New Roman" w:eastAsia="仿宋_GB2312"/>
                <w:sz w:val="24"/>
              </w:rPr>
            </w:pPr>
          </w:p>
        </w:tc>
        <w:tc>
          <w:tcPr>
            <w:tcW w:w="712" w:type="dxa"/>
            <w:vMerge w:val="continue"/>
          </w:tcPr>
          <w:p w14:paraId="08078A43">
            <w:pPr>
              <w:rPr>
                <w:rFonts w:ascii="Times New Roman" w:hAnsi="Times New Roman" w:eastAsia="仿宋_GB2312"/>
                <w:sz w:val="24"/>
              </w:rPr>
            </w:pPr>
          </w:p>
        </w:tc>
        <w:tc>
          <w:tcPr>
            <w:tcW w:w="811" w:type="dxa"/>
            <w:vMerge w:val="continue"/>
          </w:tcPr>
          <w:p w14:paraId="6B4D4091">
            <w:pPr>
              <w:rPr>
                <w:rFonts w:ascii="Times New Roman" w:hAnsi="Times New Roman" w:eastAsia="仿宋_GB2312"/>
                <w:sz w:val="24"/>
              </w:rPr>
            </w:pPr>
          </w:p>
        </w:tc>
        <w:tc>
          <w:tcPr>
            <w:tcW w:w="1183" w:type="dxa"/>
            <w:tcBorders>
              <w:right w:val="single" w:color="auto" w:sz="4" w:space="0"/>
            </w:tcBorders>
          </w:tcPr>
          <w:p w14:paraId="1E3BCC8D">
            <w:pPr>
              <w:rPr>
                <w:rFonts w:ascii="Times New Roman" w:hAnsi="Times New Roman" w:eastAsia="仿宋_GB2312"/>
                <w:sz w:val="24"/>
              </w:rPr>
            </w:pPr>
            <w:r>
              <w:rPr>
                <w:rFonts w:ascii="Times New Roman" w:hAnsi="Times New Roman" w:eastAsia="仿宋_GB2312"/>
                <w:sz w:val="24"/>
              </w:rPr>
              <w:t>2017年</w:t>
            </w:r>
          </w:p>
        </w:tc>
        <w:tc>
          <w:tcPr>
            <w:tcW w:w="1185" w:type="dxa"/>
            <w:tcBorders>
              <w:left w:val="single" w:color="auto" w:sz="4" w:space="0"/>
            </w:tcBorders>
          </w:tcPr>
          <w:p w14:paraId="3EF2F824">
            <w:pPr>
              <w:rPr>
                <w:rFonts w:ascii="Times New Roman" w:hAnsi="Times New Roman" w:eastAsia="仿宋_GB2312"/>
                <w:sz w:val="24"/>
              </w:rPr>
            </w:pPr>
            <w:r>
              <w:rPr>
                <w:rFonts w:ascii="Times New Roman" w:hAnsi="Times New Roman" w:eastAsia="仿宋_GB2312"/>
                <w:sz w:val="24"/>
              </w:rPr>
              <w:t>120.00</w:t>
            </w:r>
          </w:p>
        </w:tc>
        <w:tc>
          <w:tcPr>
            <w:tcW w:w="1185" w:type="dxa"/>
          </w:tcPr>
          <w:p w14:paraId="285B1483">
            <w:pPr>
              <w:rPr>
                <w:rFonts w:ascii="Times New Roman" w:hAnsi="Times New Roman" w:eastAsia="仿宋_GB2312"/>
                <w:sz w:val="24"/>
              </w:rPr>
            </w:pPr>
            <w:r>
              <w:rPr>
                <w:rFonts w:ascii="Times New Roman" w:hAnsi="Times New Roman" w:eastAsia="仿宋_GB2312"/>
                <w:sz w:val="24"/>
              </w:rPr>
              <w:t>18.00</w:t>
            </w:r>
          </w:p>
        </w:tc>
        <w:tc>
          <w:tcPr>
            <w:tcW w:w="1185" w:type="dxa"/>
          </w:tcPr>
          <w:p w14:paraId="569F8308">
            <w:pPr>
              <w:rPr>
                <w:rFonts w:ascii="Times New Roman" w:hAnsi="Times New Roman" w:eastAsia="仿宋_GB2312"/>
                <w:sz w:val="24"/>
              </w:rPr>
            </w:pPr>
            <w:r>
              <w:rPr>
                <w:rFonts w:ascii="Times New Roman" w:hAnsi="Times New Roman" w:eastAsia="仿宋_GB2312"/>
                <w:sz w:val="24"/>
              </w:rPr>
              <w:t>138.00</w:t>
            </w:r>
          </w:p>
        </w:tc>
      </w:tr>
      <w:tr w14:paraId="59DC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59" w:type="dxa"/>
            <w:vMerge w:val="continue"/>
          </w:tcPr>
          <w:p w14:paraId="5CC1B7E3">
            <w:pPr>
              <w:rPr>
                <w:rFonts w:ascii="Times New Roman" w:hAnsi="Times New Roman" w:eastAsia="仿宋_GB2312"/>
                <w:sz w:val="24"/>
              </w:rPr>
            </w:pPr>
          </w:p>
        </w:tc>
        <w:tc>
          <w:tcPr>
            <w:tcW w:w="767" w:type="dxa"/>
            <w:vMerge w:val="continue"/>
          </w:tcPr>
          <w:p w14:paraId="089E7FC9">
            <w:pPr>
              <w:rPr>
                <w:rFonts w:ascii="Times New Roman" w:hAnsi="Times New Roman" w:eastAsia="仿宋_GB2312"/>
                <w:sz w:val="24"/>
              </w:rPr>
            </w:pPr>
          </w:p>
        </w:tc>
        <w:tc>
          <w:tcPr>
            <w:tcW w:w="1091" w:type="dxa"/>
            <w:vMerge w:val="continue"/>
          </w:tcPr>
          <w:p w14:paraId="1325CF58">
            <w:pPr>
              <w:rPr>
                <w:rFonts w:ascii="Times New Roman" w:hAnsi="Times New Roman" w:eastAsia="仿宋_GB2312"/>
                <w:sz w:val="24"/>
              </w:rPr>
            </w:pPr>
          </w:p>
        </w:tc>
        <w:tc>
          <w:tcPr>
            <w:tcW w:w="712" w:type="dxa"/>
            <w:vMerge w:val="continue"/>
          </w:tcPr>
          <w:p w14:paraId="29CD6758">
            <w:pPr>
              <w:rPr>
                <w:rFonts w:ascii="Times New Roman" w:hAnsi="Times New Roman" w:eastAsia="仿宋_GB2312"/>
                <w:sz w:val="24"/>
              </w:rPr>
            </w:pPr>
          </w:p>
        </w:tc>
        <w:tc>
          <w:tcPr>
            <w:tcW w:w="811" w:type="dxa"/>
            <w:vMerge w:val="continue"/>
          </w:tcPr>
          <w:p w14:paraId="3CC40CFD">
            <w:pPr>
              <w:rPr>
                <w:rFonts w:ascii="Times New Roman" w:hAnsi="Times New Roman" w:eastAsia="仿宋_GB2312"/>
                <w:sz w:val="24"/>
              </w:rPr>
            </w:pPr>
          </w:p>
        </w:tc>
        <w:tc>
          <w:tcPr>
            <w:tcW w:w="1183" w:type="dxa"/>
            <w:tcBorders>
              <w:right w:val="single" w:color="auto" w:sz="4" w:space="0"/>
            </w:tcBorders>
          </w:tcPr>
          <w:p w14:paraId="3224E713">
            <w:pPr>
              <w:rPr>
                <w:rFonts w:ascii="Times New Roman" w:hAnsi="Times New Roman" w:eastAsia="仿宋_GB2312"/>
                <w:sz w:val="24"/>
              </w:rPr>
            </w:pPr>
            <w:r>
              <w:rPr>
                <w:rFonts w:ascii="Times New Roman" w:hAnsi="Times New Roman" w:eastAsia="仿宋_GB2312"/>
                <w:sz w:val="24"/>
              </w:rPr>
              <w:t>2018年</w:t>
            </w:r>
          </w:p>
        </w:tc>
        <w:tc>
          <w:tcPr>
            <w:tcW w:w="1185" w:type="dxa"/>
            <w:tcBorders>
              <w:left w:val="single" w:color="auto" w:sz="4" w:space="0"/>
            </w:tcBorders>
          </w:tcPr>
          <w:p w14:paraId="4FD6E27E">
            <w:pPr>
              <w:rPr>
                <w:rFonts w:ascii="Times New Roman" w:hAnsi="Times New Roman" w:eastAsia="仿宋_GB2312"/>
                <w:sz w:val="24"/>
              </w:rPr>
            </w:pPr>
            <w:r>
              <w:rPr>
                <w:rFonts w:ascii="Times New Roman" w:hAnsi="Times New Roman" w:eastAsia="仿宋_GB2312"/>
                <w:sz w:val="24"/>
              </w:rPr>
              <w:t>60.00</w:t>
            </w:r>
          </w:p>
        </w:tc>
        <w:tc>
          <w:tcPr>
            <w:tcW w:w="1185" w:type="dxa"/>
          </w:tcPr>
          <w:p w14:paraId="5289AB32">
            <w:pPr>
              <w:rPr>
                <w:rFonts w:ascii="Times New Roman" w:hAnsi="Times New Roman" w:eastAsia="仿宋_GB2312"/>
                <w:sz w:val="24"/>
              </w:rPr>
            </w:pPr>
            <w:r>
              <w:rPr>
                <w:rFonts w:ascii="Times New Roman" w:hAnsi="Times New Roman" w:eastAsia="仿宋_GB2312"/>
                <w:sz w:val="24"/>
              </w:rPr>
              <w:t>10.00</w:t>
            </w:r>
          </w:p>
        </w:tc>
        <w:tc>
          <w:tcPr>
            <w:tcW w:w="1185" w:type="dxa"/>
          </w:tcPr>
          <w:p w14:paraId="41454E45">
            <w:pPr>
              <w:rPr>
                <w:rFonts w:ascii="Times New Roman" w:hAnsi="Times New Roman" w:eastAsia="仿宋_GB2312"/>
                <w:sz w:val="24"/>
              </w:rPr>
            </w:pPr>
            <w:r>
              <w:rPr>
                <w:rFonts w:ascii="Times New Roman" w:hAnsi="Times New Roman" w:eastAsia="仿宋_GB2312"/>
                <w:sz w:val="24"/>
              </w:rPr>
              <w:t>70.00</w:t>
            </w:r>
          </w:p>
        </w:tc>
      </w:tr>
    </w:tbl>
    <w:p w14:paraId="2C858B1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排放单位新增设施主要为生产用电设备，其排放量信息见下表：</w:t>
      </w:r>
    </w:p>
    <w:p w14:paraId="37D3E931">
      <w:pPr>
        <w:spacing w:after="0" w:line="560" w:lineRule="exact"/>
        <w:ind w:firstLine="640" w:firstLineChars="200"/>
        <w:rPr>
          <w:rFonts w:ascii="Times New Roman" w:hAnsi="Times New Roman" w:eastAsia="仿宋_GB2312"/>
          <w:sz w:val="32"/>
          <w:szCs w:val="32"/>
        </w:rPr>
      </w:pPr>
    </w:p>
    <w:p w14:paraId="765EF5F8">
      <w:pPr>
        <w:spacing w:after="0" w:line="560" w:lineRule="exact"/>
        <w:ind w:firstLine="640" w:firstLineChars="200"/>
        <w:rPr>
          <w:rFonts w:ascii="Times New Roman" w:hAnsi="Times New Roman" w:eastAsia="仿宋_GB2312"/>
          <w:sz w:val="32"/>
          <w:szCs w:val="32"/>
        </w:rPr>
      </w:pPr>
    </w:p>
    <w:p w14:paraId="458B8E07">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74"/>
        <w:gridCol w:w="2297"/>
        <w:gridCol w:w="1625"/>
        <w:gridCol w:w="1249"/>
        <w:gridCol w:w="1489"/>
      </w:tblGrid>
      <w:tr w14:paraId="27B4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984" w:type="dxa"/>
            <w:vAlign w:val="center"/>
          </w:tcPr>
          <w:p w14:paraId="115BD442">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1274" w:type="dxa"/>
            <w:vAlign w:val="center"/>
          </w:tcPr>
          <w:p w14:paraId="13E4F8D0">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2297" w:type="dxa"/>
            <w:vAlign w:val="center"/>
          </w:tcPr>
          <w:p w14:paraId="38CCA4E5">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1625" w:type="dxa"/>
            <w:vAlign w:val="center"/>
          </w:tcPr>
          <w:p w14:paraId="324CA54E">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1249" w:type="dxa"/>
            <w:vAlign w:val="center"/>
          </w:tcPr>
          <w:p w14:paraId="11FDF3E6">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1489" w:type="dxa"/>
            <w:vAlign w:val="center"/>
          </w:tcPr>
          <w:p w14:paraId="7481C73A">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12FE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84" w:type="dxa"/>
            <w:vAlign w:val="center"/>
          </w:tcPr>
          <w:p w14:paraId="0D7C906C">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1274" w:type="dxa"/>
            <w:vAlign w:val="center"/>
          </w:tcPr>
          <w:p w14:paraId="4ABD9BD2">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2297" w:type="dxa"/>
            <w:vAlign w:val="center"/>
          </w:tcPr>
          <w:p w14:paraId="22CCA799">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xxx设备</w:t>
            </w:r>
          </w:p>
        </w:tc>
        <w:tc>
          <w:tcPr>
            <w:tcW w:w="1625" w:type="dxa"/>
            <w:vAlign w:val="center"/>
          </w:tcPr>
          <w:p w14:paraId="00FBFBCD">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否</w:t>
            </w:r>
          </w:p>
        </w:tc>
        <w:tc>
          <w:tcPr>
            <w:tcW w:w="1249" w:type="dxa"/>
            <w:vAlign w:val="center"/>
          </w:tcPr>
          <w:p w14:paraId="1B9161D3">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200.00</w:t>
            </w:r>
          </w:p>
        </w:tc>
        <w:tc>
          <w:tcPr>
            <w:tcW w:w="1489" w:type="dxa"/>
            <w:vAlign w:val="center"/>
          </w:tcPr>
          <w:p w14:paraId="6438E906">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w:t>
            </w:r>
          </w:p>
        </w:tc>
      </w:tr>
      <w:tr w14:paraId="7DEF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84" w:type="dxa"/>
            <w:vAlign w:val="center"/>
          </w:tcPr>
          <w:p w14:paraId="7FE10823">
            <w:pPr>
              <w:jc w:val="center"/>
              <w:rPr>
                <w:rFonts w:ascii="Times New Roman" w:hAnsi="Times New Roman" w:eastAsia="仿宋_GB2312"/>
                <w:sz w:val="24"/>
              </w:rPr>
            </w:pPr>
            <w:r>
              <w:rPr>
                <w:rFonts w:ascii="Times New Roman" w:hAnsi="Times New Roman" w:eastAsia="仿宋_GB2312"/>
                <w:color w:val="000000"/>
                <w:sz w:val="24"/>
              </w:rPr>
              <w:t>2</w:t>
            </w:r>
          </w:p>
        </w:tc>
        <w:tc>
          <w:tcPr>
            <w:tcW w:w="1274" w:type="dxa"/>
            <w:vAlign w:val="center"/>
          </w:tcPr>
          <w:p w14:paraId="3211046F">
            <w:pPr>
              <w:jc w:val="center"/>
              <w:rPr>
                <w:rFonts w:ascii="Times New Roman" w:hAnsi="Times New Roman" w:eastAsia="仿宋_GB2312"/>
                <w:sz w:val="24"/>
              </w:rPr>
            </w:pPr>
            <w:r>
              <w:rPr>
                <w:rFonts w:ascii="Times New Roman" w:hAnsi="Times New Roman" w:eastAsia="仿宋_GB2312"/>
                <w:sz w:val="24"/>
              </w:rPr>
              <w:t>2019</w:t>
            </w:r>
          </w:p>
        </w:tc>
        <w:tc>
          <w:tcPr>
            <w:tcW w:w="2297" w:type="dxa"/>
            <w:vAlign w:val="center"/>
          </w:tcPr>
          <w:p w14:paraId="178CF206">
            <w:pPr>
              <w:jc w:val="center"/>
              <w:rPr>
                <w:rFonts w:ascii="Times New Roman" w:hAnsi="Times New Roman" w:eastAsia="仿宋_GB2312"/>
                <w:sz w:val="24"/>
              </w:rPr>
            </w:pPr>
            <w:r>
              <w:rPr>
                <w:rFonts w:ascii="Times New Roman" w:hAnsi="Times New Roman" w:eastAsia="仿宋_GB2312"/>
                <w:color w:val="000000"/>
                <w:sz w:val="24"/>
              </w:rPr>
              <w:t>xxx设备</w:t>
            </w:r>
          </w:p>
        </w:tc>
        <w:tc>
          <w:tcPr>
            <w:tcW w:w="1625" w:type="dxa"/>
            <w:vAlign w:val="center"/>
          </w:tcPr>
          <w:p w14:paraId="1A258CB7">
            <w:pPr>
              <w:jc w:val="center"/>
              <w:rPr>
                <w:rFonts w:ascii="Times New Roman" w:hAnsi="Times New Roman" w:eastAsia="仿宋_GB2312"/>
                <w:sz w:val="24"/>
              </w:rPr>
            </w:pPr>
            <w:r>
              <w:rPr>
                <w:rFonts w:ascii="Times New Roman" w:hAnsi="Times New Roman" w:eastAsia="仿宋_GB2312"/>
                <w:sz w:val="24"/>
              </w:rPr>
              <w:t>否</w:t>
            </w:r>
          </w:p>
        </w:tc>
        <w:tc>
          <w:tcPr>
            <w:tcW w:w="1249" w:type="dxa"/>
            <w:vAlign w:val="center"/>
          </w:tcPr>
          <w:p w14:paraId="2D02E528">
            <w:pPr>
              <w:jc w:val="center"/>
              <w:rPr>
                <w:rFonts w:ascii="Times New Roman" w:hAnsi="Times New Roman" w:eastAsia="仿宋_GB2312"/>
                <w:sz w:val="24"/>
              </w:rPr>
            </w:pPr>
            <w:r>
              <w:rPr>
                <w:rFonts w:ascii="Times New Roman" w:hAnsi="Times New Roman" w:eastAsia="仿宋_GB2312"/>
                <w:sz w:val="24"/>
              </w:rPr>
              <w:t>800.00</w:t>
            </w:r>
          </w:p>
        </w:tc>
        <w:tc>
          <w:tcPr>
            <w:tcW w:w="1489" w:type="dxa"/>
            <w:vAlign w:val="center"/>
          </w:tcPr>
          <w:p w14:paraId="122C28A4">
            <w:pPr>
              <w:jc w:val="center"/>
              <w:rPr>
                <w:rFonts w:ascii="Times New Roman" w:hAnsi="Times New Roman" w:eastAsia="仿宋_GB2312"/>
                <w:sz w:val="24"/>
              </w:rPr>
            </w:pPr>
            <w:r>
              <w:rPr>
                <w:rFonts w:ascii="Times New Roman" w:hAnsi="Times New Roman" w:eastAsia="仿宋_GB2312"/>
                <w:sz w:val="24"/>
              </w:rPr>
              <w:t>/</w:t>
            </w:r>
          </w:p>
        </w:tc>
      </w:tr>
      <w:tr w14:paraId="3A61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84" w:type="dxa"/>
            <w:vAlign w:val="center"/>
          </w:tcPr>
          <w:p w14:paraId="67F2B791">
            <w:pPr>
              <w:jc w:val="center"/>
              <w:rPr>
                <w:rFonts w:ascii="Times New Roman" w:hAnsi="Times New Roman" w:eastAsia="仿宋_GB2312"/>
                <w:color w:val="000000"/>
                <w:sz w:val="24"/>
              </w:rPr>
            </w:pPr>
            <w:r>
              <w:rPr>
                <w:rFonts w:hint="eastAsia" w:ascii="Times New Roman" w:hAnsi="Times New Roman" w:eastAsia="仿宋_GB2312"/>
                <w:color w:val="000000"/>
                <w:sz w:val="24"/>
              </w:rPr>
              <w:t>3</w:t>
            </w:r>
          </w:p>
        </w:tc>
        <w:tc>
          <w:tcPr>
            <w:tcW w:w="1274" w:type="dxa"/>
            <w:vAlign w:val="center"/>
          </w:tcPr>
          <w:p w14:paraId="60E1131E">
            <w:pPr>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020</w:t>
            </w:r>
          </w:p>
        </w:tc>
        <w:tc>
          <w:tcPr>
            <w:tcW w:w="2297" w:type="dxa"/>
            <w:vAlign w:val="center"/>
          </w:tcPr>
          <w:p w14:paraId="62116A3C">
            <w:pPr>
              <w:jc w:val="center"/>
              <w:rPr>
                <w:rFonts w:ascii="Times New Roman" w:hAnsi="Times New Roman" w:eastAsia="仿宋_GB2312"/>
                <w:color w:val="000000"/>
                <w:sz w:val="24"/>
              </w:rPr>
            </w:pPr>
            <w:r>
              <w:rPr>
                <w:rFonts w:ascii="Times New Roman" w:hAnsi="Times New Roman" w:eastAsia="仿宋_GB2312"/>
                <w:color w:val="000000"/>
                <w:sz w:val="24"/>
              </w:rPr>
              <w:t>xxx设备</w:t>
            </w:r>
          </w:p>
        </w:tc>
        <w:tc>
          <w:tcPr>
            <w:tcW w:w="1625" w:type="dxa"/>
            <w:vAlign w:val="center"/>
          </w:tcPr>
          <w:p w14:paraId="0D010981">
            <w:pPr>
              <w:jc w:val="center"/>
              <w:rPr>
                <w:rFonts w:ascii="Times New Roman" w:hAnsi="Times New Roman" w:eastAsia="仿宋_GB2312"/>
                <w:sz w:val="24"/>
              </w:rPr>
            </w:pPr>
            <w:r>
              <w:rPr>
                <w:rFonts w:ascii="Times New Roman" w:hAnsi="Times New Roman" w:eastAsia="仿宋_GB2312"/>
                <w:sz w:val="24"/>
              </w:rPr>
              <w:t>否</w:t>
            </w:r>
          </w:p>
        </w:tc>
        <w:tc>
          <w:tcPr>
            <w:tcW w:w="1249" w:type="dxa"/>
            <w:vAlign w:val="center"/>
          </w:tcPr>
          <w:p w14:paraId="44A03540">
            <w:pPr>
              <w:jc w:val="center"/>
              <w:rPr>
                <w:rFonts w:ascii="Times New Roman" w:hAnsi="Times New Roman" w:eastAsia="仿宋_GB2312"/>
                <w:sz w:val="24"/>
              </w:rPr>
            </w:pPr>
            <w:r>
              <w:rPr>
                <w:rFonts w:ascii="Times New Roman" w:hAnsi="Times New Roman" w:eastAsia="仿宋_GB2312"/>
                <w:sz w:val="24"/>
              </w:rPr>
              <w:t>XXX</w:t>
            </w:r>
          </w:p>
        </w:tc>
        <w:tc>
          <w:tcPr>
            <w:tcW w:w="1489" w:type="dxa"/>
            <w:vAlign w:val="center"/>
          </w:tcPr>
          <w:p w14:paraId="57656871">
            <w:pPr>
              <w:jc w:val="center"/>
              <w:rPr>
                <w:rFonts w:ascii="Times New Roman" w:hAnsi="Times New Roman" w:eastAsia="仿宋_GB2312"/>
                <w:sz w:val="24"/>
              </w:rPr>
            </w:pPr>
          </w:p>
        </w:tc>
      </w:tr>
      <w:tr w14:paraId="1D1A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84" w:type="dxa"/>
          </w:tcPr>
          <w:p w14:paraId="34759B03">
            <w:pPr>
              <w:jc w:val="center"/>
              <w:rPr>
                <w:rFonts w:ascii="Times New Roman" w:hAnsi="Times New Roman" w:eastAsia="仿宋_GB2312"/>
                <w:sz w:val="24"/>
              </w:rPr>
            </w:pPr>
            <w:r>
              <w:rPr>
                <w:rFonts w:ascii="Times New Roman" w:hAnsi="Times New Roman" w:eastAsia="仿宋_GB2312"/>
                <w:color w:val="000000"/>
                <w:sz w:val="24"/>
              </w:rPr>
              <w:t>合计</w:t>
            </w:r>
          </w:p>
        </w:tc>
        <w:tc>
          <w:tcPr>
            <w:tcW w:w="1274" w:type="dxa"/>
          </w:tcPr>
          <w:p w14:paraId="62722044">
            <w:pPr>
              <w:rPr>
                <w:rFonts w:ascii="Times New Roman" w:hAnsi="Times New Roman" w:eastAsia="仿宋_GB2312"/>
                <w:sz w:val="24"/>
              </w:rPr>
            </w:pPr>
          </w:p>
        </w:tc>
        <w:tc>
          <w:tcPr>
            <w:tcW w:w="2297" w:type="dxa"/>
          </w:tcPr>
          <w:p w14:paraId="6572BCAE">
            <w:pPr>
              <w:rPr>
                <w:rFonts w:ascii="Times New Roman" w:hAnsi="Times New Roman" w:eastAsia="仿宋_GB2312"/>
                <w:sz w:val="24"/>
              </w:rPr>
            </w:pPr>
          </w:p>
        </w:tc>
        <w:tc>
          <w:tcPr>
            <w:tcW w:w="1625" w:type="dxa"/>
          </w:tcPr>
          <w:p w14:paraId="2CCE54D0">
            <w:pPr>
              <w:rPr>
                <w:rFonts w:ascii="Times New Roman" w:hAnsi="Times New Roman" w:eastAsia="仿宋_GB2312"/>
                <w:sz w:val="24"/>
              </w:rPr>
            </w:pPr>
          </w:p>
        </w:tc>
        <w:tc>
          <w:tcPr>
            <w:tcW w:w="1249" w:type="dxa"/>
            <w:vAlign w:val="center"/>
          </w:tcPr>
          <w:p w14:paraId="0B884D36">
            <w:pPr>
              <w:jc w:val="center"/>
              <w:rPr>
                <w:rFonts w:ascii="Times New Roman" w:hAnsi="Times New Roman" w:eastAsia="仿宋_GB2312"/>
                <w:sz w:val="24"/>
              </w:rPr>
            </w:pPr>
            <w:r>
              <w:rPr>
                <w:rFonts w:ascii="Times New Roman" w:hAnsi="Times New Roman" w:eastAsia="仿宋_GB2312"/>
                <w:sz w:val="24"/>
              </w:rPr>
              <w:t>XXX</w:t>
            </w:r>
          </w:p>
        </w:tc>
        <w:tc>
          <w:tcPr>
            <w:tcW w:w="1489" w:type="dxa"/>
          </w:tcPr>
          <w:p w14:paraId="0CE3C60F">
            <w:pPr>
              <w:rPr>
                <w:rFonts w:ascii="Times New Roman" w:hAnsi="Times New Roman" w:eastAsia="仿宋_GB2312"/>
                <w:sz w:val="24"/>
              </w:rPr>
            </w:pPr>
          </w:p>
        </w:tc>
      </w:tr>
      <w:tr w14:paraId="114C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918" w:type="dxa"/>
            <w:gridSpan w:val="6"/>
          </w:tcPr>
          <w:p w14:paraId="488805EE">
            <w:pPr>
              <w:rPr>
                <w:rFonts w:ascii="Times New Roman" w:hAnsi="Times New Roman" w:eastAsia="仿宋_GB2312"/>
                <w:sz w:val="24"/>
              </w:rPr>
            </w:pPr>
            <w:r>
              <w:rPr>
                <w:rFonts w:ascii="Times New Roman" w:hAnsi="Times New Roman" w:eastAsia="仿宋_GB2312"/>
                <w:sz w:val="24"/>
              </w:rPr>
              <w:t>备注：</w:t>
            </w:r>
          </w:p>
        </w:tc>
      </w:tr>
    </w:tbl>
    <w:p w14:paraId="12BBD5D7">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新增设施排放量为XXX吨，是基准年份排放量的XXX%，新增设施对应的产值为xxxx万元。此信息供新增设施发放配额参考。</w:t>
      </w:r>
    </w:p>
    <w:p w14:paraId="3C0DE1F5">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3714CC6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由于天然气表和电表分别为燃气公司及电力公司管控，因此未能核查这些仪表的检定信息。</w:t>
      </w:r>
    </w:p>
    <w:p w14:paraId="627F830F">
      <w:pPr>
        <w:spacing w:after="0" w:line="560" w:lineRule="exact"/>
        <w:ind w:firstLine="640" w:firstLineChars="200"/>
        <w:rPr>
          <w:rFonts w:ascii="Times New Roman" w:hAnsi="Times New Roman" w:eastAsia="仿宋_GB2312"/>
          <w:sz w:val="32"/>
          <w:szCs w:val="32"/>
        </w:rPr>
        <w:sectPr>
          <w:pgSz w:w="11906" w:h="16838"/>
          <w:pgMar w:top="2098" w:right="1474" w:bottom="1984" w:left="1587" w:header="851" w:footer="1587" w:gutter="0"/>
          <w:pgNumType w:fmt="decimal"/>
          <w:cols w:space="0" w:num="1"/>
          <w:docGrid w:type="lines" w:linePitch="312" w:charSpace="0"/>
        </w:sectPr>
      </w:pPr>
    </w:p>
    <w:p w14:paraId="48A9B845">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道路运输业企业</w:t>
      </w:r>
    </w:p>
    <w:p w14:paraId="5764F885">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度二氧化碳排放的核查工作。核查范围包括排放单位所有在北京市辖区内的运营系统以及直接为营运车辆服务的辅助系统导致的二氧化碳直接排放和二氧化碳间接排放。</w:t>
      </w:r>
    </w:p>
    <w:p w14:paraId="2786E337">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358ED151">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34C72094">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w:t>
      </w:r>
      <w:r>
        <w:rPr>
          <w:rFonts w:hint="eastAsia" w:ascii="Times New Roman" w:hAnsi="Times New Roman" w:eastAsia="仿宋_GB2312"/>
          <w:sz w:val="32"/>
          <w:szCs w:val="32"/>
        </w:rPr>
        <w:t>《二氧化碳排放核算和报告要求道路运输业》（DB11/T 1786-2020）</w:t>
      </w:r>
      <w:r>
        <w:rPr>
          <w:rFonts w:ascii="Times New Roman" w:hAnsi="Times New Roman" w:eastAsia="仿宋_GB2312"/>
          <w:sz w:val="32"/>
          <w:szCs w:val="32"/>
        </w:rPr>
        <w:t>的要求，核查组对本排放报告出具肯定的核查结论。</w:t>
      </w:r>
    </w:p>
    <w:p w14:paraId="153803E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3CCAE1A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经核查排放量与最终排放报告中的一致。经核查的排放量如下：</w:t>
      </w:r>
    </w:p>
    <w:tbl>
      <w:tblPr>
        <w:tblStyle w:val="35"/>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987"/>
        <w:gridCol w:w="1749"/>
        <w:gridCol w:w="1839"/>
        <w:gridCol w:w="1771"/>
      </w:tblGrid>
      <w:tr w14:paraId="25C4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91" w:type="dxa"/>
            <w:vAlign w:val="center"/>
          </w:tcPr>
          <w:p w14:paraId="24FCA08C">
            <w:pPr>
              <w:jc w:val="center"/>
              <w:rPr>
                <w:rFonts w:ascii="Times New Roman" w:hAnsi="Times New Roman" w:eastAsia="仿宋_GB2312"/>
                <w:sz w:val="21"/>
                <w:szCs w:val="21"/>
              </w:rPr>
            </w:pPr>
            <w:r>
              <w:rPr>
                <w:rFonts w:hint="eastAsia" w:ascii="Times New Roman" w:hAnsi="Times New Roman" w:eastAsia="仿宋_GB2312"/>
                <w:sz w:val="21"/>
                <w:szCs w:val="21"/>
              </w:rPr>
              <w:t>排放设施</w:t>
            </w:r>
          </w:p>
        </w:tc>
        <w:tc>
          <w:tcPr>
            <w:tcW w:w="1987" w:type="dxa"/>
            <w:vAlign w:val="center"/>
          </w:tcPr>
          <w:p w14:paraId="5680B48F">
            <w:pPr>
              <w:jc w:val="center"/>
              <w:rPr>
                <w:rFonts w:ascii="Times New Roman" w:hAnsi="Times New Roman" w:eastAsia="仿宋_GB2312"/>
                <w:sz w:val="21"/>
                <w:szCs w:val="21"/>
              </w:rPr>
            </w:pPr>
            <w:r>
              <w:rPr>
                <w:rFonts w:hint="eastAsia" w:ascii="Times New Roman" w:hAnsi="Times New Roman" w:eastAsia="仿宋_GB2312"/>
                <w:sz w:val="21"/>
                <w:szCs w:val="21"/>
              </w:rPr>
              <w:t>化石燃料燃烧排放量</w:t>
            </w:r>
          </w:p>
          <w:p w14:paraId="2CC79E28">
            <w:pPr>
              <w:jc w:val="center"/>
              <w:rPr>
                <w:rFonts w:ascii="Times New Roman" w:hAnsi="Times New Roman" w:eastAsia="仿宋_GB2312"/>
                <w:sz w:val="21"/>
                <w:szCs w:val="21"/>
              </w:rPr>
            </w:pPr>
            <w:r>
              <w:rPr>
                <w:rFonts w:hint="eastAsia" w:ascii="Times New Roman" w:hAnsi="Times New Roman" w:eastAsia="仿宋_GB2312"/>
                <w:sz w:val="21"/>
                <w:szCs w:val="21"/>
              </w:rPr>
              <w:t>（</w:t>
            </w:r>
            <w:r>
              <w:rPr>
                <w:rFonts w:ascii="Times New Roman" w:hAnsi="Times New Roman" w:eastAsia="仿宋_GB2312"/>
                <w:sz w:val="21"/>
                <w:szCs w:val="21"/>
              </w:rPr>
              <w:t>tCO</w:t>
            </w:r>
            <w:r>
              <w:rPr>
                <w:rFonts w:ascii="Times New Roman" w:hAnsi="Times New Roman" w:eastAsia="仿宋_GB2312"/>
                <w:sz w:val="21"/>
                <w:szCs w:val="21"/>
                <w:vertAlign w:val="subscript"/>
              </w:rPr>
              <w:t>2</w:t>
            </w:r>
            <w:r>
              <w:rPr>
                <w:rFonts w:hint="eastAsia" w:ascii="Times New Roman" w:hAnsi="Times New Roman" w:eastAsia="仿宋_GB2312"/>
                <w:sz w:val="21"/>
                <w:szCs w:val="21"/>
              </w:rPr>
              <w:t>）</w:t>
            </w:r>
          </w:p>
        </w:tc>
        <w:tc>
          <w:tcPr>
            <w:tcW w:w="1749" w:type="dxa"/>
            <w:vAlign w:val="center"/>
          </w:tcPr>
          <w:p w14:paraId="2370AACB">
            <w:pPr>
              <w:jc w:val="center"/>
              <w:rPr>
                <w:rFonts w:ascii="Times New Roman" w:hAnsi="Times New Roman" w:eastAsia="仿宋_GB2312"/>
                <w:sz w:val="21"/>
                <w:szCs w:val="21"/>
              </w:rPr>
            </w:pPr>
            <w:r>
              <w:rPr>
                <w:rFonts w:hint="eastAsia" w:ascii="Times New Roman" w:hAnsi="Times New Roman" w:eastAsia="仿宋_GB2312"/>
                <w:sz w:val="21"/>
                <w:szCs w:val="21"/>
              </w:rPr>
              <w:t>过程排放量</w:t>
            </w:r>
          </w:p>
          <w:p w14:paraId="4BA10234">
            <w:pPr>
              <w:jc w:val="center"/>
              <w:rPr>
                <w:rFonts w:ascii="Times New Roman" w:hAnsi="Times New Roman" w:eastAsia="仿宋_GB2312"/>
                <w:sz w:val="21"/>
                <w:szCs w:val="21"/>
              </w:rPr>
            </w:pPr>
            <w:r>
              <w:rPr>
                <w:rFonts w:hint="eastAsia" w:ascii="Times New Roman" w:hAnsi="Times New Roman" w:eastAsia="仿宋_GB2312"/>
                <w:sz w:val="21"/>
                <w:szCs w:val="21"/>
              </w:rPr>
              <w:t>（</w:t>
            </w:r>
            <w:r>
              <w:rPr>
                <w:rFonts w:ascii="Times New Roman" w:hAnsi="Times New Roman" w:eastAsia="仿宋_GB2312"/>
                <w:sz w:val="21"/>
                <w:szCs w:val="21"/>
              </w:rPr>
              <w:t>tCO</w:t>
            </w:r>
            <w:r>
              <w:rPr>
                <w:rFonts w:ascii="Times New Roman" w:hAnsi="Times New Roman" w:eastAsia="仿宋_GB2312"/>
                <w:sz w:val="21"/>
                <w:szCs w:val="21"/>
                <w:vertAlign w:val="subscript"/>
              </w:rPr>
              <w:t>2</w:t>
            </w:r>
            <w:r>
              <w:rPr>
                <w:rFonts w:hint="eastAsia" w:ascii="Times New Roman" w:hAnsi="Times New Roman" w:eastAsia="仿宋_GB2312"/>
                <w:sz w:val="21"/>
                <w:szCs w:val="21"/>
              </w:rPr>
              <w:t>）</w:t>
            </w:r>
          </w:p>
        </w:tc>
        <w:tc>
          <w:tcPr>
            <w:tcW w:w="1839" w:type="dxa"/>
            <w:vAlign w:val="center"/>
          </w:tcPr>
          <w:p w14:paraId="49AD7393">
            <w:pPr>
              <w:jc w:val="center"/>
              <w:rPr>
                <w:rFonts w:ascii="Times New Roman" w:hAnsi="Times New Roman" w:eastAsia="仿宋_GB2312"/>
                <w:sz w:val="21"/>
                <w:szCs w:val="21"/>
              </w:rPr>
            </w:pPr>
            <w:r>
              <w:rPr>
                <w:rFonts w:hint="eastAsia" w:ascii="Times New Roman" w:hAnsi="Times New Roman" w:eastAsia="仿宋_GB2312"/>
                <w:sz w:val="21"/>
                <w:szCs w:val="21"/>
              </w:rPr>
              <w:t>间接排放量</w:t>
            </w:r>
          </w:p>
          <w:p w14:paraId="12343361">
            <w:pPr>
              <w:jc w:val="center"/>
              <w:rPr>
                <w:rFonts w:ascii="Times New Roman" w:hAnsi="Times New Roman" w:eastAsia="仿宋_GB2312"/>
                <w:sz w:val="21"/>
                <w:szCs w:val="21"/>
              </w:rPr>
            </w:pPr>
            <w:r>
              <w:rPr>
                <w:rFonts w:hint="eastAsia" w:ascii="Times New Roman" w:hAnsi="Times New Roman" w:eastAsia="仿宋_GB2312"/>
                <w:sz w:val="21"/>
                <w:szCs w:val="21"/>
              </w:rPr>
              <w:t>（</w:t>
            </w:r>
            <w:r>
              <w:rPr>
                <w:rFonts w:ascii="Times New Roman" w:hAnsi="Times New Roman" w:eastAsia="仿宋_GB2312"/>
                <w:sz w:val="21"/>
                <w:szCs w:val="21"/>
              </w:rPr>
              <w:t>tCO</w:t>
            </w:r>
            <w:r>
              <w:rPr>
                <w:rFonts w:ascii="Times New Roman" w:hAnsi="Times New Roman" w:eastAsia="仿宋_GB2312"/>
                <w:sz w:val="21"/>
                <w:szCs w:val="21"/>
                <w:vertAlign w:val="subscript"/>
              </w:rPr>
              <w:t>2</w:t>
            </w:r>
            <w:r>
              <w:rPr>
                <w:rFonts w:hint="eastAsia" w:ascii="Times New Roman" w:hAnsi="Times New Roman" w:eastAsia="仿宋_GB2312"/>
                <w:sz w:val="21"/>
                <w:szCs w:val="21"/>
              </w:rPr>
              <w:t>）</w:t>
            </w:r>
          </w:p>
        </w:tc>
        <w:tc>
          <w:tcPr>
            <w:tcW w:w="1771" w:type="dxa"/>
            <w:vAlign w:val="center"/>
          </w:tcPr>
          <w:p w14:paraId="333A2552">
            <w:pPr>
              <w:jc w:val="center"/>
              <w:rPr>
                <w:rFonts w:ascii="Times New Roman" w:hAnsi="Times New Roman" w:eastAsia="仿宋_GB2312"/>
                <w:sz w:val="21"/>
                <w:szCs w:val="21"/>
              </w:rPr>
            </w:pPr>
            <w:r>
              <w:rPr>
                <w:rFonts w:hint="eastAsia" w:ascii="Times New Roman" w:hAnsi="Times New Roman" w:eastAsia="仿宋_GB2312"/>
                <w:sz w:val="21"/>
                <w:szCs w:val="21"/>
              </w:rPr>
              <w:t>总排放量</w:t>
            </w:r>
          </w:p>
          <w:p w14:paraId="3BEE2071">
            <w:pPr>
              <w:jc w:val="center"/>
              <w:rPr>
                <w:rFonts w:ascii="Times New Roman" w:hAnsi="Times New Roman" w:eastAsia="仿宋_GB2312"/>
                <w:sz w:val="21"/>
                <w:szCs w:val="21"/>
              </w:rPr>
            </w:pPr>
            <w:r>
              <w:rPr>
                <w:rFonts w:hint="eastAsia" w:ascii="Times New Roman" w:hAnsi="Times New Roman" w:eastAsia="仿宋_GB2312"/>
                <w:sz w:val="21"/>
                <w:szCs w:val="21"/>
              </w:rPr>
              <w:t>（</w:t>
            </w:r>
            <w:r>
              <w:rPr>
                <w:rFonts w:ascii="Times New Roman" w:hAnsi="Times New Roman" w:eastAsia="仿宋_GB2312"/>
                <w:sz w:val="21"/>
                <w:szCs w:val="21"/>
              </w:rPr>
              <w:t>tCO</w:t>
            </w:r>
            <w:r>
              <w:rPr>
                <w:rFonts w:ascii="Times New Roman" w:hAnsi="Times New Roman" w:eastAsia="仿宋_GB2312"/>
                <w:sz w:val="21"/>
                <w:szCs w:val="21"/>
                <w:vertAlign w:val="subscript"/>
              </w:rPr>
              <w:t>2</w:t>
            </w:r>
            <w:r>
              <w:rPr>
                <w:rFonts w:hint="eastAsia" w:ascii="Times New Roman" w:hAnsi="Times New Roman" w:eastAsia="仿宋_GB2312"/>
                <w:sz w:val="21"/>
                <w:szCs w:val="21"/>
              </w:rPr>
              <w:t>）</w:t>
            </w:r>
          </w:p>
        </w:tc>
      </w:tr>
      <w:tr w14:paraId="2B13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91" w:type="dxa"/>
            <w:vAlign w:val="center"/>
          </w:tcPr>
          <w:p w14:paraId="03EAD620">
            <w:pPr>
              <w:jc w:val="center"/>
              <w:rPr>
                <w:rFonts w:ascii="Times New Roman" w:hAnsi="Times New Roman" w:eastAsia="仿宋_GB2312"/>
                <w:sz w:val="24"/>
              </w:rPr>
            </w:pPr>
            <w:r>
              <w:rPr>
                <w:rFonts w:ascii="Times New Roman" w:hAnsi="Times New Roman" w:eastAsia="仿宋_GB2312"/>
                <w:sz w:val="24"/>
              </w:rPr>
              <w:t>移动设施</w:t>
            </w:r>
          </w:p>
        </w:tc>
        <w:tc>
          <w:tcPr>
            <w:tcW w:w="1987" w:type="dxa"/>
            <w:vAlign w:val="center"/>
          </w:tcPr>
          <w:p w14:paraId="681FA3ED">
            <w:pPr>
              <w:jc w:val="center"/>
              <w:textAlignment w:val="center"/>
              <w:rPr>
                <w:rFonts w:ascii="Times New Roman" w:hAnsi="Times New Roman" w:eastAsia="仿宋_GB2312"/>
                <w:sz w:val="24"/>
              </w:rPr>
            </w:pPr>
            <w:r>
              <w:rPr>
                <w:rFonts w:ascii="Times New Roman" w:hAnsi="Times New Roman"/>
                <w:color w:val="000000"/>
                <w:sz w:val="24"/>
              </w:rPr>
              <w:t xml:space="preserve">34000.00 </w:t>
            </w:r>
          </w:p>
        </w:tc>
        <w:tc>
          <w:tcPr>
            <w:tcW w:w="1749" w:type="dxa"/>
            <w:vAlign w:val="center"/>
          </w:tcPr>
          <w:p w14:paraId="156E6847">
            <w:pPr>
              <w:jc w:val="center"/>
              <w:textAlignment w:val="center"/>
              <w:rPr>
                <w:rFonts w:ascii="Times New Roman" w:hAnsi="Times New Roman" w:eastAsia="仿宋_GB2312"/>
                <w:sz w:val="24"/>
              </w:rPr>
            </w:pPr>
            <w:r>
              <w:rPr>
                <w:rFonts w:ascii="Times New Roman" w:hAnsi="Times New Roman"/>
                <w:color w:val="000000"/>
                <w:sz w:val="24"/>
              </w:rPr>
              <w:t xml:space="preserve">20.00 </w:t>
            </w:r>
          </w:p>
        </w:tc>
        <w:tc>
          <w:tcPr>
            <w:tcW w:w="1839" w:type="dxa"/>
            <w:vAlign w:val="center"/>
          </w:tcPr>
          <w:p w14:paraId="4683738A">
            <w:pPr>
              <w:jc w:val="center"/>
              <w:textAlignment w:val="center"/>
              <w:rPr>
                <w:rFonts w:ascii="Times New Roman" w:hAnsi="Times New Roman" w:eastAsia="仿宋_GB2312"/>
                <w:sz w:val="24"/>
              </w:rPr>
            </w:pPr>
            <w:r>
              <w:rPr>
                <w:rFonts w:ascii="Times New Roman" w:hAnsi="Times New Roman"/>
                <w:color w:val="000000"/>
                <w:sz w:val="24"/>
              </w:rPr>
              <w:t xml:space="preserve">1000.00 </w:t>
            </w:r>
          </w:p>
        </w:tc>
        <w:tc>
          <w:tcPr>
            <w:tcW w:w="1771" w:type="dxa"/>
            <w:vAlign w:val="center"/>
          </w:tcPr>
          <w:p w14:paraId="4894437D">
            <w:pPr>
              <w:jc w:val="center"/>
              <w:textAlignment w:val="center"/>
              <w:rPr>
                <w:rFonts w:ascii="Times New Roman" w:hAnsi="Times New Roman" w:eastAsia="仿宋_GB2312"/>
                <w:sz w:val="24"/>
              </w:rPr>
            </w:pPr>
            <w:r>
              <w:rPr>
                <w:rFonts w:ascii="Times New Roman" w:hAnsi="Times New Roman"/>
                <w:color w:val="000000"/>
                <w:sz w:val="24"/>
              </w:rPr>
              <w:t xml:space="preserve">35020.00 </w:t>
            </w:r>
          </w:p>
        </w:tc>
      </w:tr>
      <w:tr w14:paraId="4D0C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91" w:type="dxa"/>
            <w:vAlign w:val="center"/>
          </w:tcPr>
          <w:p w14:paraId="47979E2D">
            <w:pPr>
              <w:jc w:val="center"/>
              <w:rPr>
                <w:rFonts w:ascii="Times New Roman" w:hAnsi="Times New Roman" w:eastAsia="仿宋_GB2312"/>
                <w:sz w:val="24"/>
              </w:rPr>
            </w:pPr>
            <w:r>
              <w:rPr>
                <w:rFonts w:ascii="Times New Roman" w:hAnsi="Times New Roman" w:eastAsia="仿宋_GB2312"/>
                <w:sz w:val="24"/>
              </w:rPr>
              <w:t>固定设施</w:t>
            </w:r>
          </w:p>
        </w:tc>
        <w:tc>
          <w:tcPr>
            <w:tcW w:w="1987" w:type="dxa"/>
            <w:vAlign w:val="center"/>
          </w:tcPr>
          <w:p w14:paraId="6FABDD70">
            <w:pPr>
              <w:jc w:val="center"/>
              <w:textAlignment w:val="center"/>
              <w:rPr>
                <w:rFonts w:ascii="Times New Roman" w:hAnsi="Times New Roman" w:eastAsia="仿宋_GB2312"/>
                <w:sz w:val="24"/>
              </w:rPr>
            </w:pPr>
            <w:r>
              <w:rPr>
                <w:rFonts w:ascii="Times New Roman" w:hAnsi="Times New Roman"/>
                <w:color w:val="000000"/>
                <w:sz w:val="24"/>
              </w:rPr>
              <w:t xml:space="preserve">0.00 </w:t>
            </w:r>
          </w:p>
        </w:tc>
        <w:tc>
          <w:tcPr>
            <w:tcW w:w="1749" w:type="dxa"/>
            <w:vAlign w:val="center"/>
          </w:tcPr>
          <w:p w14:paraId="3BD900F9">
            <w:pPr>
              <w:jc w:val="center"/>
              <w:textAlignment w:val="center"/>
              <w:rPr>
                <w:rFonts w:ascii="Times New Roman" w:hAnsi="Times New Roman" w:eastAsia="仿宋_GB2312"/>
                <w:sz w:val="24"/>
              </w:rPr>
            </w:pPr>
            <w:r>
              <w:rPr>
                <w:rFonts w:ascii="Times New Roman" w:hAnsi="Times New Roman"/>
                <w:color w:val="000000"/>
                <w:sz w:val="24"/>
              </w:rPr>
              <w:t xml:space="preserve">0.00 </w:t>
            </w:r>
          </w:p>
        </w:tc>
        <w:tc>
          <w:tcPr>
            <w:tcW w:w="1839" w:type="dxa"/>
            <w:vAlign w:val="center"/>
          </w:tcPr>
          <w:p w14:paraId="30A3B98D">
            <w:pPr>
              <w:jc w:val="center"/>
              <w:textAlignment w:val="center"/>
              <w:rPr>
                <w:rFonts w:ascii="Times New Roman" w:hAnsi="Times New Roman" w:eastAsia="仿宋_GB2312"/>
                <w:sz w:val="24"/>
              </w:rPr>
            </w:pPr>
            <w:r>
              <w:rPr>
                <w:rFonts w:ascii="Times New Roman" w:hAnsi="Times New Roman"/>
                <w:color w:val="000000"/>
                <w:sz w:val="24"/>
              </w:rPr>
              <w:t xml:space="preserve">300.00 </w:t>
            </w:r>
          </w:p>
        </w:tc>
        <w:tc>
          <w:tcPr>
            <w:tcW w:w="1771" w:type="dxa"/>
            <w:vAlign w:val="center"/>
          </w:tcPr>
          <w:p w14:paraId="4DE67223">
            <w:pPr>
              <w:jc w:val="center"/>
              <w:textAlignment w:val="center"/>
              <w:rPr>
                <w:rFonts w:ascii="Times New Roman" w:hAnsi="Times New Roman" w:eastAsia="仿宋_GB2312"/>
                <w:sz w:val="24"/>
              </w:rPr>
            </w:pPr>
            <w:r>
              <w:rPr>
                <w:rFonts w:ascii="Times New Roman" w:hAnsi="Times New Roman"/>
                <w:color w:val="000000"/>
                <w:sz w:val="24"/>
              </w:rPr>
              <w:t xml:space="preserve">322.20 </w:t>
            </w:r>
          </w:p>
        </w:tc>
      </w:tr>
      <w:tr w14:paraId="17DE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91" w:type="dxa"/>
            <w:vAlign w:val="center"/>
          </w:tcPr>
          <w:p w14:paraId="661D21D8">
            <w:pPr>
              <w:jc w:val="center"/>
              <w:rPr>
                <w:rFonts w:ascii="Times New Roman" w:hAnsi="Times New Roman" w:eastAsia="仿宋_GB2312"/>
                <w:sz w:val="24"/>
              </w:rPr>
            </w:pPr>
            <w:r>
              <w:rPr>
                <w:rFonts w:ascii="Times New Roman" w:hAnsi="Times New Roman" w:eastAsia="仿宋_GB2312"/>
                <w:sz w:val="24"/>
              </w:rPr>
              <w:t>合计</w:t>
            </w:r>
          </w:p>
        </w:tc>
        <w:tc>
          <w:tcPr>
            <w:tcW w:w="1987" w:type="dxa"/>
            <w:vAlign w:val="center"/>
          </w:tcPr>
          <w:p w14:paraId="0CEA5C46">
            <w:pPr>
              <w:jc w:val="center"/>
              <w:textAlignment w:val="center"/>
              <w:rPr>
                <w:rFonts w:ascii="Times New Roman" w:hAnsi="Times New Roman" w:eastAsia="仿宋_GB2312"/>
                <w:sz w:val="24"/>
              </w:rPr>
            </w:pPr>
            <w:r>
              <w:rPr>
                <w:rFonts w:ascii="Times New Roman" w:hAnsi="Times New Roman"/>
                <w:color w:val="000000"/>
                <w:sz w:val="24"/>
              </w:rPr>
              <w:t xml:space="preserve">34000.00 </w:t>
            </w:r>
          </w:p>
        </w:tc>
        <w:tc>
          <w:tcPr>
            <w:tcW w:w="1749" w:type="dxa"/>
            <w:vAlign w:val="center"/>
          </w:tcPr>
          <w:p w14:paraId="01D4C040">
            <w:pPr>
              <w:jc w:val="center"/>
              <w:textAlignment w:val="center"/>
              <w:rPr>
                <w:rFonts w:ascii="Times New Roman" w:hAnsi="Times New Roman" w:eastAsia="仿宋_GB2312"/>
                <w:sz w:val="24"/>
              </w:rPr>
            </w:pPr>
            <w:r>
              <w:rPr>
                <w:rFonts w:ascii="Times New Roman" w:hAnsi="Times New Roman"/>
                <w:color w:val="000000"/>
                <w:sz w:val="24"/>
              </w:rPr>
              <w:t xml:space="preserve">20.00 </w:t>
            </w:r>
          </w:p>
        </w:tc>
        <w:tc>
          <w:tcPr>
            <w:tcW w:w="1839" w:type="dxa"/>
            <w:vAlign w:val="center"/>
          </w:tcPr>
          <w:p w14:paraId="501D355E">
            <w:pPr>
              <w:jc w:val="center"/>
              <w:textAlignment w:val="center"/>
              <w:rPr>
                <w:rFonts w:ascii="Times New Roman" w:hAnsi="Times New Roman" w:eastAsia="仿宋_GB2312"/>
                <w:sz w:val="24"/>
              </w:rPr>
            </w:pPr>
            <w:r>
              <w:rPr>
                <w:rFonts w:ascii="Times New Roman" w:hAnsi="Times New Roman"/>
                <w:color w:val="000000"/>
                <w:sz w:val="24"/>
              </w:rPr>
              <w:t xml:space="preserve">1300.00 </w:t>
            </w:r>
          </w:p>
        </w:tc>
        <w:tc>
          <w:tcPr>
            <w:tcW w:w="1771" w:type="dxa"/>
          </w:tcPr>
          <w:p w14:paraId="21D0F914">
            <w:pPr>
              <w:jc w:val="center"/>
              <w:textAlignment w:val="top"/>
              <w:rPr>
                <w:rFonts w:ascii="Times New Roman" w:hAnsi="Times New Roman" w:eastAsia="仿宋_GB2312"/>
                <w:sz w:val="24"/>
              </w:rPr>
            </w:pPr>
            <w:r>
              <w:rPr>
                <w:rFonts w:ascii="Times New Roman" w:hAnsi="Times New Roman"/>
                <w:color w:val="000000"/>
                <w:sz w:val="24"/>
              </w:rPr>
              <w:t xml:space="preserve">35320.00 </w:t>
            </w:r>
          </w:p>
        </w:tc>
      </w:tr>
    </w:tbl>
    <w:p w14:paraId="44C23874">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排放单位固定设施建筑面积和移动设施的运输总里程与最终排放报告中一致。经核查的固定设施建筑面积为xxxx平方米，移动设施运输总里程为xxxx万公里。</w:t>
      </w:r>
    </w:p>
    <w:p w14:paraId="51EB7EB0">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3.排放量排放量及活动水平的原因说明</w:t>
      </w:r>
    </w:p>
    <w:p w14:paraId="0BA3745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排放单位本年度排放量相比上年度排放量增加了4008.00吨/12.80%，其中</w:t>
      </w:r>
      <w:r>
        <w:rPr>
          <w:rFonts w:hint="eastAsia" w:ascii="Times New Roman" w:hAnsi="Times New Roman" w:eastAsia="仿宋_GB2312"/>
          <w:sz w:val="32"/>
          <w:szCs w:val="32"/>
        </w:rPr>
        <w:t>化石燃料燃烧</w:t>
      </w:r>
      <w:r>
        <w:rPr>
          <w:rFonts w:ascii="Times New Roman" w:hAnsi="Times New Roman" w:eastAsia="仿宋_GB2312"/>
          <w:sz w:val="32"/>
          <w:szCs w:val="32"/>
        </w:rPr>
        <w:t>排放量增加了3800.00吨/12.58%，过程排放量增加了8.00吨/66.67%</w:t>
      </w:r>
      <w:r>
        <w:rPr>
          <w:rFonts w:hint="eastAsia" w:ascii="Times New Roman" w:hAnsi="Times New Roman" w:eastAsia="仿宋_GB2312"/>
          <w:sz w:val="32"/>
          <w:szCs w:val="32"/>
        </w:rPr>
        <w:t>，</w:t>
      </w:r>
      <w:r>
        <w:rPr>
          <w:rFonts w:ascii="Times New Roman" w:hAnsi="Times New Roman" w:eastAsia="仿宋_GB2312"/>
          <w:sz w:val="32"/>
          <w:szCs w:val="32"/>
        </w:rPr>
        <w:t>间接排放量增加了200.00吨/18.18%。主要原因是排放单位客运里程数增加10.44%，增加了运营车辆的数量，导致排放量上升明显。</w:t>
      </w:r>
    </w:p>
    <w:p w14:paraId="27AE18AE">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本年度排放量相比历史基准年份排放量相比增加4008.00吨，增加比例为12.80%，原因为客运里程数增加了xxx万公里。</w:t>
      </w:r>
    </w:p>
    <w:p w14:paraId="5A50F623">
      <w:pPr>
        <w:spacing w:after="0" w:line="560" w:lineRule="exact"/>
        <w:jc w:val="center"/>
        <w:rPr>
          <w:rFonts w:ascii="Times New Roman" w:hAnsi="Times New Roman" w:eastAsia="仿宋_GB2312"/>
          <w:sz w:val="32"/>
          <w:szCs w:val="32"/>
        </w:rPr>
      </w:pPr>
      <w:r>
        <w:rPr>
          <w:rFonts w:ascii="Times New Roman" w:hAnsi="Times New Roman" w:eastAsia="仿宋_GB2312"/>
          <w:sz w:val="24"/>
        </w:rPr>
        <w:t>表XX  排放量汇总表</w:t>
      </w:r>
    </w:p>
    <w:tbl>
      <w:tblPr>
        <w:tblStyle w:val="35"/>
        <w:tblW w:w="8837" w:type="dxa"/>
        <w:tblInd w:w="0" w:type="dxa"/>
        <w:tblLayout w:type="fixed"/>
        <w:tblCellMar>
          <w:top w:w="0" w:type="dxa"/>
          <w:left w:w="108" w:type="dxa"/>
          <w:bottom w:w="0" w:type="dxa"/>
          <w:right w:w="108" w:type="dxa"/>
        </w:tblCellMar>
      </w:tblPr>
      <w:tblGrid>
        <w:gridCol w:w="1290"/>
        <w:gridCol w:w="1636"/>
        <w:gridCol w:w="1867"/>
        <w:gridCol w:w="2022"/>
        <w:gridCol w:w="2022"/>
      </w:tblGrid>
      <w:tr w14:paraId="150B93E1">
        <w:tblPrEx>
          <w:tblCellMar>
            <w:top w:w="0" w:type="dxa"/>
            <w:left w:w="108" w:type="dxa"/>
            <w:bottom w:w="0" w:type="dxa"/>
            <w:right w:w="108" w:type="dxa"/>
          </w:tblCellMar>
        </w:tblPrEx>
        <w:trPr>
          <w:trHeight w:val="1534" w:hRule="atLeast"/>
        </w:trPr>
        <w:tc>
          <w:tcPr>
            <w:tcW w:w="1290" w:type="dxa"/>
            <w:tcBorders>
              <w:top w:val="single" w:color="auto" w:sz="4" w:space="0"/>
              <w:left w:val="single" w:color="auto" w:sz="4" w:space="0"/>
              <w:bottom w:val="single" w:color="auto" w:sz="4" w:space="0"/>
              <w:right w:val="single" w:color="auto" w:sz="4" w:space="0"/>
            </w:tcBorders>
            <w:vAlign w:val="center"/>
          </w:tcPr>
          <w:p w14:paraId="2452C02A">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1636" w:type="dxa"/>
            <w:tcBorders>
              <w:top w:val="single" w:color="auto" w:sz="4" w:space="0"/>
              <w:left w:val="nil"/>
              <w:bottom w:val="single" w:color="auto" w:sz="4" w:space="0"/>
              <w:right w:val="single" w:color="auto" w:sz="4" w:space="0"/>
            </w:tcBorders>
            <w:vAlign w:val="center"/>
          </w:tcPr>
          <w:p w14:paraId="00E5F307">
            <w:pPr>
              <w:jc w:val="center"/>
              <w:rPr>
                <w:rFonts w:ascii="Times New Roman" w:hAnsi="Times New Roman" w:eastAsia="仿宋_GB2312"/>
                <w:color w:val="000000"/>
                <w:sz w:val="24"/>
              </w:rPr>
            </w:pPr>
            <w:r>
              <w:rPr>
                <w:rFonts w:ascii="Times New Roman" w:hAnsi="Times New Roman" w:eastAsia="仿宋_GB2312"/>
                <w:color w:val="000000"/>
                <w:sz w:val="24"/>
              </w:rPr>
              <w:t>化石燃料燃烧排放量（tCO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c>
          <w:tcPr>
            <w:tcW w:w="1867" w:type="dxa"/>
            <w:tcBorders>
              <w:top w:val="single" w:color="auto" w:sz="4" w:space="0"/>
              <w:left w:val="nil"/>
              <w:bottom w:val="single" w:color="auto" w:sz="4" w:space="0"/>
              <w:right w:val="single" w:color="auto" w:sz="4" w:space="0"/>
            </w:tcBorders>
            <w:vAlign w:val="center"/>
          </w:tcPr>
          <w:p w14:paraId="75610457">
            <w:pPr>
              <w:jc w:val="center"/>
              <w:rPr>
                <w:rFonts w:ascii="Times New Roman" w:hAnsi="Times New Roman" w:eastAsia="仿宋_GB2312"/>
                <w:color w:val="000000"/>
                <w:sz w:val="24"/>
              </w:rPr>
            </w:pPr>
            <w:r>
              <w:rPr>
                <w:rFonts w:ascii="Times New Roman" w:hAnsi="Times New Roman" w:eastAsia="仿宋_GB2312"/>
                <w:color w:val="000000"/>
                <w:sz w:val="24"/>
              </w:rPr>
              <w:t>过程排放量（tCO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c>
          <w:tcPr>
            <w:tcW w:w="2022" w:type="dxa"/>
            <w:tcBorders>
              <w:top w:val="single" w:color="auto" w:sz="4" w:space="0"/>
              <w:left w:val="nil"/>
              <w:bottom w:val="single" w:color="auto" w:sz="4" w:space="0"/>
              <w:right w:val="single" w:color="auto" w:sz="4" w:space="0"/>
            </w:tcBorders>
            <w:vAlign w:val="center"/>
          </w:tcPr>
          <w:p w14:paraId="1F077F75">
            <w:pPr>
              <w:jc w:val="center"/>
              <w:rPr>
                <w:rFonts w:ascii="Times New Roman" w:hAnsi="Times New Roman" w:eastAsia="仿宋_GB2312"/>
                <w:color w:val="000000"/>
                <w:sz w:val="24"/>
              </w:rPr>
            </w:pPr>
            <w:r>
              <w:rPr>
                <w:rFonts w:ascii="Times New Roman" w:hAnsi="Times New Roman" w:eastAsia="仿宋_GB2312"/>
                <w:color w:val="000000"/>
                <w:sz w:val="24"/>
              </w:rPr>
              <w:t>间接排放量（tCO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c>
          <w:tcPr>
            <w:tcW w:w="2022" w:type="dxa"/>
            <w:tcBorders>
              <w:top w:val="single" w:color="auto" w:sz="4" w:space="0"/>
              <w:left w:val="nil"/>
              <w:bottom w:val="single" w:color="auto" w:sz="4" w:space="0"/>
              <w:right w:val="single" w:color="auto" w:sz="4" w:space="0"/>
            </w:tcBorders>
            <w:vAlign w:val="center"/>
          </w:tcPr>
          <w:p w14:paraId="7C736EDF">
            <w:pPr>
              <w:jc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058ECF59">
        <w:tblPrEx>
          <w:tblCellMar>
            <w:top w:w="0" w:type="dxa"/>
            <w:left w:w="108" w:type="dxa"/>
            <w:bottom w:w="0" w:type="dxa"/>
            <w:right w:w="108" w:type="dxa"/>
          </w:tblCellMar>
        </w:tblPrEx>
        <w:trPr>
          <w:trHeight w:val="630" w:hRule="atLeast"/>
        </w:trPr>
        <w:tc>
          <w:tcPr>
            <w:tcW w:w="1290" w:type="dxa"/>
            <w:tcBorders>
              <w:top w:val="single" w:color="auto" w:sz="4" w:space="0"/>
              <w:left w:val="single" w:color="auto" w:sz="4" w:space="0"/>
              <w:bottom w:val="single" w:color="auto" w:sz="4" w:space="0"/>
              <w:right w:val="single" w:color="auto" w:sz="4" w:space="0"/>
            </w:tcBorders>
            <w:vAlign w:val="center"/>
          </w:tcPr>
          <w:p w14:paraId="72A856D3">
            <w:pPr>
              <w:jc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1636" w:type="dxa"/>
            <w:tcBorders>
              <w:top w:val="nil"/>
              <w:left w:val="nil"/>
              <w:bottom w:val="single" w:color="auto" w:sz="4" w:space="0"/>
              <w:right w:val="single" w:color="auto" w:sz="4" w:space="0"/>
            </w:tcBorders>
            <w:vAlign w:val="center"/>
          </w:tcPr>
          <w:p w14:paraId="69EC9F06">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29000.00 </w:t>
            </w:r>
          </w:p>
        </w:tc>
        <w:tc>
          <w:tcPr>
            <w:tcW w:w="1867" w:type="dxa"/>
            <w:tcBorders>
              <w:top w:val="nil"/>
              <w:left w:val="nil"/>
              <w:bottom w:val="single" w:color="auto" w:sz="4" w:space="0"/>
              <w:right w:val="single" w:color="auto" w:sz="4" w:space="0"/>
            </w:tcBorders>
            <w:vAlign w:val="center"/>
          </w:tcPr>
          <w:p w14:paraId="08FBDF6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4.00 </w:t>
            </w:r>
          </w:p>
        </w:tc>
        <w:tc>
          <w:tcPr>
            <w:tcW w:w="2022" w:type="dxa"/>
            <w:tcBorders>
              <w:top w:val="nil"/>
              <w:left w:val="nil"/>
              <w:bottom w:val="single" w:color="auto" w:sz="4" w:space="0"/>
              <w:right w:val="single" w:color="auto" w:sz="4" w:space="0"/>
            </w:tcBorders>
            <w:vAlign w:val="center"/>
          </w:tcPr>
          <w:p w14:paraId="122B5DE4">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900</w:t>
            </w:r>
          </w:p>
        </w:tc>
        <w:tc>
          <w:tcPr>
            <w:tcW w:w="2022" w:type="dxa"/>
            <w:tcBorders>
              <w:top w:val="nil"/>
              <w:left w:val="nil"/>
              <w:bottom w:val="single" w:color="auto" w:sz="4" w:space="0"/>
              <w:right w:val="single" w:color="auto" w:sz="4" w:space="0"/>
            </w:tcBorders>
            <w:vAlign w:val="center"/>
          </w:tcPr>
          <w:p w14:paraId="01B3B48D">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29904.00 </w:t>
            </w:r>
          </w:p>
        </w:tc>
      </w:tr>
      <w:tr w14:paraId="4B4C4D90">
        <w:tblPrEx>
          <w:tblCellMar>
            <w:top w:w="0" w:type="dxa"/>
            <w:left w:w="108" w:type="dxa"/>
            <w:bottom w:w="0" w:type="dxa"/>
            <w:right w:w="108" w:type="dxa"/>
          </w:tblCellMar>
        </w:tblPrEx>
        <w:trPr>
          <w:trHeight w:val="630" w:hRule="atLeast"/>
        </w:trPr>
        <w:tc>
          <w:tcPr>
            <w:tcW w:w="1290" w:type="dxa"/>
            <w:tcBorders>
              <w:top w:val="single" w:color="auto" w:sz="4" w:space="0"/>
              <w:left w:val="single" w:color="auto" w:sz="4" w:space="0"/>
              <w:bottom w:val="single" w:color="auto" w:sz="4" w:space="0"/>
              <w:right w:val="single" w:color="auto" w:sz="4" w:space="0"/>
            </w:tcBorders>
            <w:vAlign w:val="center"/>
          </w:tcPr>
          <w:p w14:paraId="29DF0E54">
            <w:pPr>
              <w:jc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1636" w:type="dxa"/>
            <w:tcBorders>
              <w:top w:val="nil"/>
              <w:left w:val="nil"/>
              <w:bottom w:val="single" w:color="auto" w:sz="4" w:space="0"/>
              <w:right w:val="single" w:color="auto" w:sz="4" w:space="0"/>
            </w:tcBorders>
            <w:vAlign w:val="center"/>
          </w:tcPr>
          <w:p w14:paraId="335E2518">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29800.00 </w:t>
            </w:r>
          </w:p>
        </w:tc>
        <w:tc>
          <w:tcPr>
            <w:tcW w:w="1867" w:type="dxa"/>
            <w:tcBorders>
              <w:top w:val="nil"/>
              <w:left w:val="nil"/>
              <w:bottom w:val="single" w:color="auto" w:sz="4" w:space="0"/>
              <w:right w:val="single" w:color="auto" w:sz="4" w:space="0"/>
            </w:tcBorders>
            <w:vAlign w:val="center"/>
          </w:tcPr>
          <w:p w14:paraId="07C6D2D9">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5.00 </w:t>
            </w:r>
          </w:p>
        </w:tc>
        <w:tc>
          <w:tcPr>
            <w:tcW w:w="2022" w:type="dxa"/>
            <w:tcBorders>
              <w:top w:val="nil"/>
              <w:left w:val="nil"/>
              <w:bottom w:val="single" w:color="auto" w:sz="4" w:space="0"/>
              <w:right w:val="single" w:color="auto" w:sz="4" w:space="0"/>
            </w:tcBorders>
            <w:vAlign w:val="center"/>
          </w:tcPr>
          <w:p w14:paraId="662BA76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1000</w:t>
            </w:r>
          </w:p>
        </w:tc>
        <w:tc>
          <w:tcPr>
            <w:tcW w:w="2022" w:type="dxa"/>
            <w:tcBorders>
              <w:top w:val="nil"/>
              <w:left w:val="nil"/>
              <w:bottom w:val="single" w:color="auto" w:sz="4" w:space="0"/>
              <w:right w:val="single" w:color="auto" w:sz="4" w:space="0"/>
            </w:tcBorders>
            <w:vAlign w:val="center"/>
          </w:tcPr>
          <w:p w14:paraId="0A3EF7F8">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30805.00 </w:t>
            </w:r>
          </w:p>
        </w:tc>
      </w:tr>
      <w:tr w14:paraId="1763279A">
        <w:tblPrEx>
          <w:tblCellMar>
            <w:top w:w="0" w:type="dxa"/>
            <w:left w:w="108" w:type="dxa"/>
            <w:bottom w:w="0" w:type="dxa"/>
            <w:right w:w="108" w:type="dxa"/>
          </w:tblCellMar>
        </w:tblPrEx>
        <w:trPr>
          <w:trHeight w:val="630" w:hRule="atLeast"/>
        </w:trPr>
        <w:tc>
          <w:tcPr>
            <w:tcW w:w="1290" w:type="dxa"/>
            <w:tcBorders>
              <w:top w:val="single" w:color="auto" w:sz="4" w:space="0"/>
              <w:left w:val="single" w:color="auto" w:sz="4" w:space="0"/>
              <w:bottom w:val="single" w:color="auto" w:sz="4" w:space="0"/>
              <w:right w:val="single" w:color="auto" w:sz="4" w:space="0"/>
            </w:tcBorders>
            <w:vAlign w:val="center"/>
          </w:tcPr>
          <w:p w14:paraId="2AB82394">
            <w:pPr>
              <w:jc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1636" w:type="dxa"/>
            <w:tcBorders>
              <w:top w:val="nil"/>
              <w:left w:val="nil"/>
              <w:bottom w:val="single" w:color="auto" w:sz="4" w:space="0"/>
              <w:right w:val="single" w:color="auto" w:sz="4" w:space="0"/>
            </w:tcBorders>
            <w:vAlign w:val="center"/>
          </w:tcPr>
          <w:p w14:paraId="328E910A">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30200.00 </w:t>
            </w:r>
          </w:p>
        </w:tc>
        <w:tc>
          <w:tcPr>
            <w:tcW w:w="1867" w:type="dxa"/>
            <w:tcBorders>
              <w:top w:val="nil"/>
              <w:left w:val="nil"/>
              <w:bottom w:val="single" w:color="auto" w:sz="4" w:space="0"/>
              <w:right w:val="single" w:color="auto" w:sz="4" w:space="0"/>
            </w:tcBorders>
            <w:vAlign w:val="center"/>
          </w:tcPr>
          <w:p w14:paraId="4CCA8398">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12.00 </w:t>
            </w:r>
          </w:p>
        </w:tc>
        <w:tc>
          <w:tcPr>
            <w:tcW w:w="2022" w:type="dxa"/>
            <w:tcBorders>
              <w:top w:val="nil"/>
              <w:left w:val="nil"/>
              <w:bottom w:val="single" w:color="auto" w:sz="4" w:space="0"/>
              <w:right w:val="single" w:color="auto" w:sz="4" w:space="0"/>
            </w:tcBorders>
            <w:vAlign w:val="center"/>
          </w:tcPr>
          <w:p w14:paraId="5632F8F3">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1100</w:t>
            </w:r>
          </w:p>
        </w:tc>
        <w:tc>
          <w:tcPr>
            <w:tcW w:w="2022" w:type="dxa"/>
            <w:tcBorders>
              <w:top w:val="nil"/>
              <w:left w:val="nil"/>
              <w:bottom w:val="single" w:color="auto" w:sz="4" w:space="0"/>
              <w:right w:val="single" w:color="auto" w:sz="4" w:space="0"/>
            </w:tcBorders>
            <w:vAlign w:val="center"/>
          </w:tcPr>
          <w:p w14:paraId="10D805FC">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31312.00 </w:t>
            </w:r>
          </w:p>
        </w:tc>
      </w:tr>
      <w:tr w14:paraId="6B624AC6">
        <w:tblPrEx>
          <w:tblCellMar>
            <w:top w:w="0" w:type="dxa"/>
            <w:left w:w="108" w:type="dxa"/>
            <w:bottom w:w="0" w:type="dxa"/>
            <w:right w:w="108" w:type="dxa"/>
          </w:tblCellMar>
        </w:tblPrEx>
        <w:trPr>
          <w:trHeight w:val="630" w:hRule="atLeast"/>
        </w:trPr>
        <w:tc>
          <w:tcPr>
            <w:tcW w:w="1290" w:type="dxa"/>
            <w:tcBorders>
              <w:top w:val="single" w:color="auto" w:sz="4" w:space="0"/>
              <w:left w:val="single" w:color="auto" w:sz="4" w:space="0"/>
              <w:bottom w:val="single" w:color="auto" w:sz="4" w:space="0"/>
              <w:right w:val="single" w:color="auto" w:sz="4" w:space="0"/>
            </w:tcBorders>
            <w:vAlign w:val="center"/>
          </w:tcPr>
          <w:p w14:paraId="46D7EF8F">
            <w:pPr>
              <w:jc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1636" w:type="dxa"/>
            <w:tcBorders>
              <w:top w:val="single" w:color="auto" w:sz="4" w:space="0"/>
              <w:left w:val="single" w:color="auto" w:sz="4" w:space="0"/>
              <w:bottom w:val="single" w:color="auto" w:sz="4" w:space="0"/>
              <w:right w:val="single" w:color="auto" w:sz="4" w:space="0"/>
            </w:tcBorders>
            <w:vAlign w:val="center"/>
          </w:tcPr>
          <w:p w14:paraId="616CA3FA">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34000.00 </w:t>
            </w:r>
          </w:p>
        </w:tc>
        <w:tc>
          <w:tcPr>
            <w:tcW w:w="1867" w:type="dxa"/>
            <w:tcBorders>
              <w:top w:val="single" w:color="auto" w:sz="4" w:space="0"/>
              <w:left w:val="single" w:color="auto" w:sz="4" w:space="0"/>
              <w:bottom w:val="single" w:color="auto" w:sz="4" w:space="0"/>
              <w:right w:val="single" w:color="auto" w:sz="4" w:space="0"/>
            </w:tcBorders>
            <w:vAlign w:val="center"/>
          </w:tcPr>
          <w:p w14:paraId="45350EEF">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20.00 </w:t>
            </w:r>
          </w:p>
        </w:tc>
        <w:tc>
          <w:tcPr>
            <w:tcW w:w="2022" w:type="dxa"/>
            <w:tcBorders>
              <w:top w:val="single" w:color="auto" w:sz="4" w:space="0"/>
              <w:left w:val="single" w:color="auto" w:sz="4" w:space="0"/>
              <w:bottom w:val="single" w:color="auto" w:sz="4" w:space="0"/>
              <w:right w:val="single" w:color="auto" w:sz="4" w:space="0"/>
            </w:tcBorders>
            <w:vAlign w:val="center"/>
          </w:tcPr>
          <w:p w14:paraId="4759F574">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1300</w:t>
            </w:r>
          </w:p>
        </w:tc>
        <w:tc>
          <w:tcPr>
            <w:tcW w:w="2022" w:type="dxa"/>
            <w:tcBorders>
              <w:top w:val="single" w:color="auto" w:sz="4" w:space="0"/>
              <w:left w:val="single" w:color="auto" w:sz="4" w:space="0"/>
              <w:bottom w:val="single" w:color="auto" w:sz="4" w:space="0"/>
              <w:right w:val="single" w:color="auto" w:sz="4" w:space="0"/>
            </w:tcBorders>
            <w:vAlign w:val="center"/>
          </w:tcPr>
          <w:p w14:paraId="21841E63">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35320.00 </w:t>
            </w:r>
          </w:p>
        </w:tc>
      </w:tr>
      <w:tr w14:paraId="4A9664F2">
        <w:tblPrEx>
          <w:tblCellMar>
            <w:top w:w="0" w:type="dxa"/>
            <w:left w:w="108" w:type="dxa"/>
            <w:bottom w:w="0" w:type="dxa"/>
            <w:right w:w="108" w:type="dxa"/>
          </w:tblCellMar>
        </w:tblPrEx>
        <w:trPr>
          <w:trHeight w:val="642" w:hRule="atLeast"/>
        </w:trPr>
        <w:tc>
          <w:tcPr>
            <w:tcW w:w="1290" w:type="dxa"/>
            <w:tcBorders>
              <w:top w:val="single" w:color="auto" w:sz="4" w:space="0"/>
              <w:left w:val="single" w:color="auto" w:sz="4" w:space="0"/>
              <w:bottom w:val="single" w:color="auto" w:sz="4" w:space="0"/>
              <w:right w:val="single" w:color="auto" w:sz="4" w:space="0"/>
            </w:tcBorders>
            <w:vAlign w:val="center"/>
          </w:tcPr>
          <w:p w14:paraId="69FE143A">
            <w:pPr>
              <w:jc w:val="center"/>
              <w:rPr>
                <w:rFonts w:ascii="Times New Roman" w:hAnsi="Times New Roman" w:eastAsia="仿宋_GB2312"/>
                <w:color w:val="000000"/>
                <w:sz w:val="24"/>
              </w:rPr>
            </w:pPr>
            <w:r>
              <w:rPr>
                <w:rFonts w:hint="eastAsia" w:ascii="Times New Roman" w:hAnsi="Times New Roman" w:eastAsia="仿宋_GB2312"/>
                <w:color w:val="000000"/>
                <w:sz w:val="24"/>
              </w:rPr>
              <w:t>2</w:t>
            </w:r>
            <w:r>
              <w:rPr>
                <w:rFonts w:ascii="Times New Roman" w:hAnsi="Times New Roman" w:eastAsia="仿宋_GB2312"/>
                <w:color w:val="000000"/>
                <w:sz w:val="24"/>
              </w:rPr>
              <w:t>020</w:t>
            </w:r>
          </w:p>
        </w:tc>
        <w:tc>
          <w:tcPr>
            <w:tcW w:w="1636" w:type="dxa"/>
            <w:tcBorders>
              <w:top w:val="single" w:color="auto" w:sz="4" w:space="0"/>
              <w:left w:val="single" w:color="auto" w:sz="4" w:space="0"/>
              <w:bottom w:val="single" w:color="auto" w:sz="4" w:space="0"/>
              <w:right w:val="single" w:color="auto" w:sz="4" w:space="0"/>
            </w:tcBorders>
            <w:vAlign w:val="center"/>
          </w:tcPr>
          <w:p w14:paraId="3FDD5281">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34000.00 </w:t>
            </w:r>
          </w:p>
        </w:tc>
        <w:tc>
          <w:tcPr>
            <w:tcW w:w="1867" w:type="dxa"/>
            <w:tcBorders>
              <w:top w:val="single" w:color="auto" w:sz="4" w:space="0"/>
              <w:left w:val="single" w:color="auto" w:sz="4" w:space="0"/>
              <w:bottom w:val="single" w:color="auto" w:sz="4" w:space="0"/>
              <w:right w:val="single" w:color="auto" w:sz="4" w:space="0"/>
            </w:tcBorders>
            <w:vAlign w:val="center"/>
          </w:tcPr>
          <w:p w14:paraId="119815F3">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20.00 </w:t>
            </w:r>
          </w:p>
        </w:tc>
        <w:tc>
          <w:tcPr>
            <w:tcW w:w="2022" w:type="dxa"/>
            <w:tcBorders>
              <w:top w:val="single" w:color="auto" w:sz="4" w:space="0"/>
              <w:left w:val="single" w:color="auto" w:sz="4" w:space="0"/>
              <w:bottom w:val="single" w:color="auto" w:sz="4" w:space="0"/>
              <w:right w:val="single" w:color="auto" w:sz="4" w:space="0"/>
            </w:tcBorders>
            <w:vAlign w:val="center"/>
          </w:tcPr>
          <w:p w14:paraId="26452B18">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1300</w:t>
            </w:r>
          </w:p>
        </w:tc>
        <w:tc>
          <w:tcPr>
            <w:tcW w:w="2022" w:type="dxa"/>
            <w:tcBorders>
              <w:top w:val="single" w:color="auto" w:sz="4" w:space="0"/>
              <w:left w:val="single" w:color="auto" w:sz="4" w:space="0"/>
              <w:bottom w:val="single" w:color="auto" w:sz="4" w:space="0"/>
              <w:right w:val="single" w:color="auto" w:sz="4" w:space="0"/>
            </w:tcBorders>
            <w:vAlign w:val="center"/>
          </w:tcPr>
          <w:p w14:paraId="0394A75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 xml:space="preserve">35320.00 </w:t>
            </w:r>
          </w:p>
        </w:tc>
      </w:tr>
    </w:tbl>
    <w:p w14:paraId="45CA616A">
      <w:pPr>
        <w:rPr>
          <w:rFonts w:ascii="Times New Roman" w:hAnsi="Times New Roman"/>
        </w:rPr>
      </w:pPr>
      <w:r>
        <w:rPr>
          <w:lang w:val="en-US"/>
        </w:rPr>
        <w:drawing>
          <wp:inline distT="0" distB="0" distL="0" distR="0">
            <wp:extent cx="5282565" cy="2540000"/>
            <wp:effectExtent l="0" t="0" r="13335" b="12700"/>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5C48018">
      <w:pPr>
        <w:spacing w:after="0" w:line="560" w:lineRule="exact"/>
        <w:jc w:val="center"/>
        <w:rPr>
          <w:rFonts w:ascii="Times New Roman" w:hAnsi="Times New Roman"/>
        </w:rPr>
      </w:pPr>
      <w:r>
        <w:rPr>
          <w:rFonts w:ascii="Times New Roman" w:hAnsi="Times New Roman" w:eastAsia="仿宋_GB2312"/>
          <w:sz w:val="24"/>
        </w:rPr>
        <w:t>图XX  排放量变化趋势图（增加</w:t>
      </w:r>
      <w:r>
        <w:rPr>
          <w:rFonts w:hint="eastAsia" w:ascii="Times New Roman" w:hAnsi="Times New Roman" w:eastAsia="仿宋_GB2312"/>
          <w:sz w:val="24"/>
        </w:rPr>
        <w:t>2</w:t>
      </w:r>
      <w:r>
        <w:rPr>
          <w:rFonts w:ascii="Times New Roman" w:hAnsi="Times New Roman" w:eastAsia="仿宋_GB2312"/>
          <w:sz w:val="24"/>
        </w:rPr>
        <w:t>020年）</w:t>
      </w:r>
    </w:p>
    <w:p w14:paraId="0C9DC59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4936EEB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6AA837E2">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排放单位核算和报告边界为北京市辖区内的服务范围，包括xx个公交场站，</w:t>
      </w:r>
      <w:r>
        <w:rPr>
          <w:rFonts w:hint="eastAsia" w:ascii="Times New Roman" w:hAnsi="Times New Roman" w:eastAsia="仿宋_GB2312"/>
          <w:sz w:val="32"/>
          <w:szCs w:val="32"/>
        </w:rPr>
        <w:t>汽油车xx辆，柴油车xx辆，电动车xx辆，LNG混合动力车xx辆，CNG混合动力车xx辆，</w:t>
      </w:r>
      <w:r>
        <w:rPr>
          <w:rFonts w:ascii="Times New Roman" w:hAnsi="Times New Roman" w:eastAsia="仿宋_GB2312"/>
          <w:sz w:val="32"/>
          <w:szCs w:val="32"/>
        </w:rPr>
        <w:t>xxx条运输线路。与上一年度相比，场所边界无变化；与基准年相比，场所边界无变化。</w:t>
      </w:r>
    </w:p>
    <w:p w14:paraId="7D72C2E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4ADF4129">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排放单位固定设施不涉及既有配额调整。</w:t>
      </w:r>
    </w:p>
    <w:p w14:paraId="60CD04EE">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排放单位无既有设施退出。</w:t>
      </w:r>
    </w:p>
    <w:p w14:paraId="28B22D8B">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根据交通企业配额调整办法，新增移动设施不需要申请配额调整，因此未对移动设施的排放量及对应的活动水平数据进行核查。排放单位新增设施详见下表：</w:t>
      </w:r>
    </w:p>
    <w:p w14:paraId="48F1DD66">
      <w:pPr>
        <w:spacing w:after="0" w:line="560" w:lineRule="exact"/>
        <w:ind w:firstLine="640" w:firstLineChars="200"/>
        <w:jc w:val="both"/>
        <w:rPr>
          <w:rFonts w:ascii="Times New Roman" w:hAnsi="Times New Roman" w:eastAsia="仿宋_GB2312"/>
          <w:sz w:val="32"/>
          <w:szCs w:val="32"/>
        </w:rPr>
      </w:pPr>
    </w:p>
    <w:p w14:paraId="574FA891">
      <w:pPr>
        <w:spacing w:after="0" w:line="560" w:lineRule="exact"/>
        <w:jc w:val="center"/>
        <w:rPr>
          <w:rFonts w:ascii="Times New Roman" w:hAnsi="Times New Roman" w:eastAsia="仿宋_GB2312"/>
          <w:sz w:val="24"/>
        </w:rPr>
      </w:pPr>
      <w:r>
        <w:rPr>
          <w:rFonts w:ascii="Times New Roman" w:hAnsi="Times New Roman" w:eastAsia="仿宋_GB2312"/>
          <w:sz w:val="24"/>
        </w:rPr>
        <w:t>表XX  新增设施信息表</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97"/>
        <w:gridCol w:w="2087"/>
        <w:gridCol w:w="1562"/>
        <w:gridCol w:w="1562"/>
        <w:gridCol w:w="1564"/>
      </w:tblGrid>
      <w:tr w14:paraId="46E5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42549CA8">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797" w:type="dxa"/>
            <w:vAlign w:val="center"/>
          </w:tcPr>
          <w:p w14:paraId="3A6B7AF0">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2087" w:type="dxa"/>
            <w:vAlign w:val="center"/>
          </w:tcPr>
          <w:p w14:paraId="639D810A">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1562" w:type="dxa"/>
            <w:vAlign w:val="center"/>
          </w:tcPr>
          <w:p w14:paraId="4227A928">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1562" w:type="dxa"/>
            <w:vAlign w:val="center"/>
          </w:tcPr>
          <w:p w14:paraId="022D0169">
            <w:pPr>
              <w:tabs>
                <w:tab w:val="left" w:pos="1701"/>
              </w:tabs>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1564" w:type="dxa"/>
            <w:vAlign w:val="center"/>
          </w:tcPr>
          <w:p w14:paraId="0CFEE692">
            <w:pPr>
              <w:tabs>
                <w:tab w:val="left" w:pos="1701"/>
              </w:tabs>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6893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69506276">
            <w:pPr>
              <w:jc w:val="center"/>
              <w:rPr>
                <w:rFonts w:ascii="Times New Roman" w:hAnsi="Times New Roman" w:eastAsia="仿宋_GB2312"/>
                <w:sz w:val="24"/>
              </w:rPr>
            </w:pPr>
            <w:r>
              <w:rPr>
                <w:rFonts w:ascii="Times New Roman" w:hAnsi="Times New Roman" w:eastAsia="仿宋_GB2312"/>
                <w:color w:val="000000"/>
                <w:sz w:val="24"/>
              </w:rPr>
              <w:t>1</w:t>
            </w:r>
          </w:p>
        </w:tc>
        <w:tc>
          <w:tcPr>
            <w:tcW w:w="797" w:type="dxa"/>
            <w:vAlign w:val="center"/>
          </w:tcPr>
          <w:p w14:paraId="26C8A785">
            <w:pPr>
              <w:jc w:val="center"/>
              <w:rPr>
                <w:rFonts w:ascii="Times New Roman" w:hAnsi="Times New Roman" w:eastAsia="仿宋_GB2312"/>
                <w:sz w:val="24"/>
              </w:rPr>
            </w:pPr>
            <w:r>
              <w:rPr>
                <w:rFonts w:ascii="Times New Roman" w:hAnsi="Times New Roman" w:eastAsia="仿宋_GB2312"/>
                <w:sz w:val="24"/>
              </w:rPr>
              <w:t>2019</w:t>
            </w:r>
          </w:p>
        </w:tc>
        <w:tc>
          <w:tcPr>
            <w:tcW w:w="2087" w:type="dxa"/>
            <w:vAlign w:val="center"/>
          </w:tcPr>
          <w:p w14:paraId="48F8896A">
            <w:pPr>
              <w:jc w:val="center"/>
              <w:rPr>
                <w:rFonts w:ascii="Times New Roman" w:hAnsi="Times New Roman" w:eastAsia="仿宋_GB2312"/>
                <w:sz w:val="24"/>
              </w:rPr>
            </w:pPr>
            <w:r>
              <w:rPr>
                <w:rFonts w:ascii="Times New Roman" w:hAnsi="Times New Roman" w:eastAsia="仿宋_GB2312"/>
                <w:sz w:val="24"/>
              </w:rPr>
              <w:t>移动设施：新增xx台LNG（xx）和CNG（xx）混合动力公交车</w:t>
            </w:r>
          </w:p>
        </w:tc>
        <w:tc>
          <w:tcPr>
            <w:tcW w:w="1562" w:type="dxa"/>
            <w:vAlign w:val="center"/>
          </w:tcPr>
          <w:p w14:paraId="67AD54A7">
            <w:pPr>
              <w:jc w:val="center"/>
              <w:rPr>
                <w:rFonts w:ascii="Times New Roman" w:hAnsi="Times New Roman" w:eastAsia="仿宋_GB2312"/>
                <w:sz w:val="24"/>
              </w:rPr>
            </w:pPr>
            <w:r>
              <w:rPr>
                <w:rFonts w:ascii="Times New Roman" w:hAnsi="Times New Roman" w:eastAsia="仿宋_GB2312"/>
                <w:sz w:val="24"/>
              </w:rPr>
              <w:t>否</w:t>
            </w:r>
          </w:p>
        </w:tc>
        <w:tc>
          <w:tcPr>
            <w:tcW w:w="1562" w:type="dxa"/>
            <w:vAlign w:val="center"/>
          </w:tcPr>
          <w:p w14:paraId="2B1BE4D9">
            <w:pPr>
              <w:jc w:val="center"/>
              <w:rPr>
                <w:rFonts w:ascii="Times New Roman" w:hAnsi="Times New Roman" w:eastAsia="仿宋_GB2312"/>
                <w:sz w:val="24"/>
              </w:rPr>
            </w:pPr>
            <w:r>
              <w:rPr>
                <w:rFonts w:ascii="Times New Roman" w:hAnsi="Times New Roman" w:eastAsia="仿宋_GB2312"/>
                <w:sz w:val="24"/>
              </w:rPr>
              <w:t>/</w:t>
            </w:r>
          </w:p>
        </w:tc>
        <w:tc>
          <w:tcPr>
            <w:tcW w:w="1564" w:type="dxa"/>
            <w:vAlign w:val="center"/>
          </w:tcPr>
          <w:p w14:paraId="03BB904C">
            <w:pPr>
              <w:jc w:val="center"/>
              <w:rPr>
                <w:rFonts w:ascii="Times New Roman" w:hAnsi="Times New Roman" w:eastAsia="仿宋_GB2312"/>
                <w:sz w:val="24"/>
              </w:rPr>
            </w:pPr>
            <w:r>
              <w:rPr>
                <w:rFonts w:ascii="Times New Roman" w:hAnsi="Times New Roman" w:eastAsia="仿宋_GB2312"/>
                <w:sz w:val="24"/>
              </w:rPr>
              <w:t>/</w:t>
            </w:r>
          </w:p>
        </w:tc>
      </w:tr>
      <w:tr w14:paraId="2275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6F76CA88">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797" w:type="dxa"/>
            <w:vAlign w:val="center"/>
          </w:tcPr>
          <w:p w14:paraId="77B20A2D">
            <w:pPr>
              <w:jc w:val="center"/>
              <w:rPr>
                <w:rFonts w:ascii="Times New Roman" w:hAnsi="Times New Roman" w:eastAsia="仿宋_GB2312"/>
                <w:sz w:val="24"/>
              </w:rPr>
            </w:pPr>
            <w:r>
              <w:rPr>
                <w:rFonts w:ascii="Times New Roman" w:hAnsi="Times New Roman" w:eastAsia="仿宋_GB2312"/>
                <w:sz w:val="24"/>
              </w:rPr>
              <w:t>2019</w:t>
            </w:r>
          </w:p>
        </w:tc>
        <w:tc>
          <w:tcPr>
            <w:tcW w:w="2087" w:type="dxa"/>
            <w:vAlign w:val="center"/>
          </w:tcPr>
          <w:p w14:paraId="7AA90F13">
            <w:pPr>
              <w:jc w:val="center"/>
              <w:rPr>
                <w:rFonts w:ascii="Times New Roman" w:hAnsi="Times New Roman" w:eastAsia="仿宋_GB2312"/>
                <w:sz w:val="24"/>
              </w:rPr>
            </w:pPr>
            <w:r>
              <w:rPr>
                <w:rFonts w:ascii="Times New Roman" w:hAnsi="Times New Roman" w:eastAsia="仿宋_GB2312"/>
                <w:sz w:val="24"/>
              </w:rPr>
              <w:t>移动设施：新增xx台LNG（xx）和CNG（xx）混合动力公交车，电动车xx台。</w:t>
            </w:r>
          </w:p>
        </w:tc>
        <w:tc>
          <w:tcPr>
            <w:tcW w:w="1562" w:type="dxa"/>
            <w:vAlign w:val="center"/>
          </w:tcPr>
          <w:p w14:paraId="27A88519">
            <w:pPr>
              <w:jc w:val="center"/>
              <w:rPr>
                <w:rFonts w:ascii="Times New Roman" w:hAnsi="Times New Roman" w:eastAsia="仿宋_GB2312"/>
                <w:sz w:val="24"/>
              </w:rPr>
            </w:pPr>
            <w:r>
              <w:rPr>
                <w:rFonts w:ascii="Times New Roman" w:hAnsi="Times New Roman" w:eastAsia="仿宋_GB2312"/>
                <w:sz w:val="24"/>
              </w:rPr>
              <w:t>否</w:t>
            </w:r>
          </w:p>
        </w:tc>
        <w:tc>
          <w:tcPr>
            <w:tcW w:w="1562" w:type="dxa"/>
            <w:vAlign w:val="center"/>
          </w:tcPr>
          <w:p w14:paraId="00AF8CF9">
            <w:pPr>
              <w:jc w:val="center"/>
              <w:rPr>
                <w:rFonts w:ascii="Times New Roman" w:hAnsi="Times New Roman" w:eastAsia="仿宋_GB2312"/>
                <w:sz w:val="24"/>
              </w:rPr>
            </w:pPr>
            <w:r>
              <w:rPr>
                <w:rFonts w:ascii="Times New Roman" w:hAnsi="Times New Roman" w:eastAsia="仿宋_GB2312"/>
                <w:sz w:val="24"/>
              </w:rPr>
              <w:t>/</w:t>
            </w:r>
          </w:p>
        </w:tc>
        <w:tc>
          <w:tcPr>
            <w:tcW w:w="1564" w:type="dxa"/>
            <w:vAlign w:val="center"/>
          </w:tcPr>
          <w:p w14:paraId="133CE369">
            <w:pPr>
              <w:jc w:val="center"/>
              <w:rPr>
                <w:rFonts w:ascii="Times New Roman" w:hAnsi="Times New Roman" w:eastAsia="仿宋_GB2312"/>
                <w:sz w:val="24"/>
              </w:rPr>
            </w:pPr>
            <w:r>
              <w:rPr>
                <w:rFonts w:ascii="Times New Roman" w:hAnsi="Times New Roman" w:eastAsia="仿宋_GB2312"/>
                <w:sz w:val="24"/>
              </w:rPr>
              <w:t>/</w:t>
            </w:r>
          </w:p>
        </w:tc>
      </w:tr>
      <w:tr w14:paraId="4683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3D62627C">
            <w:pPr>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797" w:type="dxa"/>
            <w:vAlign w:val="center"/>
          </w:tcPr>
          <w:p w14:paraId="08A3C875">
            <w:pPr>
              <w:jc w:val="center"/>
              <w:rPr>
                <w:rFonts w:ascii="Times New Roman" w:hAnsi="Times New Roman" w:eastAsia="仿宋_GB2312"/>
                <w:sz w:val="24"/>
              </w:rPr>
            </w:pPr>
            <w:r>
              <w:rPr>
                <w:rFonts w:ascii="Times New Roman" w:hAnsi="Times New Roman" w:eastAsia="仿宋_GB2312"/>
                <w:sz w:val="24"/>
              </w:rPr>
              <w:t>2019</w:t>
            </w:r>
          </w:p>
        </w:tc>
        <w:tc>
          <w:tcPr>
            <w:tcW w:w="2087" w:type="dxa"/>
            <w:vAlign w:val="center"/>
          </w:tcPr>
          <w:p w14:paraId="2FDC72CF">
            <w:pPr>
              <w:jc w:val="center"/>
              <w:rPr>
                <w:rFonts w:ascii="Times New Roman" w:hAnsi="Times New Roman" w:eastAsia="仿宋_GB2312"/>
                <w:sz w:val="24"/>
              </w:rPr>
            </w:pPr>
            <w:r>
              <w:rPr>
                <w:rFonts w:ascii="Times New Roman" w:hAnsi="Times New Roman" w:eastAsia="仿宋_GB2312"/>
                <w:sz w:val="24"/>
              </w:rPr>
              <w:t>移动设施：xx辆客车</w:t>
            </w:r>
          </w:p>
        </w:tc>
        <w:tc>
          <w:tcPr>
            <w:tcW w:w="1562" w:type="dxa"/>
            <w:vAlign w:val="center"/>
          </w:tcPr>
          <w:p w14:paraId="271BB628">
            <w:pPr>
              <w:jc w:val="center"/>
              <w:rPr>
                <w:rFonts w:ascii="Times New Roman" w:hAnsi="Times New Roman" w:eastAsia="仿宋_GB2312"/>
                <w:sz w:val="24"/>
              </w:rPr>
            </w:pPr>
            <w:r>
              <w:rPr>
                <w:rFonts w:ascii="Times New Roman" w:hAnsi="Times New Roman" w:eastAsia="仿宋_GB2312"/>
                <w:sz w:val="24"/>
              </w:rPr>
              <w:t>否</w:t>
            </w:r>
          </w:p>
        </w:tc>
        <w:tc>
          <w:tcPr>
            <w:tcW w:w="1562" w:type="dxa"/>
            <w:vAlign w:val="center"/>
          </w:tcPr>
          <w:p w14:paraId="55C13BB9">
            <w:pPr>
              <w:jc w:val="center"/>
              <w:rPr>
                <w:rFonts w:ascii="Times New Roman" w:hAnsi="Times New Roman" w:eastAsia="仿宋_GB2312"/>
                <w:sz w:val="24"/>
              </w:rPr>
            </w:pPr>
            <w:r>
              <w:rPr>
                <w:rFonts w:ascii="Times New Roman" w:hAnsi="Times New Roman" w:eastAsia="仿宋_GB2312"/>
                <w:sz w:val="24"/>
              </w:rPr>
              <w:t>/</w:t>
            </w:r>
          </w:p>
        </w:tc>
        <w:tc>
          <w:tcPr>
            <w:tcW w:w="1564" w:type="dxa"/>
            <w:vAlign w:val="center"/>
          </w:tcPr>
          <w:p w14:paraId="13E11080">
            <w:pPr>
              <w:jc w:val="center"/>
              <w:rPr>
                <w:rFonts w:ascii="Times New Roman" w:hAnsi="Times New Roman" w:eastAsia="仿宋_GB2312"/>
                <w:sz w:val="24"/>
              </w:rPr>
            </w:pPr>
            <w:r>
              <w:rPr>
                <w:rFonts w:ascii="Times New Roman" w:hAnsi="Times New Roman" w:eastAsia="仿宋_GB2312"/>
                <w:sz w:val="24"/>
              </w:rPr>
              <w:t>/</w:t>
            </w:r>
          </w:p>
        </w:tc>
      </w:tr>
      <w:tr w14:paraId="691A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2CD8FD45">
            <w:pPr>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797" w:type="dxa"/>
            <w:vAlign w:val="center"/>
          </w:tcPr>
          <w:p w14:paraId="33EBF917">
            <w:pPr>
              <w:jc w:val="center"/>
              <w:rPr>
                <w:rFonts w:ascii="Times New Roman" w:hAnsi="Times New Roman" w:eastAsia="仿宋_GB2312"/>
                <w:sz w:val="24"/>
              </w:rPr>
            </w:pPr>
            <w:r>
              <w:rPr>
                <w:rFonts w:ascii="Times New Roman" w:hAnsi="Times New Roman" w:eastAsia="仿宋_GB2312"/>
                <w:sz w:val="24"/>
              </w:rPr>
              <w:t>2020</w:t>
            </w:r>
          </w:p>
        </w:tc>
        <w:tc>
          <w:tcPr>
            <w:tcW w:w="2087" w:type="dxa"/>
            <w:vAlign w:val="center"/>
          </w:tcPr>
          <w:p w14:paraId="416791BC">
            <w:pPr>
              <w:jc w:val="center"/>
              <w:rPr>
                <w:rFonts w:ascii="Times New Roman" w:hAnsi="Times New Roman" w:eastAsia="仿宋_GB2312"/>
                <w:sz w:val="24"/>
              </w:rPr>
            </w:pPr>
            <w:r>
              <w:rPr>
                <w:rFonts w:ascii="Times New Roman" w:hAnsi="Times New Roman" w:eastAsia="仿宋_GB2312"/>
                <w:sz w:val="24"/>
              </w:rPr>
              <w:t>xx辆柴油/电混合动力客车</w:t>
            </w:r>
          </w:p>
        </w:tc>
        <w:tc>
          <w:tcPr>
            <w:tcW w:w="1562" w:type="dxa"/>
            <w:vAlign w:val="center"/>
          </w:tcPr>
          <w:p w14:paraId="18C6AB8D">
            <w:pPr>
              <w:jc w:val="center"/>
              <w:rPr>
                <w:rFonts w:ascii="Times New Roman" w:hAnsi="Times New Roman" w:eastAsia="仿宋_GB2312"/>
                <w:sz w:val="24"/>
              </w:rPr>
            </w:pPr>
            <w:r>
              <w:rPr>
                <w:rFonts w:ascii="Times New Roman" w:hAnsi="Times New Roman" w:eastAsia="仿宋_GB2312"/>
                <w:sz w:val="24"/>
              </w:rPr>
              <w:t>否</w:t>
            </w:r>
          </w:p>
        </w:tc>
        <w:tc>
          <w:tcPr>
            <w:tcW w:w="1562" w:type="dxa"/>
            <w:vAlign w:val="center"/>
          </w:tcPr>
          <w:p w14:paraId="003A5F76">
            <w:pPr>
              <w:jc w:val="center"/>
              <w:rPr>
                <w:rFonts w:ascii="Times New Roman" w:hAnsi="Times New Roman" w:eastAsia="仿宋_GB2312"/>
                <w:sz w:val="24"/>
              </w:rPr>
            </w:pPr>
            <w:r>
              <w:rPr>
                <w:rFonts w:ascii="Times New Roman" w:hAnsi="Times New Roman" w:eastAsia="仿宋_GB2312"/>
                <w:sz w:val="24"/>
              </w:rPr>
              <w:t>/</w:t>
            </w:r>
          </w:p>
        </w:tc>
        <w:tc>
          <w:tcPr>
            <w:tcW w:w="1564" w:type="dxa"/>
            <w:vAlign w:val="center"/>
          </w:tcPr>
          <w:p w14:paraId="33CDFFDB">
            <w:pPr>
              <w:jc w:val="center"/>
              <w:rPr>
                <w:rFonts w:ascii="Times New Roman" w:hAnsi="Times New Roman" w:eastAsia="仿宋_GB2312"/>
                <w:sz w:val="24"/>
              </w:rPr>
            </w:pPr>
            <w:r>
              <w:rPr>
                <w:rFonts w:ascii="Times New Roman" w:hAnsi="Times New Roman" w:eastAsia="仿宋_GB2312"/>
                <w:sz w:val="24"/>
              </w:rPr>
              <w:t>/</w:t>
            </w:r>
          </w:p>
        </w:tc>
      </w:tr>
      <w:tr w14:paraId="764E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C3BF707">
            <w:pPr>
              <w:jc w:val="center"/>
              <w:rPr>
                <w:rFonts w:ascii="Times New Roman" w:hAnsi="Times New Roman" w:eastAsia="仿宋_GB2312"/>
                <w:color w:val="000000"/>
                <w:sz w:val="24"/>
              </w:rPr>
            </w:pPr>
          </w:p>
        </w:tc>
        <w:tc>
          <w:tcPr>
            <w:tcW w:w="797" w:type="dxa"/>
            <w:vAlign w:val="center"/>
          </w:tcPr>
          <w:p w14:paraId="29735E01">
            <w:pPr>
              <w:jc w:val="center"/>
              <w:rPr>
                <w:rFonts w:ascii="Times New Roman" w:hAnsi="Times New Roman" w:eastAsia="仿宋_GB2312"/>
                <w:sz w:val="24"/>
              </w:rPr>
            </w:pPr>
          </w:p>
        </w:tc>
        <w:tc>
          <w:tcPr>
            <w:tcW w:w="2087" w:type="dxa"/>
            <w:vAlign w:val="center"/>
          </w:tcPr>
          <w:p w14:paraId="1FBB17C4">
            <w:pPr>
              <w:jc w:val="center"/>
              <w:rPr>
                <w:rFonts w:ascii="Times New Roman" w:hAnsi="Times New Roman" w:eastAsia="仿宋_GB2312"/>
                <w:sz w:val="24"/>
              </w:rPr>
            </w:pPr>
          </w:p>
        </w:tc>
        <w:tc>
          <w:tcPr>
            <w:tcW w:w="1562" w:type="dxa"/>
            <w:vAlign w:val="center"/>
          </w:tcPr>
          <w:p w14:paraId="0DAA42D8">
            <w:pPr>
              <w:jc w:val="center"/>
              <w:rPr>
                <w:rFonts w:ascii="Times New Roman" w:hAnsi="Times New Roman" w:eastAsia="仿宋_GB2312"/>
                <w:sz w:val="24"/>
              </w:rPr>
            </w:pPr>
          </w:p>
        </w:tc>
        <w:tc>
          <w:tcPr>
            <w:tcW w:w="1562" w:type="dxa"/>
            <w:vAlign w:val="center"/>
          </w:tcPr>
          <w:p w14:paraId="472B9121">
            <w:pPr>
              <w:jc w:val="center"/>
              <w:rPr>
                <w:rFonts w:ascii="Times New Roman" w:hAnsi="Times New Roman" w:eastAsia="仿宋_GB2312"/>
                <w:sz w:val="24"/>
              </w:rPr>
            </w:pPr>
          </w:p>
        </w:tc>
        <w:tc>
          <w:tcPr>
            <w:tcW w:w="1564" w:type="dxa"/>
            <w:vAlign w:val="center"/>
          </w:tcPr>
          <w:p w14:paraId="549A2793">
            <w:pPr>
              <w:jc w:val="center"/>
              <w:rPr>
                <w:rFonts w:ascii="Times New Roman" w:hAnsi="Times New Roman" w:eastAsia="仿宋_GB2312"/>
                <w:sz w:val="24"/>
              </w:rPr>
            </w:pPr>
          </w:p>
        </w:tc>
      </w:tr>
    </w:tbl>
    <w:p w14:paraId="436EDA6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5.核查过程未覆盖的问题描述</w:t>
      </w:r>
    </w:p>
    <w:p w14:paraId="500CB578">
      <w:pPr>
        <w:spacing w:after="0" w:line="560" w:lineRule="exact"/>
        <w:ind w:firstLine="465"/>
        <w:jc w:val="both"/>
        <w:rPr>
          <w:rFonts w:ascii="Times New Roman" w:hAnsi="Times New Roman" w:eastAsia="仿宋_GB2312"/>
          <w:sz w:val="32"/>
          <w:szCs w:val="32"/>
        </w:rPr>
      </w:pPr>
      <w:r>
        <w:rPr>
          <w:rFonts w:ascii="Times New Roman" w:hAnsi="Times New Roman" w:eastAsia="仿宋_GB2312"/>
          <w:sz w:val="32"/>
          <w:szCs w:val="32"/>
        </w:rPr>
        <w:t>由于排放单位食堂液化石油气消耗量较低，排放单位液化石油气消耗量依据消耗罐数进行估计，因此未能核查液化石油气计量设备信息。</w:t>
      </w:r>
    </w:p>
    <w:p w14:paraId="09D75329">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由于电表为电力公司管控，因此未能核查电表的检定信息。</w:t>
      </w:r>
    </w:p>
    <w:p w14:paraId="4092A0F0">
      <w:pPr>
        <w:ind w:firstLine="465"/>
        <w:rPr>
          <w:rFonts w:ascii="Times New Roman" w:hAnsi="Times New Roman" w:eastAsia="仿宋"/>
          <w:sz w:val="24"/>
        </w:rPr>
      </w:pPr>
    </w:p>
    <w:p w14:paraId="29C5000C">
      <w:pPr>
        <w:pStyle w:val="4"/>
        <w:rPr>
          <w:rFonts w:ascii="Times New Roman" w:hAnsi="Times New Roman"/>
        </w:rPr>
        <w:sectPr>
          <w:pgSz w:w="11906" w:h="16838"/>
          <w:pgMar w:top="2098" w:right="1474" w:bottom="1984" w:left="1587" w:header="851" w:footer="1587" w:gutter="0"/>
          <w:pgNumType w:fmt="decimal"/>
          <w:cols w:space="0" w:num="1"/>
          <w:docGrid w:type="lines" w:linePitch="312" w:charSpace="0"/>
        </w:sectPr>
      </w:pPr>
    </w:p>
    <w:p w14:paraId="45D85EC3">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其他服务业企业（单位）</w:t>
      </w:r>
      <w:r>
        <w:rPr>
          <w:rFonts w:asciiTheme="majorEastAsia" w:hAnsiTheme="majorEastAsia" w:eastAsiaTheme="majorEastAsia"/>
          <w:sz w:val="32"/>
          <w:szCs w:val="32"/>
        </w:rPr>
        <w:t>-</w:t>
      </w:r>
      <w:r>
        <w:rPr>
          <w:rFonts w:hint="eastAsia" w:asciiTheme="majorEastAsia" w:hAnsiTheme="majorEastAsia" w:eastAsiaTheme="majorEastAsia"/>
          <w:sz w:val="32"/>
          <w:szCs w:val="32"/>
        </w:rPr>
        <w:t>通信</w:t>
      </w:r>
    </w:p>
    <w:p w14:paraId="729041E1">
      <w:pPr>
        <w:spacing w:after="0" w:line="560" w:lineRule="exact"/>
        <w:rPr>
          <w:rFonts w:eastAsia="仿宋_GB2312"/>
          <w:sz w:val="32"/>
          <w:szCs w:val="32"/>
        </w:rPr>
      </w:pPr>
      <w:r>
        <w:rPr>
          <w:rFonts w:eastAsia="仿宋_GB2312"/>
          <w:sz w:val="32"/>
          <w:szCs w:val="32"/>
        </w:rPr>
        <w:t>核查结论</w:t>
      </w:r>
    </w:p>
    <w:p w14:paraId="5262076E">
      <w:pPr>
        <w:spacing w:after="0" w:line="560" w:lineRule="exact"/>
        <w:ind w:firstLine="640" w:firstLineChars="200"/>
        <w:jc w:val="both"/>
        <w:rPr>
          <w:rFonts w:eastAsia="仿宋_GB2312"/>
          <w:sz w:val="32"/>
          <w:szCs w:val="32"/>
        </w:rPr>
      </w:pPr>
      <w:r>
        <w:rPr>
          <w:rFonts w:eastAsia="仿宋"/>
          <w:sz w:val="32"/>
          <w:szCs w:val="32"/>
        </w:rPr>
        <w:t>xxxx公司（以下简称排放单位）委托xxx公司开展</w:t>
      </w:r>
      <w:r>
        <w:rPr>
          <w:rFonts w:hint="eastAsia" w:eastAsia="仿宋"/>
          <w:sz w:val="32"/>
          <w:szCs w:val="32"/>
        </w:rPr>
        <w:t>XXXX年</w:t>
      </w:r>
      <w:r>
        <w:rPr>
          <w:rFonts w:eastAsia="仿宋_GB2312"/>
          <w:sz w:val="32"/>
          <w:szCs w:val="32"/>
        </w:rPr>
        <w:t>二氧化碳排放的核查工作。核查范围包括排放单位所有在北京市辖区内的固定设施导致的二氧化碳直接排放和二氧化碳间接排放。</w:t>
      </w:r>
    </w:p>
    <w:p w14:paraId="4A83093B">
      <w:pPr>
        <w:spacing w:after="0" w:line="560" w:lineRule="exact"/>
        <w:ind w:firstLine="640" w:firstLineChars="200"/>
        <w:jc w:val="both"/>
        <w:rPr>
          <w:rFonts w:eastAsia="仿宋_GB2312"/>
          <w:sz w:val="32"/>
          <w:szCs w:val="32"/>
        </w:rPr>
      </w:pPr>
      <w:r>
        <w:rPr>
          <w:rFonts w:eastAsia="仿宋_GB2312"/>
          <w:sz w:val="32"/>
          <w:szCs w:val="32"/>
        </w:rPr>
        <w:t>通过文件评审、现场访问、核查报告编写及内部技术复核，核查组对排放单位</w:t>
      </w:r>
      <w:r>
        <w:rPr>
          <w:rFonts w:hint="eastAsia" w:eastAsia="仿宋_GB2312"/>
          <w:sz w:val="32"/>
          <w:szCs w:val="32"/>
        </w:rPr>
        <w:t>XXXX年</w:t>
      </w:r>
      <w:r>
        <w:rPr>
          <w:rFonts w:eastAsia="仿宋_GB2312"/>
          <w:sz w:val="32"/>
          <w:szCs w:val="32"/>
        </w:rPr>
        <w:t>度二氧化碳排放报告形成如下核查结论：</w:t>
      </w:r>
    </w:p>
    <w:p w14:paraId="3AF37334">
      <w:pPr>
        <w:spacing w:after="0" w:line="560" w:lineRule="exact"/>
        <w:ind w:firstLine="640" w:firstLineChars="200"/>
        <w:jc w:val="both"/>
        <w:rPr>
          <w:rFonts w:eastAsia="仿宋_GB2312"/>
          <w:sz w:val="32"/>
          <w:szCs w:val="32"/>
        </w:rPr>
      </w:pPr>
      <w:r>
        <w:rPr>
          <w:rFonts w:eastAsia="仿宋_GB2312"/>
          <w:sz w:val="32"/>
          <w:szCs w:val="32"/>
        </w:rPr>
        <w:t>1. 核算、报告与方法学的符合性</w:t>
      </w:r>
    </w:p>
    <w:p w14:paraId="53626964">
      <w:pPr>
        <w:spacing w:after="0" w:line="560" w:lineRule="exact"/>
        <w:ind w:firstLine="640" w:firstLineChars="200"/>
        <w:jc w:val="both"/>
        <w:rPr>
          <w:rFonts w:eastAsia="仿宋_GB2312"/>
          <w:sz w:val="32"/>
          <w:szCs w:val="32"/>
        </w:rPr>
      </w:pPr>
      <w:r>
        <w:rPr>
          <w:rFonts w:eastAsia="仿宋_GB2312"/>
          <w:sz w:val="32"/>
          <w:szCs w:val="32"/>
        </w:rPr>
        <w:t>核查组确认所有不符合已全部关闭，排放单位的核算与报告均符合方法学</w:t>
      </w:r>
      <w:r>
        <w:rPr>
          <w:rFonts w:hint="eastAsia" w:eastAsia="仿宋_GB2312"/>
          <w:sz w:val="32"/>
          <w:szCs w:val="32"/>
        </w:rPr>
        <w:t>《二氧化碳排放核算和报告要求服务业》（DB11/T 1785-2020）</w:t>
      </w:r>
      <w:r>
        <w:rPr>
          <w:rFonts w:eastAsia="仿宋_GB2312"/>
          <w:sz w:val="32"/>
          <w:szCs w:val="32"/>
        </w:rPr>
        <w:t>的要求，核查组对本排放报告出具肯定的核查结论。</w:t>
      </w:r>
    </w:p>
    <w:p w14:paraId="13ED8847">
      <w:pPr>
        <w:spacing w:after="0" w:line="560" w:lineRule="exact"/>
        <w:ind w:firstLine="640" w:firstLineChars="200"/>
        <w:jc w:val="both"/>
        <w:rPr>
          <w:rFonts w:eastAsia="仿宋_GB2312"/>
          <w:sz w:val="32"/>
          <w:szCs w:val="32"/>
        </w:rPr>
      </w:pPr>
      <w:r>
        <w:rPr>
          <w:rFonts w:hint="eastAsia" w:eastAsia="仿宋_GB2312"/>
          <w:sz w:val="32"/>
          <w:szCs w:val="32"/>
        </w:rPr>
        <w:t>2</w:t>
      </w:r>
      <w:r>
        <w:rPr>
          <w:rFonts w:eastAsia="仿宋_GB2312"/>
          <w:sz w:val="32"/>
          <w:szCs w:val="32"/>
        </w:rPr>
        <w:t>. 本年度排放量及活动水平数据的声明</w:t>
      </w:r>
    </w:p>
    <w:p w14:paraId="6C681CF2">
      <w:pPr>
        <w:spacing w:after="0" w:line="560" w:lineRule="exact"/>
        <w:ind w:firstLine="640" w:firstLineChars="200"/>
        <w:jc w:val="both"/>
        <w:rPr>
          <w:rFonts w:eastAsia="仿宋_GB2312"/>
          <w:sz w:val="32"/>
          <w:szCs w:val="32"/>
        </w:rPr>
      </w:pPr>
      <w:r>
        <w:rPr>
          <w:rFonts w:eastAsia="仿宋_GB2312"/>
          <w:sz w:val="32"/>
          <w:szCs w:val="32"/>
        </w:rPr>
        <w:t>经核查的直接和间接排放量与最终排放报告中数据一致。经核查的直接排放量为10616.72吨，间接排放量为1192094.66吨，总排放量为1202711.39吨。</w:t>
      </w:r>
    </w:p>
    <w:p w14:paraId="20D38AD9">
      <w:pPr>
        <w:spacing w:after="0" w:line="560" w:lineRule="exact"/>
        <w:ind w:firstLine="640" w:firstLineChars="200"/>
        <w:jc w:val="both"/>
        <w:rPr>
          <w:rFonts w:eastAsia="仿宋_GB2312"/>
          <w:sz w:val="32"/>
          <w:szCs w:val="32"/>
        </w:rPr>
      </w:pPr>
      <w:r>
        <w:rPr>
          <w:rFonts w:eastAsia="仿宋_GB2312"/>
          <w:sz w:val="32"/>
          <w:szCs w:val="32"/>
        </w:rPr>
        <w:t>经核查的电信业务总量与最终排放报告中数据一致。经核查的电信业务总量为xxxxx万元</w:t>
      </w:r>
      <w:r>
        <w:rPr>
          <w:rFonts w:hint="eastAsia" w:eastAsia="仿宋_GB2312"/>
          <w:sz w:val="32"/>
          <w:szCs w:val="32"/>
        </w:rPr>
        <w:t>，其中移动业务总量为xx万元（移动语音业务总量xx万元、移动数据与互联网业务总量xx万元、移动增值及其他业务总量xx万元），固网业务总量xx万元。排放单位含xx个大型数据中心，数据中心总用电量为xxMWh，IT设备用电量为xxMWh。</w:t>
      </w:r>
    </w:p>
    <w:p w14:paraId="2A1237AE">
      <w:pPr>
        <w:spacing w:after="0" w:line="560" w:lineRule="exact"/>
        <w:ind w:firstLine="640" w:firstLineChars="200"/>
        <w:jc w:val="both"/>
        <w:rPr>
          <w:rFonts w:eastAsia="仿宋_GB2312"/>
          <w:sz w:val="32"/>
          <w:szCs w:val="32"/>
        </w:rPr>
      </w:pPr>
      <w:r>
        <w:rPr>
          <w:rFonts w:hint="eastAsia" w:eastAsia="仿宋_GB2312"/>
          <w:sz w:val="32"/>
          <w:szCs w:val="32"/>
        </w:rPr>
        <w:t>3</w:t>
      </w:r>
      <w:r>
        <w:rPr>
          <w:rFonts w:eastAsia="仿宋_GB2312"/>
          <w:sz w:val="32"/>
          <w:szCs w:val="32"/>
        </w:rPr>
        <w:t>. 年度排放量及活动水平波动的原因说明</w:t>
      </w:r>
    </w:p>
    <w:p w14:paraId="09F27F49">
      <w:pPr>
        <w:spacing w:after="0" w:line="560" w:lineRule="exact"/>
        <w:ind w:firstLine="640" w:firstLineChars="200"/>
        <w:jc w:val="both"/>
        <w:rPr>
          <w:rFonts w:eastAsia="仿宋_GB2312"/>
          <w:sz w:val="32"/>
          <w:szCs w:val="32"/>
        </w:rPr>
      </w:pPr>
      <w:r>
        <w:rPr>
          <w:rFonts w:eastAsia="仿宋_GB2312"/>
          <w:sz w:val="32"/>
          <w:szCs w:val="32"/>
        </w:rPr>
        <w:t>本年度排放量与上一年度排放量相比增加28021.34吨/2.3</w:t>
      </w:r>
      <w:r>
        <w:rPr>
          <w:rFonts w:hint="eastAsia" w:eastAsia="仿宋_GB2312"/>
          <w:sz w:val="32"/>
          <w:szCs w:val="32"/>
        </w:rPr>
        <w:t>9</w:t>
      </w:r>
      <w:r>
        <w:rPr>
          <w:rFonts w:eastAsia="仿宋_GB2312"/>
          <w:sz w:val="32"/>
          <w:szCs w:val="32"/>
        </w:rPr>
        <w:t>%，其中直接排放相比上一年度减少335.</w:t>
      </w:r>
      <w:r>
        <w:rPr>
          <w:rFonts w:hint="eastAsia" w:eastAsia="仿宋_GB2312"/>
          <w:sz w:val="32"/>
          <w:szCs w:val="32"/>
        </w:rPr>
        <w:t>70</w:t>
      </w:r>
      <w:r>
        <w:rPr>
          <w:rFonts w:eastAsia="仿宋_GB2312"/>
          <w:sz w:val="32"/>
          <w:szCs w:val="32"/>
        </w:rPr>
        <w:t>吨/3.07%，间接排放相比上一年度增加28357.0</w:t>
      </w:r>
      <w:r>
        <w:rPr>
          <w:rFonts w:hint="eastAsia" w:eastAsia="仿宋_GB2312"/>
          <w:sz w:val="32"/>
          <w:szCs w:val="32"/>
        </w:rPr>
        <w:t>2</w:t>
      </w:r>
      <w:r>
        <w:rPr>
          <w:rFonts w:eastAsia="仿宋_GB2312"/>
          <w:sz w:val="32"/>
          <w:szCs w:val="32"/>
        </w:rPr>
        <w:t>吨/2.44%，</w:t>
      </w:r>
      <w:r>
        <w:rPr>
          <w:rFonts w:hint="eastAsia" w:eastAsia="仿宋_GB2312"/>
          <w:sz w:val="32"/>
          <w:szCs w:val="32"/>
        </w:rPr>
        <w:t>由于4G的普及、大王卡等业务营销，导致移动数据与互联网业务总量上涨，所需要的设施增加，导致排放量上升。</w:t>
      </w:r>
    </w:p>
    <w:p w14:paraId="3D0EB288">
      <w:pPr>
        <w:spacing w:after="0" w:line="560" w:lineRule="exact"/>
        <w:ind w:firstLine="640" w:firstLineChars="200"/>
        <w:jc w:val="both"/>
        <w:rPr>
          <w:rFonts w:eastAsia="仿宋_GB2312"/>
          <w:sz w:val="32"/>
          <w:szCs w:val="32"/>
        </w:rPr>
      </w:pPr>
      <w:r>
        <w:rPr>
          <w:rFonts w:eastAsia="仿宋_GB2312"/>
          <w:sz w:val="32"/>
          <w:szCs w:val="32"/>
        </w:rPr>
        <w:t>本年度排放量与历史基准年度相比，增加了28021.34吨，增加比例为</w:t>
      </w:r>
      <w:r>
        <w:rPr>
          <w:rFonts w:hint="eastAsia" w:eastAsia="仿宋_GB2312"/>
          <w:sz w:val="32"/>
          <w:szCs w:val="32"/>
        </w:rPr>
        <w:t>2.39</w:t>
      </w:r>
      <w:r>
        <w:rPr>
          <w:rFonts w:eastAsia="仿宋_GB2312"/>
          <w:sz w:val="32"/>
          <w:szCs w:val="32"/>
        </w:rPr>
        <w:t>%</w:t>
      </w:r>
      <w:r>
        <w:rPr>
          <w:rFonts w:hint="eastAsia" w:eastAsia="仿宋_GB2312"/>
          <w:sz w:val="32"/>
          <w:szCs w:val="32"/>
        </w:rPr>
        <w:t>，用电设施增加导致排放量增加</w:t>
      </w:r>
      <w:r>
        <w:rPr>
          <w:rFonts w:eastAsia="仿宋_GB2312"/>
          <w:sz w:val="32"/>
          <w:szCs w:val="32"/>
        </w:rPr>
        <w:t>。</w:t>
      </w:r>
    </w:p>
    <w:p w14:paraId="5534011E">
      <w:pPr>
        <w:spacing w:after="0" w:line="560" w:lineRule="exact"/>
        <w:jc w:val="center"/>
        <w:rPr>
          <w:rFonts w:eastAsia="仿宋_GB2312"/>
          <w:sz w:val="32"/>
          <w:szCs w:val="32"/>
        </w:rPr>
      </w:pPr>
      <w:r>
        <w:rPr>
          <w:rFonts w:eastAsia="仿宋_GB2312"/>
          <w:sz w:val="24"/>
        </w:rPr>
        <w:t>表XX  排放量汇总表</w:t>
      </w:r>
    </w:p>
    <w:tbl>
      <w:tblPr>
        <w:tblStyle w:val="35"/>
        <w:tblW w:w="8778" w:type="dxa"/>
        <w:tblInd w:w="0" w:type="dxa"/>
        <w:tblLayout w:type="fixed"/>
        <w:tblCellMar>
          <w:top w:w="0" w:type="dxa"/>
          <w:left w:w="108" w:type="dxa"/>
          <w:bottom w:w="0" w:type="dxa"/>
          <w:right w:w="108" w:type="dxa"/>
        </w:tblCellMar>
      </w:tblPr>
      <w:tblGrid>
        <w:gridCol w:w="1389"/>
        <w:gridCol w:w="2385"/>
        <w:gridCol w:w="2402"/>
        <w:gridCol w:w="2602"/>
      </w:tblGrid>
      <w:tr w14:paraId="0B78F022">
        <w:tblPrEx>
          <w:tblCellMar>
            <w:top w:w="0" w:type="dxa"/>
            <w:left w:w="108" w:type="dxa"/>
            <w:bottom w:w="0" w:type="dxa"/>
            <w:right w:w="108" w:type="dxa"/>
          </w:tblCellMar>
        </w:tblPrEx>
        <w:trPr>
          <w:trHeight w:val="1092" w:hRule="atLeast"/>
        </w:trPr>
        <w:tc>
          <w:tcPr>
            <w:tcW w:w="1389" w:type="dxa"/>
            <w:tcBorders>
              <w:top w:val="single" w:color="auto" w:sz="4" w:space="0"/>
              <w:left w:val="single" w:color="auto" w:sz="4" w:space="0"/>
              <w:bottom w:val="single" w:color="auto" w:sz="4" w:space="0"/>
              <w:right w:val="single" w:color="auto" w:sz="4" w:space="0"/>
            </w:tcBorders>
            <w:vAlign w:val="center"/>
          </w:tcPr>
          <w:p w14:paraId="7E4B6826">
            <w:pPr>
              <w:jc w:val="center"/>
              <w:rPr>
                <w:rFonts w:eastAsia="仿宋_GB2312"/>
                <w:color w:val="000000"/>
                <w:sz w:val="24"/>
              </w:rPr>
            </w:pPr>
            <w:r>
              <w:rPr>
                <w:rFonts w:eastAsia="仿宋_GB2312"/>
                <w:color w:val="000000"/>
                <w:sz w:val="24"/>
              </w:rPr>
              <w:t>年度</w:t>
            </w:r>
          </w:p>
        </w:tc>
        <w:tc>
          <w:tcPr>
            <w:tcW w:w="2385" w:type="dxa"/>
            <w:tcBorders>
              <w:top w:val="single" w:color="auto" w:sz="4" w:space="0"/>
              <w:left w:val="nil"/>
              <w:bottom w:val="single" w:color="auto" w:sz="4" w:space="0"/>
              <w:right w:val="single" w:color="auto" w:sz="4" w:space="0"/>
            </w:tcBorders>
            <w:vAlign w:val="center"/>
          </w:tcPr>
          <w:p w14:paraId="4CEF06ED">
            <w:pPr>
              <w:jc w:val="center"/>
              <w:rPr>
                <w:rFonts w:eastAsia="仿宋_GB2312"/>
                <w:color w:val="000000"/>
                <w:sz w:val="24"/>
              </w:rPr>
            </w:pPr>
            <w:r>
              <w:rPr>
                <w:rFonts w:eastAsia="仿宋_GB2312"/>
                <w:color w:val="000000"/>
                <w:sz w:val="24"/>
              </w:rPr>
              <w:t>直接排放量（tCO2）</w:t>
            </w:r>
          </w:p>
        </w:tc>
        <w:tc>
          <w:tcPr>
            <w:tcW w:w="2402" w:type="dxa"/>
            <w:tcBorders>
              <w:top w:val="single" w:color="auto" w:sz="4" w:space="0"/>
              <w:left w:val="nil"/>
              <w:bottom w:val="single" w:color="auto" w:sz="4" w:space="0"/>
              <w:right w:val="single" w:color="auto" w:sz="4" w:space="0"/>
            </w:tcBorders>
            <w:vAlign w:val="center"/>
          </w:tcPr>
          <w:p w14:paraId="066D8BD2">
            <w:pPr>
              <w:jc w:val="center"/>
              <w:rPr>
                <w:rFonts w:eastAsia="仿宋_GB2312"/>
                <w:color w:val="000000"/>
                <w:sz w:val="24"/>
              </w:rPr>
            </w:pPr>
            <w:r>
              <w:rPr>
                <w:rFonts w:eastAsia="仿宋_GB2312"/>
                <w:color w:val="000000"/>
                <w:sz w:val="24"/>
              </w:rPr>
              <w:t>间接排放量（tCO2）</w:t>
            </w:r>
          </w:p>
        </w:tc>
        <w:tc>
          <w:tcPr>
            <w:tcW w:w="2602" w:type="dxa"/>
            <w:tcBorders>
              <w:top w:val="single" w:color="auto" w:sz="4" w:space="0"/>
              <w:left w:val="nil"/>
              <w:bottom w:val="single" w:color="auto" w:sz="4" w:space="0"/>
              <w:right w:val="single" w:color="auto" w:sz="4" w:space="0"/>
            </w:tcBorders>
            <w:vAlign w:val="center"/>
          </w:tcPr>
          <w:p w14:paraId="566B6CF3">
            <w:pPr>
              <w:jc w:val="center"/>
              <w:rPr>
                <w:rFonts w:eastAsia="仿宋_GB2312"/>
                <w:color w:val="000000"/>
                <w:sz w:val="24"/>
              </w:rPr>
            </w:pPr>
            <w:r>
              <w:rPr>
                <w:rFonts w:eastAsia="仿宋_GB2312"/>
                <w:color w:val="000000"/>
                <w:sz w:val="24"/>
              </w:rPr>
              <w:t>排放总量（tCO2）</w:t>
            </w:r>
          </w:p>
        </w:tc>
      </w:tr>
      <w:tr w14:paraId="7A03C5A2">
        <w:tblPrEx>
          <w:tblCellMar>
            <w:top w:w="0" w:type="dxa"/>
            <w:left w:w="108" w:type="dxa"/>
            <w:bottom w:w="0" w:type="dxa"/>
            <w:right w:w="108" w:type="dxa"/>
          </w:tblCellMar>
        </w:tblPrEx>
        <w:trPr>
          <w:trHeight w:val="644" w:hRule="atLeast"/>
        </w:trPr>
        <w:tc>
          <w:tcPr>
            <w:tcW w:w="1389" w:type="dxa"/>
            <w:tcBorders>
              <w:top w:val="nil"/>
              <w:left w:val="single" w:color="auto" w:sz="4" w:space="0"/>
              <w:bottom w:val="single" w:color="auto" w:sz="4" w:space="0"/>
              <w:right w:val="single" w:color="auto" w:sz="4" w:space="0"/>
            </w:tcBorders>
            <w:vAlign w:val="center"/>
          </w:tcPr>
          <w:p w14:paraId="5E624C84">
            <w:pPr>
              <w:jc w:val="center"/>
              <w:rPr>
                <w:rFonts w:eastAsia="仿宋_GB2312"/>
                <w:color w:val="000000"/>
                <w:sz w:val="24"/>
              </w:rPr>
            </w:pPr>
            <w:r>
              <w:rPr>
                <w:rFonts w:eastAsia="仿宋_GB2312"/>
                <w:color w:val="000000"/>
                <w:sz w:val="24"/>
              </w:rPr>
              <w:t>2016</w:t>
            </w:r>
          </w:p>
        </w:tc>
        <w:tc>
          <w:tcPr>
            <w:tcW w:w="2385" w:type="dxa"/>
            <w:tcBorders>
              <w:top w:val="nil"/>
              <w:left w:val="nil"/>
              <w:bottom w:val="single" w:color="auto" w:sz="4" w:space="0"/>
              <w:right w:val="single" w:color="auto" w:sz="4" w:space="0"/>
            </w:tcBorders>
            <w:vAlign w:val="center"/>
          </w:tcPr>
          <w:p w14:paraId="3335E093">
            <w:pPr>
              <w:jc w:val="center"/>
              <w:rPr>
                <w:rFonts w:ascii="Times New Roman" w:hAnsi="Times New Roman"/>
              </w:rPr>
            </w:pPr>
            <w:r>
              <w:rPr>
                <w:rFonts w:ascii="Times New Roman" w:hAnsi="Times New Roman"/>
              </w:rPr>
              <w:t>8100.00</w:t>
            </w:r>
          </w:p>
        </w:tc>
        <w:tc>
          <w:tcPr>
            <w:tcW w:w="2402" w:type="dxa"/>
            <w:tcBorders>
              <w:top w:val="nil"/>
              <w:left w:val="nil"/>
              <w:bottom w:val="single" w:color="auto" w:sz="4" w:space="0"/>
              <w:right w:val="single" w:color="auto" w:sz="4" w:space="0"/>
            </w:tcBorders>
            <w:vAlign w:val="center"/>
          </w:tcPr>
          <w:p w14:paraId="1D579A2E">
            <w:pPr>
              <w:jc w:val="center"/>
              <w:rPr>
                <w:rFonts w:ascii="Times New Roman" w:hAnsi="Times New Roman"/>
              </w:rPr>
            </w:pPr>
            <w:r>
              <w:rPr>
                <w:rFonts w:ascii="Times New Roman" w:hAnsi="Times New Roman"/>
              </w:rPr>
              <w:t>1145500.00</w:t>
            </w:r>
          </w:p>
        </w:tc>
        <w:tc>
          <w:tcPr>
            <w:tcW w:w="2602" w:type="dxa"/>
            <w:tcBorders>
              <w:top w:val="nil"/>
              <w:left w:val="nil"/>
              <w:bottom w:val="single" w:color="auto" w:sz="4" w:space="0"/>
              <w:right w:val="single" w:color="auto" w:sz="4" w:space="0"/>
            </w:tcBorders>
            <w:vAlign w:val="center"/>
          </w:tcPr>
          <w:p w14:paraId="627BA24F">
            <w:pPr>
              <w:jc w:val="center"/>
              <w:rPr>
                <w:rFonts w:ascii="Times New Roman" w:hAnsi="Times New Roman"/>
              </w:rPr>
            </w:pPr>
            <w:r>
              <w:rPr>
                <w:rFonts w:ascii="Times New Roman" w:hAnsi="Times New Roman"/>
              </w:rPr>
              <w:t>1153600.00</w:t>
            </w:r>
          </w:p>
        </w:tc>
      </w:tr>
      <w:tr w14:paraId="6725555D">
        <w:tblPrEx>
          <w:tblCellMar>
            <w:top w:w="0" w:type="dxa"/>
            <w:left w:w="108" w:type="dxa"/>
            <w:bottom w:w="0" w:type="dxa"/>
            <w:right w:w="108" w:type="dxa"/>
          </w:tblCellMar>
        </w:tblPrEx>
        <w:trPr>
          <w:trHeight w:val="644" w:hRule="atLeast"/>
        </w:trPr>
        <w:tc>
          <w:tcPr>
            <w:tcW w:w="1389" w:type="dxa"/>
            <w:tcBorders>
              <w:top w:val="nil"/>
              <w:left w:val="single" w:color="auto" w:sz="4" w:space="0"/>
              <w:bottom w:val="single" w:color="auto" w:sz="4" w:space="0"/>
              <w:right w:val="single" w:color="auto" w:sz="4" w:space="0"/>
            </w:tcBorders>
            <w:vAlign w:val="center"/>
          </w:tcPr>
          <w:p w14:paraId="792AA0B2">
            <w:pPr>
              <w:jc w:val="center"/>
              <w:rPr>
                <w:rFonts w:eastAsia="仿宋_GB2312"/>
                <w:color w:val="000000"/>
                <w:sz w:val="24"/>
              </w:rPr>
            </w:pPr>
            <w:r>
              <w:rPr>
                <w:rFonts w:eastAsia="仿宋_GB2312"/>
                <w:color w:val="000000"/>
                <w:sz w:val="24"/>
              </w:rPr>
              <w:t>2017</w:t>
            </w:r>
          </w:p>
        </w:tc>
        <w:tc>
          <w:tcPr>
            <w:tcW w:w="2385" w:type="dxa"/>
            <w:tcBorders>
              <w:top w:val="nil"/>
              <w:left w:val="nil"/>
              <w:bottom w:val="single" w:color="auto" w:sz="4" w:space="0"/>
              <w:right w:val="single" w:color="auto" w:sz="4" w:space="0"/>
            </w:tcBorders>
            <w:vAlign w:val="center"/>
          </w:tcPr>
          <w:p w14:paraId="39167375">
            <w:pPr>
              <w:jc w:val="center"/>
              <w:rPr>
                <w:rFonts w:ascii="Times New Roman" w:hAnsi="Times New Roman"/>
              </w:rPr>
            </w:pPr>
            <w:r>
              <w:rPr>
                <w:rFonts w:ascii="Times New Roman" w:hAnsi="Times New Roman"/>
              </w:rPr>
              <w:t>10125.00</w:t>
            </w:r>
          </w:p>
        </w:tc>
        <w:tc>
          <w:tcPr>
            <w:tcW w:w="2402" w:type="dxa"/>
            <w:tcBorders>
              <w:top w:val="nil"/>
              <w:left w:val="nil"/>
              <w:bottom w:val="single" w:color="auto" w:sz="4" w:space="0"/>
              <w:right w:val="single" w:color="auto" w:sz="4" w:space="0"/>
            </w:tcBorders>
            <w:vAlign w:val="center"/>
          </w:tcPr>
          <w:p w14:paraId="2B1C731A">
            <w:pPr>
              <w:jc w:val="center"/>
              <w:rPr>
                <w:rFonts w:ascii="Times New Roman" w:hAnsi="Times New Roman"/>
              </w:rPr>
            </w:pPr>
            <w:r>
              <w:rPr>
                <w:rFonts w:ascii="Times New Roman" w:hAnsi="Times New Roman"/>
              </w:rPr>
              <w:t>1152750.00</w:t>
            </w:r>
          </w:p>
        </w:tc>
        <w:tc>
          <w:tcPr>
            <w:tcW w:w="2602" w:type="dxa"/>
            <w:tcBorders>
              <w:top w:val="nil"/>
              <w:left w:val="nil"/>
              <w:bottom w:val="single" w:color="auto" w:sz="4" w:space="0"/>
              <w:right w:val="single" w:color="auto" w:sz="4" w:space="0"/>
            </w:tcBorders>
            <w:vAlign w:val="center"/>
          </w:tcPr>
          <w:p w14:paraId="4585E103">
            <w:pPr>
              <w:jc w:val="center"/>
              <w:rPr>
                <w:rFonts w:ascii="Times New Roman" w:hAnsi="Times New Roman"/>
              </w:rPr>
            </w:pPr>
            <w:r>
              <w:rPr>
                <w:rFonts w:ascii="Times New Roman" w:hAnsi="Times New Roman"/>
              </w:rPr>
              <w:t>1162875.00</w:t>
            </w:r>
          </w:p>
        </w:tc>
      </w:tr>
      <w:tr w14:paraId="23E7FC23">
        <w:tblPrEx>
          <w:tblCellMar>
            <w:top w:w="0" w:type="dxa"/>
            <w:left w:w="108" w:type="dxa"/>
            <w:bottom w:w="0" w:type="dxa"/>
            <w:right w:w="108" w:type="dxa"/>
          </w:tblCellMar>
        </w:tblPrEx>
        <w:trPr>
          <w:trHeight w:val="644" w:hRule="atLeast"/>
        </w:trPr>
        <w:tc>
          <w:tcPr>
            <w:tcW w:w="1389" w:type="dxa"/>
            <w:tcBorders>
              <w:top w:val="nil"/>
              <w:left w:val="single" w:color="auto" w:sz="4" w:space="0"/>
              <w:bottom w:val="single" w:color="auto" w:sz="4" w:space="0"/>
              <w:right w:val="single" w:color="auto" w:sz="4" w:space="0"/>
            </w:tcBorders>
            <w:vAlign w:val="center"/>
          </w:tcPr>
          <w:p w14:paraId="3A06B090">
            <w:pPr>
              <w:jc w:val="center"/>
              <w:rPr>
                <w:rFonts w:eastAsia="仿宋_GB2312"/>
                <w:color w:val="000000"/>
                <w:sz w:val="24"/>
              </w:rPr>
            </w:pPr>
            <w:r>
              <w:rPr>
                <w:rFonts w:eastAsia="仿宋_GB2312"/>
                <w:color w:val="000000"/>
                <w:sz w:val="24"/>
              </w:rPr>
              <w:t>2018</w:t>
            </w:r>
          </w:p>
        </w:tc>
        <w:tc>
          <w:tcPr>
            <w:tcW w:w="2385" w:type="dxa"/>
            <w:tcBorders>
              <w:top w:val="nil"/>
              <w:left w:val="nil"/>
              <w:bottom w:val="single" w:color="auto" w:sz="4" w:space="0"/>
              <w:right w:val="single" w:color="auto" w:sz="4" w:space="0"/>
            </w:tcBorders>
            <w:vAlign w:val="center"/>
          </w:tcPr>
          <w:p w14:paraId="35FBA689">
            <w:pPr>
              <w:jc w:val="center"/>
              <w:rPr>
                <w:rFonts w:ascii="Times New Roman" w:hAnsi="Times New Roman"/>
              </w:rPr>
            </w:pPr>
            <w:r>
              <w:rPr>
                <w:rFonts w:ascii="Times New Roman" w:hAnsi="Times New Roman"/>
              </w:rPr>
              <w:t>10952.42</w:t>
            </w:r>
          </w:p>
        </w:tc>
        <w:tc>
          <w:tcPr>
            <w:tcW w:w="2402" w:type="dxa"/>
            <w:tcBorders>
              <w:top w:val="nil"/>
              <w:left w:val="nil"/>
              <w:bottom w:val="single" w:color="auto" w:sz="4" w:space="0"/>
              <w:right w:val="single" w:color="auto" w:sz="4" w:space="0"/>
            </w:tcBorders>
            <w:vAlign w:val="center"/>
          </w:tcPr>
          <w:p w14:paraId="1F245544">
            <w:pPr>
              <w:jc w:val="center"/>
              <w:rPr>
                <w:rFonts w:ascii="Times New Roman" w:hAnsi="Times New Roman"/>
              </w:rPr>
            </w:pPr>
            <w:r>
              <w:rPr>
                <w:rFonts w:ascii="Times New Roman" w:hAnsi="Times New Roman"/>
              </w:rPr>
              <w:t>1163737.64</w:t>
            </w:r>
          </w:p>
        </w:tc>
        <w:tc>
          <w:tcPr>
            <w:tcW w:w="2602" w:type="dxa"/>
            <w:tcBorders>
              <w:top w:val="nil"/>
              <w:left w:val="nil"/>
              <w:bottom w:val="single" w:color="auto" w:sz="4" w:space="0"/>
              <w:right w:val="single" w:color="auto" w:sz="4" w:space="0"/>
            </w:tcBorders>
            <w:vAlign w:val="center"/>
          </w:tcPr>
          <w:p w14:paraId="13C70285">
            <w:pPr>
              <w:jc w:val="center"/>
              <w:rPr>
                <w:rFonts w:ascii="Times New Roman" w:hAnsi="Times New Roman"/>
              </w:rPr>
            </w:pPr>
            <w:r>
              <w:rPr>
                <w:rFonts w:ascii="Times New Roman" w:hAnsi="Times New Roman"/>
              </w:rPr>
              <w:t>1174690.05</w:t>
            </w:r>
          </w:p>
        </w:tc>
      </w:tr>
      <w:tr w14:paraId="31227412">
        <w:tblPrEx>
          <w:tblCellMar>
            <w:top w:w="0" w:type="dxa"/>
            <w:left w:w="108" w:type="dxa"/>
            <w:bottom w:w="0" w:type="dxa"/>
            <w:right w:w="108" w:type="dxa"/>
          </w:tblCellMar>
        </w:tblPrEx>
        <w:trPr>
          <w:trHeight w:val="644" w:hRule="atLeast"/>
        </w:trPr>
        <w:tc>
          <w:tcPr>
            <w:tcW w:w="1389" w:type="dxa"/>
            <w:tcBorders>
              <w:top w:val="single" w:color="auto" w:sz="4" w:space="0"/>
              <w:left w:val="single" w:color="auto" w:sz="4" w:space="0"/>
              <w:bottom w:val="single" w:color="auto" w:sz="4" w:space="0"/>
              <w:right w:val="single" w:color="auto" w:sz="4" w:space="0"/>
            </w:tcBorders>
            <w:vAlign w:val="center"/>
          </w:tcPr>
          <w:p w14:paraId="46530485">
            <w:pPr>
              <w:jc w:val="center"/>
              <w:rPr>
                <w:rFonts w:eastAsia="仿宋_GB2312"/>
                <w:color w:val="000000"/>
                <w:sz w:val="24"/>
              </w:rPr>
            </w:pPr>
            <w:bookmarkStart w:id="19" w:name="_Hlk34842921"/>
            <w:r>
              <w:rPr>
                <w:rFonts w:eastAsia="仿宋_GB2312"/>
                <w:color w:val="000000"/>
                <w:sz w:val="24"/>
              </w:rPr>
              <w:t>2019</w:t>
            </w:r>
          </w:p>
        </w:tc>
        <w:tc>
          <w:tcPr>
            <w:tcW w:w="2385" w:type="dxa"/>
            <w:tcBorders>
              <w:top w:val="single" w:color="auto" w:sz="4" w:space="0"/>
              <w:left w:val="nil"/>
              <w:bottom w:val="single" w:color="auto" w:sz="4" w:space="0"/>
              <w:right w:val="single" w:color="auto" w:sz="4" w:space="0"/>
            </w:tcBorders>
            <w:vAlign w:val="center"/>
          </w:tcPr>
          <w:p w14:paraId="4095B6E0">
            <w:pPr>
              <w:jc w:val="center"/>
              <w:rPr>
                <w:rFonts w:ascii="Times New Roman" w:hAnsi="Times New Roman"/>
              </w:rPr>
            </w:pPr>
            <w:r>
              <w:rPr>
                <w:rFonts w:ascii="Times New Roman" w:hAnsi="Times New Roman"/>
              </w:rPr>
              <w:t>10616.72</w:t>
            </w:r>
          </w:p>
        </w:tc>
        <w:tc>
          <w:tcPr>
            <w:tcW w:w="2402" w:type="dxa"/>
            <w:tcBorders>
              <w:top w:val="single" w:color="auto" w:sz="4" w:space="0"/>
              <w:left w:val="nil"/>
              <w:bottom w:val="single" w:color="auto" w:sz="4" w:space="0"/>
              <w:right w:val="single" w:color="auto" w:sz="4" w:space="0"/>
            </w:tcBorders>
            <w:vAlign w:val="center"/>
          </w:tcPr>
          <w:p w14:paraId="152CA900">
            <w:pPr>
              <w:jc w:val="center"/>
              <w:rPr>
                <w:rFonts w:ascii="Times New Roman" w:hAnsi="Times New Roman"/>
              </w:rPr>
            </w:pPr>
            <w:r>
              <w:rPr>
                <w:rFonts w:ascii="Times New Roman" w:hAnsi="Times New Roman"/>
              </w:rPr>
              <w:t>1192094.66</w:t>
            </w:r>
          </w:p>
        </w:tc>
        <w:tc>
          <w:tcPr>
            <w:tcW w:w="2602" w:type="dxa"/>
            <w:tcBorders>
              <w:top w:val="single" w:color="auto" w:sz="4" w:space="0"/>
              <w:left w:val="nil"/>
              <w:bottom w:val="single" w:color="auto" w:sz="4" w:space="0"/>
              <w:right w:val="single" w:color="auto" w:sz="4" w:space="0"/>
            </w:tcBorders>
            <w:vAlign w:val="center"/>
          </w:tcPr>
          <w:p w14:paraId="29724884">
            <w:pPr>
              <w:jc w:val="center"/>
              <w:rPr>
                <w:rFonts w:ascii="Times New Roman" w:hAnsi="Times New Roman"/>
              </w:rPr>
            </w:pPr>
            <w:r>
              <w:rPr>
                <w:rFonts w:ascii="Times New Roman" w:hAnsi="Times New Roman"/>
              </w:rPr>
              <w:t>1202711.39</w:t>
            </w:r>
          </w:p>
        </w:tc>
      </w:tr>
      <w:tr w14:paraId="2B424782">
        <w:tblPrEx>
          <w:tblCellMar>
            <w:top w:w="0" w:type="dxa"/>
            <w:left w:w="108" w:type="dxa"/>
            <w:bottom w:w="0" w:type="dxa"/>
            <w:right w:w="108" w:type="dxa"/>
          </w:tblCellMar>
        </w:tblPrEx>
        <w:trPr>
          <w:trHeight w:val="656" w:hRule="atLeast"/>
        </w:trPr>
        <w:tc>
          <w:tcPr>
            <w:tcW w:w="1389" w:type="dxa"/>
            <w:tcBorders>
              <w:top w:val="single" w:color="auto" w:sz="4" w:space="0"/>
              <w:left w:val="single" w:color="auto" w:sz="4" w:space="0"/>
              <w:bottom w:val="single" w:color="auto" w:sz="4" w:space="0"/>
              <w:right w:val="single" w:color="auto" w:sz="4" w:space="0"/>
            </w:tcBorders>
            <w:vAlign w:val="center"/>
          </w:tcPr>
          <w:p w14:paraId="3E4B8EBA">
            <w:pPr>
              <w:jc w:val="center"/>
              <w:rPr>
                <w:rFonts w:eastAsia="仿宋_GB2312"/>
                <w:color w:val="000000"/>
                <w:sz w:val="24"/>
              </w:rPr>
            </w:pPr>
            <w:r>
              <w:rPr>
                <w:rFonts w:hint="eastAsia" w:eastAsia="仿宋_GB2312"/>
                <w:color w:val="000000"/>
                <w:sz w:val="24"/>
              </w:rPr>
              <w:t>2</w:t>
            </w:r>
            <w:r>
              <w:rPr>
                <w:rFonts w:eastAsia="仿宋_GB2312"/>
                <w:color w:val="000000"/>
                <w:sz w:val="24"/>
              </w:rPr>
              <w:t>020</w:t>
            </w:r>
          </w:p>
        </w:tc>
        <w:tc>
          <w:tcPr>
            <w:tcW w:w="2385" w:type="dxa"/>
            <w:tcBorders>
              <w:top w:val="single" w:color="auto" w:sz="4" w:space="0"/>
              <w:left w:val="nil"/>
              <w:bottom w:val="single" w:color="auto" w:sz="4" w:space="0"/>
              <w:right w:val="single" w:color="auto" w:sz="4" w:space="0"/>
            </w:tcBorders>
            <w:vAlign w:val="center"/>
          </w:tcPr>
          <w:p w14:paraId="03E2FDBF">
            <w:pPr>
              <w:jc w:val="center"/>
              <w:rPr>
                <w:rFonts w:ascii="Times New Roman" w:hAnsi="Times New Roman"/>
              </w:rPr>
            </w:pPr>
            <w:r>
              <w:rPr>
                <w:rFonts w:ascii="Times New Roman" w:hAnsi="Times New Roman"/>
              </w:rPr>
              <w:t>10616.72</w:t>
            </w:r>
          </w:p>
        </w:tc>
        <w:tc>
          <w:tcPr>
            <w:tcW w:w="2402" w:type="dxa"/>
            <w:tcBorders>
              <w:top w:val="single" w:color="auto" w:sz="4" w:space="0"/>
              <w:left w:val="nil"/>
              <w:bottom w:val="single" w:color="auto" w:sz="4" w:space="0"/>
              <w:right w:val="single" w:color="auto" w:sz="4" w:space="0"/>
            </w:tcBorders>
            <w:vAlign w:val="center"/>
          </w:tcPr>
          <w:p w14:paraId="58C574EA">
            <w:pPr>
              <w:jc w:val="center"/>
              <w:rPr>
                <w:rFonts w:ascii="Times New Roman" w:hAnsi="Times New Roman"/>
              </w:rPr>
            </w:pPr>
            <w:r>
              <w:rPr>
                <w:rFonts w:ascii="Times New Roman" w:hAnsi="Times New Roman"/>
              </w:rPr>
              <w:t>1192094.66</w:t>
            </w:r>
          </w:p>
        </w:tc>
        <w:tc>
          <w:tcPr>
            <w:tcW w:w="2602" w:type="dxa"/>
            <w:tcBorders>
              <w:top w:val="single" w:color="auto" w:sz="4" w:space="0"/>
              <w:left w:val="nil"/>
              <w:bottom w:val="single" w:color="auto" w:sz="4" w:space="0"/>
              <w:right w:val="single" w:color="auto" w:sz="4" w:space="0"/>
            </w:tcBorders>
            <w:vAlign w:val="center"/>
          </w:tcPr>
          <w:p w14:paraId="0866F94F">
            <w:pPr>
              <w:jc w:val="center"/>
              <w:rPr>
                <w:rFonts w:ascii="Times New Roman" w:hAnsi="Times New Roman"/>
              </w:rPr>
            </w:pPr>
            <w:r>
              <w:rPr>
                <w:rFonts w:ascii="Times New Roman" w:hAnsi="Times New Roman"/>
              </w:rPr>
              <w:t>1202711.39</w:t>
            </w:r>
          </w:p>
        </w:tc>
      </w:tr>
      <w:bookmarkEnd w:id="19"/>
    </w:tbl>
    <w:p w14:paraId="2FF5C715">
      <w:pPr>
        <w:ind w:firstLine="440" w:firstLineChars="200"/>
      </w:pPr>
    </w:p>
    <w:p w14:paraId="4F60B925">
      <w:pPr>
        <w:jc w:val="center"/>
      </w:pPr>
      <w:r>
        <w:rPr>
          <w:lang w:val="en-US"/>
        </w:rPr>
        <w:drawing>
          <wp:inline distT="0" distB="0" distL="0" distR="0">
            <wp:extent cx="4568825" cy="2740025"/>
            <wp:effectExtent l="0" t="0" r="3175" b="317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226E72C">
      <w:pPr>
        <w:spacing w:after="0" w:line="560" w:lineRule="exact"/>
        <w:jc w:val="center"/>
        <w:rPr>
          <w:rFonts w:eastAsia="仿宋_GB2312"/>
          <w:sz w:val="32"/>
          <w:szCs w:val="32"/>
        </w:rPr>
      </w:pPr>
      <w:r>
        <w:rPr>
          <w:rFonts w:hint="eastAsia" w:eastAsia="仿宋_GB2312"/>
          <w:sz w:val="24"/>
        </w:rPr>
        <w:t>图</w:t>
      </w:r>
      <w:r>
        <w:rPr>
          <w:rFonts w:eastAsia="仿宋_GB2312"/>
          <w:sz w:val="24"/>
        </w:rPr>
        <w:t>XX  排放量</w:t>
      </w:r>
      <w:r>
        <w:rPr>
          <w:rFonts w:hint="eastAsia" w:eastAsia="仿宋_GB2312"/>
          <w:sz w:val="24"/>
        </w:rPr>
        <w:t>变化趋势图（增加2</w:t>
      </w:r>
      <w:r>
        <w:rPr>
          <w:rFonts w:eastAsia="仿宋_GB2312"/>
          <w:sz w:val="24"/>
        </w:rPr>
        <w:t>020年）</w:t>
      </w:r>
    </w:p>
    <w:p w14:paraId="39D307A8">
      <w:pPr>
        <w:spacing w:after="0" w:line="560" w:lineRule="exact"/>
        <w:ind w:firstLine="640" w:firstLineChars="200"/>
        <w:rPr>
          <w:rFonts w:eastAsia="仿宋_GB2312"/>
          <w:sz w:val="32"/>
          <w:szCs w:val="32"/>
        </w:rPr>
      </w:pPr>
      <w:r>
        <w:rPr>
          <w:rFonts w:hint="eastAsia" w:eastAsia="仿宋_GB2312"/>
          <w:sz w:val="32"/>
          <w:szCs w:val="32"/>
        </w:rPr>
        <w:t>4. 核算和报告边界变化</w:t>
      </w:r>
      <w:r>
        <w:rPr>
          <w:rFonts w:hint="eastAsia" w:ascii="Times New Roman" w:hAnsi="Times New Roman" w:eastAsia="仿宋_GB2312"/>
          <w:sz w:val="32"/>
          <w:szCs w:val="32"/>
        </w:rPr>
        <w:t>（含设施变化）</w:t>
      </w:r>
      <w:r>
        <w:rPr>
          <w:rFonts w:hint="eastAsia" w:eastAsia="仿宋_GB2312"/>
          <w:sz w:val="32"/>
          <w:szCs w:val="32"/>
        </w:rPr>
        <w:t>情况</w:t>
      </w:r>
    </w:p>
    <w:p w14:paraId="6C6FA993">
      <w:pPr>
        <w:spacing w:after="0" w:line="560" w:lineRule="exact"/>
        <w:ind w:firstLine="640" w:firstLineChars="200"/>
        <w:rPr>
          <w:rFonts w:eastAsia="仿宋_GB2312"/>
          <w:sz w:val="32"/>
          <w:szCs w:val="32"/>
        </w:rPr>
      </w:pPr>
      <w:r>
        <w:rPr>
          <w:rFonts w:hint="eastAsia" w:eastAsia="仿宋_GB2312"/>
          <w:sz w:val="32"/>
          <w:szCs w:val="32"/>
        </w:rPr>
        <w:t>4.1 本年度场所边界的变化</w:t>
      </w:r>
    </w:p>
    <w:p w14:paraId="4CDE6007">
      <w:pPr>
        <w:spacing w:after="0" w:line="560" w:lineRule="exact"/>
        <w:ind w:firstLine="640" w:firstLineChars="200"/>
        <w:jc w:val="both"/>
        <w:rPr>
          <w:rFonts w:eastAsia="仿宋_GB2312"/>
          <w:sz w:val="32"/>
          <w:szCs w:val="32"/>
        </w:rPr>
      </w:pPr>
      <w:r>
        <w:rPr>
          <w:rFonts w:hint="eastAsia" w:eastAsia="仿宋_GB2312"/>
          <w:sz w:val="32"/>
          <w:szCs w:val="32"/>
        </w:rPr>
        <w:t>排放单位核算和报告边界为北京市辖区内的两个行政办公楼（xxx、x</w:t>
      </w:r>
      <w:r>
        <w:rPr>
          <w:rFonts w:eastAsia="仿宋_GB2312"/>
          <w:sz w:val="32"/>
          <w:szCs w:val="32"/>
        </w:rPr>
        <w:t>xx</w:t>
      </w:r>
      <w:r>
        <w:rPr>
          <w:rFonts w:hint="eastAsia" w:eastAsia="仿宋_GB2312"/>
          <w:sz w:val="32"/>
          <w:szCs w:val="32"/>
        </w:rPr>
        <w:t>）、xx个通信局所场所（办公楼、机房、基站、营业厅）以及xx个独立的营业厅、xx个基站、xx个大型数据中心。与上一年度相比，增加了2台燃气锅炉，xx个基站；与基准年相比，增加了2台燃气锅炉，xx个基站。</w:t>
      </w:r>
    </w:p>
    <w:p w14:paraId="2B33EFD5">
      <w:pPr>
        <w:spacing w:after="0" w:line="560" w:lineRule="exact"/>
        <w:ind w:firstLine="640" w:firstLineChars="200"/>
        <w:rPr>
          <w:rFonts w:eastAsia="仿宋_GB2312"/>
          <w:sz w:val="32"/>
          <w:szCs w:val="32"/>
        </w:rPr>
      </w:pPr>
      <w:r>
        <w:rPr>
          <w:rFonts w:hint="eastAsia" w:eastAsia="仿宋_GB2312"/>
          <w:sz w:val="32"/>
          <w:szCs w:val="32"/>
        </w:rPr>
        <w:t>4.2</w:t>
      </w:r>
      <w:r>
        <w:rPr>
          <w:rFonts w:eastAsia="仿宋_GB2312"/>
          <w:sz w:val="32"/>
          <w:szCs w:val="32"/>
        </w:rPr>
        <w:t>本年度排放设施的变化</w:t>
      </w:r>
    </w:p>
    <w:p w14:paraId="04CCF591">
      <w:pPr>
        <w:spacing w:after="0" w:line="560" w:lineRule="exact"/>
        <w:ind w:firstLine="465"/>
        <w:rPr>
          <w:rFonts w:eastAsia="仿宋_GB2312"/>
          <w:sz w:val="32"/>
          <w:szCs w:val="32"/>
        </w:rPr>
      </w:pPr>
      <w:r>
        <w:rPr>
          <w:rFonts w:eastAsia="仿宋_GB2312"/>
          <w:sz w:val="32"/>
          <w:szCs w:val="32"/>
        </w:rPr>
        <w:t>排放单位不涉及既有配额调整。</w:t>
      </w:r>
    </w:p>
    <w:p w14:paraId="5FF181E7">
      <w:pPr>
        <w:spacing w:after="0" w:line="560" w:lineRule="exact"/>
        <w:ind w:firstLine="465"/>
        <w:jc w:val="both"/>
        <w:rPr>
          <w:rFonts w:eastAsia="仿宋_GB2312"/>
          <w:sz w:val="32"/>
          <w:szCs w:val="32"/>
        </w:rPr>
      </w:pPr>
      <w:r>
        <w:rPr>
          <w:rFonts w:eastAsia="仿宋_GB2312"/>
          <w:sz w:val="32"/>
          <w:szCs w:val="32"/>
        </w:rPr>
        <w:t>排放单位</w:t>
      </w:r>
      <w:r>
        <w:rPr>
          <w:rFonts w:hint="eastAsia" w:eastAsia="仿宋_GB2312"/>
          <w:sz w:val="32"/>
          <w:szCs w:val="32"/>
        </w:rPr>
        <w:t>XXXX年</w:t>
      </w:r>
      <w:r>
        <w:rPr>
          <w:rFonts w:eastAsia="仿宋_GB2312"/>
          <w:sz w:val="32"/>
          <w:szCs w:val="32"/>
        </w:rPr>
        <w:t>期间新增2台燃气锅炉，目前燃气锅炉为xx台。排放单位未对化石燃料设施替代进行统计，新增排放申请也未对化石燃料进行申请。新增设施主要包括通信网络设施及其配套空调、电源、监控等直接用于通信网络运营的设施。其中，直接用于通信网络运行的设施包括提供移动通信服务的室外站(2G/3G/4G) 、室内站(2G/3G/4G) 、室外站5G 和室内站5G；提供数据通信服务的IDC（数据中心）；提供传输、宽带、信息化、互联网等多种通信服务的各种固定网络设施等。上述设施均为新建设施，分布在市区及郊区的各类机房及基站内，不对原有设施替代。新增设施及其排放情况如下表所示：</w:t>
      </w:r>
    </w:p>
    <w:p w14:paraId="5C384CFA">
      <w:pPr>
        <w:spacing w:after="0" w:line="560" w:lineRule="exact"/>
        <w:jc w:val="center"/>
        <w:rPr>
          <w:rFonts w:eastAsia="仿宋_GB2312"/>
          <w:sz w:val="32"/>
          <w:szCs w:val="32"/>
        </w:rPr>
      </w:pPr>
      <w:r>
        <w:rPr>
          <w:rFonts w:eastAsia="仿宋_GB2312"/>
          <w:sz w:val="24"/>
        </w:rPr>
        <w:t xml:space="preserve">表XX  </w:t>
      </w:r>
      <w:r>
        <w:rPr>
          <w:rFonts w:hint="eastAsia" w:eastAsia="仿宋_GB2312"/>
          <w:sz w:val="24"/>
        </w:rPr>
        <w:t>新增设施信息</w:t>
      </w:r>
      <w:r>
        <w:rPr>
          <w:rFonts w:eastAsia="仿宋_GB2312"/>
          <w:sz w:val="24"/>
        </w:rPr>
        <w:t>表</w:t>
      </w:r>
    </w:p>
    <w:tbl>
      <w:tblPr>
        <w:tblStyle w:val="35"/>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42"/>
        <w:gridCol w:w="1119"/>
        <w:gridCol w:w="2540"/>
        <w:gridCol w:w="1215"/>
        <w:gridCol w:w="1448"/>
        <w:gridCol w:w="1135"/>
      </w:tblGrid>
      <w:tr w14:paraId="2AD8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blHeader/>
        </w:trPr>
        <w:tc>
          <w:tcPr>
            <w:tcW w:w="487" w:type="dxa"/>
            <w:vAlign w:val="center"/>
          </w:tcPr>
          <w:p w14:paraId="308574EF">
            <w:pPr>
              <w:tabs>
                <w:tab w:val="left" w:pos="1701"/>
              </w:tabs>
              <w:spacing w:after="0" w:line="340" w:lineRule="exact"/>
              <w:rPr>
                <w:rFonts w:eastAsia="仿宋_GB2312"/>
                <w:color w:val="000000"/>
                <w:sz w:val="24"/>
              </w:rPr>
            </w:pPr>
            <w:r>
              <w:rPr>
                <w:rFonts w:eastAsia="仿宋_GB2312"/>
                <w:color w:val="000000"/>
                <w:sz w:val="24"/>
              </w:rPr>
              <w:t>序号</w:t>
            </w:r>
          </w:p>
        </w:tc>
        <w:tc>
          <w:tcPr>
            <w:tcW w:w="942" w:type="dxa"/>
            <w:vAlign w:val="center"/>
          </w:tcPr>
          <w:p w14:paraId="18C70F8D">
            <w:pPr>
              <w:tabs>
                <w:tab w:val="left" w:pos="1701"/>
              </w:tabs>
              <w:spacing w:after="0" w:line="340" w:lineRule="exact"/>
              <w:ind w:left="-110" w:leftChars="-50" w:right="-110" w:rightChars="-50"/>
              <w:rPr>
                <w:rFonts w:eastAsia="仿宋_GB2312"/>
                <w:color w:val="000000"/>
                <w:sz w:val="24"/>
              </w:rPr>
            </w:pPr>
            <w:r>
              <w:rPr>
                <w:rFonts w:hint="eastAsia" w:eastAsia="仿宋_GB2312"/>
                <w:color w:val="000000"/>
                <w:sz w:val="24"/>
              </w:rPr>
              <w:t>设施新增年份</w:t>
            </w:r>
          </w:p>
        </w:tc>
        <w:tc>
          <w:tcPr>
            <w:tcW w:w="3659" w:type="dxa"/>
            <w:gridSpan w:val="2"/>
            <w:vAlign w:val="center"/>
          </w:tcPr>
          <w:p w14:paraId="6D7AD34A">
            <w:pPr>
              <w:tabs>
                <w:tab w:val="left" w:pos="1701"/>
              </w:tabs>
              <w:spacing w:after="0" w:line="340" w:lineRule="exact"/>
              <w:ind w:left="-110" w:leftChars="-50" w:right="-110" w:rightChars="-50"/>
              <w:jc w:val="center"/>
              <w:rPr>
                <w:rFonts w:eastAsia="仿宋_GB2312"/>
                <w:color w:val="000000"/>
                <w:sz w:val="24"/>
              </w:rPr>
            </w:pPr>
            <w:r>
              <w:rPr>
                <w:rFonts w:eastAsia="仿宋_GB2312"/>
                <w:color w:val="000000"/>
                <w:sz w:val="24"/>
              </w:rPr>
              <w:t>新增</w:t>
            </w:r>
            <w:r>
              <w:rPr>
                <w:rFonts w:hint="eastAsia" w:eastAsia="仿宋_GB2312"/>
                <w:color w:val="000000"/>
                <w:sz w:val="24"/>
              </w:rPr>
              <w:t>设施</w:t>
            </w:r>
            <w:r>
              <w:rPr>
                <w:rFonts w:eastAsia="仿宋_GB2312"/>
                <w:color w:val="000000"/>
                <w:sz w:val="24"/>
              </w:rPr>
              <w:t>类型</w:t>
            </w:r>
            <w:r>
              <w:rPr>
                <w:rStyle w:val="40"/>
                <w:rFonts w:eastAsia="仿宋_GB2312"/>
                <w:color w:val="000000"/>
                <w:sz w:val="24"/>
              </w:rPr>
              <w:footnoteReference w:id="0"/>
            </w:r>
          </w:p>
          <w:p w14:paraId="0CA25CF4">
            <w:pPr>
              <w:tabs>
                <w:tab w:val="left" w:pos="1701"/>
              </w:tabs>
              <w:spacing w:after="0" w:line="340" w:lineRule="exact"/>
              <w:jc w:val="center"/>
              <w:rPr>
                <w:rFonts w:eastAsia="仿宋_GB2312"/>
                <w:color w:val="000000"/>
                <w:sz w:val="24"/>
              </w:rPr>
            </w:pPr>
          </w:p>
        </w:tc>
        <w:tc>
          <w:tcPr>
            <w:tcW w:w="1215" w:type="dxa"/>
            <w:vAlign w:val="center"/>
          </w:tcPr>
          <w:p w14:paraId="6687954C">
            <w:pPr>
              <w:tabs>
                <w:tab w:val="left" w:pos="1701"/>
              </w:tabs>
              <w:spacing w:after="0" w:line="340" w:lineRule="exact"/>
              <w:ind w:left="-110" w:leftChars="-50" w:right="-110" w:rightChars="-50"/>
              <w:rPr>
                <w:rFonts w:eastAsia="仿宋_GB2312"/>
                <w:color w:val="000000"/>
                <w:sz w:val="24"/>
              </w:rPr>
            </w:pPr>
            <w:r>
              <w:rPr>
                <w:rFonts w:eastAsia="仿宋_GB2312"/>
                <w:color w:val="000000"/>
                <w:sz w:val="24"/>
              </w:rPr>
              <w:t>是否替代既有设施，被替代既有设施类型</w:t>
            </w:r>
          </w:p>
        </w:tc>
        <w:tc>
          <w:tcPr>
            <w:tcW w:w="1448" w:type="dxa"/>
            <w:tcBorders>
              <w:bottom w:val="single" w:color="auto" w:sz="4" w:space="0"/>
            </w:tcBorders>
            <w:vAlign w:val="center"/>
          </w:tcPr>
          <w:p w14:paraId="257E3B1E">
            <w:pPr>
              <w:tabs>
                <w:tab w:val="left" w:pos="1701"/>
              </w:tabs>
              <w:spacing w:after="0" w:line="340" w:lineRule="exact"/>
              <w:rPr>
                <w:rFonts w:eastAsia="仿宋_GB2312"/>
                <w:color w:val="000000"/>
                <w:sz w:val="24"/>
              </w:rPr>
            </w:pPr>
            <w:r>
              <w:rPr>
                <w:rFonts w:hint="eastAsia" w:eastAsia="仿宋_GB2312"/>
                <w:color w:val="000000"/>
                <w:sz w:val="24"/>
              </w:rPr>
              <w:t>新增设施</w:t>
            </w:r>
            <w:r>
              <w:rPr>
                <w:rFonts w:eastAsia="仿宋_GB2312"/>
                <w:color w:val="000000"/>
                <w:sz w:val="24"/>
              </w:rPr>
              <w:t>排放量（吨）</w:t>
            </w:r>
          </w:p>
        </w:tc>
        <w:tc>
          <w:tcPr>
            <w:tcW w:w="1135" w:type="dxa"/>
            <w:vAlign w:val="center"/>
          </w:tcPr>
          <w:p w14:paraId="495567DD">
            <w:pPr>
              <w:tabs>
                <w:tab w:val="left" w:pos="1701"/>
              </w:tabs>
              <w:spacing w:after="0" w:line="340" w:lineRule="exact"/>
              <w:ind w:left="-110" w:leftChars="-50" w:right="-110" w:rightChars="-50"/>
              <w:rPr>
                <w:rFonts w:eastAsia="仿宋_GB2312"/>
                <w:color w:val="000000"/>
                <w:sz w:val="24"/>
              </w:rPr>
            </w:pPr>
            <w:r>
              <w:rPr>
                <w:rFonts w:hint="eastAsia" w:eastAsia="仿宋_GB2312"/>
                <w:color w:val="000000"/>
                <w:sz w:val="24"/>
              </w:rPr>
              <w:t>替代既有设施的新增排放量(吨)</w:t>
            </w:r>
          </w:p>
        </w:tc>
      </w:tr>
      <w:tr w14:paraId="3C2F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87" w:type="dxa"/>
            <w:vAlign w:val="center"/>
          </w:tcPr>
          <w:p w14:paraId="5B442BAE">
            <w:pPr>
              <w:tabs>
                <w:tab w:val="left" w:pos="1701"/>
              </w:tabs>
              <w:spacing w:after="0" w:line="340" w:lineRule="exact"/>
              <w:rPr>
                <w:rFonts w:eastAsia="仿宋_GB2312"/>
                <w:sz w:val="24"/>
              </w:rPr>
            </w:pPr>
            <w:r>
              <w:rPr>
                <w:rFonts w:eastAsia="仿宋_GB2312"/>
                <w:sz w:val="24"/>
              </w:rPr>
              <w:t>1</w:t>
            </w:r>
          </w:p>
        </w:tc>
        <w:tc>
          <w:tcPr>
            <w:tcW w:w="942" w:type="dxa"/>
            <w:vAlign w:val="center"/>
          </w:tcPr>
          <w:p w14:paraId="3D678F54">
            <w:pPr>
              <w:tabs>
                <w:tab w:val="left" w:pos="1701"/>
              </w:tabs>
              <w:spacing w:after="0" w:line="340" w:lineRule="exact"/>
              <w:rPr>
                <w:rFonts w:eastAsia="仿宋_GB2312"/>
                <w:sz w:val="24"/>
              </w:rPr>
            </w:pPr>
            <w:r>
              <w:rPr>
                <w:rFonts w:hint="eastAsia" w:eastAsia="仿宋_GB2312"/>
                <w:sz w:val="24"/>
              </w:rPr>
              <w:t>2019</w:t>
            </w:r>
          </w:p>
        </w:tc>
        <w:tc>
          <w:tcPr>
            <w:tcW w:w="1119" w:type="dxa"/>
            <w:vAlign w:val="center"/>
          </w:tcPr>
          <w:p w14:paraId="2AF22820">
            <w:pPr>
              <w:tabs>
                <w:tab w:val="left" w:pos="1701"/>
              </w:tabs>
              <w:spacing w:after="0" w:line="340" w:lineRule="exact"/>
              <w:rPr>
                <w:rFonts w:eastAsia="仿宋_GB2312"/>
                <w:sz w:val="24"/>
              </w:rPr>
            </w:pPr>
            <w:r>
              <w:rPr>
                <w:rFonts w:eastAsia="仿宋_GB2312"/>
                <w:sz w:val="24"/>
              </w:rPr>
              <w:t>数据中心</w:t>
            </w:r>
          </w:p>
        </w:tc>
        <w:tc>
          <w:tcPr>
            <w:tcW w:w="2540" w:type="dxa"/>
            <w:vAlign w:val="center"/>
          </w:tcPr>
          <w:p w14:paraId="0B05B760">
            <w:pPr>
              <w:tabs>
                <w:tab w:val="left" w:pos="1701"/>
              </w:tabs>
              <w:spacing w:after="0" w:line="340" w:lineRule="exact"/>
              <w:rPr>
                <w:rFonts w:eastAsia="仿宋_GB2312"/>
                <w:sz w:val="24"/>
              </w:rPr>
            </w:pPr>
            <w:r>
              <w:rPr>
                <w:rFonts w:eastAsia="仿宋_GB2312"/>
                <w:sz w:val="24"/>
              </w:rPr>
              <w:t>新增IDC机房设备</w:t>
            </w:r>
            <w:r>
              <w:rPr>
                <w:rFonts w:hint="eastAsia" w:eastAsia="仿宋_GB2312"/>
                <w:sz w:val="24"/>
              </w:rPr>
              <w:t>：xxxx个</w:t>
            </w:r>
          </w:p>
        </w:tc>
        <w:tc>
          <w:tcPr>
            <w:tcW w:w="1215" w:type="dxa"/>
            <w:vAlign w:val="center"/>
          </w:tcPr>
          <w:p w14:paraId="2777E2FE">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63A66826">
            <w:pPr>
              <w:spacing w:after="0" w:line="340" w:lineRule="exact"/>
              <w:jc w:val="center"/>
              <w:rPr>
                <w:rFonts w:ascii="Times New Roman" w:hAnsi="Times New Roman" w:eastAsia="等线"/>
                <w:color w:val="000000"/>
              </w:rPr>
            </w:pPr>
            <w:r>
              <w:rPr>
                <w:rFonts w:ascii="Times New Roman" w:hAnsi="Times New Roman" w:eastAsia="等线"/>
                <w:color w:val="000000"/>
              </w:rPr>
              <w:t>124600.07</w:t>
            </w:r>
          </w:p>
        </w:tc>
        <w:tc>
          <w:tcPr>
            <w:tcW w:w="1135" w:type="dxa"/>
            <w:vAlign w:val="center"/>
          </w:tcPr>
          <w:p w14:paraId="798247CC">
            <w:pPr>
              <w:tabs>
                <w:tab w:val="left" w:pos="1701"/>
              </w:tabs>
              <w:spacing w:after="0" w:line="340" w:lineRule="exact"/>
              <w:jc w:val="center"/>
              <w:rPr>
                <w:rFonts w:eastAsia="仿宋_GB2312"/>
                <w:sz w:val="24"/>
              </w:rPr>
            </w:pPr>
            <w:r>
              <w:rPr>
                <w:rFonts w:eastAsia="仿宋_GB2312"/>
                <w:sz w:val="24"/>
              </w:rPr>
              <w:t>/</w:t>
            </w:r>
          </w:p>
        </w:tc>
      </w:tr>
      <w:tr w14:paraId="7EF8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87" w:type="dxa"/>
            <w:vMerge w:val="restart"/>
            <w:vAlign w:val="center"/>
          </w:tcPr>
          <w:p w14:paraId="6E27651D">
            <w:pPr>
              <w:tabs>
                <w:tab w:val="left" w:pos="1701"/>
              </w:tabs>
              <w:spacing w:after="0" w:line="340" w:lineRule="exact"/>
              <w:rPr>
                <w:rFonts w:eastAsia="仿宋_GB2312"/>
                <w:sz w:val="24"/>
              </w:rPr>
            </w:pPr>
            <w:r>
              <w:rPr>
                <w:rFonts w:eastAsia="仿宋_GB2312"/>
                <w:sz w:val="24"/>
              </w:rPr>
              <w:t>2</w:t>
            </w:r>
          </w:p>
        </w:tc>
        <w:tc>
          <w:tcPr>
            <w:tcW w:w="942" w:type="dxa"/>
            <w:vMerge w:val="restart"/>
            <w:vAlign w:val="center"/>
          </w:tcPr>
          <w:p w14:paraId="6BA80FB5">
            <w:pPr>
              <w:tabs>
                <w:tab w:val="left" w:pos="1701"/>
              </w:tabs>
              <w:spacing w:after="0" w:line="340" w:lineRule="exact"/>
              <w:rPr>
                <w:rFonts w:eastAsia="仿宋_GB2312"/>
                <w:sz w:val="24"/>
              </w:rPr>
            </w:pPr>
            <w:r>
              <w:rPr>
                <w:rFonts w:hint="eastAsia" w:eastAsia="仿宋_GB2312"/>
                <w:sz w:val="24"/>
              </w:rPr>
              <w:t>2019</w:t>
            </w:r>
          </w:p>
        </w:tc>
        <w:tc>
          <w:tcPr>
            <w:tcW w:w="1119" w:type="dxa"/>
            <w:vMerge w:val="restart"/>
            <w:vAlign w:val="center"/>
          </w:tcPr>
          <w:p w14:paraId="074C96C9">
            <w:pPr>
              <w:tabs>
                <w:tab w:val="left" w:pos="1701"/>
              </w:tabs>
              <w:spacing w:after="0" w:line="340" w:lineRule="exact"/>
              <w:rPr>
                <w:rFonts w:eastAsia="仿宋_GB2312"/>
                <w:sz w:val="24"/>
              </w:rPr>
            </w:pPr>
            <w:r>
              <w:rPr>
                <w:rFonts w:eastAsia="仿宋_GB2312"/>
                <w:sz w:val="24"/>
              </w:rPr>
              <w:t>移动通信设施</w:t>
            </w:r>
          </w:p>
        </w:tc>
        <w:tc>
          <w:tcPr>
            <w:tcW w:w="2540" w:type="dxa"/>
            <w:vAlign w:val="center"/>
          </w:tcPr>
          <w:p w14:paraId="4F1D92B0">
            <w:pPr>
              <w:tabs>
                <w:tab w:val="left" w:pos="1701"/>
              </w:tabs>
              <w:spacing w:after="0" w:line="340" w:lineRule="exact"/>
              <w:rPr>
                <w:rFonts w:eastAsia="仿宋_GB2312"/>
                <w:sz w:val="24"/>
              </w:rPr>
            </w:pPr>
            <w:r>
              <w:rPr>
                <w:rFonts w:eastAsia="仿宋_GB2312"/>
                <w:sz w:val="24"/>
              </w:rPr>
              <w:t>室外站(2G/3G/4G)</w:t>
            </w:r>
            <w:r>
              <w:rPr>
                <w:rFonts w:hint="eastAsia" w:eastAsia="仿宋_GB2312"/>
                <w:sz w:val="24"/>
              </w:rPr>
              <w:t>：xxxx个</w:t>
            </w:r>
          </w:p>
        </w:tc>
        <w:tc>
          <w:tcPr>
            <w:tcW w:w="1215" w:type="dxa"/>
            <w:vAlign w:val="center"/>
          </w:tcPr>
          <w:p w14:paraId="37032AF3">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7D35B8B2">
            <w:pPr>
              <w:spacing w:after="0" w:line="340" w:lineRule="exact"/>
              <w:jc w:val="center"/>
              <w:rPr>
                <w:rFonts w:ascii="Times New Roman" w:hAnsi="Times New Roman" w:eastAsia="等线"/>
                <w:color w:val="000000"/>
              </w:rPr>
            </w:pPr>
            <w:r>
              <w:rPr>
                <w:rFonts w:ascii="Times New Roman" w:hAnsi="Times New Roman" w:eastAsia="等线"/>
                <w:color w:val="000000"/>
              </w:rPr>
              <w:t>195644.96</w:t>
            </w:r>
          </w:p>
        </w:tc>
        <w:tc>
          <w:tcPr>
            <w:tcW w:w="1135" w:type="dxa"/>
            <w:vAlign w:val="center"/>
          </w:tcPr>
          <w:p w14:paraId="2712EF43">
            <w:pPr>
              <w:tabs>
                <w:tab w:val="left" w:pos="1701"/>
              </w:tabs>
              <w:spacing w:after="0" w:line="340" w:lineRule="exact"/>
              <w:jc w:val="center"/>
              <w:rPr>
                <w:rFonts w:eastAsia="仿宋_GB2312"/>
                <w:sz w:val="24"/>
              </w:rPr>
            </w:pPr>
            <w:r>
              <w:rPr>
                <w:rFonts w:eastAsia="仿宋_GB2312"/>
                <w:sz w:val="24"/>
              </w:rPr>
              <w:t>/</w:t>
            </w:r>
          </w:p>
        </w:tc>
      </w:tr>
      <w:tr w14:paraId="7BF5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87" w:type="dxa"/>
            <w:vMerge w:val="continue"/>
            <w:vAlign w:val="center"/>
          </w:tcPr>
          <w:p w14:paraId="0D0E5A03">
            <w:pPr>
              <w:tabs>
                <w:tab w:val="left" w:pos="1701"/>
              </w:tabs>
              <w:spacing w:after="0" w:line="340" w:lineRule="exact"/>
              <w:rPr>
                <w:rFonts w:eastAsia="仿宋_GB2312"/>
                <w:sz w:val="24"/>
              </w:rPr>
            </w:pPr>
          </w:p>
        </w:tc>
        <w:tc>
          <w:tcPr>
            <w:tcW w:w="942" w:type="dxa"/>
            <w:vMerge w:val="continue"/>
            <w:vAlign w:val="center"/>
          </w:tcPr>
          <w:p w14:paraId="563B1916">
            <w:pPr>
              <w:tabs>
                <w:tab w:val="left" w:pos="1701"/>
              </w:tabs>
              <w:spacing w:after="0" w:line="340" w:lineRule="exact"/>
              <w:rPr>
                <w:rFonts w:eastAsia="仿宋_GB2312"/>
                <w:sz w:val="24"/>
              </w:rPr>
            </w:pPr>
          </w:p>
        </w:tc>
        <w:tc>
          <w:tcPr>
            <w:tcW w:w="1119" w:type="dxa"/>
            <w:vMerge w:val="continue"/>
            <w:vAlign w:val="center"/>
          </w:tcPr>
          <w:p w14:paraId="51C28A62">
            <w:pPr>
              <w:tabs>
                <w:tab w:val="left" w:pos="1701"/>
              </w:tabs>
              <w:spacing w:after="0" w:line="340" w:lineRule="exact"/>
              <w:rPr>
                <w:rFonts w:eastAsia="仿宋_GB2312"/>
                <w:sz w:val="24"/>
              </w:rPr>
            </w:pPr>
          </w:p>
        </w:tc>
        <w:tc>
          <w:tcPr>
            <w:tcW w:w="2540" w:type="dxa"/>
            <w:vAlign w:val="center"/>
          </w:tcPr>
          <w:p w14:paraId="6C793C0D">
            <w:pPr>
              <w:tabs>
                <w:tab w:val="left" w:pos="1701"/>
              </w:tabs>
              <w:spacing w:after="0" w:line="340" w:lineRule="exact"/>
              <w:rPr>
                <w:rFonts w:eastAsia="仿宋_GB2312"/>
                <w:sz w:val="24"/>
              </w:rPr>
            </w:pPr>
            <w:r>
              <w:rPr>
                <w:rFonts w:eastAsia="仿宋_GB2312"/>
                <w:sz w:val="24"/>
              </w:rPr>
              <w:t>室内站(2G/3G/4G)</w:t>
            </w:r>
            <w:r>
              <w:rPr>
                <w:rFonts w:hint="eastAsia" w:eastAsia="仿宋_GB2312"/>
                <w:sz w:val="24"/>
              </w:rPr>
              <w:t>：xxxx个</w:t>
            </w:r>
          </w:p>
        </w:tc>
        <w:tc>
          <w:tcPr>
            <w:tcW w:w="1215" w:type="dxa"/>
            <w:vAlign w:val="center"/>
          </w:tcPr>
          <w:p w14:paraId="5952981C">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3848D9F5">
            <w:pPr>
              <w:spacing w:after="0" w:line="340" w:lineRule="exact"/>
              <w:jc w:val="center"/>
              <w:rPr>
                <w:rFonts w:ascii="Times New Roman" w:hAnsi="Times New Roman" w:eastAsia="等线"/>
                <w:color w:val="000000"/>
              </w:rPr>
            </w:pPr>
            <w:r>
              <w:rPr>
                <w:rFonts w:ascii="Times New Roman" w:hAnsi="Times New Roman" w:eastAsia="等线"/>
                <w:color w:val="000000"/>
              </w:rPr>
              <w:t>114072.95</w:t>
            </w:r>
          </w:p>
        </w:tc>
        <w:tc>
          <w:tcPr>
            <w:tcW w:w="1135" w:type="dxa"/>
            <w:vAlign w:val="center"/>
          </w:tcPr>
          <w:p w14:paraId="1306782B">
            <w:pPr>
              <w:tabs>
                <w:tab w:val="left" w:pos="1701"/>
              </w:tabs>
              <w:spacing w:after="0" w:line="340" w:lineRule="exact"/>
              <w:jc w:val="center"/>
              <w:rPr>
                <w:rFonts w:eastAsia="仿宋_GB2312"/>
                <w:sz w:val="24"/>
              </w:rPr>
            </w:pPr>
            <w:r>
              <w:rPr>
                <w:rFonts w:eastAsia="仿宋_GB2312"/>
                <w:color w:val="000000"/>
                <w:sz w:val="24"/>
              </w:rPr>
              <w:t>/</w:t>
            </w:r>
          </w:p>
        </w:tc>
      </w:tr>
      <w:tr w14:paraId="72B9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87" w:type="dxa"/>
            <w:vMerge w:val="continue"/>
            <w:vAlign w:val="center"/>
          </w:tcPr>
          <w:p w14:paraId="08626095">
            <w:pPr>
              <w:tabs>
                <w:tab w:val="left" w:pos="1701"/>
              </w:tabs>
              <w:spacing w:after="0" w:line="340" w:lineRule="exact"/>
              <w:rPr>
                <w:rFonts w:eastAsia="仿宋_GB2312"/>
                <w:sz w:val="24"/>
              </w:rPr>
            </w:pPr>
          </w:p>
        </w:tc>
        <w:tc>
          <w:tcPr>
            <w:tcW w:w="942" w:type="dxa"/>
            <w:vMerge w:val="continue"/>
            <w:vAlign w:val="center"/>
          </w:tcPr>
          <w:p w14:paraId="00E56BEC">
            <w:pPr>
              <w:tabs>
                <w:tab w:val="left" w:pos="1701"/>
              </w:tabs>
              <w:spacing w:after="0" w:line="340" w:lineRule="exact"/>
              <w:rPr>
                <w:rFonts w:eastAsia="仿宋_GB2312"/>
                <w:sz w:val="24"/>
              </w:rPr>
            </w:pPr>
          </w:p>
        </w:tc>
        <w:tc>
          <w:tcPr>
            <w:tcW w:w="1119" w:type="dxa"/>
            <w:vMerge w:val="continue"/>
            <w:vAlign w:val="center"/>
          </w:tcPr>
          <w:p w14:paraId="645A321C">
            <w:pPr>
              <w:tabs>
                <w:tab w:val="left" w:pos="1701"/>
              </w:tabs>
              <w:spacing w:after="0" w:line="340" w:lineRule="exact"/>
              <w:rPr>
                <w:rFonts w:eastAsia="仿宋_GB2312"/>
                <w:sz w:val="24"/>
              </w:rPr>
            </w:pPr>
          </w:p>
        </w:tc>
        <w:tc>
          <w:tcPr>
            <w:tcW w:w="2540" w:type="dxa"/>
            <w:vAlign w:val="center"/>
          </w:tcPr>
          <w:p w14:paraId="43B04894">
            <w:pPr>
              <w:tabs>
                <w:tab w:val="left" w:pos="1701"/>
              </w:tabs>
              <w:spacing w:after="0" w:line="340" w:lineRule="exact"/>
              <w:rPr>
                <w:rFonts w:eastAsia="仿宋_GB2312"/>
                <w:sz w:val="24"/>
              </w:rPr>
            </w:pPr>
            <w:r>
              <w:rPr>
                <w:rFonts w:eastAsia="仿宋_GB2312"/>
                <w:sz w:val="24"/>
              </w:rPr>
              <w:t>室外站5G</w:t>
            </w:r>
            <w:r>
              <w:rPr>
                <w:rFonts w:hint="eastAsia" w:eastAsia="仿宋_GB2312"/>
                <w:sz w:val="24"/>
              </w:rPr>
              <w:t>：xxxx个</w:t>
            </w:r>
          </w:p>
        </w:tc>
        <w:tc>
          <w:tcPr>
            <w:tcW w:w="1215" w:type="dxa"/>
            <w:vAlign w:val="center"/>
          </w:tcPr>
          <w:p w14:paraId="2CB0C753">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1C35FD61">
            <w:pPr>
              <w:spacing w:after="0" w:line="340" w:lineRule="exact"/>
              <w:jc w:val="center"/>
              <w:rPr>
                <w:rFonts w:ascii="Times New Roman" w:hAnsi="Times New Roman" w:eastAsia="等线"/>
                <w:color w:val="000000"/>
              </w:rPr>
            </w:pPr>
            <w:r>
              <w:rPr>
                <w:rFonts w:ascii="Times New Roman" w:hAnsi="Times New Roman" w:eastAsia="等线"/>
                <w:color w:val="000000"/>
              </w:rPr>
              <w:t>367.84</w:t>
            </w:r>
          </w:p>
        </w:tc>
        <w:tc>
          <w:tcPr>
            <w:tcW w:w="1135" w:type="dxa"/>
            <w:vAlign w:val="center"/>
          </w:tcPr>
          <w:p w14:paraId="7EE97FF9">
            <w:pPr>
              <w:tabs>
                <w:tab w:val="left" w:pos="1701"/>
              </w:tabs>
              <w:spacing w:after="0" w:line="340" w:lineRule="exact"/>
              <w:jc w:val="center"/>
              <w:rPr>
                <w:rFonts w:eastAsia="仿宋_GB2312"/>
                <w:sz w:val="24"/>
              </w:rPr>
            </w:pPr>
            <w:r>
              <w:rPr>
                <w:rFonts w:eastAsia="仿宋_GB2312"/>
                <w:color w:val="000000"/>
                <w:sz w:val="24"/>
              </w:rPr>
              <w:t>/</w:t>
            </w:r>
          </w:p>
        </w:tc>
      </w:tr>
      <w:tr w14:paraId="49D7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87" w:type="dxa"/>
            <w:vMerge w:val="continue"/>
            <w:vAlign w:val="center"/>
          </w:tcPr>
          <w:p w14:paraId="74E3DC1B">
            <w:pPr>
              <w:tabs>
                <w:tab w:val="left" w:pos="1701"/>
              </w:tabs>
              <w:spacing w:after="0" w:line="340" w:lineRule="exact"/>
              <w:rPr>
                <w:rFonts w:eastAsia="仿宋_GB2312"/>
                <w:sz w:val="24"/>
              </w:rPr>
            </w:pPr>
          </w:p>
        </w:tc>
        <w:tc>
          <w:tcPr>
            <w:tcW w:w="942" w:type="dxa"/>
            <w:vMerge w:val="continue"/>
            <w:vAlign w:val="center"/>
          </w:tcPr>
          <w:p w14:paraId="619CD228">
            <w:pPr>
              <w:tabs>
                <w:tab w:val="left" w:pos="1701"/>
              </w:tabs>
              <w:spacing w:after="0" w:line="340" w:lineRule="exact"/>
              <w:rPr>
                <w:rFonts w:eastAsia="仿宋_GB2312"/>
                <w:sz w:val="24"/>
              </w:rPr>
            </w:pPr>
          </w:p>
        </w:tc>
        <w:tc>
          <w:tcPr>
            <w:tcW w:w="1119" w:type="dxa"/>
            <w:vMerge w:val="continue"/>
            <w:vAlign w:val="center"/>
          </w:tcPr>
          <w:p w14:paraId="6FAE9726">
            <w:pPr>
              <w:tabs>
                <w:tab w:val="left" w:pos="1701"/>
              </w:tabs>
              <w:spacing w:after="0" w:line="340" w:lineRule="exact"/>
              <w:rPr>
                <w:rFonts w:eastAsia="仿宋_GB2312"/>
                <w:sz w:val="24"/>
              </w:rPr>
            </w:pPr>
          </w:p>
        </w:tc>
        <w:tc>
          <w:tcPr>
            <w:tcW w:w="2540" w:type="dxa"/>
            <w:vAlign w:val="center"/>
          </w:tcPr>
          <w:p w14:paraId="2967C754">
            <w:pPr>
              <w:tabs>
                <w:tab w:val="left" w:pos="1701"/>
              </w:tabs>
              <w:spacing w:after="0" w:line="340" w:lineRule="exact"/>
              <w:rPr>
                <w:rFonts w:eastAsia="仿宋_GB2312"/>
                <w:sz w:val="24"/>
              </w:rPr>
            </w:pPr>
            <w:r>
              <w:rPr>
                <w:rFonts w:eastAsia="仿宋_GB2312"/>
                <w:sz w:val="24"/>
              </w:rPr>
              <w:t>室内站5G</w:t>
            </w:r>
            <w:r>
              <w:rPr>
                <w:rFonts w:hint="eastAsia" w:eastAsia="仿宋_GB2312"/>
                <w:sz w:val="24"/>
              </w:rPr>
              <w:t>：xxxx个</w:t>
            </w:r>
          </w:p>
        </w:tc>
        <w:tc>
          <w:tcPr>
            <w:tcW w:w="1215" w:type="dxa"/>
            <w:vAlign w:val="center"/>
          </w:tcPr>
          <w:p w14:paraId="1B8FE8DD">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796A8428">
            <w:pPr>
              <w:spacing w:after="0" w:line="340" w:lineRule="exact"/>
              <w:jc w:val="center"/>
              <w:rPr>
                <w:rFonts w:ascii="Times New Roman" w:hAnsi="Times New Roman" w:eastAsia="等线"/>
                <w:color w:val="000000"/>
              </w:rPr>
            </w:pPr>
            <w:r>
              <w:rPr>
                <w:rFonts w:ascii="Times New Roman" w:hAnsi="Times New Roman" w:eastAsia="等线"/>
                <w:color w:val="000000"/>
              </w:rPr>
              <w:t>0.00</w:t>
            </w:r>
          </w:p>
        </w:tc>
        <w:tc>
          <w:tcPr>
            <w:tcW w:w="1135" w:type="dxa"/>
            <w:vAlign w:val="center"/>
          </w:tcPr>
          <w:p w14:paraId="3011AFAE">
            <w:pPr>
              <w:tabs>
                <w:tab w:val="left" w:pos="1701"/>
              </w:tabs>
              <w:spacing w:after="0" w:line="340" w:lineRule="exact"/>
              <w:jc w:val="center"/>
              <w:rPr>
                <w:rFonts w:eastAsia="仿宋_GB2312"/>
                <w:sz w:val="24"/>
              </w:rPr>
            </w:pPr>
            <w:r>
              <w:rPr>
                <w:rFonts w:eastAsia="仿宋_GB2312"/>
                <w:color w:val="000000"/>
                <w:sz w:val="24"/>
              </w:rPr>
              <w:t>/</w:t>
            </w:r>
          </w:p>
        </w:tc>
      </w:tr>
      <w:tr w14:paraId="34F5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487" w:type="dxa"/>
            <w:vMerge w:val="restart"/>
            <w:vAlign w:val="center"/>
          </w:tcPr>
          <w:p w14:paraId="0333D746">
            <w:pPr>
              <w:tabs>
                <w:tab w:val="left" w:pos="1701"/>
              </w:tabs>
              <w:spacing w:after="0" w:line="340" w:lineRule="exact"/>
              <w:rPr>
                <w:rFonts w:eastAsia="仿宋_GB2312"/>
                <w:sz w:val="24"/>
              </w:rPr>
            </w:pPr>
            <w:r>
              <w:rPr>
                <w:rFonts w:eastAsia="仿宋_GB2312"/>
                <w:sz w:val="24"/>
              </w:rPr>
              <w:t>3</w:t>
            </w:r>
          </w:p>
        </w:tc>
        <w:tc>
          <w:tcPr>
            <w:tcW w:w="942" w:type="dxa"/>
            <w:vMerge w:val="restart"/>
            <w:vAlign w:val="center"/>
          </w:tcPr>
          <w:p w14:paraId="4D03C50C">
            <w:pPr>
              <w:tabs>
                <w:tab w:val="left" w:pos="1701"/>
              </w:tabs>
              <w:spacing w:after="0" w:line="340" w:lineRule="exact"/>
              <w:rPr>
                <w:rFonts w:eastAsia="仿宋_GB2312"/>
                <w:sz w:val="24"/>
              </w:rPr>
            </w:pPr>
            <w:r>
              <w:rPr>
                <w:rFonts w:hint="eastAsia" w:eastAsia="仿宋_GB2312"/>
                <w:sz w:val="24"/>
              </w:rPr>
              <w:t>20</w:t>
            </w:r>
            <w:r>
              <w:rPr>
                <w:rFonts w:eastAsia="仿宋_GB2312"/>
                <w:sz w:val="24"/>
              </w:rPr>
              <w:t>20</w:t>
            </w:r>
          </w:p>
        </w:tc>
        <w:tc>
          <w:tcPr>
            <w:tcW w:w="1119" w:type="dxa"/>
            <w:vMerge w:val="restart"/>
            <w:vAlign w:val="center"/>
          </w:tcPr>
          <w:p w14:paraId="0B07D8B2">
            <w:pPr>
              <w:tabs>
                <w:tab w:val="left" w:pos="1701"/>
              </w:tabs>
              <w:spacing w:after="0" w:line="340" w:lineRule="exact"/>
              <w:rPr>
                <w:rFonts w:eastAsia="仿宋_GB2312"/>
                <w:sz w:val="24"/>
              </w:rPr>
            </w:pPr>
            <w:r>
              <w:rPr>
                <w:rFonts w:eastAsia="仿宋_GB2312"/>
                <w:sz w:val="24"/>
              </w:rPr>
              <w:t>固定及移动网络通信设施</w:t>
            </w:r>
          </w:p>
        </w:tc>
        <w:tc>
          <w:tcPr>
            <w:tcW w:w="2540" w:type="dxa"/>
            <w:vAlign w:val="center"/>
          </w:tcPr>
          <w:p w14:paraId="74B7C4F2">
            <w:pPr>
              <w:tabs>
                <w:tab w:val="left" w:pos="1701"/>
              </w:tabs>
              <w:spacing w:after="0" w:line="340" w:lineRule="exact"/>
              <w:rPr>
                <w:rFonts w:eastAsia="仿宋_GB2312"/>
                <w:sz w:val="24"/>
              </w:rPr>
            </w:pPr>
            <w:r>
              <w:rPr>
                <w:rFonts w:eastAsia="仿宋_GB2312"/>
                <w:sz w:val="24"/>
              </w:rPr>
              <w:t>固定网主要传输设备（包括ATM、DDN、DPN、FR、IPRNA、MSTP、OTN、PTN、SDH）</w:t>
            </w:r>
            <w:r>
              <w:rPr>
                <w:rFonts w:hint="eastAsia" w:eastAsia="仿宋_GB2312"/>
                <w:sz w:val="24"/>
              </w:rPr>
              <w:t>：xxxx个</w:t>
            </w:r>
          </w:p>
        </w:tc>
        <w:tc>
          <w:tcPr>
            <w:tcW w:w="1215" w:type="dxa"/>
            <w:vAlign w:val="center"/>
          </w:tcPr>
          <w:p w14:paraId="2DA13B31">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1E398FA9">
            <w:pPr>
              <w:spacing w:after="0" w:line="340" w:lineRule="exact"/>
              <w:jc w:val="center"/>
              <w:rPr>
                <w:rFonts w:ascii="Times New Roman" w:hAnsi="Times New Roman" w:eastAsia="等线"/>
                <w:color w:val="000000"/>
              </w:rPr>
            </w:pPr>
            <w:r>
              <w:rPr>
                <w:rFonts w:ascii="Times New Roman" w:hAnsi="Times New Roman" w:eastAsia="等线"/>
                <w:color w:val="000000"/>
              </w:rPr>
              <w:t>22569.37</w:t>
            </w:r>
          </w:p>
        </w:tc>
        <w:tc>
          <w:tcPr>
            <w:tcW w:w="1135" w:type="dxa"/>
            <w:vAlign w:val="center"/>
          </w:tcPr>
          <w:p w14:paraId="24800871">
            <w:pPr>
              <w:tabs>
                <w:tab w:val="left" w:pos="1701"/>
              </w:tabs>
              <w:spacing w:after="0" w:line="340" w:lineRule="exact"/>
              <w:jc w:val="center"/>
              <w:rPr>
                <w:rFonts w:eastAsia="仿宋_GB2312"/>
                <w:sz w:val="24"/>
              </w:rPr>
            </w:pPr>
            <w:r>
              <w:rPr>
                <w:rFonts w:eastAsia="仿宋_GB2312"/>
                <w:color w:val="000000"/>
                <w:sz w:val="24"/>
              </w:rPr>
              <w:t>/</w:t>
            </w:r>
          </w:p>
        </w:tc>
      </w:tr>
      <w:tr w14:paraId="048C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87" w:type="dxa"/>
            <w:vMerge w:val="continue"/>
            <w:vAlign w:val="center"/>
          </w:tcPr>
          <w:p w14:paraId="7C3D05BB">
            <w:pPr>
              <w:tabs>
                <w:tab w:val="left" w:pos="1701"/>
              </w:tabs>
              <w:spacing w:after="0" w:line="340" w:lineRule="exact"/>
              <w:rPr>
                <w:rFonts w:eastAsia="仿宋_GB2312"/>
                <w:sz w:val="24"/>
              </w:rPr>
            </w:pPr>
          </w:p>
        </w:tc>
        <w:tc>
          <w:tcPr>
            <w:tcW w:w="942" w:type="dxa"/>
            <w:vMerge w:val="continue"/>
            <w:vAlign w:val="center"/>
          </w:tcPr>
          <w:p w14:paraId="299B0041">
            <w:pPr>
              <w:tabs>
                <w:tab w:val="left" w:pos="1701"/>
              </w:tabs>
              <w:spacing w:after="0" w:line="340" w:lineRule="exact"/>
              <w:rPr>
                <w:rFonts w:eastAsia="仿宋_GB2312"/>
                <w:sz w:val="24"/>
              </w:rPr>
            </w:pPr>
          </w:p>
        </w:tc>
        <w:tc>
          <w:tcPr>
            <w:tcW w:w="1119" w:type="dxa"/>
            <w:vMerge w:val="continue"/>
            <w:vAlign w:val="center"/>
          </w:tcPr>
          <w:p w14:paraId="5A11509F">
            <w:pPr>
              <w:tabs>
                <w:tab w:val="left" w:pos="1701"/>
              </w:tabs>
              <w:spacing w:after="0" w:line="340" w:lineRule="exact"/>
              <w:rPr>
                <w:rFonts w:eastAsia="仿宋_GB2312"/>
                <w:sz w:val="24"/>
              </w:rPr>
            </w:pPr>
          </w:p>
        </w:tc>
        <w:tc>
          <w:tcPr>
            <w:tcW w:w="2540" w:type="dxa"/>
            <w:vAlign w:val="center"/>
          </w:tcPr>
          <w:p w14:paraId="2FE5E688">
            <w:pPr>
              <w:tabs>
                <w:tab w:val="left" w:pos="1701"/>
              </w:tabs>
              <w:spacing w:after="0" w:line="340" w:lineRule="exact"/>
              <w:rPr>
                <w:rFonts w:eastAsia="仿宋_GB2312"/>
                <w:sz w:val="24"/>
              </w:rPr>
            </w:pPr>
            <w:r>
              <w:rPr>
                <w:rFonts w:eastAsia="仿宋_GB2312"/>
                <w:sz w:val="24"/>
              </w:rPr>
              <w:t>固定网主要宽带设备（包括OLT、汇聚交换机、服务器、BRAS）</w:t>
            </w:r>
            <w:r>
              <w:rPr>
                <w:rFonts w:hint="eastAsia" w:eastAsia="仿宋_GB2312"/>
                <w:sz w:val="24"/>
              </w:rPr>
              <w:t>：xxxx个</w:t>
            </w:r>
          </w:p>
        </w:tc>
        <w:tc>
          <w:tcPr>
            <w:tcW w:w="1215" w:type="dxa"/>
            <w:vAlign w:val="center"/>
          </w:tcPr>
          <w:p w14:paraId="10E0C714">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0E06E43B">
            <w:pPr>
              <w:spacing w:after="0" w:line="340" w:lineRule="exact"/>
              <w:jc w:val="center"/>
              <w:rPr>
                <w:rFonts w:ascii="Times New Roman" w:hAnsi="Times New Roman" w:eastAsia="等线"/>
                <w:color w:val="000000"/>
              </w:rPr>
            </w:pPr>
            <w:r>
              <w:rPr>
                <w:rFonts w:ascii="Times New Roman" w:hAnsi="Times New Roman" w:eastAsia="等线"/>
                <w:color w:val="000000"/>
              </w:rPr>
              <w:t>14792.26</w:t>
            </w:r>
          </w:p>
        </w:tc>
        <w:tc>
          <w:tcPr>
            <w:tcW w:w="1135" w:type="dxa"/>
            <w:vAlign w:val="center"/>
          </w:tcPr>
          <w:p w14:paraId="133E2C00">
            <w:pPr>
              <w:tabs>
                <w:tab w:val="left" w:pos="1701"/>
              </w:tabs>
              <w:spacing w:after="0" w:line="340" w:lineRule="exact"/>
              <w:jc w:val="center"/>
              <w:rPr>
                <w:rFonts w:eastAsia="仿宋_GB2312"/>
                <w:sz w:val="24"/>
              </w:rPr>
            </w:pPr>
            <w:r>
              <w:rPr>
                <w:rFonts w:eastAsia="仿宋_GB2312"/>
                <w:color w:val="000000"/>
                <w:sz w:val="24"/>
              </w:rPr>
              <w:t>/</w:t>
            </w:r>
          </w:p>
        </w:tc>
      </w:tr>
      <w:tr w14:paraId="1EC9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87" w:type="dxa"/>
            <w:vMerge w:val="continue"/>
            <w:vAlign w:val="center"/>
          </w:tcPr>
          <w:p w14:paraId="0A61A7BD">
            <w:pPr>
              <w:tabs>
                <w:tab w:val="left" w:pos="1701"/>
              </w:tabs>
              <w:spacing w:after="0" w:line="340" w:lineRule="exact"/>
              <w:rPr>
                <w:rFonts w:eastAsia="仿宋_GB2312"/>
                <w:sz w:val="24"/>
              </w:rPr>
            </w:pPr>
          </w:p>
        </w:tc>
        <w:tc>
          <w:tcPr>
            <w:tcW w:w="942" w:type="dxa"/>
            <w:vMerge w:val="continue"/>
            <w:vAlign w:val="center"/>
          </w:tcPr>
          <w:p w14:paraId="40434597">
            <w:pPr>
              <w:tabs>
                <w:tab w:val="left" w:pos="1701"/>
              </w:tabs>
              <w:spacing w:after="0" w:line="340" w:lineRule="exact"/>
              <w:rPr>
                <w:rFonts w:eastAsia="仿宋_GB2312"/>
                <w:sz w:val="24"/>
              </w:rPr>
            </w:pPr>
          </w:p>
        </w:tc>
        <w:tc>
          <w:tcPr>
            <w:tcW w:w="1119" w:type="dxa"/>
            <w:vMerge w:val="continue"/>
            <w:vAlign w:val="center"/>
          </w:tcPr>
          <w:p w14:paraId="35971D68">
            <w:pPr>
              <w:tabs>
                <w:tab w:val="left" w:pos="1701"/>
              </w:tabs>
              <w:spacing w:after="0" w:line="340" w:lineRule="exact"/>
              <w:rPr>
                <w:rFonts w:eastAsia="仿宋_GB2312"/>
                <w:sz w:val="24"/>
              </w:rPr>
            </w:pPr>
          </w:p>
        </w:tc>
        <w:tc>
          <w:tcPr>
            <w:tcW w:w="2540" w:type="dxa"/>
            <w:vAlign w:val="center"/>
          </w:tcPr>
          <w:p w14:paraId="2E651B72">
            <w:pPr>
              <w:tabs>
                <w:tab w:val="left" w:pos="1701"/>
              </w:tabs>
              <w:spacing w:after="0" w:line="340" w:lineRule="exact"/>
              <w:rPr>
                <w:rFonts w:eastAsia="仿宋_GB2312"/>
                <w:sz w:val="24"/>
              </w:rPr>
            </w:pPr>
            <w:r>
              <w:rPr>
                <w:rFonts w:eastAsia="仿宋_GB2312"/>
                <w:sz w:val="24"/>
              </w:rPr>
              <w:t>固定网主要信息化设备（包括PC服务器、SAN网交换机、带库、安全设备、磁盘阵列、光纤交换机、交换机、路由器、小型机）</w:t>
            </w:r>
            <w:r>
              <w:rPr>
                <w:rFonts w:hint="eastAsia" w:eastAsia="仿宋_GB2312"/>
                <w:sz w:val="24"/>
              </w:rPr>
              <w:t>：xxxx个</w:t>
            </w:r>
          </w:p>
        </w:tc>
        <w:tc>
          <w:tcPr>
            <w:tcW w:w="1215" w:type="dxa"/>
            <w:vAlign w:val="center"/>
          </w:tcPr>
          <w:p w14:paraId="421C350F">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02DA0887">
            <w:pPr>
              <w:spacing w:after="0" w:line="340" w:lineRule="exact"/>
              <w:jc w:val="center"/>
              <w:rPr>
                <w:rFonts w:ascii="Times New Roman" w:hAnsi="Times New Roman" w:eastAsia="等线"/>
                <w:color w:val="000000"/>
              </w:rPr>
            </w:pPr>
            <w:r>
              <w:rPr>
                <w:rFonts w:ascii="Times New Roman" w:hAnsi="Times New Roman" w:eastAsia="等线"/>
                <w:color w:val="000000"/>
              </w:rPr>
              <w:t>78708.15</w:t>
            </w:r>
          </w:p>
        </w:tc>
        <w:tc>
          <w:tcPr>
            <w:tcW w:w="1135" w:type="dxa"/>
            <w:vAlign w:val="center"/>
          </w:tcPr>
          <w:p w14:paraId="23220178">
            <w:pPr>
              <w:tabs>
                <w:tab w:val="left" w:pos="1701"/>
              </w:tabs>
              <w:spacing w:after="0" w:line="340" w:lineRule="exact"/>
              <w:jc w:val="center"/>
              <w:rPr>
                <w:rFonts w:eastAsia="仿宋_GB2312"/>
                <w:color w:val="000000"/>
                <w:sz w:val="24"/>
              </w:rPr>
            </w:pPr>
            <w:r>
              <w:rPr>
                <w:rFonts w:eastAsia="仿宋_GB2312"/>
                <w:color w:val="000000"/>
                <w:sz w:val="24"/>
              </w:rPr>
              <w:t>/</w:t>
            </w:r>
          </w:p>
        </w:tc>
      </w:tr>
      <w:tr w14:paraId="26DA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87" w:type="dxa"/>
            <w:vMerge w:val="continue"/>
            <w:vAlign w:val="center"/>
          </w:tcPr>
          <w:p w14:paraId="7FE0717D">
            <w:pPr>
              <w:tabs>
                <w:tab w:val="left" w:pos="1701"/>
              </w:tabs>
              <w:spacing w:after="0" w:line="340" w:lineRule="exact"/>
              <w:rPr>
                <w:rFonts w:eastAsia="仿宋_GB2312"/>
                <w:sz w:val="24"/>
              </w:rPr>
            </w:pPr>
          </w:p>
        </w:tc>
        <w:tc>
          <w:tcPr>
            <w:tcW w:w="942" w:type="dxa"/>
            <w:vMerge w:val="continue"/>
            <w:vAlign w:val="center"/>
          </w:tcPr>
          <w:p w14:paraId="52CB4308">
            <w:pPr>
              <w:tabs>
                <w:tab w:val="left" w:pos="1701"/>
              </w:tabs>
              <w:spacing w:after="0" w:line="340" w:lineRule="exact"/>
              <w:rPr>
                <w:rFonts w:eastAsia="仿宋_GB2312"/>
                <w:sz w:val="24"/>
              </w:rPr>
            </w:pPr>
          </w:p>
        </w:tc>
        <w:tc>
          <w:tcPr>
            <w:tcW w:w="1119" w:type="dxa"/>
            <w:vMerge w:val="continue"/>
            <w:vAlign w:val="center"/>
          </w:tcPr>
          <w:p w14:paraId="11D416A1">
            <w:pPr>
              <w:tabs>
                <w:tab w:val="left" w:pos="1701"/>
              </w:tabs>
              <w:spacing w:after="0" w:line="340" w:lineRule="exact"/>
              <w:rPr>
                <w:rFonts w:eastAsia="仿宋_GB2312"/>
                <w:sz w:val="24"/>
              </w:rPr>
            </w:pPr>
          </w:p>
        </w:tc>
        <w:tc>
          <w:tcPr>
            <w:tcW w:w="2540" w:type="dxa"/>
            <w:vAlign w:val="center"/>
          </w:tcPr>
          <w:p w14:paraId="7B2511F2">
            <w:pPr>
              <w:tabs>
                <w:tab w:val="left" w:pos="1701"/>
              </w:tabs>
              <w:spacing w:after="0" w:line="340" w:lineRule="exact"/>
              <w:rPr>
                <w:rFonts w:eastAsia="仿宋_GB2312"/>
                <w:sz w:val="24"/>
              </w:rPr>
            </w:pPr>
            <w:r>
              <w:rPr>
                <w:rFonts w:eastAsia="仿宋_GB2312"/>
                <w:sz w:val="24"/>
              </w:rPr>
              <w:t>固定网主要互联网设备</w:t>
            </w:r>
            <w:r>
              <w:rPr>
                <w:rFonts w:hint="eastAsia" w:eastAsia="仿宋_GB2312"/>
                <w:sz w:val="24"/>
              </w:rPr>
              <w:t>：xxxx个</w:t>
            </w:r>
          </w:p>
        </w:tc>
        <w:tc>
          <w:tcPr>
            <w:tcW w:w="1215" w:type="dxa"/>
            <w:vAlign w:val="center"/>
          </w:tcPr>
          <w:p w14:paraId="7B51109D">
            <w:pPr>
              <w:tabs>
                <w:tab w:val="left" w:pos="1701"/>
              </w:tabs>
              <w:spacing w:after="0" w:line="340" w:lineRule="exact"/>
              <w:rPr>
                <w:rFonts w:eastAsia="仿宋_GB2312"/>
                <w:sz w:val="24"/>
              </w:rPr>
            </w:pPr>
            <w:r>
              <w:rPr>
                <w:rFonts w:eastAsia="仿宋_GB2312"/>
                <w:sz w:val="24"/>
              </w:rPr>
              <w:t>否</w:t>
            </w:r>
          </w:p>
        </w:tc>
        <w:tc>
          <w:tcPr>
            <w:tcW w:w="1448" w:type="dxa"/>
            <w:tcBorders>
              <w:top w:val="single" w:color="auto" w:sz="4" w:space="0"/>
              <w:left w:val="nil"/>
              <w:bottom w:val="single" w:color="auto" w:sz="4" w:space="0"/>
              <w:right w:val="nil"/>
            </w:tcBorders>
            <w:vAlign w:val="center"/>
          </w:tcPr>
          <w:p w14:paraId="442ABF16">
            <w:pPr>
              <w:spacing w:after="0" w:line="340" w:lineRule="exact"/>
              <w:jc w:val="center"/>
              <w:rPr>
                <w:rFonts w:ascii="Times New Roman" w:hAnsi="Times New Roman" w:eastAsia="等线"/>
                <w:color w:val="000000"/>
              </w:rPr>
            </w:pPr>
            <w:r>
              <w:rPr>
                <w:rFonts w:ascii="Times New Roman" w:hAnsi="Times New Roman" w:eastAsia="等线"/>
                <w:color w:val="000000"/>
              </w:rPr>
              <w:t>8048.60</w:t>
            </w:r>
          </w:p>
        </w:tc>
        <w:tc>
          <w:tcPr>
            <w:tcW w:w="1135" w:type="dxa"/>
            <w:vAlign w:val="center"/>
          </w:tcPr>
          <w:p w14:paraId="47710947">
            <w:pPr>
              <w:tabs>
                <w:tab w:val="left" w:pos="1701"/>
              </w:tabs>
              <w:spacing w:after="0" w:line="340" w:lineRule="exact"/>
              <w:jc w:val="center"/>
              <w:rPr>
                <w:rFonts w:eastAsia="仿宋_GB2312"/>
                <w:color w:val="000000"/>
                <w:sz w:val="24"/>
              </w:rPr>
            </w:pPr>
            <w:r>
              <w:rPr>
                <w:rFonts w:eastAsia="仿宋_GB2312"/>
                <w:color w:val="000000"/>
                <w:sz w:val="24"/>
              </w:rPr>
              <w:t>/</w:t>
            </w:r>
          </w:p>
        </w:tc>
      </w:tr>
      <w:tr w14:paraId="0CE2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87" w:type="dxa"/>
            <w:vAlign w:val="center"/>
          </w:tcPr>
          <w:p w14:paraId="08A69108">
            <w:pPr>
              <w:tabs>
                <w:tab w:val="left" w:pos="1701"/>
              </w:tabs>
              <w:spacing w:after="0" w:line="340" w:lineRule="exact"/>
              <w:rPr>
                <w:rFonts w:eastAsia="仿宋_GB2312"/>
                <w:sz w:val="24"/>
              </w:rPr>
            </w:pPr>
            <w:r>
              <w:rPr>
                <w:rFonts w:eastAsia="仿宋_GB2312"/>
                <w:sz w:val="24"/>
              </w:rPr>
              <w:t>合计</w:t>
            </w:r>
          </w:p>
        </w:tc>
        <w:tc>
          <w:tcPr>
            <w:tcW w:w="942" w:type="dxa"/>
            <w:vAlign w:val="center"/>
          </w:tcPr>
          <w:p w14:paraId="33CE8FBB">
            <w:pPr>
              <w:tabs>
                <w:tab w:val="left" w:pos="1701"/>
              </w:tabs>
              <w:spacing w:after="0" w:line="340" w:lineRule="exact"/>
              <w:rPr>
                <w:rFonts w:eastAsia="仿宋_GB2312"/>
                <w:sz w:val="24"/>
              </w:rPr>
            </w:pPr>
          </w:p>
        </w:tc>
        <w:tc>
          <w:tcPr>
            <w:tcW w:w="1119" w:type="dxa"/>
            <w:vAlign w:val="center"/>
          </w:tcPr>
          <w:p w14:paraId="12E765F1">
            <w:pPr>
              <w:tabs>
                <w:tab w:val="left" w:pos="1701"/>
              </w:tabs>
              <w:spacing w:after="0" w:line="340" w:lineRule="exact"/>
              <w:rPr>
                <w:rFonts w:eastAsia="仿宋_GB2312"/>
                <w:sz w:val="24"/>
              </w:rPr>
            </w:pPr>
          </w:p>
        </w:tc>
        <w:tc>
          <w:tcPr>
            <w:tcW w:w="2540" w:type="dxa"/>
            <w:vAlign w:val="center"/>
          </w:tcPr>
          <w:p w14:paraId="044E8791">
            <w:pPr>
              <w:tabs>
                <w:tab w:val="left" w:pos="1701"/>
              </w:tabs>
              <w:spacing w:after="0" w:line="340" w:lineRule="exact"/>
              <w:rPr>
                <w:rFonts w:eastAsia="仿宋_GB2312"/>
                <w:sz w:val="24"/>
              </w:rPr>
            </w:pPr>
          </w:p>
        </w:tc>
        <w:tc>
          <w:tcPr>
            <w:tcW w:w="1215" w:type="dxa"/>
            <w:vAlign w:val="center"/>
          </w:tcPr>
          <w:p w14:paraId="3C1E7A1A">
            <w:pPr>
              <w:tabs>
                <w:tab w:val="left" w:pos="1701"/>
              </w:tabs>
              <w:spacing w:after="0" w:line="340" w:lineRule="exact"/>
              <w:rPr>
                <w:rFonts w:eastAsia="仿宋_GB2312"/>
                <w:sz w:val="24"/>
              </w:rPr>
            </w:pPr>
          </w:p>
        </w:tc>
        <w:tc>
          <w:tcPr>
            <w:tcW w:w="1448" w:type="dxa"/>
            <w:tcBorders>
              <w:top w:val="single" w:color="auto" w:sz="4" w:space="0"/>
              <w:left w:val="nil"/>
              <w:bottom w:val="single" w:color="auto" w:sz="4" w:space="0"/>
              <w:right w:val="nil"/>
            </w:tcBorders>
            <w:vAlign w:val="center"/>
          </w:tcPr>
          <w:p w14:paraId="7D2A8524">
            <w:pPr>
              <w:spacing w:after="0" w:line="340" w:lineRule="exact"/>
              <w:jc w:val="center"/>
              <w:rPr>
                <w:rFonts w:ascii="Times New Roman" w:hAnsi="Times New Roman" w:eastAsia="等线"/>
                <w:color w:val="000000"/>
              </w:rPr>
            </w:pPr>
            <w:r>
              <w:rPr>
                <w:rFonts w:ascii="Times New Roman" w:hAnsi="Times New Roman" w:eastAsia="等线"/>
                <w:color w:val="000000"/>
              </w:rPr>
              <w:t>558804.19</w:t>
            </w:r>
          </w:p>
        </w:tc>
        <w:tc>
          <w:tcPr>
            <w:tcW w:w="1135" w:type="dxa"/>
            <w:vAlign w:val="center"/>
          </w:tcPr>
          <w:p w14:paraId="0FE74959">
            <w:pPr>
              <w:tabs>
                <w:tab w:val="left" w:pos="1701"/>
              </w:tabs>
              <w:spacing w:after="0" w:line="340" w:lineRule="exact"/>
              <w:jc w:val="center"/>
              <w:rPr>
                <w:rFonts w:eastAsia="仿宋_GB2312"/>
                <w:color w:val="000000"/>
                <w:sz w:val="24"/>
              </w:rPr>
            </w:pPr>
          </w:p>
        </w:tc>
      </w:tr>
      <w:tr w14:paraId="4524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886" w:type="dxa"/>
            <w:gridSpan w:val="7"/>
            <w:vAlign w:val="center"/>
          </w:tcPr>
          <w:p w14:paraId="3B88A3C6">
            <w:pPr>
              <w:spacing w:after="0" w:line="340" w:lineRule="exact"/>
              <w:rPr>
                <w:rFonts w:eastAsia="仿宋_GB2312"/>
                <w:color w:val="000000"/>
                <w:sz w:val="24"/>
              </w:rPr>
            </w:pPr>
            <w:r>
              <w:rPr>
                <w:rFonts w:eastAsia="仿宋_GB2312"/>
                <w:color w:val="000000"/>
                <w:sz w:val="24"/>
              </w:rPr>
              <w:t>备注：</w:t>
            </w:r>
          </w:p>
          <w:p w14:paraId="5613E744">
            <w:pPr>
              <w:spacing w:after="0" w:line="340" w:lineRule="exact"/>
              <w:ind w:left="-110" w:leftChars="-50" w:right="-110" w:rightChars="-50"/>
              <w:rPr>
                <w:rFonts w:eastAsia="仿宋_GB2312"/>
                <w:sz w:val="24"/>
              </w:rPr>
            </w:pPr>
            <w:r>
              <w:rPr>
                <w:rFonts w:hint="eastAsia" w:eastAsia="仿宋_GB2312"/>
                <w:color w:val="000000"/>
                <w:sz w:val="24"/>
              </w:rPr>
              <w:t>1）</w:t>
            </w:r>
            <w:r>
              <w:rPr>
                <w:rFonts w:eastAsia="仿宋_GB2312"/>
                <w:sz w:val="24"/>
              </w:rPr>
              <w:t>室外站(2G/3G/4G)每月用电量为</w:t>
            </w:r>
            <w:r>
              <w:rPr>
                <w:rFonts w:hint="eastAsia" w:eastAsia="仿宋_GB2312"/>
                <w:sz w:val="24"/>
              </w:rPr>
              <w:t>xxx</w:t>
            </w:r>
            <w:r>
              <w:rPr>
                <w:rFonts w:eastAsia="仿宋_GB2312"/>
                <w:sz w:val="24"/>
              </w:rPr>
              <w:t>度，室内站(2G/3G/4G)每月用电量为</w:t>
            </w:r>
            <w:r>
              <w:rPr>
                <w:rFonts w:hint="eastAsia" w:eastAsia="仿宋_GB2312"/>
                <w:sz w:val="24"/>
              </w:rPr>
              <w:t>xxx</w:t>
            </w:r>
            <w:r>
              <w:rPr>
                <w:rFonts w:eastAsia="仿宋_GB2312"/>
                <w:sz w:val="24"/>
              </w:rPr>
              <w:t>度，室外站5G每月用电量为</w:t>
            </w:r>
            <w:r>
              <w:rPr>
                <w:rFonts w:hint="eastAsia" w:eastAsia="仿宋_GB2312"/>
                <w:sz w:val="24"/>
              </w:rPr>
              <w:t>xxxx</w:t>
            </w:r>
            <w:r>
              <w:rPr>
                <w:rFonts w:eastAsia="仿宋_GB2312"/>
                <w:sz w:val="24"/>
              </w:rPr>
              <w:t>度，室内站5G尚未通入使用，无法实测用电量。</w:t>
            </w:r>
          </w:p>
          <w:p w14:paraId="2AD9AE7C">
            <w:pPr>
              <w:tabs>
                <w:tab w:val="left" w:pos="1701"/>
              </w:tabs>
              <w:spacing w:after="0" w:line="340" w:lineRule="exact"/>
              <w:ind w:left="-110" w:leftChars="-50" w:right="-110" w:rightChars="-50"/>
              <w:rPr>
                <w:rFonts w:eastAsia="仿宋_GB2312"/>
                <w:color w:val="000000"/>
                <w:sz w:val="24"/>
              </w:rPr>
            </w:pPr>
            <w:r>
              <w:rPr>
                <w:rFonts w:hint="eastAsia" w:eastAsia="仿宋_GB2312"/>
                <w:sz w:val="24"/>
              </w:rPr>
              <w:t>2）</w:t>
            </w:r>
            <w:r>
              <w:rPr>
                <w:rFonts w:eastAsia="仿宋_GB2312"/>
                <w:sz w:val="24"/>
              </w:rPr>
              <w:t>随着IDC的新建，新增设施的使用系数将进一步降低，核查组要求排放单位对2020年度的使用系数进行统计并更新，按照北京市数据中心IT设备实际负载率</w:t>
            </w:r>
            <w:r>
              <w:rPr>
                <w:rFonts w:hint="eastAsia" w:eastAsia="仿宋_GB2312"/>
                <w:sz w:val="24"/>
              </w:rPr>
              <w:t>xx</w:t>
            </w:r>
            <w:r>
              <w:rPr>
                <w:rFonts w:eastAsia="仿宋_GB2312"/>
                <w:sz w:val="24"/>
              </w:rPr>
              <w:t>%核定，因此2020年度IDC的使用系数符合排放单位的实际情况。</w:t>
            </w:r>
          </w:p>
        </w:tc>
      </w:tr>
    </w:tbl>
    <w:p w14:paraId="504117EF">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新增设施排放量为558804.19吨，是基准年份排放量的</w:t>
      </w:r>
      <w:r>
        <w:rPr>
          <w:rFonts w:hint="eastAsia" w:ascii="Times New Roman" w:hAnsi="Times New Roman" w:eastAsia="仿宋_GB2312"/>
          <w:sz w:val="32"/>
          <w:szCs w:val="32"/>
        </w:rPr>
        <w:t>47.57</w:t>
      </w:r>
      <w:r>
        <w:rPr>
          <w:rFonts w:ascii="Times New Roman" w:hAnsi="Times New Roman" w:eastAsia="仿宋_GB2312"/>
          <w:sz w:val="32"/>
          <w:szCs w:val="32"/>
        </w:rPr>
        <w:t>%，新增设施对应的</w:t>
      </w:r>
      <w:r>
        <w:rPr>
          <w:rFonts w:hint="eastAsia" w:eastAsia="仿宋_GB2312"/>
          <w:sz w:val="32"/>
          <w:szCs w:val="32"/>
        </w:rPr>
        <w:t>移动业务总量为xx万元（移动语音业务总量xx万元、移动数据与互联网业务总量xx万元、移动增值及其他业务总量xx万元），</w:t>
      </w:r>
      <w:r>
        <w:rPr>
          <w:rFonts w:ascii="Times New Roman" w:hAnsi="Times New Roman" w:eastAsia="仿宋_GB2312"/>
          <w:sz w:val="32"/>
          <w:szCs w:val="32"/>
        </w:rPr>
        <w:t>新增设施对应的</w:t>
      </w:r>
      <w:r>
        <w:rPr>
          <w:rFonts w:hint="eastAsia" w:eastAsia="仿宋_GB2312"/>
          <w:sz w:val="32"/>
          <w:szCs w:val="32"/>
        </w:rPr>
        <w:t>固网业务总量xx万元。新增设施的数据中心为大型数据中心，数据中心总用电量为xxMWh，IT设备用电量为xxMWh。</w:t>
      </w:r>
      <w:r>
        <w:rPr>
          <w:rFonts w:ascii="Times New Roman" w:hAnsi="Times New Roman" w:eastAsia="仿宋_GB2312"/>
          <w:sz w:val="32"/>
          <w:szCs w:val="32"/>
        </w:rPr>
        <w:t>此信息供新增设施配额发放参考。</w:t>
      </w:r>
    </w:p>
    <w:p w14:paraId="47D11570">
      <w:pPr>
        <w:spacing w:after="0"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核查过程未覆盖的问题描述</w:t>
      </w:r>
    </w:p>
    <w:p w14:paraId="2D36F09E">
      <w:pPr>
        <w:spacing w:after="0" w:line="560" w:lineRule="exact"/>
        <w:ind w:firstLine="465"/>
        <w:jc w:val="both"/>
        <w:rPr>
          <w:rFonts w:eastAsia="仿宋_GB2312"/>
          <w:sz w:val="32"/>
          <w:szCs w:val="32"/>
        </w:rPr>
      </w:pPr>
      <w:r>
        <w:rPr>
          <w:rFonts w:eastAsia="仿宋_GB2312"/>
          <w:sz w:val="32"/>
          <w:szCs w:val="32"/>
        </w:rPr>
        <w:t>由于天然气表和电表分别为燃气公司及电力公司管控，因此未能核查这些仪表的检定信息。</w:t>
      </w:r>
    </w:p>
    <w:p w14:paraId="6105A33E">
      <w:pPr>
        <w:spacing w:after="0" w:line="560" w:lineRule="exact"/>
        <w:ind w:firstLine="465"/>
        <w:jc w:val="both"/>
        <w:rPr>
          <w:rFonts w:eastAsia="仿宋"/>
          <w:sz w:val="24"/>
        </w:rPr>
      </w:pPr>
      <w:r>
        <w:rPr>
          <w:rFonts w:eastAsia="仿宋_GB2312"/>
          <w:sz w:val="32"/>
          <w:szCs w:val="32"/>
        </w:rPr>
        <w:t>由于排放单位的新增设施台账属于保密信息，核查组未能获得完整的新增设施台账，通过现场抽查的方式确认排放单位的新增设施来源于财务入账系统和建设部门运维系统，但数量多达上万条，抽查的项目有限，因此核查过程未能完全覆盖新增设施的数量。</w:t>
      </w:r>
    </w:p>
    <w:p w14:paraId="51111DE4">
      <w:pPr>
        <w:pStyle w:val="4"/>
        <w:spacing w:before="0" w:after="0" w:line="560" w:lineRule="exact"/>
        <w:sectPr>
          <w:pgSz w:w="11906" w:h="16838"/>
          <w:pgMar w:top="2098" w:right="1474" w:bottom="1984" w:left="1587" w:header="851" w:footer="1587" w:gutter="0"/>
          <w:pgNumType w:fmt="decimal"/>
          <w:cols w:space="0" w:num="1"/>
          <w:docGrid w:type="lines" w:linePitch="312" w:charSpace="0"/>
        </w:sectPr>
      </w:pPr>
    </w:p>
    <w:p w14:paraId="6167F89B">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其他服务业企业（单位）</w:t>
      </w:r>
      <w:r>
        <w:rPr>
          <w:rFonts w:asciiTheme="majorEastAsia" w:hAnsiTheme="majorEastAsia" w:eastAsiaTheme="majorEastAsia"/>
          <w:sz w:val="32"/>
          <w:szCs w:val="32"/>
        </w:rPr>
        <w:t>-</w:t>
      </w:r>
      <w:r>
        <w:rPr>
          <w:rFonts w:hint="eastAsia" w:asciiTheme="majorEastAsia" w:hAnsiTheme="majorEastAsia" w:eastAsiaTheme="majorEastAsia"/>
          <w:sz w:val="32"/>
          <w:szCs w:val="32"/>
        </w:rPr>
        <w:t>银行</w:t>
      </w:r>
    </w:p>
    <w:p w14:paraId="203897A2">
      <w:pPr>
        <w:spacing w:after="0" w:line="560" w:lineRule="exact"/>
        <w:rPr>
          <w:rFonts w:eastAsia="仿宋_GB2312"/>
          <w:sz w:val="32"/>
          <w:szCs w:val="32"/>
        </w:rPr>
      </w:pPr>
      <w:r>
        <w:rPr>
          <w:rFonts w:eastAsia="仿宋_GB2312"/>
          <w:sz w:val="32"/>
          <w:szCs w:val="32"/>
        </w:rPr>
        <w:t>核查结论</w:t>
      </w:r>
    </w:p>
    <w:p w14:paraId="39DBD13B">
      <w:pPr>
        <w:spacing w:after="0" w:line="560" w:lineRule="exact"/>
        <w:ind w:firstLine="640" w:firstLineChars="200"/>
        <w:jc w:val="both"/>
        <w:rPr>
          <w:rFonts w:eastAsia="仿宋_GB2312"/>
          <w:sz w:val="32"/>
          <w:szCs w:val="32"/>
        </w:rPr>
      </w:pPr>
      <w:r>
        <w:rPr>
          <w:rFonts w:eastAsia="仿宋"/>
          <w:sz w:val="32"/>
          <w:szCs w:val="32"/>
        </w:rPr>
        <w:t>xxxx公司（以下简称排放单位）委托xxx公司开展</w:t>
      </w:r>
      <w:r>
        <w:rPr>
          <w:rFonts w:hint="eastAsia" w:eastAsia="仿宋"/>
          <w:sz w:val="32"/>
          <w:szCs w:val="32"/>
        </w:rPr>
        <w:t>XXXX年</w:t>
      </w:r>
      <w:r>
        <w:rPr>
          <w:rFonts w:eastAsia="仿宋_GB2312"/>
          <w:sz w:val="32"/>
          <w:szCs w:val="32"/>
        </w:rPr>
        <w:t>二氧化碳排放的核查工作。核查范围包括排放单位所有在北京市辖区内固定设施导致的二氧化碳直接排放和二氧化碳间接排放。</w:t>
      </w:r>
    </w:p>
    <w:p w14:paraId="5B6111AD">
      <w:pPr>
        <w:spacing w:after="0" w:line="560" w:lineRule="exact"/>
        <w:ind w:firstLine="640" w:firstLineChars="200"/>
        <w:jc w:val="both"/>
        <w:rPr>
          <w:rFonts w:eastAsia="仿宋_GB2312"/>
          <w:sz w:val="32"/>
          <w:szCs w:val="32"/>
        </w:rPr>
      </w:pPr>
      <w:r>
        <w:rPr>
          <w:rFonts w:eastAsia="仿宋_GB2312"/>
          <w:sz w:val="32"/>
          <w:szCs w:val="32"/>
        </w:rPr>
        <w:t>通过文件评审、现场访问、核查报告编写及内部技术复核，核查组对排放单位</w:t>
      </w:r>
      <w:r>
        <w:rPr>
          <w:rFonts w:hint="eastAsia" w:eastAsia="仿宋_GB2312"/>
          <w:sz w:val="32"/>
          <w:szCs w:val="32"/>
        </w:rPr>
        <w:t>XXXX年</w:t>
      </w:r>
      <w:r>
        <w:rPr>
          <w:rFonts w:eastAsia="仿宋_GB2312"/>
          <w:sz w:val="32"/>
          <w:szCs w:val="32"/>
        </w:rPr>
        <w:t>度二氧化碳排放报告形成如下核查结论：</w:t>
      </w:r>
    </w:p>
    <w:p w14:paraId="66B850D6">
      <w:pPr>
        <w:spacing w:after="0" w:line="560" w:lineRule="exact"/>
        <w:ind w:firstLine="640" w:firstLineChars="200"/>
        <w:jc w:val="both"/>
        <w:rPr>
          <w:rFonts w:eastAsia="仿宋_GB2312"/>
          <w:sz w:val="32"/>
          <w:szCs w:val="32"/>
        </w:rPr>
      </w:pPr>
      <w:r>
        <w:rPr>
          <w:rFonts w:eastAsia="仿宋_GB2312"/>
          <w:sz w:val="32"/>
          <w:szCs w:val="32"/>
        </w:rPr>
        <w:t>1. 核算、报告与方法学的符合性</w:t>
      </w:r>
    </w:p>
    <w:p w14:paraId="03C9F95D">
      <w:pPr>
        <w:spacing w:after="0" w:line="560" w:lineRule="exact"/>
        <w:ind w:firstLine="640" w:firstLineChars="200"/>
        <w:jc w:val="both"/>
        <w:rPr>
          <w:rFonts w:eastAsia="仿宋_GB2312"/>
          <w:sz w:val="32"/>
          <w:szCs w:val="32"/>
        </w:rPr>
      </w:pPr>
      <w:r>
        <w:rPr>
          <w:rFonts w:eastAsia="仿宋_GB2312"/>
          <w:sz w:val="32"/>
          <w:szCs w:val="32"/>
        </w:rPr>
        <w:t>核查组确认排放单位的温室气体排放核算与报告均符合方法学</w:t>
      </w:r>
      <w:r>
        <w:rPr>
          <w:rFonts w:hint="eastAsia" w:eastAsia="仿宋_GB2312"/>
          <w:sz w:val="32"/>
          <w:szCs w:val="32"/>
        </w:rPr>
        <w:t>《二氧化碳排放核算和报告要求服务业》（DB11/T 1785-2020）</w:t>
      </w:r>
      <w:r>
        <w:rPr>
          <w:rFonts w:eastAsia="仿宋_GB2312"/>
          <w:sz w:val="32"/>
          <w:szCs w:val="32"/>
        </w:rPr>
        <w:t>的要求，核查组对本排放报告出具肯定的核查结论。</w:t>
      </w:r>
    </w:p>
    <w:p w14:paraId="570DF022">
      <w:pPr>
        <w:spacing w:after="0" w:line="560" w:lineRule="exact"/>
        <w:ind w:firstLine="640" w:firstLineChars="200"/>
        <w:jc w:val="both"/>
        <w:rPr>
          <w:rFonts w:eastAsia="仿宋_GB2312"/>
          <w:sz w:val="32"/>
          <w:szCs w:val="32"/>
        </w:rPr>
      </w:pPr>
      <w:r>
        <w:rPr>
          <w:rFonts w:hint="eastAsia" w:eastAsia="仿宋_GB2312"/>
          <w:sz w:val="32"/>
          <w:szCs w:val="32"/>
        </w:rPr>
        <w:t>2</w:t>
      </w:r>
      <w:r>
        <w:rPr>
          <w:rFonts w:eastAsia="仿宋_GB2312"/>
          <w:sz w:val="32"/>
          <w:szCs w:val="32"/>
        </w:rPr>
        <w:t>. 本年度排放量及活动水平数据的声明</w:t>
      </w:r>
    </w:p>
    <w:p w14:paraId="3A325EF4">
      <w:pPr>
        <w:spacing w:after="0" w:line="560" w:lineRule="exact"/>
        <w:ind w:firstLine="640" w:firstLineChars="200"/>
        <w:jc w:val="both"/>
        <w:rPr>
          <w:rFonts w:eastAsia="仿宋_GB2312"/>
          <w:sz w:val="32"/>
          <w:szCs w:val="32"/>
        </w:rPr>
      </w:pPr>
      <w:r>
        <w:rPr>
          <w:rFonts w:eastAsia="仿宋_GB2312"/>
          <w:sz w:val="32"/>
          <w:szCs w:val="32"/>
        </w:rPr>
        <w:t>经核查的直接和间接排放量与最终排放报告中的一致。经核查的直接排放量为0吨，间接排放量为</w:t>
      </w:r>
      <w:r>
        <w:rPr>
          <w:rFonts w:eastAsia="仿宋_GB2312"/>
          <w:color w:val="000000"/>
          <w:sz w:val="32"/>
          <w:szCs w:val="32"/>
        </w:rPr>
        <w:t>15256.41</w:t>
      </w:r>
      <w:r>
        <w:rPr>
          <w:rFonts w:eastAsia="仿宋_GB2312"/>
          <w:sz w:val="32"/>
          <w:szCs w:val="32"/>
        </w:rPr>
        <w:t>吨，总排放量为</w:t>
      </w:r>
      <w:r>
        <w:rPr>
          <w:rFonts w:eastAsia="仿宋_GB2312"/>
          <w:color w:val="000000"/>
          <w:sz w:val="32"/>
          <w:szCs w:val="32"/>
        </w:rPr>
        <w:t>15256.41</w:t>
      </w:r>
      <w:r>
        <w:rPr>
          <w:rFonts w:eastAsia="仿宋_GB2312"/>
          <w:sz w:val="32"/>
          <w:szCs w:val="32"/>
        </w:rPr>
        <w:t>吨。</w:t>
      </w:r>
    </w:p>
    <w:p w14:paraId="0FF0537E">
      <w:pPr>
        <w:spacing w:after="0" w:line="560" w:lineRule="exact"/>
        <w:ind w:firstLine="640" w:firstLineChars="200"/>
        <w:jc w:val="both"/>
        <w:rPr>
          <w:rFonts w:eastAsia="仿宋_GB2312"/>
          <w:sz w:val="32"/>
          <w:szCs w:val="32"/>
        </w:rPr>
      </w:pPr>
      <w:r>
        <w:rPr>
          <w:rFonts w:eastAsia="仿宋_GB2312"/>
          <w:sz w:val="32"/>
          <w:szCs w:val="32"/>
        </w:rPr>
        <w:t>经核查的非数据中心建筑面积、数据中心</w:t>
      </w:r>
      <w:r>
        <w:rPr>
          <w:rFonts w:hint="eastAsia" w:eastAsia="仿宋_GB2312"/>
          <w:sz w:val="32"/>
          <w:szCs w:val="32"/>
        </w:rPr>
        <w:t>总用电量、</w:t>
      </w:r>
      <w:r>
        <w:rPr>
          <w:rFonts w:eastAsia="仿宋_GB2312"/>
          <w:sz w:val="32"/>
          <w:szCs w:val="32"/>
        </w:rPr>
        <w:t>IT设备用电量与最终排放报告中数据一致。经核查的非数据中心建筑面积为xxx平方米</w:t>
      </w:r>
      <w:r>
        <w:rPr>
          <w:rFonts w:hint="eastAsia" w:eastAsia="仿宋_GB2312"/>
          <w:sz w:val="32"/>
          <w:szCs w:val="32"/>
        </w:rPr>
        <w:t>；xx个大型</w:t>
      </w:r>
      <w:r>
        <w:rPr>
          <w:rFonts w:eastAsia="仿宋_GB2312"/>
          <w:sz w:val="32"/>
          <w:szCs w:val="32"/>
        </w:rPr>
        <w:t>数据中心</w:t>
      </w:r>
      <w:r>
        <w:rPr>
          <w:rFonts w:hint="eastAsia" w:eastAsia="仿宋_GB2312"/>
          <w:sz w:val="32"/>
          <w:szCs w:val="32"/>
        </w:rPr>
        <w:t>总用电量为xxMWh，</w:t>
      </w:r>
      <w:r>
        <w:rPr>
          <w:rFonts w:eastAsia="仿宋_GB2312"/>
          <w:sz w:val="32"/>
          <w:szCs w:val="32"/>
        </w:rPr>
        <w:t>IT设备用电量为</w:t>
      </w:r>
      <w:r>
        <w:rPr>
          <w:rFonts w:hint="eastAsia" w:eastAsia="仿宋_GB2312"/>
          <w:sz w:val="32"/>
          <w:szCs w:val="32"/>
        </w:rPr>
        <w:t>xx</w:t>
      </w:r>
      <w:r>
        <w:rPr>
          <w:rFonts w:eastAsia="仿宋_GB2312"/>
          <w:sz w:val="32"/>
          <w:szCs w:val="32"/>
        </w:rPr>
        <w:t>MWh</w:t>
      </w:r>
      <w:r>
        <w:rPr>
          <w:rFonts w:hint="eastAsia" w:eastAsia="仿宋_GB2312"/>
          <w:sz w:val="32"/>
          <w:szCs w:val="32"/>
        </w:rPr>
        <w:t>；xx个中小型数据中心总用电量为xxMWh，IT设备用电量为xxMWh</w:t>
      </w:r>
      <w:r>
        <w:rPr>
          <w:rFonts w:eastAsia="仿宋_GB2312"/>
          <w:sz w:val="32"/>
          <w:szCs w:val="32"/>
        </w:rPr>
        <w:t>。</w:t>
      </w:r>
    </w:p>
    <w:p w14:paraId="7ECF5D78">
      <w:pPr>
        <w:spacing w:after="0" w:line="560" w:lineRule="exact"/>
        <w:ind w:firstLine="640" w:firstLineChars="200"/>
        <w:jc w:val="both"/>
        <w:rPr>
          <w:rFonts w:eastAsia="仿宋_GB2312"/>
          <w:sz w:val="32"/>
          <w:szCs w:val="32"/>
        </w:rPr>
      </w:pPr>
      <w:r>
        <w:rPr>
          <w:rFonts w:hint="eastAsia" w:eastAsia="仿宋_GB2312"/>
          <w:sz w:val="32"/>
          <w:szCs w:val="32"/>
        </w:rPr>
        <w:t>3</w:t>
      </w:r>
      <w:r>
        <w:rPr>
          <w:rFonts w:eastAsia="仿宋_GB2312"/>
          <w:sz w:val="32"/>
          <w:szCs w:val="32"/>
        </w:rPr>
        <w:t>. 年度排放量及活动水平波动的原因说明</w:t>
      </w:r>
    </w:p>
    <w:p w14:paraId="240356BB">
      <w:pPr>
        <w:spacing w:after="0" w:line="560" w:lineRule="exact"/>
        <w:ind w:firstLine="640" w:firstLineChars="200"/>
        <w:jc w:val="both"/>
        <w:rPr>
          <w:rFonts w:eastAsia="仿宋_GB2312"/>
          <w:sz w:val="32"/>
          <w:szCs w:val="32"/>
        </w:rPr>
      </w:pPr>
      <w:r>
        <w:rPr>
          <w:rFonts w:hint="eastAsia" w:eastAsia="仿宋_GB2312"/>
          <w:sz w:val="32"/>
          <w:szCs w:val="32"/>
        </w:rPr>
        <w:t>本年度</w:t>
      </w:r>
      <w:r>
        <w:rPr>
          <w:rFonts w:eastAsia="仿宋_GB2312"/>
          <w:sz w:val="32"/>
          <w:szCs w:val="32"/>
        </w:rPr>
        <w:t>排放量与上一年度排放量相比</w:t>
      </w:r>
      <w:r>
        <w:rPr>
          <w:rFonts w:hint="eastAsia" w:eastAsia="仿宋_GB2312"/>
          <w:sz w:val="32"/>
          <w:szCs w:val="32"/>
        </w:rPr>
        <w:t>增加</w:t>
      </w:r>
      <w:r>
        <w:rPr>
          <w:rFonts w:eastAsia="仿宋_GB2312"/>
          <w:sz w:val="32"/>
          <w:szCs w:val="32"/>
        </w:rPr>
        <w:t>5003.4</w:t>
      </w:r>
      <w:r>
        <w:rPr>
          <w:rFonts w:hint="eastAsia" w:eastAsia="仿宋_GB2312"/>
          <w:sz w:val="32"/>
          <w:szCs w:val="32"/>
        </w:rPr>
        <w:t>5</w:t>
      </w:r>
      <w:r>
        <w:rPr>
          <w:rFonts w:eastAsia="仿宋_GB2312"/>
          <w:sz w:val="32"/>
          <w:szCs w:val="32"/>
        </w:rPr>
        <w:t>吨/48.80%，原因为排放单位相比基准年新增</w:t>
      </w:r>
      <w:r>
        <w:rPr>
          <w:rFonts w:hint="eastAsia" w:eastAsia="仿宋_GB2312"/>
          <w:sz w:val="32"/>
          <w:szCs w:val="32"/>
        </w:rPr>
        <w:t>2</w:t>
      </w:r>
      <w:r>
        <w:rPr>
          <w:rFonts w:eastAsia="仿宋_GB2312"/>
          <w:sz w:val="32"/>
          <w:szCs w:val="32"/>
        </w:rPr>
        <w:t>个支行及1处办公区，电力消费量大幅上涨</w:t>
      </w:r>
      <w:r>
        <w:rPr>
          <w:rFonts w:hint="eastAsia" w:eastAsia="仿宋_GB2312"/>
          <w:sz w:val="32"/>
          <w:szCs w:val="32"/>
        </w:rPr>
        <w:t>，导致排放量大幅上升。</w:t>
      </w:r>
    </w:p>
    <w:p w14:paraId="353771DC">
      <w:pPr>
        <w:spacing w:after="0" w:line="560" w:lineRule="exact"/>
        <w:ind w:firstLine="640" w:firstLineChars="200"/>
        <w:jc w:val="both"/>
        <w:rPr>
          <w:rFonts w:eastAsia="仿宋_GB2312"/>
          <w:sz w:val="32"/>
          <w:szCs w:val="32"/>
        </w:rPr>
      </w:pPr>
      <w:r>
        <w:rPr>
          <w:rFonts w:eastAsia="仿宋_GB2312"/>
          <w:sz w:val="32"/>
          <w:szCs w:val="32"/>
        </w:rPr>
        <w:t>本年度排放量与历史基准年份相比排放量增加5003.4</w:t>
      </w:r>
      <w:r>
        <w:rPr>
          <w:rFonts w:hint="eastAsia" w:eastAsia="仿宋_GB2312"/>
          <w:sz w:val="32"/>
          <w:szCs w:val="32"/>
        </w:rPr>
        <w:t>5</w:t>
      </w:r>
      <w:r>
        <w:rPr>
          <w:rFonts w:eastAsia="仿宋_GB2312"/>
          <w:sz w:val="32"/>
          <w:szCs w:val="32"/>
        </w:rPr>
        <w:t>吨/48.80%，原因为排放单位相比基准年新增</w:t>
      </w:r>
      <w:r>
        <w:rPr>
          <w:rFonts w:hint="eastAsia" w:eastAsia="仿宋_GB2312"/>
          <w:sz w:val="32"/>
          <w:szCs w:val="32"/>
        </w:rPr>
        <w:t>2</w:t>
      </w:r>
      <w:r>
        <w:rPr>
          <w:rFonts w:eastAsia="仿宋_GB2312"/>
          <w:sz w:val="32"/>
          <w:szCs w:val="32"/>
        </w:rPr>
        <w:t>个支行及1处办公区，电力消费量大幅上涨。</w:t>
      </w:r>
    </w:p>
    <w:p w14:paraId="055D23EF">
      <w:pPr>
        <w:spacing w:after="0" w:line="560" w:lineRule="exact"/>
        <w:jc w:val="center"/>
        <w:rPr>
          <w:rFonts w:eastAsia="仿宋_GB2312"/>
          <w:sz w:val="32"/>
          <w:szCs w:val="32"/>
        </w:rPr>
      </w:pPr>
      <w:r>
        <w:rPr>
          <w:rFonts w:eastAsia="仿宋_GB2312"/>
          <w:sz w:val="24"/>
        </w:rPr>
        <w:t>表XX  排放量汇总表</w:t>
      </w:r>
    </w:p>
    <w:tbl>
      <w:tblPr>
        <w:tblStyle w:val="35"/>
        <w:tblW w:w="8818" w:type="dxa"/>
        <w:tblInd w:w="0" w:type="dxa"/>
        <w:tblLayout w:type="fixed"/>
        <w:tblCellMar>
          <w:top w:w="0" w:type="dxa"/>
          <w:left w:w="108" w:type="dxa"/>
          <w:bottom w:w="0" w:type="dxa"/>
          <w:right w:w="108" w:type="dxa"/>
        </w:tblCellMar>
      </w:tblPr>
      <w:tblGrid>
        <w:gridCol w:w="1896"/>
        <w:gridCol w:w="1896"/>
        <w:gridCol w:w="2413"/>
        <w:gridCol w:w="2613"/>
      </w:tblGrid>
      <w:tr w14:paraId="75DB8BD1">
        <w:tblPrEx>
          <w:tblCellMar>
            <w:top w:w="0" w:type="dxa"/>
            <w:left w:w="108" w:type="dxa"/>
            <w:bottom w:w="0" w:type="dxa"/>
            <w:right w:w="108" w:type="dxa"/>
          </w:tblCellMar>
        </w:tblPrEx>
        <w:trPr>
          <w:trHeight w:val="846" w:hRule="atLeast"/>
        </w:trPr>
        <w:tc>
          <w:tcPr>
            <w:tcW w:w="1896" w:type="dxa"/>
            <w:tcBorders>
              <w:top w:val="single" w:color="auto" w:sz="4" w:space="0"/>
              <w:left w:val="single" w:color="auto" w:sz="4" w:space="0"/>
              <w:bottom w:val="single" w:color="auto" w:sz="4" w:space="0"/>
              <w:right w:val="single" w:color="auto" w:sz="4" w:space="0"/>
            </w:tcBorders>
            <w:vAlign w:val="center"/>
          </w:tcPr>
          <w:p w14:paraId="00412337">
            <w:pPr>
              <w:spacing w:after="0" w:line="320" w:lineRule="exact"/>
              <w:jc w:val="center"/>
              <w:rPr>
                <w:rFonts w:eastAsia="仿宋_GB2312"/>
                <w:color w:val="000000"/>
                <w:sz w:val="24"/>
              </w:rPr>
            </w:pPr>
            <w:r>
              <w:rPr>
                <w:rFonts w:eastAsia="仿宋_GB2312"/>
                <w:color w:val="000000"/>
                <w:sz w:val="24"/>
              </w:rPr>
              <w:t>年度</w:t>
            </w:r>
          </w:p>
        </w:tc>
        <w:tc>
          <w:tcPr>
            <w:tcW w:w="1896" w:type="dxa"/>
            <w:tcBorders>
              <w:top w:val="single" w:color="auto" w:sz="4" w:space="0"/>
              <w:left w:val="nil"/>
              <w:bottom w:val="single" w:color="auto" w:sz="4" w:space="0"/>
              <w:right w:val="single" w:color="auto" w:sz="4" w:space="0"/>
            </w:tcBorders>
            <w:vAlign w:val="center"/>
          </w:tcPr>
          <w:p w14:paraId="50C1A2A3">
            <w:pPr>
              <w:spacing w:after="0" w:line="320" w:lineRule="exact"/>
              <w:jc w:val="center"/>
              <w:rPr>
                <w:rFonts w:eastAsia="仿宋_GB2312"/>
                <w:color w:val="000000"/>
                <w:sz w:val="24"/>
              </w:rPr>
            </w:pPr>
            <w:r>
              <w:rPr>
                <w:rFonts w:eastAsia="仿宋_GB2312"/>
                <w:color w:val="000000"/>
                <w:sz w:val="24"/>
              </w:rPr>
              <w:t>直接排放量（tCO</w:t>
            </w:r>
            <w:r>
              <w:rPr>
                <w:rFonts w:eastAsia="仿宋_GB2312"/>
                <w:color w:val="000000"/>
                <w:sz w:val="24"/>
                <w:vertAlign w:val="subscript"/>
              </w:rPr>
              <w:t>2</w:t>
            </w:r>
            <w:r>
              <w:rPr>
                <w:rFonts w:eastAsia="仿宋_GB2312"/>
                <w:color w:val="000000"/>
                <w:sz w:val="24"/>
              </w:rPr>
              <w:t>）</w:t>
            </w:r>
          </w:p>
        </w:tc>
        <w:tc>
          <w:tcPr>
            <w:tcW w:w="2413" w:type="dxa"/>
            <w:tcBorders>
              <w:top w:val="single" w:color="auto" w:sz="4" w:space="0"/>
              <w:left w:val="nil"/>
              <w:bottom w:val="single" w:color="auto" w:sz="4" w:space="0"/>
              <w:right w:val="single" w:color="auto" w:sz="4" w:space="0"/>
            </w:tcBorders>
            <w:vAlign w:val="center"/>
          </w:tcPr>
          <w:p w14:paraId="38DF30BF">
            <w:pPr>
              <w:spacing w:after="0" w:line="320" w:lineRule="exact"/>
              <w:jc w:val="center"/>
              <w:rPr>
                <w:rFonts w:eastAsia="仿宋_GB2312"/>
                <w:color w:val="000000"/>
                <w:sz w:val="24"/>
              </w:rPr>
            </w:pPr>
            <w:r>
              <w:rPr>
                <w:rFonts w:eastAsia="仿宋_GB2312"/>
                <w:color w:val="000000"/>
                <w:sz w:val="24"/>
              </w:rPr>
              <w:t>间接排放量（tCO</w:t>
            </w:r>
            <w:r>
              <w:rPr>
                <w:rFonts w:eastAsia="仿宋_GB2312"/>
                <w:color w:val="000000"/>
                <w:sz w:val="24"/>
                <w:vertAlign w:val="subscript"/>
              </w:rPr>
              <w:t>2</w:t>
            </w:r>
            <w:r>
              <w:rPr>
                <w:rFonts w:eastAsia="仿宋_GB2312"/>
                <w:color w:val="000000"/>
                <w:sz w:val="24"/>
              </w:rPr>
              <w:t>）</w:t>
            </w:r>
          </w:p>
        </w:tc>
        <w:tc>
          <w:tcPr>
            <w:tcW w:w="2613" w:type="dxa"/>
            <w:tcBorders>
              <w:top w:val="single" w:color="auto" w:sz="4" w:space="0"/>
              <w:left w:val="nil"/>
              <w:bottom w:val="single" w:color="auto" w:sz="4" w:space="0"/>
              <w:right w:val="single" w:color="auto" w:sz="4" w:space="0"/>
            </w:tcBorders>
            <w:vAlign w:val="center"/>
          </w:tcPr>
          <w:p w14:paraId="420663DE">
            <w:pPr>
              <w:spacing w:after="0" w:line="320" w:lineRule="exact"/>
              <w:jc w:val="center"/>
              <w:rPr>
                <w:rFonts w:eastAsia="仿宋_GB2312"/>
                <w:color w:val="000000"/>
                <w:sz w:val="24"/>
              </w:rPr>
            </w:pPr>
            <w:r>
              <w:rPr>
                <w:rFonts w:eastAsia="仿宋_GB2312"/>
                <w:color w:val="000000"/>
                <w:sz w:val="24"/>
              </w:rPr>
              <w:t>排放总量（tCO</w:t>
            </w:r>
            <w:r>
              <w:rPr>
                <w:rFonts w:eastAsia="仿宋_GB2312"/>
                <w:color w:val="000000"/>
                <w:sz w:val="24"/>
                <w:vertAlign w:val="subscript"/>
              </w:rPr>
              <w:t>2</w:t>
            </w:r>
            <w:r>
              <w:rPr>
                <w:rFonts w:eastAsia="仿宋_GB2312"/>
                <w:color w:val="000000"/>
                <w:sz w:val="24"/>
              </w:rPr>
              <w:t>）</w:t>
            </w:r>
          </w:p>
        </w:tc>
      </w:tr>
      <w:tr w14:paraId="2A375812">
        <w:tblPrEx>
          <w:tblCellMar>
            <w:top w:w="0" w:type="dxa"/>
            <w:left w:w="108" w:type="dxa"/>
            <w:bottom w:w="0" w:type="dxa"/>
            <w:right w:w="108" w:type="dxa"/>
          </w:tblCellMar>
        </w:tblPrEx>
        <w:trPr>
          <w:trHeight w:val="537" w:hRule="atLeast"/>
        </w:trPr>
        <w:tc>
          <w:tcPr>
            <w:tcW w:w="1896" w:type="dxa"/>
            <w:tcBorders>
              <w:top w:val="nil"/>
              <w:left w:val="single" w:color="auto" w:sz="4" w:space="0"/>
              <w:bottom w:val="single" w:color="auto" w:sz="4" w:space="0"/>
              <w:right w:val="single" w:color="auto" w:sz="4" w:space="0"/>
            </w:tcBorders>
            <w:vAlign w:val="center"/>
          </w:tcPr>
          <w:p w14:paraId="259FBCE8">
            <w:pPr>
              <w:spacing w:after="0" w:line="320" w:lineRule="exact"/>
              <w:jc w:val="center"/>
              <w:rPr>
                <w:rFonts w:eastAsia="仿宋_GB2312"/>
                <w:color w:val="000000"/>
                <w:sz w:val="24"/>
              </w:rPr>
            </w:pPr>
            <w:r>
              <w:rPr>
                <w:rFonts w:eastAsia="仿宋_GB2312"/>
                <w:color w:val="000000"/>
                <w:sz w:val="24"/>
              </w:rPr>
              <w:t>2016</w:t>
            </w:r>
          </w:p>
        </w:tc>
        <w:tc>
          <w:tcPr>
            <w:tcW w:w="1896" w:type="dxa"/>
            <w:tcBorders>
              <w:top w:val="nil"/>
              <w:left w:val="nil"/>
              <w:bottom w:val="single" w:color="auto" w:sz="4" w:space="0"/>
              <w:right w:val="single" w:color="auto" w:sz="4" w:space="0"/>
            </w:tcBorders>
            <w:vAlign w:val="center"/>
          </w:tcPr>
          <w:p w14:paraId="7D681843">
            <w:pPr>
              <w:spacing w:after="0" w:line="320" w:lineRule="exact"/>
              <w:jc w:val="center"/>
              <w:textAlignment w:val="center"/>
              <w:rPr>
                <w:rFonts w:eastAsia="仿宋_GB2312" w:cs="Calibri"/>
                <w:color w:val="000000"/>
                <w:sz w:val="24"/>
              </w:rPr>
            </w:pPr>
            <w:r>
              <w:rPr>
                <w:rFonts w:eastAsia="仿宋_GB2312" w:cs="Calibri"/>
                <w:color w:val="000000"/>
                <w:sz w:val="24"/>
              </w:rPr>
              <w:t>0</w:t>
            </w:r>
          </w:p>
        </w:tc>
        <w:tc>
          <w:tcPr>
            <w:tcW w:w="2413" w:type="dxa"/>
            <w:tcBorders>
              <w:top w:val="nil"/>
              <w:left w:val="nil"/>
              <w:bottom w:val="single" w:color="auto" w:sz="4" w:space="0"/>
              <w:right w:val="single" w:color="auto" w:sz="4" w:space="0"/>
            </w:tcBorders>
            <w:vAlign w:val="center"/>
          </w:tcPr>
          <w:p w14:paraId="40A14271">
            <w:pPr>
              <w:spacing w:after="0" w:line="320" w:lineRule="exact"/>
              <w:jc w:val="center"/>
              <w:textAlignment w:val="center"/>
              <w:rPr>
                <w:rFonts w:eastAsia="仿宋_GB2312" w:cs="Calibri"/>
                <w:color w:val="000000"/>
                <w:sz w:val="24"/>
              </w:rPr>
            </w:pPr>
            <w:r>
              <w:rPr>
                <w:rFonts w:eastAsia="仿宋_GB2312" w:cs="Calibri"/>
                <w:color w:val="000000"/>
                <w:sz w:val="24"/>
              </w:rPr>
              <w:t>8248.15</w:t>
            </w:r>
          </w:p>
        </w:tc>
        <w:tc>
          <w:tcPr>
            <w:tcW w:w="2613" w:type="dxa"/>
            <w:tcBorders>
              <w:top w:val="nil"/>
              <w:left w:val="nil"/>
              <w:bottom w:val="single" w:color="auto" w:sz="4" w:space="0"/>
              <w:right w:val="single" w:color="auto" w:sz="4" w:space="0"/>
            </w:tcBorders>
            <w:vAlign w:val="center"/>
          </w:tcPr>
          <w:p w14:paraId="2DF5A612">
            <w:pPr>
              <w:spacing w:after="0" w:line="320" w:lineRule="exact"/>
              <w:jc w:val="center"/>
              <w:textAlignment w:val="center"/>
              <w:rPr>
                <w:rFonts w:eastAsia="仿宋_GB2312" w:cs="Calibri"/>
                <w:color w:val="000000"/>
                <w:sz w:val="24"/>
              </w:rPr>
            </w:pPr>
            <w:r>
              <w:rPr>
                <w:rFonts w:eastAsia="仿宋_GB2312" w:cs="Calibri"/>
                <w:color w:val="000000"/>
                <w:sz w:val="24"/>
              </w:rPr>
              <w:t>8248.15</w:t>
            </w:r>
          </w:p>
        </w:tc>
      </w:tr>
      <w:tr w14:paraId="46249767">
        <w:tblPrEx>
          <w:tblCellMar>
            <w:top w:w="0" w:type="dxa"/>
            <w:left w:w="108" w:type="dxa"/>
            <w:bottom w:w="0" w:type="dxa"/>
            <w:right w:w="108" w:type="dxa"/>
          </w:tblCellMar>
        </w:tblPrEx>
        <w:trPr>
          <w:trHeight w:val="344" w:hRule="atLeast"/>
        </w:trPr>
        <w:tc>
          <w:tcPr>
            <w:tcW w:w="1896" w:type="dxa"/>
            <w:tcBorders>
              <w:top w:val="nil"/>
              <w:left w:val="single" w:color="auto" w:sz="4" w:space="0"/>
              <w:bottom w:val="single" w:color="auto" w:sz="4" w:space="0"/>
              <w:right w:val="single" w:color="auto" w:sz="4" w:space="0"/>
            </w:tcBorders>
            <w:vAlign w:val="center"/>
          </w:tcPr>
          <w:p w14:paraId="4BAEE63C">
            <w:pPr>
              <w:spacing w:after="0" w:line="320" w:lineRule="exact"/>
              <w:jc w:val="center"/>
              <w:rPr>
                <w:rFonts w:eastAsia="仿宋_GB2312"/>
                <w:color w:val="000000"/>
                <w:sz w:val="24"/>
              </w:rPr>
            </w:pPr>
            <w:r>
              <w:rPr>
                <w:rFonts w:eastAsia="仿宋_GB2312"/>
                <w:color w:val="000000"/>
                <w:sz w:val="24"/>
              </w:rPr>
              <w:t>2017</w:t>
            </w:r>
          </w:p>
        </w:tc>
        <w:tc>
          <w:tcPr>
            <w:tcW w:w="1896" w:type="dxa"/>
            <w:tcBorders>
              <w:top w:val="nil"/>
              <w:left w:val="nil"/>
              <w:bottom w:val="single" w:color="auto" w:sz="4" w:space="0"/>
              <w:right w:val="single" w:color="auto" w:sz="4" w:space="0"/>
            </w:tcBorders>
            <w:vAlign w:val="center"/>
          </w:tcPr>
          <w:p w14:paraId="2FDCD51E">
            <w:pPr>
              <w:spacing w:after="0" w:line="320" w:lineRule="exact"/>
              <w:jc w:val="center"/>
              <w:textAlignment w:val="center"/>
              <w:rPr>
                <w:rFonts w:eastAsia="仿宋_GB2312" w:cs="Calibri"/>
                <w:color w:val="000000"/>
                <w:sz w:val="24"/>
              </w:rPr>
            </w:pPr>
            <w:r>
              <w:rPr>
                <w:rFonts w:eastAsia="仿宋_GB2312" w:cs="Calibri"/>
                <w:color w:val="000000"/>
                <w:sz w:val="24"/>
              </w:rPr>
              <w:t>0</w:t>
            </w:r>
          </w:p>
        </w:tc>
        <w:tc>
          <w:tcPr>
            <w:tcW w:w="2413" w:type="dxa"/>
            <w:tcBorders>
              <w:top w:val="nil"/>
              <w:left w:val="nil"/>
              <w:bottom w:val="single" w:color="auto" w:sz="4" w:space="0"/>
              <w:right w:val="single" w:color="auto" w:sz="4" w:space="0"/>
            </w:tcBorders>
            <w:vAlign w:val="center"/>
          </w:tcPr>
          <w:p w14:paraId="5BC92419">
            <w:pPr>
              <w:spacing w:after="0" w:line="320" w:lineRule="exact"/>
              <w:jc w:val="center"/>
              <w:textAlignment w:val="center"/>
              <w:rPr>
                <w:rFonts w:eastAsia="仿宋_GB2312" w:cs="Calibri"/>
                <w:color w:val="000000"/>
                <w:sz w:val="24"/>
              </w:rPr>
            </w:pPr>
            <w:r>
              <w:rPr>
                <w:rFonts w:eastAsia="仿宋_GB2312" w:cs="Calibri"/>
                <w:color w:val="000000"/>
                <w:sz w:val="24"/>
              </w:rPr>
              <w:t>8683.15</w:t>
            </w:r>
          </w:p>
        </w:tc>
        <w:tc>
          <w:tcPr>
            <w:tcW w:w="2613" w:type="dxa"/>
            <w:tcBorders>
              <w:top w:val="nil"/>
              <w:left w:val="nil"/>
              <w:bottom w:val="single" w:color="auto" w:sz="4" w:space="0"/>
              <w:right w:val="single" w:color="auto" w:sz="4" w:space="0"/>
            </w:tcBorders>
            <w:vAlign w:val="center"/>
          </w:tcPr>
          <w:p w14:paraId="38A3518C">
            <w:pPr>
              <w:spacing w:after="0" w:line="320" w:lineRule="exact"/>
              <w:jc w:val="center"/>
              <w:textAlignment w:val="center"/>
              <w:rPr>
                <w:rFonts w:eastAsia="仿宋_GB2312" w:cs="Calibri"/>
                <w:color w:val="000000"/>
                <w:sz w:val="24"/>
              </w:rPr>
            </w:pPr>
            <w:r>
              <w:rPr>
                <w:rFonts w:eastAsia="仿宋_GB2312" w:cs="Calibri"/>
                <w:color w:val="000000"/>
                <w:sz w:val="24"/>
              </w:rPr>
              <w:t>8683.15</w:t>
            </w:r>
          </w:p>
        </w:tc>
      </w:tr>
      <w:tr w14:paraId="56F08A51">
        <w:tblPrEx>
          <w:tblCellMar>
            <w:top w:w="0" w:type="dxa"/>
            <w:left w:w="108" w:type="dxa"/>
            <w:bottom w:w="0" w:type="dxa"/>
            <w:right w:w="108" w:type="dxa"/>
          </w:tblCellMar>
        </w:tblPrEx>
        <w:trPr>
          <w:trHeight w:val="344" w:hRule="atLeast"/>
        </w:trPr>
        <w:tc>
          <w:tcPr>
            <w:tcW w:w="1896" w:type="dxa"/>
            <w:tcBorders>
              <w:top w:val="single" w:color="auto" w:sz="4" w:space="0"/>
              <w:left w:val="single" w:color="auto" w:sz="4" w:space="0"/>
              <w:bottom w:val="single" w:color="auto" w:sz="4" w:space="0"/>
              <w:right w:val="single" w:color="auto" w:sz="4" w:space="0"/>
            </w:tcBorders>
            <w:vAlign w:val="center"/>
          </w:tcPr>
          <w:p w14:paraId="2AD5345B">
            <w:pPr>
              <w:spacing w:after="0" w:line="320" w:lineRule="exact"/>
              <w:jc w:val="center"/>
              <w:rPr>
                <w:rFonts w:eastAsia="仿宋_GB2312"/>
                <w:color w:val="000000"/>
                <w:sz w:val="24"/>
              </w:rPr>
            </w:pPr>
            <w:r>
              <w:rPr>
                <w:rFonts w:eastAsia="仿宋_GB2312"/>
                <w:color w:val="000000"/>
                <w:sz w:val="24"/>
              </w:rPr>
              <w:t>2018</w:t>
            </w:r>
          </w:p>
        </w:tc>
        <w:tc>
          <w:tcPr>
            <w:tcW w:w="1896" w:type="dxa"/>
            <w:tcBorders>
              <w:top w:val="single" w:color="auto" w:sz="4" w:space="0"/>
              <w:left w:val="nil"/>
              <w:bottom w:val="single" w:color="auto" w:sz="4" w:space="0"/>
              <w:right w:val="single" w:color="auto" w:sz="4" w:space="0"/>
            </w:tcBorders>
            <w:vAlign w:val="center"/>
          </w:tcPr>
          <w:p w14:paraId="54B3FF03">
            <w:pPr>
              <w:spacing w:after="0" w:line="320" w:lineRule="exact"/>
              <w:jc w:val="center"/>
              <w:textAlignment w:val="center"/>
              <w:rPr>
                <w:rFonts w:eastAsia="仿宋_GB2312" w:cs="Calibri"/>
                <w:color w:val="000000"/>
                <w:sz w:val="24"/>
              </w:rPr>
            </w:pPr>
            <w:r>
              <w:rPr>
                <w:rFonts w:eastAsia="仿宋_GB2312" w:cs="Calibri"/>
                <w:color w:val="000000"/>
                <w:sz w:val="24"/>
              </w:rPr>
              <w:t>0</w:t>
            </w:r>
          </w:p>
        </w:tc>
        <w:tc>
          <w:tcPr>
            <w:tcW w:w="2413" w:type="dxa"/>
            <w:tcBorders>
              <w:top w:val="single" w:color="auto" w:sz="4" w:space="0"/>
              <w:left w:val="nil"/>
              <w:bottom w:val="single" w:color="auto" w:sz="4" w:space="0"/>
              <w:right w:val="single" w:color="auto" w:sz="4" w:space="0"/>
            </w:tcBorders>
            <w:vAlign w:val="center"/>
          </w:tcPr>
          <w:p w14:paraId="7AA33CA3">
            <w:pPr>
              <w:spacing w:after="0" w:line="320" w:lineRule="exact"/>
              <w:jc w:val="center"/>
              <w:textAlignment w:val="center"/>
              <w:rPr>
                <w:rFonts w:eastAsia="仿宋_GB2312" w:cs="Calibri"/>
                <w:color w:val="000000"/>
                <w:sz w:val="24"/>
              </w:rPr>
            </w:pPr>
            <w:r>
              <w:rPr>
                <w:rFonts w:eastAsia="仿宋_GB2312" w:cs="Calibri"/>
                <w:color w:val="000000"/>
                <w:sz w:val="24"/>
              </w:rPr>
              <w:t>10252.96</w:t>
            </w:r>
          </w:p>
        </w:tc>
        <w:tc>
          <w:tcPr>
            <w:tcW w:w="2613" w:type="dxa"/>
            <w:tcBorders>
              <w:top w:val="single" w:color="auto" w:sz="4" w:space="0"/>
              <w:left w:val="nil"/>
              <w:bottom w:val="single" w:color="auto" w:sz="4" w:space="0"/>
              <w:right w:val="single" w:color="auto" w:sz="4" w:space="0"/>
            </w:tcBorders>
            <w:vAlign w:val="center"/>
          </w:tcPr>
          <w:p w14:paraId="5DFB33CE">
            <w:pPr>
              <w:spacing w:after="0" w:line="320" w:lineRule="exact"/>
              <w:jc w:val="center"/>
              <w:textAlignment w:val="center"/>
              <w:rPr>
                <w:rFonts w:eastAsia="仿宋_GB2312" w:cs="Calibri"/>
                <w:color w:val="000000"/>
                <w:sz w:val="24"/>
              </w:rPr>
            </w:pPr>
            <w:r>
              <w:rPr>
                <w:rFonts w:eastAsia="仿宋_GB2312" w:cs="Calibri"/>
                <w:color w:val="000000"/>
                <w:sz w:val="24"/>
              </w:rPr>
              <w:t>10252.96</w:t>
            </w:r>
          </w:p>
        </w:tc>
      </w:tr>
      <w:tr w14:paraId="4F9B2F8D">
        <w:tblPrEx>
          <w:tblCellMar>
            <w:top w:w="0" w:type="dxa"/>
            <w:left w:w="108" w:type="dxa"/>
            <w:bottom w:w="0" w:type="dxa"/>
            <w:right w:w="108" w:type="dxa"/>
          </w:tblCellMar>
        </w:tblPrEx>
        <w:trPr>
          <w:trHeight w:val="344" w:hRule="atLeast"/>
        </w:trPr>
        <w:tc>
          <w:tcPr>
            <w:tcW w:w="1896" w:type="dxa"/>
            <w:tcBorders>
              <w:top w:val="single" w:color="auto" w:sz="4" w:space="0"/>
              <w:left w:val="single" w:color="auto" w:sz="4" w:space="0"/>
              <w:bottom w:val="single" w:color="auto" w:sz="4" w:space="0"/>
              <w:right w:val="single" w:color="auto" w:sz="4" w:space="0"/>
            </w:tcBorders>
            <w:vAlign w:val="center"/>
          </w:tcPr>
          <w:p w14:paraId="0CAE5829">
            <w:pPr>
              <w:spacing w:after="0" w:line="320" w:lineRule="exact"/>
              <w:jc w:val="center"/>
              <w:rPr>
                <w:rFonts w:eastAsia="仿宋_GB2312"/>
                <w:color w:val="000000"/>
                <w:sz w:val="24"/>
              </w:rPr>
            </w:pPr>
            <w:r>
              <w:rPr>
                <w:rFonts w:eastAsia="仿宋_GB2312"/>
                <w:color w:val="000000"/>
                <w:sz w:val="24"/>
              </w:rPr>
              <w:t>2019</w:t>
            </w:r>
          </w:p>
        </w:tc>
        <w:tc>
          <w:tcPr>
            <w:tcW w:w="1896" w:type="dxa"/>
            <w:tcBorders>
              <w:top w:val="single" w:color="auto" w:sz="4" w:space="0"/>
              <w:left w:val="nil"/>
              <w:bottom w:val="single" w:color="auto" w:sz="4" w:space="0"/>
              <w:right w:val="single" w:color="auto" w:sz="4" w:space="0"/>
            </w:tcBorders>
            <w:vAlign w:val="center"/>
          </w:tcPr>
          <w:p w14:paraId="6DF6386A">
            <w:pPr>
              <w:spacing w:after="0" w:line="320" w:lineRule="exact"/>
              <w:jc w:val="center"/>
              <w:textAlignment w:val="center"/>
              <w:rPr>
                <w:rFonts w:eastAsia="仿宋_GB2312" w:cs="Calibri"/>
                <w:color w:val="000000"/>
                <w:sz w:val="24"/>
              </w:rPr>
            </w:pPr>
            <w:r>
              <w:rPr>
                <w:rFonts w:eastAsia="仿宋_GB2312" w:cs="Calibri"/>
                <w:color w:val="000000"/>
                <w:sz w:val="24"/>
              </w:rPr>
              <w:t>0</w:t>
            </w:r>
          </w:p>
        </w:tc>
        <w:tc>
          <w:tcPr>
            <w:tcW w:w="2413" w:type="dxa"/>
            <w:tcBorders>
              <w:top w:val="single" w:color="auto" w:sz="4" w:space="0"/>
              <w:left w:val="nil"/>
              <w:bottom w:val="single" w:color="auto" w:sz="4" w:space="0"/>
              <w:right w:val="single" w:color="auto" w:sz="4" w:space="0"/>
            </w:tcBorders>
            <w:vAlign w:val="center"/>
          </w:tcPr>
          <w:p w14:paraId="532E5CA6">
            <w:pPr>
              <w:spacing w:after="0" w:line="320" w:lineRule="exact"/>
              <w:jc w:val="center"/>
              <w:textAlignment w:val="center"/>
              <w:rPr>
                <w:rFonts w:eastAsia="仿宋_GB2312" w:cs="Calibri"/>
                <w:color w:val="000000"/>
                <w:sz w:val="24"/>
              </w:rPr>
            </w:pPr>
            <w:bookmarkStart w:id="20" w:name="_Hlk34841875"/>
            <w:r>
              <w:rPr>
                <w:rFonts w:eastAsia="仿宋_GB2312" w:cs="Calibri"/>
                <w:color w:val="000000"/>
                <w:sz w:val="24"/>
              </w:rPr>
              <w:t>15256.41</w:t>
            </w:r>
            <w:bookmarkEnd w:id="20"/>
          </w:p>
        </w:tc>
        <w:tc>
          <w:tcPr>
            <w:tcW w:w="2613" w:type="dxa"/>
            <w:tcBorders>
              <w:top w:val="single" w:color="auto" w:sz="4" w:space="0"/>
              <w:left w:val="nil"/>
              <w:bottom w:val="single" w:color="auto" w:sz="4" w:space="0"/>
              <w:right w:val="single" w:color="auto" w:sz="4" w:space="0"/>
            </w:tcBorders>
            <w:vAlign w:val="center"/>
          </w:tcPr>
          <w:p w14:paraId="1EF5F957">
            <w:pPr>
              <w:spacing w:after="0" w:line="320" w:lineRule="exact"/>
              <w:jc w:val="center"/>
              <w:textAlignment w:val="center"/>
              <w:rPr>
                <w:rFonts w:eastAsia="仿宋_GB2312" w:cs="Calibri"/>
                <w:color w:val="000000"/>
                <w:sz w:val="24"/>
              </w:rPr>
            </w:pPr>
            <w:r>
              <w:rPr>
                <w:rFonts w:eastAsia="仿宋_GB2312" w:cs="Calibri"/>
                <w:color w:val="000000"/>
                <w:sz w:val="24"/>
              </w:rPr>
              <w:t>15256.41</w:t>
            </w:r>
          </w:p>
        </w:tc>
      </w:tr>
      <w:tr w14:paraId="749389C6">
        <w:tblPrEx>
          <w:tblCellMar>
            <w:top w:w="0" w:type="dxa"/>
            <w:left w:w="108" w:type="dxa"/>
            <w:bottom w:w="0" w:type="dxa"/>
            <w:right w:w="108" w:type="dxa"/>
          </w:tblCellMar>
        </w:tblPrEx>
        <w:trPr>
          <w:trHeight w:val="354" w:hRule="atLeast"/>
        </w:trPr>
        <w:tc>
          <w:tcPr>
            <w:tcW w:w="1896" w:type="dxa"/>
            <w:tcBorders>
              <w:top w:val="single" w:color="auto" w:sz="4" w:space="0"/>
              <w:left w:val="single" w:color="auto" w:sz="4" w:space="0"/>
              <w:bottom w:val="single" w:color="auto" w:sz="4" w:space="0"/>
              <w:right w:val="single" w:color="auto" w:sz="4" w:space="0"/>
            </w:tcBorders>
            <w:vAlign w:val="center"/>
          </w:tcPr>
          <w:p w14:paraId="0A88E5BD">
            <w:pPr>
              <w:spacing w:after="0" w:line="320" w:lineRule="exact"/>
              <w:jc w:val="center"/>
              <w:rPr>
                <w:rFonts w:eastAsia="仿宋_GB2312"/>
                <w:color w:val="000000"/>
                <w:sz w:val="24"/>
              </w:rPr>
            </w:pPr>
            <w:r>
              <w:rPr>
                <w:rFonts w:hint="eastAsia" w:eastAsia="仿宋_GB2312"/>
                <w:color w:val="000000"/>
                <w:sz w:val="24"/>
              </w:rPr>
              <w:t>2</w:t>
            </w:r>
            <w:r>
              <w:rPr>
                <w:rFonts w:eastAsia="仿宋_GB2312"/>
                <w:color w:val="000000"/>
                <w:sz w:val="24"/>
              </w:rPr>
              <w:t>020</w:t>
            </w:r>
          </w:p>
        </w:tc>
        <w:tc>
          <w:tcPr>
            <w:tcW w:w="1896" w:type="dxa"/>
            <w:tcBorders>
              <w:top w:val="single" w:color="auto" w:sz="4" w:space="0"/>
              <w:left w:val="nil"/>
              <w:bottom w:val="single" w:color="auto" w:sz="4" w:space="0"/>
              <w:right w:val="single" w:color="auto" w:sz="4" w:space="0"/>
            </w:tcBorders>
            <w:vAlign w:val="center"/>
          </w:tcPr>
          <w:p w14:paraId="576A74FF">
            <w:pPr>
              <w:spacing w:after="0" w:line="320" w:lineRule="exact"/>
              <w:jc w:val="center"/>
              <w:textAlignment w:val="center"/>
              <w:rPr>
                <w:rFonts w:eastAsia="仿宋_GB2312" w:cs="Calibri"/>
                <w:color w:val="000000"/>
                <w:sz w:val="24"/>
              </w:rPr>
            </w:pPr>
            <w:r>
              <w:rPr>
                <w:rFonts w:eastAsia="仿宋_GB2312" w:cs="Calibri"/>
                <w:color w:val="000000"/>
                <w:sz w:val="24"/>
              </w:rPr>
              <w:t>0</w:t>
            </w:r>
          </w:p>
        </w:tc>
        <w:tc>
          <w:tcPr>
            <w:tcW w:w="2413" w:type="dxa"/>
            <w:tcBorders>
              <w:top w:val="single" w:color="auto" w:sz="4" w:space="0"/>
              <w:left w:val="nil"/>
              <w:bottom w:val="single" w:color="auto" w:sz="4" w:space="0"/>
              <w:right w:val="single" w:color="auto" w:sz="4" w:space="0"/>
            </w:tcBorders>
            <w:vAlign w:val="center"/>
          </w:tcPr>
          <w:p w14:paraId="1D617C2B">
            <w:pPr>
              <w:spacing w:after="0" w:line="320" w:lineRule="exact"/>
              <w:jc w:val="center"/>
              <w:textAlignment w:val="center"/>
              <w:rPr>
                <w:rFonts w:eastAsia="仿宋_GB2312" w:cs="Calibri"/>
                <w:color w:val="000000"/>
                <w:sz w:val="24"/>
              </w:rPr>
            </w:pPr>
            <w:r>
              <w:rPr>
                <w:rFonts w:eastAsia="仿宋_GB2312" w:cs="Calibri"/>
                <w:color w:val="000000"/>
                <w:sz w:val="24"/>
              </w:rPr>
              <w:t>15256.41</w:t>
            </w:r>
          </w:p>
        </w:tc>
        <w:tc>
          <w:tcPr>
            <w:tcW w:w="2613" w:type="dxa"/>
            <w:tcBorders>
              <w:top w:val="single" w:color="auto" w:sz="4" w:space="0"/>
              <w:left w:val="nil"/>
              <w:bottom w:val="single" w:color="auto" w:sz="4" w:space="0"/>
              <w:right w:val="single" w:color="auto" w:sz="4" w:space="0"/>
            </w:tcBorders>
            <w:vAlign w:val="center"/>
          </w:tcPr>
          <w:p w14:paraId="47F248AA">
            <w:pPr>
              <w:spacing w:after="0" w:line="320" w:lineRule="exact"/>
              <w:jc w:val="center"/>
              <w:textAlignment w:val="center"/>
              <w:rPr>
                <w:rFonts w:eastAsia="仿宋_GB2312" w:cs="Calibri"/>
                <w:color w:val="000000"/>
                <w:sz w:val="24"/>
              </w:rPr>
            </w:pPr>
            <w:r>
              <w:rPr>
                <w:rFonts w:eastAsia="仿宋_GB2312" w:cs="Calibri"/>
                <w:color w:val="000000"/>
                <w:sz w:val="24"/>
              </w:rPr>
              <w:t>15256.41</w:t>
            </w:r>
          </w:p>
        </w:tc>
      </w:tr>
    </w:tbl>
    <w:p w14:paraId="09CD1187">
      <w:pPr>
        <w:jc w:val="center"/>
      </w:pPr>
      <w:r>
        <w:rPr>
          <w:lang w:val="en-US"/>
        </w:rPr>
        <w:drawing>
          <wp:inline distT="0" distB="0" distL="0" distR="0">
            <wp:extent cx="4568825" cy="2740025"/>
            <wp:effectExtent l="0" t="0" r="3175" b="317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8260375">
      <w:pPr>
        <w:spacing w:after="0" w:line="560" w:lineRule="exact"/>
        <w:jc w:val="center"/>
        <w:rPr>
          <w:rFonts w:eastAsia="仿宋_GB2312"/>
          <w:sz w:val="32"/>
          <w:szCs w:val="32"/>
        </w:rPr>
      </w:pPr>
      <w:r>
        <w:rPr>
          <w:rFonts w:hint="eastAsia" w:eastAsia="仿宋_GB2312"/>
          <w:sz w:val="24"/>
        </w:rPr>
        <w:t>图</w:t>
      </w:r>
      <w:r>
        <w:rPr>
          <w:rFonts w:eastAsia="仿宋_GB2312"/>
          <w:sz w:val="24"/>
        </w:rPr>
        <w:t>XX  排放量</w:t>
      </w:r>
      <w:r>
        <w:rPr>
          <w:rFonts w:hint="eastAsia" w:eastAsia="仿宋_GB2312"/>
          <w:sz w:val="24"/>
        </w:rPr>
        <w:t>变化趋势图（增加2</w:t>
      </w:r>
      <w:r>
        <w:rPr>
          <w:rFonts w:eastAsia="仿宋_GB2312"/>
          <w:sz w:val="24"/>
        </w:rPr>
        <w:t>020年度）</w:t>
      </w:r>
    </w:p>
    <w:p w14:paraId="50A2AFA4">
      <w:pPr>
        <w:spacing w:after="0" w:line="560" w:lineRule="exact"/>
        <w:ind w:firstLine="640" w:firstLineChars="200"/>
        <w:rPr>
          <w:rFonts w:eastAsia="仿宋_GB2312"/>
          <w:sz w:val="32"/>
          <w:szCs w:val="32"/>
        </w:rPr>
      </w:pPr>
      <w:r>
        <w:rPr>
          <w:rFonts w:hint="eastAsia" w:eastAsia="仿宋_GB2312"/>
          <w:sz w:val="32"/>
          <w:szCs w:val="32"/>
        </w:rPr>
        <w:t>4. 核算和报告边界变化</w:t>
      </w:r>
      <w:r>
        <w:rPr>
          <w:rFonts w:hint="eastAsia" w:ascii="Times New Roman" w:hAnsi="Times New Roman" w:eastAsia="仿宋_GB2312"/>
          <w:sz w:val="32"/>
          <w:szCs w:val="32"/>
        </w:rPr>
        <w:t>（含设施变化）</w:t>
      </w:r>
      <w:r>
        <w:rPr>
          <w:rFonts w:hint="eastAsia" w:eastAsia="仿宋_GB2312"/>
          <w:sz w:val="32"/>
          <w:szCs w:val="32"/>
        </w:rPr>
        <w:t>情况</w:t>
      </w:r>
    </w:p>
    <w:p w14:paraId="462923AD">
      <w:pPr>
        <w:spacing w:after="0" w:line="560" w:lineRule="exact"/>
        <w:ind w:firstLine="640" w:firstLineChars="200"/>
        <w:rPr>
          <w:rFonts w:eastAsia="仿宋_GB2312"/>
          <w:sz w:val="32"/>
          <w:szCs w:val="32"/>
        </w:rPr>
      </w:pPr>
      <w:r>
        <w:rPr>
          <w:rFonts w:hint="eastAsia" w:eastAsia="仿宋_GB2312"/>
          <w:sz w:val="32"/>
          <w:szCs w:val="32"/>
        </w:rPr>
        <w:t>4.1 本年度场所边界的变化</w:t>
      </w:r>
    </w:p>
    <w:p w14:paraId="0B7E5A74">
      <w:pPr>
        <w:spacing w:after="0" w:line="560" w:lineRule="exact"/>
        <w:ind w:firstLine="640" w:firstLineChars="200"/>
        <w:jc w:val="both"/>
        <w:rPr>
          <w:rFonts w:eastAsia="仿宋_GB2312"/>
          <w:sz w:val="32"/>
          <w:szCs w:val="32"/>
        </w:rPr>
      </w:pPr>
      <w:r>
        <w:rPr>
          <w:rFonts w:eastAsia="仿宋_GB2312"/>
          <w:sz w:val="32"/>
          <w:szCs w:val="32"/>
        </w:rPr>
        <w:t>排放单位核算和报告边界为北京市辖区内经营</w:t>
      </w:r>
      <w:r>
        <w:rPr>
          <w:rFonts w:hint="eastAsia" w:eastAsia="仿宋_GB2312"/>
          <w:sz w:val="32"/>
          <w:szCs w:val="32"/>
        </w:rPr>
        <w:t>的</w:t>
      </w:r>
      <w:r>
        <w:rPr>
          <w:rFonts w:eastAsia="仿宋_GB2312"/>
          <w:sz w:val="32"/>
          <w:szCs w:val="32"/>
        </w:rPr>
        <w:t>办公网点</w:t>
      </w:r>
      <w:r>
        <w:rPr>
          <w:rFonts w:hint="eastAsia" w:eastAsia="仿宋_GB2312"/>
          <w:sz w:val="32"/>
          <w:szCs w:val="32"/>
        </w:rPr>
        <w:t>，包括</w:t>
      </w:r>
      <w:r>
        <w:rPr>
          <w:rFonts w:eastAsia="仿宋_GB2312"/>
          <w:sz w:val="32"/>
          <w:szCs w:val="32"/>
        </w:rPr>
        <w:t>xxx</w:t>
      </w:r>
      <w:r>
        <w:rPr>
          <w:rFonts w:hint="eastAsia" w:eastAsia="仿宋_GB2312"/>
          <w:sz w:val="32"/>
          <w:szCs w:val="32"/>
        </w:rPr>
        <w:t>个支行及位于xx的办公大楼，建筑面积共计xxx平方米，还包括xx个大型数据中心，xx个中小型数据中心。与上年度相比，增加xx个支行及位于xxx的办公区域；与历史基准年相比，增加xx个支行及位于xxx的办公区域。</w:t>
      </w:r>
    </w:p>
    <w:p w14:paraId="2BFD22FB">
      <w:pPr>
        <w:spacing w:after="0" w:line="560" w:lineRule="exact"/>
        <w:ind w:left="440" w:leftChars="200"/>
        <w:jc w:val="both"/>
        <w:rPr>
          <w:rFonts w:eastAsia="仿宋_GB2312"/>
          <w:sz w:val="32"/>
          <w:szCs w:val="32"/>
        </w:rPr>
      </w:pPr>
      <w:r>
        <w:rPr>
          <w:rFonts w:hint="eastAsia" w:eastAsia="仿宋_GB2312"/>
          <w:sz w:val="32"/>
          <w:szCs w:val="32"/>
        </w:rPr>
        <w:t>4.2</w:t>
      </w:r>
      <w:r>
        <w:rPr>
          <w:rFonts w:eastAsia="仿宋_GB2312"/>
          <w:sz w:val="32"/>
          <w:szCs w:val="32"/>
        </w:rPr>
        <w:t>本年度排放设施的变化</w:t>
      </w:r>
    </w:p>
    <w:p w14:paraId="46A86187">
      <w:pPr>
        <w:spacing w:after="0" w:line="560" w:lineRule="exact"/>
        <w:ind w:firstLine="465"/>
        <w:jc w:val="both"/>
        <w:rPr>
          <w:rFonts w:eastAsia="仿宋_GB2312"/>
          <w:sz w:val="32"/>
          <w:szCs w:val="32"/>
        </w:rPr>
      </w:pPr>
      <w:r>
        <w:rPr>
          <w:rFonts w:eastAsia="仿宋_GB2312"/>
          <w:sz w:val="32"/>
          <w:szCs w:val="32"/>
        </w:rPr>
        <w:t>排放单位2018年存在</w:t>
      </w:r>
      <w:r>
        <w:rPr>
          <w:rFonts w:hint="eastAsia" w:eastAsia="仿宋_GB2312"/>
          <w:sz w:val="32"/>
          <w:szCs w:val="32"/>
        </w:rPr>
        <w:t>x</w:t>
      </w:r>
      <w:r>
        <w:rPr>
          <w:rFonts w:eastAsia="仿宋_GB2312"/>
          <w:sz w:val="32"/>
          <w:szCs w:val="32"/>
        </w:rPr>
        <w:t>xx支行、</w:t>
      </w:r>
      <w:r>
        <w:rPr>
          <w:rFonts w:hint="eastAsia" w:eastAsia="仿宋_GB2312"/>
          <w:sz w:val="32"/>
          <w:szCs w:val="32"/>
        </w:rPr>
        <w:t>x</w:t>
      </w:r>
      <w:r>
        <w:rPr>
          <w:rFonts w:eastAsia="仿宋_GB2312"/>
          <w:sz w:val="32"/>
          <w:szCs w:val="32"/>
        </w:rPr>
        <w:t>xx支行、</w:t>
      </w:r>
      <w:r>
        <w:rPr>
          <w:rFonts w:hint="eastAsia" w:eastAsia="仿宋_GB2312"/>
          <w:sz w:val="32"/>
          <w:szCs w:val="32"/>
        </w:rPr>
        <w:t>x</w:t>
      </w:r>
      <w:r>
        <w:rPr>
          <w:rFonts w:eastAsia="仿宋_GB2312"/>
          <w:sz w:val="32"/>
          <w:szCs w:val="32"/>
        </w:rPr>
        <w:t>xx支行3个支行截至2018年底运行时间均不足12个月，符合调整既有设施排放配额的申请条件，此信息供既有设施调整配额参考。</w:t>
      </w:r>
    </w:p>
    <w:p w14:paraId="6F47D0B0">
      <w:pPr>
        <w:spacing w:after="0" w:line="560" w:lineRule="exact"/>
        <w:ind w:firstLine="465"/>
        <w:jc w:val="both"/>
        <w:rPr>
          <w:rFonts w:eastAsia="仿宋_GB2312"/>
          <w:sz w:val="32"/>
          <w:szCs w:val="32"/>
        </w:rPr>
      </w:pPr>
      <w:r>
        <w:rPr>
          <w:rFonts w:eastAsia="仿宋_GB2312"/>
          <w:sz w:val="32"/>
          <w:szCs w:val="32"/>
        </w:rPr>
        <w:t>本年度既有设施退出数量为1个，xxxx支行于2017年4月5日停止营业。</w:t>
      </w:r>
    </w:p>
    <w:p w14:paraId="2C1DF8B3">
      <w:pPr>
        <w:spacing w:after="0" w:line="560" w:lineRule="exact"/>
        <w:jc w:val="center"/>
        <w:rPr>
          <w:rFonts w:eastAsia="仿宋_GB2312"/>
          <w:sz w:val="24"/>
        </w:rPr>
      </w:pPr>
      <w:r>
        <w:rPr>
          <w:rFonts w:eastAsia="仿宋_GB2312"/>
          <w:sz w:val="24"/>
        </w:rPr>
        <w:t>表XX  既有设施退出信息表</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72"/>
        <w:gridCol w:w="1110"/>
        <w:gridCol w:w="709"/>
        <w:gridCol w:w="941"/>
        <w:gridCol w:w="1098"/>
        <w:gridCol w:w="1145"/>
        <w:gridCol w:w="1145"/>
        <w:gridCol w:w="1145"/>
      </w:tblGrid>
      <w:tr w14:paraId="3205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7" w:type="dxa"/>
            <w:vMerge w:val="restart"/>
            <w:vAlign w:val="center"/>
          </w:tcPr>
          <w:p w14:paraId="1983DDF1">
            <w:pPr>
              <w:jc w:val="center"/>
              <w:rPr>
                <w:rFonts w:eastAsia="仿宋_GB2312"/>
                <w:sz w:val="24"/>
              </w:rPr>
            </w:pPr>
            <w:r>
              <w:rPr>
                <w:rFonts w:eastAsia="仿宋_GB2312"/>
                <w:sz w:val="24"/>
              </w:rPr>
              <w:t>序号</w:t>
            </w:r>
          </w:p>
        </w:tc>
        <w:tc>
          <w:tcPr>
            <w:tcW w:w="772" w:type="dxa"/>
            <w:vMerge w:val="restart"/>
            <w:vAlign w:val="center"/>
          </w:tcPr>
          <w:p w14:paraId="7486FDC0">
            <w:pPr>
              <w:jc w:val="center"/>
              <w:rPr>
                <w:rFonts w:eastAsia="仿宋_GB2312"/>
                <w:sz w:val="24"/>
              </w:rPr>
            </w:pPr>
            <w:r>
              <w:rPr>
                <w:rFonts w:eastAsia="仿宋_GB2312"/>
                <w:sz w:val="24"/>
              </w:rPr>
              <w:t>既有设施名称</w:t>
            </w:r>
          </w:p>
        </w:tc>
        <w:tc>
          <w:tcPr>
            <w:tcW w:w="1110" w:type="dxa"/>
            <w:vMerge w:val="restart"/>
            <w:vAlign w:val="center"/>
          </w:tcPr>
          <w:p w14:paraId="14884B52">
            <w:pPr>
              <w:jc w:val="center"/>
              <w:rPr>
                <w:rFonts w:eastAsia="仿宋_GB2312"/>
                <w:sz w:val="24"/>
              </w:rPr>
            </w:pPr>
            <w:r>
              <w:rPr>
                <w:rFonts w:eastAsia="仿宋_GB2312"/>
                <w:sz w:val="24"/>
              </w:rPr>
              <w:t>既有设施对应其它生产信息（如适用）</w:t>
            </w:r>
          </w:p>
        </w:tc>
        <w:tc>
          <w:tcPr>
            <w:tcW w:w="709" w:type="dxa"/>
            <w:vMerge w:val="restart"/>
            <w:vAlign w:val="center"/>
          </w:tcPr>
          <w:p w14:paraId="7B9A3B66">
            <w:pPr>
              <w:jc w:val="center"/>
              <w:rPr>
                <w:rFonts w:eastAsia="仿宋_GB2312"/>
                <w:sz w:val="24"/>
              </w:rPr>
            </w:pPr>
            <w:r>
              <w:rPr>
                <w:rFonts w:eastAsia="仿宋_GB2312"/>
                <w:sz w:val="24"/>
              </w:rPr>
              <w:t>退出时间</w:t>
            </w:r>
          </w:p>
        </w:tc>
        <w:tc>
          <w:tcPr>
            <w:tcW w:w="941" w:type="dxa"/>
            <w:vMerge w:val="restart"/>
            <w:vAlign w:val="center"/>
          </w:tcPr>
          <w:p w14:paraId="3AE28626">
            <w:pPr>
              <w:jc w:val="center"/>
              <w:rPr>
                <w:rFonts w:eastAsia="仿宋_GB2312"/>
                <w:sz w:val="24"/>
              </w:rPr>
            </w:pPr>
            <w:r>
              <w:rPr>
                <w:rFonts w:eastAsia="仿宋_GB2312"/>
                <w:sz w:val="24"/>
              </w:rPr>
              <w:t>是否由新增设施替代</w:t>
            </w:r>
          </w:p>
        </w:tc>
        <w:tc>
          <w:tcPr>
            <w:tcW w:w="1098" w:type="dxa"/>
            <w:vMerge w:val="restart"/>
            <w:tcBorders>
              <w:right w:val="single" w:color="auto" w:sz="4" w:space="0"/>
            </w:tcBorders>
            <w:vAlign w:val="center"/>
          </w:tcPr>
          <w:p w14:paraId="23BA0CAF">
            <w:pPr>
              <w:jc w:val="center"/>
              <w:rPr>
                <w:rFonts w:eastAsia="仿宋_GB2312"/>
                <w:sz w:val="24"/>
              </w:rPr>
            </w:pPr>
            <w:r>
              <w:rPr>
                <w:rFonts w:eastAsia="仿宋_GB2312"/>
                <w:sz w:val="24"/>
              </w:rPr>
              <w:t>年度</w:t>
            </w:r>
          </w:p>
        </w:tc>
        <w:tc>
          <w:tcPr>
            <w:tcW w:w="3435" w:type="dxa"/>
            <w:gridSpan w:val="3"/>
            <w:tcBorders>
              <w:left w:val="single" w:color="auto" w:sz="4" w:space="0"/>
            </w:tcBorders>
            <w:vAlign w:val="center"/>
          </w:tcPr>
          <w:p w14:paraId="147127F0">
            <w:pPr>
              <w:jc w:val="center"/>
              <w:rPr>
                <w:rFonts w:eastAsia="仿宋_GB2312"/>
                <w:sz w:val="24"/>
              </w:rPr>
            </w:pPr>
            <w:r>
              <w:rPr>
                <w:rFonts w:eastAsia="仿宋_GB2312"/>
                <w:sz w:val="24"/>
              </w:rPr>
              <w:t>历史年度排放量</w:t>
            </w:r>
          </w:p>
        </w:tc>
      </w:tr>
      <w:tr w14:paraId="09E0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57" w:type="dxa"/>
            <w:vMerge w:val="continue"/>
            <w:vAlign w:val="center"/>
          </w:tcPr>
          <w:p w14:paraId="0F149369">
            <w:pPr>
              <w:jc w:val="center"/>
              <w:rPr>
                <w:rFonts w:eastAsia="仿宋_GB2312"/>
                <w:sz w:val="24"/>
              </w:rPr>
            </w:pPr>
          </w:p>
        </w:tc>
        <w:tc>
          <w:tcPr>
            <w:tcW w:w="772" w:type="dxa"/>
            <w:vMerge w:val="continue"/>
            <w:vAlign w:val="center"/>
          </w:tcPr>
          <w:p w14:paraId="5C42554D">
            <w:pPr>
              <w:jc w:val="center"/>
              <w:rPr>
                <w:rFonts w:eastAsia="仿宋_GB2312"/>
                <w:sz w:val="24"/>
              </w:rPr>
            </w:pPr>
          </w:p>
        </w:tc>
        <w:tc>
          <w:tcPr>
            <w:tcW w:w="1110" w:type="dxa"/>
            <w:vMerge w:val="continue"/>
            <w:vAlign w:val="center"/>
          </w:tcPr>
          <w:p w14:paraId="11CDD917">
            <w:pPr>
              <w:jc w:val="center"/>
              <w:rPr>
                <w:rFonts w:eastAsia="仿宋_GB2312"/>
                <w:sz w:val="24"/>
              </w:rPr>
            </w:pPr>
          </w:p>
        </w:tc>
        <w:tc>
          <w:tcPr>
            <w:tcW w:w="709" w:type="dxa"/>
            <w:vMerge w:val="continue"/>
            <w:vAlign w:val="center"/>
          </w:tcPr>
          <w:p w14:paraId="010D94C0">
            <w:pPr>
              <w:jc w:val="center"/>
              <w:rPr>
                <w:rFonts w:eastAsia="仿宋_GB2312"/>
                <w:sz w:val="24"/>
              </w:rPr>
            </w:pPr>
          </w:p>
        </w:tc>
        <w:tc>
          <w:tcPr>
            <w:tcW w:w="941" w:type="dxa"/>
            <w:vMerge w:val="continue"/>
            <w:vAlign w:val="center"/>
          </w:tcPr>
          <w:p w14:paraId="22580268">
            <w:pPr>
              <w:jc w:val="center"/>
              <w:rPr>
                <w:rFonts w:eastAsia="仿宋_GB2312"/>
                <w:sz w:val="24"/>
              </w:rPr>
            </w:pPr>
          </w:p>
        </w:tc>
        <w:tc>
          <w:tcPr>
            <w:tcW w:w="1098" w:type="dxa"/>
            <w:vMerge w:val="continue"/>
            <w:tcBorders>
              <w:right w:val="single" w:color="auto" w:sz="4" w:space="0"/>
            </w:tcBorders>
            <w:vAlign w:val="center"/>
          </w:tcPr>
          <w:p w14:paraId="364E9D1E">
            <w:pPr>
              <w:jc w:val="center"/>
              <w:rPr>
                <w:rFonts w:eastAsia="仿宋_GB2312"/>
                <w:sz w:val="24"/>
              </w:rPr>
            </w:pPr>
          </w:p>
        </w:tc>
        <w:tc>
          <w:tcPr>
            <w:tcW w:w="1145" w:type="dxa"/>
            <w:tcBorders>
              <w:left w:val="single" w:color="auto" w:sz="4" w:space="0"/>
            </w:tcBorders>
            <w:vAlign w:val="center"/>
          </w:tcPr>
          <w:p w14:paraId="5444EFD0">
            <w:pPr>
              <w:jc w:val="center"/>
              <w:rPr>
                <w:rFonts w:eastAsia="仿宋_GB2312"/>
                <w:sz w:val="24"/>
              </w:rPr>
            </w:pPr>
            <w:r>
              <w:rPr>
                <w:rFonts w:eastAsia="仿宋_GB2312"/>
                <w:sz w:val="24"/>
              </w:rPr>
              <w:t>直接排放量</w:t>
            </w:r>
          </w:p>
          <w:p w14:paraId="5E6476C3">
            <w:pPr>
              <w:jc w:val="center"/>
              <w:rPr>
                <w:rFonts w:eastAsia="仿宋_GB2312"/>
                <w:sz w:val="24"/>
              </w:rPr>
            </w:pPr>
            <w:r>
              <w:rPr>
                <w:rFonts w:eastAsia="仿宋_GB2312"/>
                <w:sz w:val="24"/>
              </w:rPr>
              <w:t>（tCO</w:t>
            </w:r>
            <w:r>
              <w:rPr>
                <w:rFonts w:eastAsia="仿宋_GB2312"/>
                <w:sz w:val="24"/>
                <w:vertAlign w:val="subscript"/>
              </w:rPr>
              <w:t>2</w:t>
            </w:r>
            <w:r>
              <w:rPr>
                <w:rFonts w:eastAsia="仿宋_GB2312"/>
                <w:sz w:val="24"/>
              </w:rPr>
              <w:t>）</w:t>
            </w:r>
          </w:p>
        </w:tc>
        <w:tc>
          <w:tcPr>
            <w:tcW w:w="1145" w:type="dxa"/>
            <w:vAlign w:val="center"/>
          </w:tcPr>
          <w:p w14:paraId="535D87EC">
            <w:pPr>
              <w:jc w:val="center"/>
              <w:rPr>
                <w:rFonts w:eastAsia="仿宋_GB2312"/>
                <w:sz w:val="24"/>
              </w:rPr>
            </w:pPr>
            <w:r>
              <w:rPr>
                <w:rFonts w:eastAsia="仿宋_GB2312"/>
                <w:sz w:val="24"/>
              </w:rPr>
              <w:t>间接排放量（tCO</w:t>
            </w:r>
            <w:r>
              <w:rPr>
                <w:rFonts w:eastAsia="仿宋_GB2312"/>
                <w:sz w:val="24"/>
                <w:vertAlign w:val="subscript"/>
              </w:rPr>
              <w:t>2</w:t>
            </w:r>
            <w:r>
              <w:rPr>
                <w:rFonts w:eastAsia="仿宋_GB2312"/>
                <w:sz w:val="24"/>
              </w:rPr>
              <w:t>）</w:t>
            </w:r>
          </w:p>
        </w:tc>
        <w:tc>
          <w:tcPr>
            <w:tcW w:w="1145" w:type="dxa"/>
            <w:vAlign w:val="center"/>
          </w:tcPr>
          <w:p w14:paraId="071FC18E">
            <w:pPr>
              <w:jc w:val="center"/>
              <w:rPr>
                <w:rFonts w:eastAsia="仿宋_GB2312"/>
                <w:sz w:val="24"/>
              </w:rPr>
            </w:pPr>
            <w:r>
              <w:rPr>
                <w:rFonts w:eastAsia="仿宋_GB2312"/>
                <w:sz w:val="24"/>
              </w:rPr>
              <w:t>总排放量（tCO</w:t>
            </w:r>
            <w:r>
              <w:rPr>
                <w:rFonts w:eastAsia="仿宋_GB2312"/>
                <w:sz w:val="24"/>
                <w:vertAlign w:val="subscript"/>
              </w:rPr>
              <w:t>2</w:t>
            </w:r>
            <w:r>
              <w:rPr>
                <w:rFonts w:eastAsia="仿宋_GB2312"/>
                <w:sz w:val="24"/>
              </w:rPr>
              <w:t>）</w:t>
            </w:r>
          </w:p>
        </w:tc>
      </w:tr>
      <w:tr w14:paraId="6358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57" w:type="dxa"/>
            <w:vMerge w:val="restart"/>
            <w:vAlign w:val="center"/>
          </w:tcPr>
          <w:p w14:paraId="3933DDCD">
            <w:pPr>
              <w:jc w:val="center"/>
              <w:rPr>
                <w:rFonts w:eastAsia="仿宋_GB2312"/>
                <w:sz w:val="24"/>
              </w:rPr>
            </w:pPr>
            <w:r>
              <w:rPr>
                <w:rFonts w:eastAsia="仿宋_GB2312"/>
                <w:sz w:val="24"/>
              </w:rPr>
              <w:t>1</w:t>
            </w:r>
          </w:p>
        </w:tc>
        <w:tc>
          <w:tcPr>
            <w:tcW w:w="772" w:type="dxa"/>
            <w:vMerge w:val="restart"/>
            <w:vAlign w:val="center"/>
          </w:tcPr>
          <w:p w14:paraId="7772032B">
            <w:pPr>
              <w:jc w:val="center"/>
              <w:rPr>
                <w:rFonts w:eastAsia="仿宋_GB2312"/>
                <w:sz w:val="24"/>
              </w:rPr>
            </w:pPr>
            <w:r>
              <w:rPr>
                <w:rFonts w:eastAsia="仿宋_GB2312"/>
                <w:sz w:val="24"/>
              </w:rPr>
              <w:t>xxx支行</w:t>
            </w:r>
          </w:p>
        </w:tc>
        <w:tc>
          <w:tcPr>
            <w:tcW w:w="1110" w:type="dxa"/>
            <w:vMerge w:val="restart"/>
            <w:vAlign w:val="center"/>
          </w:tcPr>
          <w:p w14:paraId="762D1341">
            <w:pPr>
              <w:jc w:val="center"/>
              <w:rPr>
                <w:rFonts w:eastAsia="仿宋_GB2312"/>
                <w:sz w:val="24"/>
              </w:rPr>
            </w:pPr>
            <w:r>
              <w:rPr>
                <w:rFonts w:eastAsia="仿宋_GB2312"/>
                <w:sz w:val="24"/>
              </w:rPr>
              <w:t>建筑面积：xxx平方米</w:t>
            </w:r>
          </w:p>
        </w:tc>
        <w:tc>
          <w:tcPr>
            <w:tcW w:w="709" w:type="dxa"/>
            <w:vMerge w:val="restart"/>
            <w:vAlign w:val="center"/>
          </w:tcPr>
          <w:p w14:paraId="0D884BC2">
            <w:pPr>
              <w:jc w:val="center"/>
              <w:rPr>
                <w:rFonts w:eastAsia="仿宋_GB2312"/>
                <w:sz w:val="24"/>
              </w:rPr>
            </w:pPr>
            <w:r>
              <w:rPr>
                <w:rFonts w:eastAsia="仿宋_GB2312"/>
                <w:sz w:val="24"/>
              </w:rPr>
              <w:t>2017</w:t>
            </w:r>
          </w:p>
        </w:tc>
        <w:tc>
          <w:tcPr>
            <w:tcW w:w="941" w:type="dxa"/>
            <w:vMerge w:val="restart"/>
            <w:vAlign w:val="center"/>
          </w:tcPr>
          <w:p w14:paraId="71B5DC65">
            <w:pPr>
              <w:jc w:val="center"/>
              <w:rPr>
                <w:rFonts w:eastAsia="仿宋_GB2312"/>
                <w:sz w:val="24"/>
              </w:rPr>
            </w:pPr>
            <w:r>
              <w:rPr>
                <w:rFonts w:eastAsia="仿宋_GB2312"/>
                <w:sz w:val="24"/>
              </w:rPr>
              <w:t>否</w:t>
            </w:r>
          </w:p>
        </w:tc>
        <w:tc>
          <w:tcPr>
            <w:tcW w:w="1098" w:type="dxa"/>
            <w:tcBorders>
              <w:right w:val="single" w:color="auto" w:sz="4" w:space="0"/>
            </w:tcBorders>
          </w:tcPr>
          <w:p w14:paraId="48763E05">
            <w:pPr>
              <w:rPr>
                <w:rFonts w:eastAsia="仿宋_GB2312"/>
                <w:sz w:val="24"/>
              </w:rPr>
            </w:pPr>
            <w:r>
              <w:rPr>
                <w:rFonts w:eastAsia="仿宋_GB2312"/>
                <w:sz w:val="24"/>
              </w:rPr>
              <w:t>2016年</w:t>
            </w:r>
          </w:p>
        </w:tc>
        <w:tc>
          <w:tcPr>
            <w:tcW w:w="1145" w:type="dxa"/>
            <w:tcBorders>
              <w:left w:val="single" w:color="auto" w:sz="4" w:space="0"/>
            </w:tcBorders>
          </w:tcPr>
          <w:p w14:paraId="5B66FE23">
            <w:pPr>
              <w:jc w:val="center"/>
              <w:rPr>
                <w:rFonts w:eastAsia="仿宋_GB2312"/>
                <w:sz w:val="24"/>
              </w:rPr>
            </w:pPr>
            <w:r>
              <w:rPr>
                <w:rFonts w:eastAsia="仿宋_GB2312"/>
                <w:sz w:val="24"/>
              </w:rPr>
              <w:t>0</w:t>
            </w:r>
          </w:p>
        </w:tc>
        <w:tc>
          <w:tcPr>
            <w:tcW w:w="1145" w:type="dxa"/>
            <w:vAlign w:val="bottom"/>
          </w:tcPr>
          <w:p w14:paraId="1F1E6858">
            <w:pPr>
              <w:jc w:val="center"/>
              <w:rPr>
                <w:rFonts w:eastAsia="仿宋_GB2312"/>
                <w:sz w:val="24"/>
              </w:rPr>
            </w:pPr>
            <w:r>
              <w:rPr>
                <w:rFonts w:hint="eastAsia" w:eastAsia="仿宋_GB2312"/>
                <w:sz w:val="24"/>
              </w:rPr>
              <w:t>37.5</w:t>
            </w:r>
          </w:p>
        </w:tc>
        <w:tc>
          <w:tcPr>
            <w:tcW w:w="1145" w:type="dxa"/>
            <w:vAlign w:val="bottom"/>
          </w:tcPr>
          <w:p w14:paraId="1DA9FA39">
            <w:pPr>
              <w:jc w:val="center"/>
              <w:rPr>
                <w:rFonts w:eastAsia="仿宋_GB2312"/>
                <w:sz w:val="24"/>
              </w:rPr>
            </w:pPr>
            <w:r>
              <w:rPr>
                <w:rFonts w:hint="eastAsia" w:eastAsia="仿宋_GB2312"/>
                <w:sz w:val="24"/>
              </w:rPr>
              <w:t>37.5</w:t>
            </w:r>
          </w:p>
        </w:tc>
      </w:tr>
      <w:tr w14:paraId="4FB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7" w:type="dxa"/>
            <w:vMerge w:val="continue"/>
          </w:tcPr>
          <w:p w14:paraId="57E7953B">
            <w:pPr>
              <w:rPr>
                <w:rFonts w:eastAsia="仿宋_GB2312"/>
                <w:sz w:val="24"/>
              </w:rPr>
            </w:pPr>
          </w:p>
        </w:tc>
        <w:tc>
          <w:tcPr>
            <w:tcW w:w="772" w:type="dxa"/>
            <w:vMerge w:val="continue"/>
          </w:tcPr>
          <w:p w14:paraId="4E2733DF">
            <w:pPr>
              <w:rPr>
                <w:rFonts w:eastAsia="仿宋_GB2312"/>
                <w:sz w:val="24"/>
              </w:rPr>
            </w:pPr>
          </w:p>
        </w:tc>
        <w:tc>
          <w:tcPr>
            <w:tcW w:w="1110" w:type="dxa"/>
            <w:vMerge w:val="continue"/>
          </w:tcPr>
          <w:p w14:paraId="32B7BE2E">
            <w:pPr>
              <w:rPr>
                <w:rFonts w:eastAsia="仿宋_GB2312"/>
                <w:sz w:val="24"/>
              </w:rPr>
            </w:pPr>
          </w:p>
        </w:tc>
        <w:tc>
          <w:tcPr>
            <w:tcW w:w="709" w:type="dxa"/>
            <w:vMerge w:val="continue"/>
          </w:tcPr>
          <w:p w14:paraId="216BF515">
            <w:pPr>
              <w:rPr>
                <w:rFonts w:eastAsia="仿宋_GB2312"/>
                <w:sz w:val="24"/>
              </w:rPr>
            </w:pPr>
          </w:p>
        </w:tc>
        <w:tc>
          <w:tcPr>
            <w:tcW w:w="941" w:type="dxa"/>
            <w:vMerge w:val="continue"/>
          </w:tcPr>
          <w:p w14:paraId="75F9CA77">
            <w:pPr>
              <w:rPr>
                <w:rFonts w:eastAsia="仿宋_GB2312"/>
                <w:sz w:val="24"/>
              </w:rPr>
            </w:pPr>
          </w:p>
        </w:tc>
        <w:tc>
          <w:tcPr>
            <w:tcW w:w="1098" w:type="dxa"/>
            <w:tcBorders>
              <w:right w:val="single" w:color="auto" w:sz="4" w:space="0"/>
            </w:tcBorders>
          </w:tcPr>
          <w:p w14:paraId="2C379BC5">
            <w:pPr>
              <w:rPr>
                <w:rFonts w:eastAsia="仿宋_GB2312"/>
                <w:sz w:val="24"/>
              </w:rPr>
            </w:pPr>
            <w:r>
              <w:rPr>
                <w:rFonts w:eastAsia="仿宋_GB2312"/>
                <w:sz w:val="24"/>
              </w:rPr>
              <w:t>2017年</w:t>
            </w:r>
          </w:p>
        </w:tc>
        <w:tc>
          <w:tcPr>
            <w:tcW w:w="1145" w:type="dxa"/>
            <w:tcBorders>
              <w:left w:val="single" w:color="auto" w:sz="4" w:space="0"/>
            </w:tcBorders>
          </w:tcPr>
          <w:p w14:paraId="68465DA0">
            <w:pPr>
              <w:jc w:val="center"/>
              <w:rPr>
                <w:rFonts w:eastAsia="仿宋_GB2312"/>
                <w:sz w:val="24"/>
              </w:rPr>
            </w:pPr>
            <w:r>
              <w:rPr>
                <w:rFonts w:eastAsia="仿宋_GB2312"/>
                <w:sz w:val="24"/>
              </w:rPr>
              <w:t>0</w:t>
            </w:r>
          </w:p>
        </w:tc>
        <w:tc>
          <w:tcPr>
            <w:tcW w:w="1145" w:type="dxa"/>
            <w:vAlign w:val="bottom"/>
          </w:tcPr>
          <w:p w14:paraId="4D38323B">
            <w:pPr>
              <w:jc w:val="center"/>
              <w:rPr>
                <w:rFonts w:eastAsia="仿宋_GB2312"/>
                <w:sz w:val="24"/>
              </w:rPr>
            </w:pPr>
            <w:r>
              <w:rPr>
                <w:rFonts w:hint="eastAsia" w:eastAsia="仿宋_GB2312"/>
                <w:sz w:val="24"/>
              </w:rPr>
              <w:t>22.32</w:t>
            </w:r>
          </w:p>
        </w:tc>
        <w:tc>
          <w:tcPr>
            <w:tcW w:w="1145" w:type="dxa"/>
            <w:vAlign w:val="bottom"/>
          </w:tcPr>
          <w:p w14:paraId="5C6EB6C3">
            <w:pPr>
              <w:jc w:val="center"/>
              <w:rPr>
                <w:rFonts w:eastAsia="仿宋_GB2312"/>
                <w:sz w:val="24"/>
              </w:rPr>
            </w:pPr>
            <w:r>
              <w:rPr>
                <w:rFonts w:hint="eastAsia" w:eastAsia="仿宋_GB2312"/>
                <w:sz w:val="24"/>
              </w:rPr>
              <w:t>22.32</w:t>
            </w:r>
          </w:p>
        </w:tc>
      </w:tr>
      <w:tr w14:paraId="22D2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57" w:type="dxa"/>
            <w:vMerge w:val="continue"/>
          </w:tcPr>
          <w:p w14:paraId="06723D1D">
            <w:pPr>
              <w:rPr>
                <w:rFonts w:eastAsia="仿宋_GB2312"/>
                <w:sz w:val="24"/>
              </w:rPr>
            </w:pPr>
          </w:p>
        </w:tc>
        <w:tc>
          <w:tcPr>
            <w:tcW w:w="772" w:type="dxa"/>
            <w:vMerge w:val="continue"/>
          </w:tcPr>
          <w:p w14:paraId="4BE03E27">
            <w:pPr>
              <w:rPr>
                <w:rFonts w:eastAsia="仿宋_GB2312"/>
                <w:sz w:val="24"/>
              </w:rPr>
            </w:pPr>
          </w:p>
        </w:tc>
        <w:tc>
          <w:tcPr>
            <w:tcW w:w="1110" w:type="dxa"/>
            <w:vMerge w:val="continue"/>
          </w:tcPr>
          <w:p w14:paraId="73A92D2A">
            <w:pPr>
              <w:rPr>
                <w:rFonts w:eastAsia="仿宋_GB2312"/>
                <w:sz w:val="24"/>
              </w:rPr>
            </w:pPr>
          </w:p>
        </w:tc>
        <w:tc>
          <w:tcPr>
            <w:tcW w:w="709" w:type="dxa"/>
            <w:vMerge w:val="continue"/>
          </w:tcPr>
          <w:p w14:paraId="0E6BB961">
            <w:pPr>
              <w:rPr>
                <w:rFonts w:eastAsia="仿宋_GB2312"/>
                <w:sz w:val="24"/>
              </w:rPr>
            </w:pPr>
          </w:p>
        </w:tc>
        <w:tc>
          <w:tcPr>
            <w:tcW w:w="941" w:type="dxa"/>
            <w:vMerge w:val="continue"/>
          </w:tcPr>
          <w:p w14:paraId="741FC189">
            <w:pPr>
              <w:rPr>
                <w:rFonts w:eastAsia="仿宋_GB2312"/>
                <w:sz w:val="24"/>
              </w:rPr>
            </w:pPr>
          </w:p>
        </w:tc>
        <w:tc>
          <w:tcPr>
            <w:tcW w:w="1098" w:type="dxa"/>
            <w:tcBorders>
              <w:right w:val="single" w:color="auto" w:sz="4" w:space="0"/>
            </w:tcBorders>
          </w:tcPr>
          <w:p w14:paraId="0F77D276">
            <w:pPr>
              <w:rPr>
                <w:rFonts w:eastAsia="仿宋_GB2312"/>
                <w:sz w:val="24"/>
              </w:rPr>
            </w:pPr>
            <w:r>
              <w:rPr>
                <w:rFonts w:eastAsia="仿宋_GB2312"/>
                <w:sz w:val="24"/>
              </w:rPr>
              <w:t>2018年</w:t>
            </w:r>
          </w:p>
        </w:tc>
        <w:tc>
          <w:tcPr>
            <w:tcW w:w="1145" w:type="dxa"/>
            <w:tcBorders>
              <w:left w:val="single" w:color="auto" w:sz="4" w:space="0"/>
            </w:tcBorders>
            <w:vAlign w:val="center"/>
          </w:tcPr>
          <w:p w14:paraId="6C5066D5">
            <w:pPr>
              <w:jc w:val="center"/>
              <w:rPr>
                <w:rFonts w:eastAsia="仿宋_GB2312"/>
                <w:sz w:val="24"/>
              </w:rPr>
            </w:pPr>
            <w:r>
              <w:rPr>
                <w:rFonts w:hint="eastAsia" w:eastAsia="仿宋_GB2312"/>
                <w:sz w:val="24"/>
              </w:rPr>
              <w:t>/</w:t>
            </w:r>
          </w:p>
        </w:tc>
        <w:tc>
          <w:tcPr>
            <w:tcW w:w="1145" w:type="dxa"/>
            <w:vAlign w:val="center"/>
          </w:tcPr>
          <w:p w14:paraId="31FF8EDD">
            <w:pPr>
              <w:jc w:val="center"/>
              <w:rPr>
                <w:rFonts w:eastAsia="仿宋_GB2312"/>
                <w:sz w:val="24"/>
              </w:rPr>
            </w:pPr>
            <w:r>
              <w:rPr>
                <w:rFonts w:hint="eastAsia" w:eastAsia="仿宋_GB2312"/>
                <w:sz w:val="24"/>
              </w:rPr>
              <w:t>/</w:t>
            </w:r>
          </w:p>
        </w:tc>
        <w:tc>
          <w:tcPr>
            <w:tcW w:w="1145" w:type="dxa"/>
            <w:vAlign w:val="center"/>
          </w:tcPr>
          <w:p w14:paraId="51412D38">
            <w:pPr>
              <w:jc w:val="center"/>
              <w:rPr>
                <w:rFonts w:eastAsia="仿宋_GB2312"/>
                <w:sz w:val="24"/>
              </w:rPr>
            </w:pPr>
            <w:r>
              <w:rPr>
                <w:rFonts w:hint="eastAsia" w:eastAsia="仿宋_GB2312"/>
                <w:sz w:val="24"/>
              </w:rPr>
              <w:t>/</w:t>
            </w:r>
          </w:p>
        </w:tc>
      </w:tr>
    </w:tbl>
    <w:p w14:paraId="7D78F043">
      <w:pPr>
        <w:spacing w:after="0" w:line="560" w:lineRule="exact"/>
        <w:ind w:firstLine="465"/>
        <w:rPr>
          <w:rFonts w:eastAsia="仿宋_GB2312"/>
          <w:sz w:val="32"/>
          <w:szCs w:val="32"/>
        </w:rPr>
      </w:pPr>
      <w:r>
        <w:rPr>
          <w:rFonts w:eastAsia="仿宋_GB2312"/>
          <w:sz w:val="32"/>
          <w:szCs w:val="32"/>
        </w:rPr>
        <w:t>排放单位新增</w:t>
      </w:r>
      <w:r>
        <w:rPr>
          <w:rFonts w:hint="eastAsia" w:eastAsia="仿宋_GB2312"/>
          <w:sz w:val="32"/>
          <w:szCs w:val="32"/>
        </w:rPr>
        <w:t>2</w:t>
      </w:r>
      <w:r>
        <w:rPr>
          <w:rFonts w:eastAsia="仿宋_GB2312"/>
          <w:sz w:val="32"/>
          <w:szCs w:val="32"/>
        </w:rPr>
        <w:t>个支行及</w:t>
      </w:r>
      <w:r>
        <w:rPr>
          <w:rFonts w:hint="eastAsia" w:eastAsia="仿宋_GB2312"/>
          <w:sz w:val="32"/>
          <w:szCs w:val="32"/>
        </w:rPr>
        <w:t>1</w:t>
      </w:r>
      <w:r>
        <w:rPr>
          <w:rFonts w:eastAsia="仿宋_GB2312"/>
          <w:sz w:val="32"/>
          <w:szCs w:val="32"/>
        </w:rPr>
        <w:t>处办公区域，具体新增及其排放量见下表：</w:t>
      </w:r>
    </w:p>
    <w:p w14:paraId="1D5F7502">
      <w:pPr>
        <w:spacing w:after="0" w:line="560" w:lineRule="exact"/>
        <w:jc w:val="center"/>
        <w:rPr>
          <w:rFonts w:eastAsia="仿宋_GB2312"/>
          <w:sz w:val="24"/>
        </w:rPr>
      </w:pPr>
    </w:p>
    <w:p w14:paraId="6463DE7C">
      <w:pPr>
        <w:spacing w:after="0" w:line="560" w:lineRule="exact"/>
        <w:jc w:val="center"/>
        <w:rPr>
          <w:rFonts w:eastAsia="仿宋_GB2312"/>
          <w:sz w:val="32"/>
          <w:szCs w:val="32"/>
        </w:rPr>
      </w:pPr>
      <w:r>
        <w:rPr>
          <w:rFonts w:eastAsia="仿宋_GB2312"/>
          <w:sz w:val="24"/>
        </w:rPr>
        <w:t xml:space="preserve">表XX  </w:t>
      </w:r>
      <w:r>
        <w:rPr>
          <w:rFonts w:hint="eastAsia" w:eastAsia="仿宋_GB2312"/>
          <w:sz w:val="24"/>
        </w:rPr>
        <w:t>新增设施信息</w:t>
      </w:r>
      <w:r>
        <w:rPr>
          <w:rFonts w:eastAsia="仿宋_GB2312"/>
          <w:sz w:val="24"/>
        </w:rPr>
        <w:t>表</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09"/>
        <w:gridCol w:w="3162"/>
        <w:gridCol w:w="1285"/>
        <w:gridCol w:w="1116"/>
        <w:gridCol w:w="1290"/>
      </w:tblGrid>
      <w:tr w14:paraId="077E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076645D7">
            <w:pPr>
              <w:tabs>
                <w:tab w:val="left" w:pos="1701"/>
              </w:tabs>
              <w:jc w:val="center"/>
              <w:rPr>
                <w:rFonts w:eastAsia="仿宋_GB2312"/>
                <w:color w:val="000000"/>
                <w:sz w:val="24"/>
              </w:rPr>
            </w:pPr>
            <w:r>
              <w:rPr>
                <w:rFonts w:eastAsia="仿宋_GB2312"/>
                <w:color w:val="000000"/>
                <w:sz w:val="24"/>
              </w:rPr>
              <w:t>序号</w:t>
            </w:r>
          </w:p>
        </w:tc>
        <w:tc>
          <w:tcPr>
            <w:tcW w:w="1009" w:type="dxa"/>
            <w:vAlign w:val="center"/>
          </w:tcPr>
          <w:p w14:paraId="016ED723">
            <w:pPr>
              <w:tabs>
                <w:tab w:val="left" w:pos="1701"/>
              </w:tabs>
              <w:jc w:val="center"/>
              <w:rPr>
                <w:rFonts w:eastAsia="仿宋_GB2312"/>
                <w:color w:val="000000"/>
                <w:sz w:val="24"/>
              </w:rPr>
            </w:pPr>
            <w:r>
              <w:rPr>
                <w:rFonts w:eastAsia="仿宋_GB2312"/>
                <w:color w:val="000000"/>
                <w:sz w:val="24"/>
              </w:rPr>
              <w:t>设施新增年份</w:t>
            </w:r>
          </w:p>
        </w:tc>
        <w:tc>
          <w:tcPr>
            <w:tcW w:w="3162" w:type="dxa"/>
            <w:vAlign w:val="center"/>
          </w:tcPr>
          <w:p w14:paraId="428E8CD4">
            <w:pPr>
              <w:tabs>
                <w:tab w:val="left" w:pos="1701"/>
              </w:tabs>
              <w:jc w:val="center"/>
              <w:rPr>
                <w:rFonts w:eastAsia="仿宋_GB2312"/>
                <w:color w:val="000000"/>
                <w:sz w:val="24"/>
              </w:rPr>
            </w:pPr>
            <w:r>
              <w:rPr>
                <w:rFonts w:eastAsia="仿宋_GB2312"/>
                <w:color w:val="000000"/>
                <w:sz w:val="24"/>
              </w:rPr>
              <w:t>新增设施类型</w:t>
            </w:r>
          </w:p>
        </w:tc>
        <w:tc>
          <w:tcPr>
            <w:tcW w:w="1285" w:type="dxa"/>
            <w:vAlign w:val="center"/>
          </w:tcPr>
          <w:p w14:paraId="6E9AF098">
            <w:pPr>
              <w:tabs>
                <w:tab w:val="left" w:pos="1701"/>
              </w:tabs>
              <w:jc w:val="center"/>
              <w:rPr>
                <w:rFonts w:eastAsia="仿宋_GB2312"/>
                <w:color w:val="000000"/>
                <w:sz w:val="24"/>
              </w:rPr>
            </w:pPr>
            <w:r>
              <w:rPr>
                <w:rFonts w:eastAsia="仿宋_GB2312"/>
                <w:color w:val="000000"/>
                <w:sz w:val="24"/>
              </w:rPr>
              <w:t>是否替代既有设施，被替代既有设施类型</w:t>
            </w:r>
          </w:p>
        </w:tc>
        <w:tc>
          <w:tcPr>
            <w:tcW w:w="1116" w:type="dxa"/>
            <w:vAlign w:val="center"/>
          </w:tcPr>
          <w:p w14:paraId="7710C210">
            <w:pPr>
              <w:tabs>
                <w:tab w:val="left" w:pos="1701"/>
              </w:tabs>
              <w:jc w:val="center"/>
              <w:rPr>
                <w:rFonts w:eastAsia="仿宋_GB2312"/>
                <w:color w:val="000000"/>
                <w:sz w:val="24"/>
              </w:rPr>
            </w:pPr>
            <w:r>
              <w:rPr>
                <w:rFonts w:eastAsia="仿宋_GB2312"/>
                <w:color w:val="000000"/>
                <w:sz w:val="24"/>
              </w:rPr>
              <w:t>新增设施排放量（吨）</w:t>
            </w:r>
          </w:p>
        </w:tc>
        <w:tc>
          <w:tcPr>
            <w:tcW w:w="1290" w:type="dxa"/>
            <w:vAlign w:val="center"/>
          </w:tcPr>
          <w:p w14:paraId="0ECB27F8">
            <w:pPr>
              <w:tabs>
                <w:tab w:val="left" w:pos="1701"/>
              </w:tabs>
              <w:jc w:val="center"/>
              <w:rPr>
                <w:rFonts w:eastAsia="仿宋_GB2312"/>
                <w:color w:val="000000"/>
                <w:sz w:val="24"/>
              </w:rPr>
            </w:pPr>
            <w:r>
              <w:rPr>
                <w:rFonts w:eastAsia="仿宋_GB2312"/>
                <w:color w:val="000000"/>
                <w:sz w:val="24"/>
              </w:rPr>
              <w:t>新增替代既有设施排放量（吨）</w:t>
            </w:r>
          </w:p>
        </w:tc>
      </w:tr>
      <w:tr w14:paraId="6EAD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4FC1C546">
            <w:pPr>
              <w:jc w:val="center"/>
              <w:rPr>
                <w:rFonts w:eastAsia="仿宋_GB2312"/>
                <w:color w:val="000000"/>
                <w:sz w:val="24"/>
              </w:rPr>
            </w:pPr>
            <w:r>
              <w:rPr>
                <w:rFonts w:eastAsia="仿宋_GB2312"/>
                <w:color w:val="000000"/>
                <w:sz w:val="24"/>
              </w:rPr>
              <w:t>1</w:t>
            </w:r>
          </w:p>
        </w:tc>
        <w:tc>
          <w:tcPr>
            <w:tcW w:w="1009" w:type="dxa"/>
            <w:vAlign w:val="center"/>
          </w:tcPr>
          <w:p w14:paraId="069EE8D2">
            <w:pPr>
              <w:jc w:val="center"/>
              <w:rPr>
                <w:rFonts w:eastAsia="仿宋_GB2312"/>
                <w:sz w:val="24"/>
              </w:rPr>
            </w:pPr>
            <w:r>
              <w:rPr>
                <w:rFonts w:eastAsia="仿宋_GB2312"/>
                <w:sz w:val="24"/>
              </w:rPr>
              <w:t>2019</w:t>
            </w:r>
          </w:p>
        </w:tc>
        <w:tc>
          <w:tcPr>
            <w:tcW w:w="3162" w:type="dxa"/>
            <w:vAlign w:val="center"/>
          </w:tcPr>
          <w:p w14:paraId="6BCED738">
            <w:pPr>
              <w:rPr>
                <w:rFonts w:eastAsia="仿宋_GB2312"/>
                <w:sz w:val="24"/>
              </w:rPr>
            </w:pPr>
            <w:r>
              <w:rPr>
                <w:rFonts w:eastAsia="仿宋_GB2312"/>
                <w:sz w:val="24"/>
              </w:rPr>
              <w:t>支行2个：xxx支行、xx大厦支行</w:t>
            </w:r>
          </w:p>
        </w:tc>
        <w:tc>
          <w:tcPr>
            <w:tcW w:w="1285" w:type="dxa"/>
            <w:vAlign w:val="center"/>
          </w:tcPr>
          <w:p w14:paraId="41C63A4B">
            <w:pPr>
              <w:jc w:val="center"/>
              <w:rPr>
                <w:rFonts w:eastAsia="仿宋_GB2312"/>
                <w:sz w:val="24"/>
              </w:rPr>
            </w:pPr>
            <w:r>
              <w:rPr>
                <w:rFonts w:eastAsia="仿宋_GB2312"/>
                <w:sz w:val="24"/>
              </w:rPr>
              <w:t>否</w:t>
            </w:r>
          </w:p>
        </w:tc>
        <w:tc>
          <w:tcPr>
            <w:tcW w:w="1116" w:type="dxa"/>
            <w:vAlign w:val="center"/>
          </w:tcPr>
          <w:p w14:paraId="3739480B">
            <w:pPr>
              <w:jc w:val="center"/>
              <w:rPr>
                <w:rFonts w:eastAsia="仿宋_GB2312"/>
                <w:sz w:val="24"/>
              </w:rPr>
            </w:pPr>
            <w:r>
              <w:rPr>
                <w:rFonts w:eastAsia="仿宋_GB2312"/>
                <w:sz w:val="24"/>
              </w:rPr>
              <w:t>228.41</w:t>
            </w:r>
          </w:p>
        </w:tc>
        <w:tc>
          <w:tcPr>
            <w:tcW w:w="1290" w:type="dxa"/>
            <w:vAlign w:val="center"/>
          </w:tcPr>
          <w:p w14:paraId="316415F9">
            <w:pPr>
              <w:jc w:val="center"/>
              <w:rPr>
                <w:rFonts w:eastAsia="仿宋_GB2312"/>
                <w:sz w:val="24"/>
              </w:rPr>
            </w:pPr>
            <w:r>
              <w:rPr>
                <w:rFonts w:eastAsia="仿宋_GB2312"/>
                <w:sz w:val="24"/>
              </w:rPr>
              <w:t>/</w:t>
            </w:r>
          </w:p>
        </w:tc>
      </w:tr>
      <w:tr w14:paraId="602C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6AC92843">
            <w:pPr>
              <w:jc w:val="center"/>
              <w:rPr>
                <w:rFonts w:eastAsia="仿宋_GB2312"/>
                <w:color w:val="000000"/>
                <w:sz w:val="24"/>
              </w:rPr>
            </w:pPr>
            <w:r>
              <w:rPr>
                <w:rFonts w:eastAsia="仿宋_GB2312"/>
                <w:color w:val="000000"/>
                <w:sz w:val="24"/>
              </w:rPr>
              <w:t>2</w:t>
            </w:r>
          </w:p>
        </w:tc>
        <w:tc>
          <w:tcPr>
            <w:tcW w:w="1009" w:type="dxa"/>
            <w:vAlign w:val="center"/>
          </w:tcPr>
          <w:p w14:paraId="44B8FADC">
            <w:pPr>
              <w:jc w:val="center"/>
              <w:rPr>
                <w:rFonts w:eastAsia="仿宋_GB2312"/>
                <w:sz w:val="24"/>
              </w:rPr>
            </w:pPr>
            <w:r>
              <w:rPr>
                <w:rFonts w:eastAsia="仿宋_GB2312"/>
                <w:sz w:val="24"/>
              </w:rPr>
              <w:t>2020</w:t>
            </w:r>
          </w:p>
        </w:tc>
        <w:tc>
          <w:tcPr>
            <w:tcW w:w="3162" w:type="dxa"/>
            <w:vAlign w:val="center"/>
          </w:tcPr>
          <w:p w14:paraId="5051D00B">
            <w:pPr>
              <w:rPr>
                <w:rFonts w:eastAsia="仿宋_GB2312"/>
                <w:sz w:val="24"/>
              </w:rPr>
            </w:pPr>
            <w:r>
              <w:rPr>
                <w:rFonts w:eastAsia="仿宋_GB2312"/>
                <w:sz w:val="24"/>
              </w:rPr>
              <w:t>1处办公区域：分行月坛大厦办公区域</w:t>
            </w:r>
          </w:p>
        </w:tc>
        <w:tc>
          <w:tcPr>
            <w:tcW w:w="1285" w:type="dxa"/>
            <w:vAlign w:val="center"/>
          </w:tcPr>
          <w:p w14:paraId="0EE57862">
            <w:pPr>
              <w:jc w:val="center"/>
              <w:rPr>
                <w:rFonts w:eastAsia="仿宋_GB2312"/>
                <w:sz w:val="24"/>
              </w:rPr>
            </w:pPr>
            <w:r>
              <w:rPr>
                <w:rFonts w:eastAsia="仿宋_GB2312"/>
                <w:sz w:val="24"/>
              </w:rPr>
              <w:t>否</w:t>
            </w:r>
          </w:p>
        </w:tc>
        <w:tc>
          <w:tcPr>
            <w:tcW w:w="1116" w:type="dxa"/>
            <w:vAlign w:val="center"/>
          </w:tcPr>
          <w:p w14:paraId="46DAF699">
            <w:pPr>
              <w:jc w:val="center"/>
              <w:rPr>
                <w:rFonts w:eastAsia="仿宋_GB2312"/>
                <w:sz w:val="24"/>
              </w:rPr>
            </w:pPr>
            <w:r>
              <w:rPr>
                <w:rFonts w:eastAsia="仿宋_GB2312"/>
                <w:sz w:val="24"/>
              </w:rPr>
              <w:t>5343.50</w:t>
            </w:r>
          </w:p>
        </w:tc>
        <w:tc>
          <w:tcPr>
            <w:tcW w:w="1290" w:type="dxa"/>
            <w:vAlign w:val="center"/>
          </w:tcPr>
          <w:p w14:paraId="77A01F20">
            <w:pPr>
              <w:jc w:val="center"/>
              <w:rPr>
                <w:rFonts w:eastAsia="仿宋_GB2312"/>
                <w:sz w:val="24"/>
              </w:rPr>
            </w:pPr>
            <w:r>
              <w:rPr>
                <w:rFonts w:eastAsia="仿宋_GB2312"/>
                <w:sz w:val="24"/>
              </w:rPr>
              <w:t>/</w:t>
            </w:r>
          </w:p>
        </w:tc>
      </w:tr>
      <w:tr w14:paraId="03DC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579E42E">
            <w:pPr>
              <w:jc w:val="center"/>
              <w:rPr>
                <w:rFonts w:eastAsia="仿宋_GB2312"/>
                <w:sz w:val="24"/>
              </w:rPr>
            </w:pPr>
            <w:r>
              <w:rPr>
                <w:rFonts w:eastAsia="仿宋_GB2312"/>
                <w:color w:val="000000"/>
                <w:sz w:val="24"/>
              </w:rPr>
              <w:t>合计</w:t>
            </w:r>
          </w:p>
        </w:tc>
        <w:tc>
          <w:tcPr>
            <w:tcW w:w="1009" w:type="dxa"/>
            <w:vAlign w:val="center"/>
          </w:tcPr>
          <w:p w14:paraId="42DEBE6E">
            <w:pPr>
              <w:jc w:val="center"/>
              <w:rPr>
                <w:rFonts w:eastAsia="仿宋_GB2312"/>
                <w:sz w:val="24"/>
              </w:rPr>
            </w:pPr>
          </w:p>
        </w:tc>
        <w:tc>
          <w:tcPr>
            <w:tcW w:w="3162" w:type="dxa"/>
            <w:vAlign w:val="center"/>
          </w:tcPr>
          <w:p w14:paraId="35730FAF">
            <w:pPr>
              <w:jc w:val="center"/>
              <w:rPr>
                <w:rFonts w:eastAsia="仿宋_GB2312"/>
                <w:sz w:val="24"/>
              </w:rPr>
            </w:pPr>
          </w:p>
        </w:tc>
        <w:tc>
          <w:tcPr>
            <w:tcW w:w="1285" w:type="dxa"/>
            <w:vAlign w:val="center"/>
          </w:tcPr>
          <w:p w14:paraId="67685B68">
            <w:pPr>
              <w:jc w:val="center"/>
              <w:rPr>
                <w:rFonts w:eastAsia="仿宋_GB2312"/>
                <w:sz w:val="24"/>
              </w:rPr>
            </w:pPr>
          </w:p>
        </w:tc>
        <w:tc>
          <w:tcPr>
            <w:tcW w:w="1116" w:type="dxa"/>
            <w:vAlign w:val="center"/>
          </w:tcPr>
          <w:p w14:paraId="53F7E216">
            <w:pPr>
              <w:jc w:val="center"/>
              <w:rPr>
                <w:rFonts w:eastAsia="仿宋_GB2312"/>
                <w:sz w:val="24"/>
              </w:rPr>
            </w:pPr>
            <w:r>
              <w:rPr>
                <w:rFonts w:eastAsia="仿宋_GB2312"/>
                <w:sz w:val="24"/>
              </w:rPr>
              <w:t>5571.90</w:t>
            </w:r>
          </w:p>
        </w:tc>
        <w:tc>
          <w:tcPr>
            <w:tcW w:w="1290" w:type="dxa"/>
            <w:vAlign w:val="center"/>
          </w:tcPr>
          <w:p w14:paraId="20107F62">
            <w:pPr>
              <w:jc w:val="center"/>
              <w:rPr>
                <w:rFonts w:eastAsia="仿宋_GB2312"/>
                <w:sz w:val="24"/>
              </w:rPr>
            </w:pPr>
            <w:r>
              <w:rPr>
                <w:rFonts w:eastAsia="仿宋_GB2312"/>
                <w:sz w:val="24"/>
              </w:rPr>
              <w:t>/</w:t>
            </w:r>
          </w:p>
        </w:tc>
      </w:tr>
    </w:tbl>
    <w:p w14:paraId="3EAD519B">
      <w:pPr>
        <w:spacing w:after="0" w:line="560" w:lineRule="exact"/>
        <w:ind w:firstLine="465"/>
        <w:jc w:val="both"/>
        <w:rPr>
          <w:rFonts w:eastAsia="仿宋_GB2312"/>
          <w:sz w:val="32"/>
          <w:szCs w:val="32"/>
        </w:rPr>
      </w:pPr>
      <w:r>
        <w:rPr>
          <w:rFonts w:eastAsia="仿宋_GB2312"/>
          <w:sz w:val="32"/>
          <w:szCs w:val="32"/>
        </w:rPr>
        <w:t>2020年累计新增设施总排放量为</w:t>
      </w:r>
      <w:r>
        <w:rPr>
          <w:rFonts w:eastAsia="仿宋_GB2312"/>
          <w:color w:val="000000"/>
          <w:sz w:val="32"/>
          <w:szCs w:val="32"/>
        </w:rPr>
        <w:t>5571.90吨</w:t>
      </w:r>
      <w:r>
        <w:rPr>
          <w:rFonts w:eastAsia="仿宋_GB2312"/>
          <w:sz w:val="32"/>
          <w:szCs w:val="32"/>
        </w:rPr>
        <w:t>，占基准年排放量的</w:t>
      </w:r>
      <w:r>
        <w:rPr>
          <w:rFonts w:hint="eastAsia" w:eastAsia="仿宋_GB2312"/>
          <w:sz w:val="32"/>
          <w:szCs w:val="32"/>
        </w:rPr>
        <w:t>5</w:t>
      </w:r>
      <w:r>
        <w:rPr>
          <w:rFonts w:eastAsia="仿宋_GB2312"/>
          <w:sz w:val="32"/>
          <w:szCs w:val="32"/>
        </w:rPr>
        <w:t>4.34%，新增</w:t>
      </w:r>
      <w:r>
        <w:rPr>
          <w:rFonts w:hint="eastAsia" w:eastAsia="仿宋_GB2312"/>
          <w:sz w:val="32"/>
          <w:szCs w:val="32"/>
        </w:rPr>
        <w:t>支行及办公区</w:t>
      </w:r>
      <w:r>
        <w:rPr>
          <w:rFonts w:eastAsia="仿宋_GB2312"/>
          <w:sz w:val="32"/>
          <w:szCs w:val="32"/>
        </w:rPr>
        <w:t>建筑面积</w:t>
      </w:r>
      <w:r>
        <w:rPr>
          <w:rFonts w:hint="eastAsia" w:eastAsia="仿宋_GB2312"/>
          <w:sz w:val="32"/>
          <w:szCs w:val="32"/>
        </w:rPr>
        <w:t>xxxx平方米</w:t>
      </w:r>
      <w:r>
        <w:rPr>
          <w:rFonts w:eastAsia="仿宋_GB2312"/>
          <w:sz w:val="32"/>
          <w:szCs w:val="32"/>
        </w:rPr>
        <w:t>，</w:t>
      </w:r>
      <w:r>
        <w:rPr>
          <w:rFonts w:hint="eastAsia" w:eastAsia="仿宋_GB2312"/>
          <w:sz w:val="32"/>
          <w:szCs w:val="32"/>
        </w:rPr>
        <w:t>未新增数据中心。</w:t>
      </w:r>
      <w:r>
        <w:rPr>
          <w:rFonts w:eastAsia="仿宋_GB2312"/>
          <w:sz w:val="32"/>
          <w:szCs w:val="32"/>
        </w:rPr>
        <w:t>此信息供新增设施发放配额参考。</w:t>
      </w:r>
    </w:p>
    <w:p w14:paraId="0E8D2FE1">
      <w:pPr>
        <w:spacing w:after="0"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核查过程未覆盖的问题描述</w:t>
      </w:r>
    </w:p>
    <w:p w14:paraId="32B7CDCE">
      <w:pPr>
        <w:spacing w:after="0" w:line="560" w:lineRule="exact"/>
        <w:ind w:firstLine="640" w:firstLineChars="200"/>
        <w:rPr>
          <w:rFonts w:eastAsia="仿宋_GB2312"/>
          <w:sz w:val="32"/>
          <w:szCs w:val="32"/>
        </w:rPr>
      </w:pPr>
      <w:r>
        <w:rPr>
          <w:rFonts w:eastAsia="仿宋_GB2312"/>
          <w:sz w:val="32"/>
          <w:szCs w:val="32"/>
        </w:rPr>
        <w:t>由于电表为电力公司和物业管控，因此未能核查这些仪表的检定信息。</w:t>
      </w:r>
    </w:p>
    <w:p w14:paraId="0E8A9964">
      <w:pPr>
        <w:spacing w:after="0" w:line="560" w:lineRule="exact"/>
      </w:pPr>
    </w:p>
    <w:p w14:paraId="65B5E29E">
      <w:pPr>
        <w:pStyle w:val="4"/>
        <w:spacing w:before="0" w:after="0" w:line="560" w:lineRule="exact"/>
        <w:rPr>
          <w:rFonts w:ascii="Times New Roman" w:hAnsi="Times New Roman"/>
        </w:rPr>
        <w:sectPr>
          <w:pgSz w:w="11906" w:h="16838"/>
          <w:pgMar w:top="2098" w:right="1474" w:bottom="1984" w:left="1587" w:header="851" w:footer="1587" w:gutter="0"/>
          <w:pgNumType w:fmt="decimal"/>
          <w:cols w:space="0" w:num="1"/>
          <w:docGrid w:type="lines" w:linePitch="312" w:charSpace="0"/>
        </w:sectPr>
      </w:pPr>
    </w:p>
    <w:p w14:paraId="53C5B057">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其他服务业企业（单位）</w:t>
      </w:r>
      <w:r>
        <w:rPr>
          <w:rFonts w:asciiTheme="majorEastAsia" w:hAnsiTheme="majorEastAsia" w:eastAsiaTheme="majorEastAsia"/>
          <w:sz w:val="32"/>
          <w:szCs w:val="32"/>
        </w:rPr>
        <w:t>-</w:t>
      </w:r>
      <w:r>
        <w:rPr>
          <w:rFonts w:hint="eastAsia" w:asciiTheme="majorEastAsia" w:hAnsiTheme="majorEastAsia" w:eastAsiaTheme="majorEastAsia"/>
          <w:sz w:val="32"/>
          <w:szCs w:val="32"/>
        </w:rPr>
        <w:t>物业</w:t>
      </w:r>
    </w:p>
    <w:p w14:paraId="0ED3B08C">
      <w:pPr>
        <w:spacing w:after="0" w:line="560" w:lineRule="exact"/>
        <w:rPr>
          <w:rFonts w:ascii="Times New Roman" w:hAnsi="Times New Roman" w:eastAsia="仿宋_GB2312"/>
          <w:sz w:val="32"/>
          <w:szCs w:val="32"/>
        </w:rPr>
      </w:pPr>
      <w:r>
        <w:rPr>
          <w:rFonts w:ascii="Times New Roman" w:hAnsi="Times New Roman" w:eastAsia="仿宋_GB2312"/>
          <w:sz w:val="32"/>
          <w:szCs w:val="32"/>
        </w:rPr>
        <w:t>核查结论</w:t>
      </w:r>
    </w:p>
    <w:p w14:paraId="2066EEE7">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232C21EE">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3C034E51">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5ED743A3">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w:t>
      </w:r>
      <w:r>
        <w:rPr>
          <w:rFonts w:hint="eastAsia" w:ascii="Times New Roman" w:hAnsi="Times New Roman" w:eastAsia="仿宋_GB2312"/>
          <w:sz w:val="32"/>
          <w:szCs w:val="32"/>
        </w:rPr>
        <w:t>《二氧化碳排放核算和报告要求服务业》（DB11/T 1785-2020）</w:t>
      </w:r>
      <w:r>
        <w:rPr>
          <w:rFonts w:ascii="Times New Roman" w:hAnsi="Times New Roman" w:eastAsia="仿宋_GB2312"/>
          <w:sz w:val="32"/>
          <w:szCs w:val="32"/>
        </w:rPr>
        <w:t>的要求，核查组对本排放报告出具肯定的核查结论。</w:t>
      </w:r>
    </w:p>
    <w:p w14:paraId="27AB4721">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4CA4C5C0">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经核查的直接和间接排放量与最终排放报告中的一</w:t>
      </w:r>
      <w:r>
        <w:rPr>
          <w:rFonts w:hint="eastAsia" w:ascii="Times New Roman" w:hAnsi="Times New Roman" w:eastAsia="仿宋_GB2312"/>
          <w:sz w:val="32"/>
          <w:szCs w:val="32"/>
        </w:rPr>
        <w:t>致。经核查的直接排放量为</w:t>
      </w:r>
      <w:r>
        <w:rPr>
          <w:rFonts w:ascii="Times New Roman" w:hAnsi="Times New Roman" w:eastAsia="仿宋_GB2312"/>
          <w:sz w:val="32"/>
          <w:szCs w:val="32"/>
        </w:rPr>
        <w:t>950.56</w:t>
      </w:r>
      <w:r>
        <w:rPr>
          <w:rFonts w:hint="eastAsia" w:ascii="Times New Roman" w:hAnsi="Times New Roman" w:eastAsia="仿宋_GB2312"/>
          <w:sz w:val="32"/>
          <w:szCs w:val="32"/>
        </w:rPr>
        <w:t>吨，间接排放量为</w:t>
      </w:r>
      <w:r>
        <w:rPr>
          <w:rFonts w:ascii="Times New Roman" w:hAnsi="Times New Roman" w:eastAsia="仿宋_GB2312"/>
          <w:sz w:val="32"/>
          <w:szCs w:val="32"/>
        </w:rPr>
        <w:t>24628.50</w:t>
      </w:r>
      <w:r>
        <w:rPr>
          <w:rFonts w:hint="eastAsia" w:ascii="Times New Roman" w:hAnsi="Times New Roman" w:eastAsia="仿宋_GB2312"/>
          <w:sz w:val="32"/>
          <w:szCs w:val="32"/>
        </w:rPr>
        <w:t>吨，总排放量为</w:t>
      </w:r>
      <w:r>
        <w:rPr>
          <w:rFonts w:ascii="Times New Roman" w:hAnsi="Times New Roman" w:eastAsia="仿宋_GB2312"/>
          <w:sz w:val="32"/>
          <w:szCs w:val="32"/>
        </w:rPr>
        <w:t>25579.06</w:t>
      </w:r>
      <w:r>
        <w:rPr>
          <w:rFonts w:hint="eastAsia" w:ascii="Times New Roman" w:hAnsi="Times New Roman" w:eastAsia="仿宋_GB2312"/>
          <w:sz w:val="32"/>
          <w:szCs w:val="32"/>
        </w:rPr>
        <w:t>吨。</w:t>
      </w:r>
    </w:p>
    <w:p w14:paraId="3BC73E36">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经核查的服务的商业写字楼建筑面积与最终排放报告中一致。经核查的商业写字楼建筑面积（不含地下车库）为</w:t>
      </w:r>
      <w:r>
        <w:rPr>
          <w:rFonts w:ascii="Times New Roman" w:hAnsi="Times New Roman" w:eastAsia="仿宋_GB2312"/>
          <w:sz w:val="32"/>
          <w:szCs w:val="32"/>
        </w:rPr>
        <w:t>xxxx</w:t>
      </w:r>
      <w:r>
        <w:rPr>
          <w:rFonts w:hint="eastAsia" w:ascii="Times New Roman" w:hAnsi="Times New Roman" w:eastAsia="仿宋_GB2312"/>
          <w:sz w:val="32"/>
          <w:szCs w:val="32"/>
        </w:rPr>
        <w:t>平方米，地下车库面积为</w:t>
      </w:r>
      <w:r>
        <w:rPr>
          <w:rFonts w:ascii="Times New Roman" w:hAnsi="Times New Roman" w:eastAsia="仿宋_GB2312"/>
          <w:sz w:val="32"/>
          <w:szCs w:val="32"/>
        </w:rPr>
        <w:t>xx</w:t>
      </w:r>
      <w:r>
        <w:rPr>
          <w:rFonts w:hint="eastAsia" w:ascii="Times New Roman" w:hAnsi="Times New Roman" w:eastAsia="仿宋_GB2312"/>
          <w:sz w:val="32"/>
          <w:szCs w:val="32"/>
        </w:rPr>
        <w:t>平方米，实际物业管理面积为</w:t>
      </w:r>
      <w:r>
        <w:rPr>
          <w:rFonts w:ascii="Times New Roman" w:hAnsi="Times New Roman" w:eastAsia="仿宋_GB2312"/>
          <w:sz w:val="32"/>
          <w:szCs w:val="32"/>
        </w:rPr>
        <w:t>xxx</w:t>
      </w:r>
      <w:r>
        <w:rPr>
          <w:rFonts w:hint="eastAsia" w:ascii="Times New Roman" w:hAnsi="Times New Roman" w:eastAsia="仿宋_GB2312"/>
          <w:sz w:val="32"/>
          <w:szCs w:val="32"/>
        </w:rPr>
        <w:t>平方米，产值为</w:t>
      </w:r>
      <w:r>
        <w:rPr>
          <w:rFonts w:ascii="Times New Roman" w:hAnsi="Times New Roman" w:eastAsia="仿宋_GB2312"/>
          <w:sz w:val="32"/>
          <w:szCs w:val="32"/>
        </w:rPr>
        <w:t>xxx</w:t>
      </w:r>
      <w:r>
        <w:rPr>
          <w:rFonts w:hint="eastAsia" w:ascii="Times New Roman" w:hAnsi="Times New Roman" w:eastAsia="仿宋_GB2312"/>
          <w:sz w:val="32"/>
          <w:szCs w:val="32"/>
        </w:rPr>
        <w:t>万元（其中物业管理费</w:t>
      </w:r>
      <w:r>
        <w:rPr>
          <w:rFonts w:ascii="Times New Roman" w:hAnsi="Times New Roman" w:eastAsia="仿宋_GB2312"/>
          <w:sz w:val="32"/>
          <w:szCs w:val="32"/>
        </w:rPr>
        <w:t>xx</w:t>
      </w:r>
      <w:r>
        <w:rPr>
          <w:rFonts w:hint="eastAsia" w:ascii="Times New Roman" w:hAnsi="Times New Roman" w:eastAsia="仿宋_GB2312"/>
          <w:sz w:val="32"/>
          <w:szCs w:val="32"/>
        </w:rPr>
        <w:t>万元，采暖制冷费用</w:t>
      </w:r>
      <w:r>
        <w:rPr>
          <w:rFonts w:ascii="Times New Roman" w:hAnsi="Times New Roman" w:eastAsia="仿宋_GB2312"/>
          <w:sz w:val="32"/>
          <w:szCs w:val="32"/>
        </w:rPr>
        <w:t>xx</w:t>
      </w:r>
      <w:r>
        <w:rPr>
          <w:rFonts w:hint="eastAsia" w:ascii="Times New Roman" w:hAnsi="Times New Roman" w:eastAsia="仿宋_GB2312"/>
          <w:sz w:val="32"/>
          <w:szCs w:val="32"/>
        </w:rPr>
        <w:t>万元，物业经营收入</w:t>
      </w:r>
      <w:r>
        <w:rPr>
          <w:rFonts w:ascii="Times New Roman" w:hAnsi="Times New Roman" w:eastAsia="仿宋_GB2312"/>
          <w:sz w:val="32"/>
          <w:szCs w:val="32"/>
        </w:rPr>
        <w:t>xx</w:t>
      </w:r>
      <w:r>
        <w:rPr>
          <w:rFonts w:hint="eastAsia" w:ascii="Times New Roman" w:hAnsi="Times New Roman" w:eastAsia="仿宋_GB2312"/>
          <w:sz w:val="32"/>
          <w:szCs w:val="32"/>
        </w:rPr>
        <w:t>万元，增值服务费</w:t>
      </w:r>
      <w:r>
        <w:rPr>
          <w:rFonts w:ascii="Times New Roman" w:hAnsi="Times New Roman" w:eastAsia="仿宋_GB2312"/>
          <w:sz w:val="32"/>
          <w:szCs w:val="32"/>
        </w:rPr>
        <w:t>xx</w:t>
      </w:r>
      <w:r>
        <w:rPr>
          <w:rFonts w:hint="eastAsia" w:ascii="Times New Roman" w:hAnsi="Times New Roman" w:eastAsia="仿宋_GB2312"/>
          <w:sz w:val="32"/>
          <w:szCs w:val="32"/>
        </w:rPr>
        <w:t>万元），入驻率为</w:t>
      </w:r>
      <w:r>
        <w:rPr>
          <w:rFonts w:ascii="Times New Roman" w:hAnsi="Times New Roman" w:eastAsia="仿宋_GB2312"/>
          <w:sz w:val="32"/>
          <w:szCs w:val="32"/>
        </w:rPr>
        <w:t>xx%</w:t>
      </w:r>
      <w:r>
        <w:rPr>
          <w:rFonts w:hint="eastAsia" w:ascii="Times New Roman" w:hAnsi="Times New Roman" w:eastAsia="仿宋_GB2312"/>
          <w:sz w:val="32"/>
          <w:szCs w:val="32"/>
        </w:rPr>
        <w:t>。</w:t>
      </w:r>
    </w:p>
    <w:p w14:paraId="5D77FD9E">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年度排放量及活动水平波动的原因说明</w:t>
      </w:r>
    </w:p>
    <w:p w14:paraId="7EEA49B7">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排放单位本年度排放量与上一年度排放量相比增加1947.91吨/8.24%，其中直接排放量与上年度相比减少32.79吨/3.3</w:t>
      </w:r>
      <w:r>
        <w:rPr>
          <w:rFonts w:hint="eastAsia" w:ascii="Times New Roman" w:hAnsi="Times New Roman" w:eastAsia="仿宋_GB2312"/>
          <w:sz w:val="32"/>
          <w:szCs w:val="32"/>
        </w:rPr>
        <w:t>3</w:t>
      </w:r>
      <w:r>
        <w:rPr>
          <w:rFonts w:ascii="Times New Roman" w:hAnsi="Times New Roman" w:eastAsia="仿宋_GB2312"/>
          <w:sz w:val="32"/>
          <w:szCs w:val="32"/>
        </w:rPr>
        <w:t>%，间接排放量与上一年度相比增加1980.7吨/8.75%。原因为排放单位服务范围新增xx发展中心，电力消耗量大幅上升导致排放量大幅上升。</w:t>
      </w:r>
    </w:p>
    <w:p w14:paraId="33786FA6">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本年度排放量与历史基准年份相比增加1947.91</w:t>
      </w:r>
      <w:r>
        <w:rPr>
          <w:rFonts w:hint="eastAsia" w:ascii="Times New Roman" w:hAnsi="Times New Roman" w:eastAsia="仿宋_GB2312"/>
          <w:sz w:val="32"/>
          <w:szCs w:val="32"/>
        </w:rPr>
        <w:t>吨</w:t>
      </w:r>
      <w:r>
        <w:rPr>
          <w:rFonts w:ascii="Times New Roman" w:hAnsi="Times New Roman" w:eastAsia="仿宋_GB2312"/>
          <w:sz w:val="32"/>
          <w:szCs w:val="32"/>
        </w:rPr>
        <w:t>/8.24%，原因为排放单位服务范围与基准年相比新增xx发展中心，电力消耗量大幅上升导致排放量大幅上升。</w:t>
      </w:r>
    </w:p>
    <w:p w14:paraId="7317A605">
      <w:pPr>
        <w:jc w:val="center"/>
        <w:rPr>
          <w:rFonts w:ascii="Times New Roman" w:hAnsi="Times New Roman" w:eastAsia="仿宋_GB2312"/>
          <w:sz w:val="28"/>
          <w:szCs w:val="28"/>
        </w:rPr>
      </w:pPr>
      <w:r>
        <w:rPr>
          <w:rFonts w:ascii="Times New Roman" w:hAnsi="Times New Roman" w:eastAsia="仿宋_GB2312"/>
          <w:sz w:val="28"/>
          <w:szCs w:val="28"/>
        </w:rPr>
        <w:t>表xx  排放量汇总表</w:t>
      </w:r>
    </w:p>
    <w:tbl>
      <w:tblPr>
        <w:tblStyle w:val="35"/>
        <w:tblW w:w="7917" w:type="dxa"/>
        <w:jc w:val="center"/>
        <w:tblLayout w:type="fixed"/>
        <w:tblCellMar>
          <w:top w:w="0" w:type="dxa"/>
          <w:left w:w="108" w:type="dxa"/>
          <w:bottom w:w="0" w:type="dxa"/>
          <w:right w:w="108" w:type="dxa"/>
        </w:tblCellMar>
      </w:tblPr>
      <w:tblGrid>
        <w:gridCol w:w="1702"/>
        <w:gridCol w:w="1702"/>
        <w:gridCol w:w="2166"/>
        <w:gridCol w:w="2347"/>
      </w:tblGrid>
      <w:tr w14:paraId="6CC7DD3C">
        <w:tblPrEx>
          <w:tblCellMar>
            <w:top w:w="0" w:type="dxa"/>
            <w:left w:w="108" w:type="dxa"/>
            <w:bottom w:w="0" w:type="dxa"/>
            <w:right w:w="108" w:type="dxa"/>
          </w:tblCellMar>
        </w:tblPrEx>
        <w:trPr>
          <w:trHeight w:val="102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3712232C">
            <w:pPr>
              <w:jc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1702" w:type="dxa"/>
            <w:tcBorders>
              <w:top w:val="single" w:color="auto" w:sz="4" w:space="0"/>
              <w:left w:val="nil"/>
              <w:bottom w:val="single" w:color="auto" w:sz="4" w:space="0"/>
              <w:right w:val="single" w:color="auto" w:sz="4" w:space="0"/>
            </w:tcBorders>
            <w:vAlign w:val="center"/>
          </w:tcPr>
          <w:p w14:paraId="39D01BC7">
            <w:pPr>
              <w:jc w:val="center"/>
              <w:rPr>
                <w:rFonts w:ascii="Times New Roman" w:hAnsi="Times New Roman" w:eastAsia="仿宋_GB2312"/>
                <w:color w:val="000000"/>
                <w:sz w:val="24"/>
              </w:rPr>
            </w:pPr>
            <w:r>
              <w:rPr>
                <w:rFonts w:ascii="Times New Roman" w:hAnsi="Times New Roman" w:eastAsia="仿宋_GB2312"/>
                <w:color w:val="000000"/>
                <w:sz w:val="24"/>
              </w:rPr>
              <w:t>直接排放量（tCO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c>
          <w:tcPr>
            <w:tcW w:w="2166" w:type="dxa"/>
            <w:tcBorders>
              <w:top w:val="single" w:color="auto" w:sz="4" w:space="0"/>
              <w:left w:val="nil"/>
              <w:bottom w:val="single" w:color="auto" w:sz="4" w:space="0"/>
              <w:right w:val="single" w:color="auto" w:sz="4" w:space="0"/>
            </w:tcBorders>
            <w:vAlign w:val="center"/>
          </w:tcPr>
          <w:p w14:paraId="5B457FF3">
            <w:pPr>
              <w:jc w:val="center"/>
              <w:rPr>
                <w:rFonts w:ascii="Times New Roman" w:hAnsi="Times New Roman" w:eastAsia="仿宋_GB2312"/>
                <w:color w:val="000000"/>
                <w:sz w:val="24"/>
              </w:rPr>
            </w:pPr>
            <w:r>
              <w:rPr>
                <w:rFonts w:ascii="Times New Roman" w:hAnsi="Times New Roman" w:eastAsia="仿宋_GB2312"/>
                <w:color w:val="000000"/>
                <w:sz w:val="24"/>
              </w:rPr>
              <w:t>间接排放量（tCO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c>
          <w:tcPr>
            <w:tcW w:w="2347" w:type="dxa"/>
            <w:tcBorders>
              <w:top w:val="single" w:color="auto" w:sz="4" w:space="0"/>
              <w:left w:val="nil"/>
              <w:bottom w:val="single" w:color="auto" w:sz="4" w:space="0"/>
              <w:right w:val="single" w:color="auto" w:sz="4" w:space="0"/>
            </w:tcBorders>
            <w:vAlign w:val="center"/>
          </w:tcPr>
          <w:p w14:paraId="53329D4B">
            <w:pPr>
              <w:jc w:val="center"/>
              <w:rPr>
                <w:rFonts w:ascii="Times New Roman" w:hAnsi="Times New Roman" w:eastAsia="仿宋_GB2312"/>
                <w:color w:val="000000"/>
                <w:sz w:val="24"/>
              </w:rPr>
            </w:pPr>
            <w:r>
              <w:rPr>
                <w:rFonts w:ascii="Times New Roman" w:hAnsi="Times New Roman" w:eastAsia="仿宋_GB2312"/>
                <w:color w:val="000000"/>
                <w:sz w:val="24"/>
              </w:rPr>
              <w:t>排放总量（tCO</w:t>
            </w:r>
            <w:r>
              <w:rPr>
                <w:rFonts w:ascii="Times New Roman" w:hAnsi="Times New Roman" w:eastAsia="仿宋_GB2312"/>
                <w:color w:val="000000"/>
                <w:sz w:val="24"/>
                <w:vertAlign w:val="subscript"/>
              </w:rPr>
              <w:t>2</w:t>
            </w:r>
            <w:r>
              <w:rPr>
                <w:rFonts w:ascii="Times New Roman" w:hAnsi="Times New Roman" w:eastAsia="仿宋_GB2312"/>
                <w:color w:val="000000"/>
                <w:sz w:val="24"/>
              </w:rPr>
              <w:t>）</w:t>
            </w:r>
          </w:p>
        </w:tc>
      </w:tr>
      <w:tr w14:paraId="5C2A0242">
        <w:tblPrEx>
          <w:tblCellMar>
            <w:top w:w="0" w:type="dxa"/>
            <w:left w:w="108" w:type="dxa"/>
            <w:bottom w:w="0" w:type="dxa"/>
            <w:right w:w="108" w:type="dxa"/>
          </w:tblCellMar>
        </w:tblPrEx>
        <w:trPr>
          <w:trHeight w:val="547" w:hRule="atLeast"/>
          <w:jc w:val="center"/>
        </w:trPr>
        <w:tc>
          <w:tcPr>
            <w:tcW w:w="1702" w:type="dxa"/>
            <w:tcBorders>
              <w:top w:val="nil"/>
              <w:left w:val="single" w:color="auto" w:sz="4" w:space="0"/>
              <w:bottom w:val="single" w:color="auto" w:sz="4" w:space="0"/>
              <w:right w:val="single" w:color="auto" w:sz="4" w:space="0"/>
            </w:tcBorders>
            <w:vAlign w:val="center"/>
          </w:tcPr>
          <w:p w14:paraId="3097EFCB">
            <w:pPr>
              <w:jc w:val="center"/>
              <w:rPr>
                <w:rFonts w:ascii="Times New Roman" w:hAnsi="Times New Roman" w:eastAsia="仿宋_GB2312"/>
                <w:sz w:val="24"/>
              </w:rPr>
            </w:pPr>
            <w:r>
              <w:rPr>
                <w:rFonts w:ascii="Times New Roman" w:hAnsi="Times New Roman" w:eastAsia="仿宋_GB2312"/>
                <w:sz w:val="24"/>
              </w:rPr>
              <w:t>2016</w:t>
            </w:r>
          </w:p>
        </w:tc>
        <w:tc>
          <w:tcPr>
            <w:tcW w:w="1702" w:type="dxa"/>
            <w:tcBorders>
              <w:top w:val="single" w:color="auto" w:sz="4" w:space="0"/>
              <w:left w:val="nil"/>
              <w:bottom w:val="single" w:color="auto" w:sz="4" w:space="0"/>
              <w:right w:val="single" w:color="auto" w:sz="4" w:space="0"/>
            </w:tcBorders>
            <w:vAlign w:val="center"/>
          </w:tcPr>
          <w:p w14:paraId="17E0A17E">
            <w:pPr>
              <w:jc w:val="center"/>
              <w:rPr>
                <w:rFonts w:ascii="Times New Roman" w:hAnsi="Times New Roman" w:eastAsia="仿宋_GB2312"/>
                <w:sz w:val="24"/>
              </w:rPr>
            </w:pPr>
            <w:r>
              <w:rPr>
                <w:rFonts w:ascii="Times New Roman" w:hAnsi="Times New Roman" w:eastAsia="仿宋_GB2312"/>
                <w:sz w:val="24"/>
              </w:rPr>
              <w:t>810.00</w:t>
            </w:r>
          </w:p>
        </w:tc>
        <w:tc>
          <w:tcPr>
            <w:tcW w:w="2166" w:type="dxa"/>
            <w:tcBorders>
              <w:top w:val="single" w:color="auto" w:sz="4" w:space="0"/>
              <w:left w:val="single" w:color="auto" w:sz="4" w:space="0"/>
              <w:bottom w:val="single" w:color="auto" w:sz="4" w:space="0"/>
              <w:right w:val="single" w:color="auto" w:sz="4" w:space="0"/>
            </w:tcBorders>
            <w:vAlign w:val="center"/>
          </w:tcPr>
          <w:p w14:paraId="519D25A9">
            <w:pPr>
              <w:jc w:val="center"/>
              <w:rPr>
                <w:rFonts w:ascii="Times New Roman" w:hAnsi="Times New Roman" w:eastAsia="仿宋_GB2312"/>
                <w:sz w:val="24"/>
              </w:rPr>
            </w:pPr>
            <w:r>
              <w:rPr>
                <w:rFonts w:ascii="Times New Roman" w:hAnsi="Times New Roman" w:eastAsia="仿宋_GB2312"/>
                <w:sz w:val="24"/>
              </w:rPr>
              <w:t>22067.80</w:t>
            </w:r>
          </w:p>
        </w:tc>
        <w:tc>
          <w:tcPr>
            <w:tcW w:w="2347" w:type="dxa"/>
            <w:tcBorders>
              <w:top w:val="single" w:color="auto" w:sz="4" w:space="0"/>
              <w:left w:val="single" w:color="auto" w:sz="4" w:space="0"/>
              <w:bottom w:val="single" w:color="auto" w:sz="4" w:space="0"/>
              <w:right w:val="single" w:color="auto" w:sz="4" w:space="0"/>
            </w:tcBorders>
            <w:vAlign w:val="center"/>
          </w:tcPr>
          <w:p w14:paraId="1EA1CE85">
            <w:pPr>
              <w:jc w:val="center"/>
              <w:rPr>
                <w:rFonts w:ascii="Times New Roman" w:hAnsi="Times New Roman" w:eastAsia="仿宋_GB2312"/>
                <w:sz w:val="24"/>
              </w:rPr>
            </w:pPr>
            <w:r>
              <w:rPr>
                <w:rFonts w:ascii="Times New Roman" w:hAnsi="Times New Roman" w:eastAsia="仿宋_GB2312"/>
                <w:sz w:val="24"/>
              </w:rPr>
              <w:t xml:space="preserve">22877.80 </w:t>
            </w:r>
          </w:p>
        </w:tc>
      </w:tr>
      <w:tr w14:paraId="6DDF0CCC">
        <w:tblPrEx>
          <w:tblCellMar>
            <w:top w:w="0" w:type="dxa"/>
            <w:left w:w="108" w:type="dxa"/>
            <w:bottom w:w="0" w:type="dxa"/>
            <w:right w:w="108" w:type="dxa"/>
          </w:tblCellMar>
        </w:tblPrEx>
        <w:trPr>
          <w:trHeight w:val="347" w:hRule="atLeast"/>
          <w:jc w:val="center"/>
        </w:trPr>
        <w:tc>
          <w:tcPr>
            <w:tcW w:w="1702" w:type="dxa"/>
            <w:tcBorders>
              <w:top w:val="nil"/>
              <w:left w:val="single" w:color="auto" w:sz="4" w:space="0"/>
              <w:bottom w:val="single" w:color="auto" w:sz="4" w:space="0"/>
              <w:right w:val="single" w:color="auto" w:sz="4" w:space="0"/>
            </w:tcBorders>
            <w:vAlign w:val="center"/>
          </w:tcPr>
          <w:p w14:paraId="4DD8EB81">
            <w:pPr>
              <w:jc w:val="center"/>
              <w:rPr>
                <w:rFonts w:ascii="Times New Roman" w:hAnsi="Times New Roman" w:eastAsia="仿宋_GB2312"/>
                <w:sz w:val="24"/>
              </w:rPr>
            </w:pPr>
            <w:r>
              <w:rPr>
                <w:rFonts w:ascii="Times New Roman" w:hAnsi="Times New Roman" w:eastAsia="仿宋_GB2312"/>
                <w:sz w:val="24"/>
              </w:rPr>
              <w:t>2017</w:t>
            </w:r>
          </w:p>
        </w:tc>
        <w:tc>
          <w:tcPr>
            <w:tcW w:w="1702" w:type="dxa"/>
            <w:tcBorders>
              <w:top w:val="single" w:color="auto" w:sz="4" w:space="0"/>
              <w:left w:val="nil"/>
              <w:bottom w:val="single" w:color="auto" w:sz="4" w:space="0"/>
              <w:right w:val="single" w:color="auto" w:sz="4" w:space="0"/>
            </w:tcBorders>
            <w:vAlign w:val="center"/>
          </w:tcPr>
          <w:p w14:paraId="2816F02E">
            <w:pPr>
              <w:jc w:val="center"/>
              <w:rPr>
                <w:rFonts w:ascii="Times New Roman" w:hAnsi="Times New Roman" w:eastAsia="仿宋_GB2312"/>
                <w:sz w:val="24"/>
              </w:rPr>
            </w:pPr>
            <w:r>
              <w:rPr>
                <w:rFonts w:ascii="Times New Roman" w:hAnsi="Times New Roman" w:eastAsia="仿宋_GB2312"/>
                <w:sz w:val="24"/>
              </w:rPr>
              <w:t>830.25</w:t>
            </w:r>
          </w:p>
        </w:tc>
        <w:tc>
          <w:tcPr>
            <w:tcW w:w="2166" w:type="dxa"/>
            <w:tcBorders>
              <w:top w:val="single" w:color="auto" w:sz="4" w:space="0"/>
              <w:left w:val="single" w:color="auto" w:sz="4" w:space="0"/>
              <w:bottom w:val="single" w:color="auto" w:sz="4" w:space="0"/>
              <w:right w:val="single" w:color="auto" w:sz="4" w:space="0"/>
            </w:tcBorders>
            <w:vAlign w:val="center"/>
          </w:tcPr>
          <w:p w14:paraId="624A8966">
            <w:pPr>
              <w:jc w:val="center"/>
              <w:rPr>
                <w:rFonts w:ascii="Times New Roman" w:hAnsi="Times New Roman" w:eastAsia="仿宋_GB2312"/>
                <w:sz w:val="24"/>
              </w:rPr>
            </w:pPr>
            <w:r>
              <w:rPr>
                <w:rFonts w:ascii="Times New Roman" w:hAnsi="Times New Roman" w:eastAsia="仿宋_GB2312"/>
                <w:sz w:val="24"/>
              </w:rPr>
              <w:t>22357.80</w:t>
            </w:r>
          </w:p>
        </w:tc>
        <w:tc>
          <w:tcPr>
            <w:tcW w:w="2347" w:type="dxa"/>
            <w:tcBorders>
              <w:top w:val="single" w:color="auto" w:sz="4" w:space="0"/>
              <w:left w:val="single" w:color="auto" w:sz="4" w:space="0"/>
              <w:bottom w:val="single" w:color="auto" w:sz="4" w:space="0"/>
              <w:right w:val="single" w:color="auto" w:sz="4" w:space="0"/>
            </w:tcBorders>
            <w:vAlign w:val="center"/>
          </w:tcPr>
          <w:p w14:paraId="104E513A">
            <w:pPr>
              <w:jc w:val="center"/>
              <w:rPr>
                <w:rFonts w:ascii="Times New Roman" w:hAnsi="Times New Roman" w:eastAsia="仿宋_GB2312"/>
                <w:sz w:val="24"/>
              </w:rPr>
            </w:pPr>
            <w:r>
              <w:rPr>
                <w:rFonts w:ascii="Times New Roman" w:hAnsi="Times New Roman" w:eastAsia="仿宋_GB2312"/>
                <w:sz w:val="24"/>
              </w:rPr>
              <w:t xml:space="preserve">23188.05 </w:t>
            </w:r>
          </w:p>
        </w:tc>
      </w:tr>
      <w:tr w14:paraId="7CF4F0F4">
        <w:tblPrEx>
          <w:tblCellMar>
            <w:top w:w="0" w:type="dxa"/>
            <w:left w:w="108" w:type="dxa"/>
            <w:bottom w:w="0" w:type="dxa"/>
            <w:right w:w="108" w:type="dxa"/>
          </w:tblCellMar>
        </w:tblPrEx>
        <w:trPr>
          <w:trHeight w:val="347" w:hRule="atLeast"/>
          <w:jc w:val="center"/>
        </w:trPr>
        <w:tc>
          <w:tcPr>
            <w:tcW w:w="1702" w:type="dxa"/>
            <w:tcBorders>
              <w:top w:val="nil"/>
              <w:left w:val="single" w:color="auto" w:sz="4" w:space="0"/>
              <w:bottom w:val="single" w:color="auto" w:sz="4" w:space="0"/>
              <w:right w:val="single" w:color="auto" w:sz="4" w:space="0"/>
            </w:tcBorders>
            <w:vAlign w:val="center"/>
          </w:tcPr>
          <w:p w14:paraId="236C153A">
            <w:pPr>
              <w:jc w:val="center"/>
              <w:rPr>
                <w:rFonts w:ascii="Times New Roman" w:hAnsi="Times New Roman" w:eastAsia="仿宋_GB2312"/>
                <w:sz w:val="24"/>
              </w:rPr>
            </w:pPr>
            <w:r>
              <w:rPr>
                <w:rFonts w:ascii="Times New Roman" w:hAnsi="Times New Roman" w:eastAsia="仿宋_GB2312"/>
                <w:sz w:val="24"/>
              </w:rPr>
              <w:t>2018</w:t>
            </w:r>
          </w:p>
        </w:tc>
        <w:tc>
          <w:tcPr>
            <w:tcW w:w="1702" w:type="dxa"/>
            <w:tcBorders>
              <w:top w:val="single" w:color="auto" w:sz="4" w:space="0"/>
              <w:left w:val="nil"/>
              <w:bottom w:val="single" w:color="auto" w:sz="4" w:space="0"/>
              <w:right w:val="single" w:color="auto" w:sz="4" w:space="0"/>
            </w:tcBorders>
            <w:vAlign w:val="center"/>
          </w:tcPr>
          <w:p w14:paraId="1952EBCD">
            <w:pPr>
              <w:jc w:val="center"/>
              <w:rPr>
                <w:rFonts w:ascii="Times New Roman" w:hAnsi="Times New Roman" w:eastAsia="仿宋_GB2312"/>
                <w:sz w:val="24"/>
              </w:rPr>
            </w:pPr>
            <w:r>
              <w:rPr>
                <w:rFonts w:ascii="Times New Roman" w:hAnsi="Times New Roman" w:eastAsia="仿宋_GB2312"/>
                <w:sz w:val="24"/>
              </w:rPr>
              <w:t>983.35</w:t>
            </w:r>
          </w:p>
        </w:tc>
        <w:tc>
          <w:tcPr>
            <w:tcW w:w="2166" w:type="dxa"/>
            <w:tcBorders>
              <w:top w:val="single" w:color="auto" w:sz="4" w:space="0"/>
              <w:left w:val="single" w:color="auto" w:sz="4" w:space="0"/>
              <w:bottom w:val="single" w:color="auto" w:sz="4" w:space="0"/>
              <w:right w:val="single" w:color="auto" w:sz="4" w:space="0"/>
            </w:tcBorders>
            <w:vAlign w:val="center"/>
          </w:tcPr>
          <w:p w14:paraId="757CC93D">
            <w:pPr>
              <w:jc w:val="center"/>
              <w:rPr>
                <w:rFonts w:ascii="Times New Roman" w:hAnsi="Times New Roman" w:eastAsia="仿宋_GB2312"/>
                <w:sz w:val="24"/>
              </w:rPr>
            </w:pPr>
            <w:r>
              <w:rPr>
                <w:rFonts w:ascii="Times New Roman" w:hAnsi="Times New Roman" w:eastAsia="仿宋_GB2312"/>
                <w:sz w:val="24"/>
              </w:rPr>
              <w:t>22647.80</w:t>
            </w:r>
          </w:p>
        </w:tc>
        <w:tc>
          <w:tcPr>
            <w:tcW w:w="2347" w:type="dxa"/>
            <w:tcBorders>
              <w:top w:val="single" w:color="auto" w:sz="4" w:space="0"/>
              <w:left w:val="single" w:color="auto" w:sz="4" w:space="0"/>
              <w:bottom w:val="single" w:color="auto" w:sz="4" w:space="0"/>
              <w:right w:val="single" w:color="auto" w:sz="4" w:space="0"/>
            </w:tcBorders>
            <w:vAlign w:val="center"/>
          </w:tcPr>
          <w:p w14:paraId="1B6393AE">
            <w:pPr>
              <w:jc w:val="center"/>
              <w:rPr>
                <w:rFonts w:ascii="Times New Roman" w:hAnsi="Times New Roman" w:eastAsia="仿宋_GB2312"/>
                <w:sz w:val="24"/>
              </w:rPr>
            </w:pPr>
            <w:r>
              <w:rPr>
                <w:rFonts w:ascii="Times New Roman" w:hAnsi="Times New Roman" w:eastAsia="仿宋_GB2312"/>
                <w:sz w:val="24"/>
              </w:rPr>
              <w:t xml:space="preserve">23631.15 </w:t>
            </w:r>
          </w:p>
        </w:tc>
      </w:tr>
      <w:tr w14:paraId="582F9CB8">
        <w:tblPrEx>
          <w:tblCellMar>
            <w:top w:w="0" w:type="dxa"/>
            <w:left w:w="108" w:type="dxa"/>
            <w:bottom w:w="0" w:type="dxa"/>
            <w:right w:w="108" w:type="dxa"/>
          </w:tblCellMar>
        </w:tblPrEx>
        <w:trPr>
          <w:trHeight w:val="347"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2B2F4C7D">
            <w:pPr>
              <w:jc w:val="center"/>
              <w:rPr>
                <w:rFonts w:ascii="Times New Roman" w:hAnsi="Times New Roman" w:eastAsia="仿宋_GB2312"/>
                <w:sz w:val="24"/>
              </w:rPr>
            </w:pPr>
            <w:r>
              <w:rPr>
                <w:rFonts w:ascii="Times New Roman" w:hAnsi="Times New Roman" w:eastAsia="仿宋_GB2312"/>
                <w:sz w:val="24"/>
              </w:rPr>
              <w:t>2019</w:t>
            </w:r>
          </w:p>
        </w:tc>
        <w:tc>
          <w:tcPr>
            <w:tcW w:w="1702" w:type="dxa"/>
            <w:tcBorders>
              <w:top w:val="single" w:color="auto" w:sz="4" w:space="0"/>
              <w:left w:val="nil"/>
              <w:bottom w:val="single" w:color="auto" w:sz="4" w:space="0"/>
              <w:right w:val="single" w:color="auto" w:sz="4" w:space="0"/>
            </w:tcBorders>
            <w:vAlign w:val="center"/>
          </w:tcPr>
          <w:p w14:paraId="2511F122">
            <w:pPr>
              <w:jc w:val="center"/>
              <w:rPr>
                <w:rFonts w:ascii="Times New Roman" w:hAnsi="Times New Roman" w:eastAsia="仿宋_GB2312"/>
                <w:sz w:val="24"/>
              </w:rPr>
            </w:pPr>
            <w:r>
              <w:rPr>
                <w:rFonts w:ascii="Times New Roman" w:hAnsi="Times New Roman" w:eastAsia="仿宋_GB2312"/>
                <w:sz w:val="24"/>
              </w:rPr>
              <w:t>950.56</w:t>
            </w:r>
          </w:p>
        </w:tc>
        <w:tc>
          <w:tcPr>
            <w:tcW w:w="2166" w:type="dxa"/>
            <w:tcBorders>
              <w:top w:val="single" w:color="auto" w:sz="4" w:space="0"/>
              <w:left w:val="single" w:color="auto" w:sz="4" w:space="0"/>
              <w:bottom w:val="single" w:color="auto" w:sz="4" w:space="0"/>
              <w:right w:val="single" w:color="auto" w:sz="4" w:space="0"/>
            </w:tcBorders>
            <w:vAlign w:val="center"/>
          </w:tcPr>
          <w:p w14:paraId="60205CA7">
            <w:pPr>
              <w:jc w:val="center"/>
              <w:rPr>
                <w:rFonts w:ascii="Times New Roman" w:hAnsi="Times New Roman" w:eastAsia="仿宋_GB2312"/>
                <w:sz w:val="24"/>
              </w:rPr>
            </w:pPr>
            <w:bookmarkStart w:id="21" w:name="_Hlk34831329"/>
            <w:bookmarkStart w:id="22" w:name="_Hlk34830506"/>
            <w:r>
              <w:rPr>
                <w:rFonts w:ascii="Times New Roman" w:hAnsi="Times New Roman" w:eastAsia="仿宋_GB2312"/>
                <w:sz w:val="24"/>
              </w:rPr>
              <w:t>24628.50</w:t>
            </w:r>
            <w:bookmarkEnd w:id="21"/>
            <w:bookmarkEnd w:id="22"/>
          </w:p>
        </w:tc>
        <w:tc>
          <w:tcPr>
            <w:tcW w:w="2347" w:type="dxa"/>
            <w:tcBorders>
              <w:top w:val="single" w:color="auto" w:sz="4" w:space="0"/>
              <w:left w:val="single" w:color="auto" w:sz="4" w:space="0"/>
              <w:bottom w:val="single" w:color="auto" w:sz="4" w:space="0"/>
              <w:right w:val="single" w:color="auto" w:sz="4" w:space="0"/>
            </w:tcBorders>
            <w:vAlign w:val="center"/>
          </w:tcPr>
          <w:p w14:paraId="4A82B21E">
            <w:pPr>
              <w:jc w:val="center"/>
              <w:rPr>
                <w:rFonts w:ascii="Times New Roman" w:hAnsi="Times New Roman" w:eastAsia="仿宋_GB2312"/>
                <w:sz w:val="24"/>
              </w:rPr>
            </w:pPr>
            <w:r>
              <w:rPr>
                <w:rFonts w:ascii="Times New Roman" w:hAnsi="Times New Roman" w:eastAsia="仿宋_GB2312"/>
                <w:sz w:val="24"/>
              </w:rPr>
              <w:t xml:space="preserve">25579.06 </w:t>
            </w:r>
          </w:p>
        </w:tc>
      </w:tr>
      <w:tr w14:paraId="128EB03F">
        <w:tblPrEx>
          <w:tblCellMar>
            <w:top w:w="0" w:type="dxa"/>
            <w:left w:w="108" w:type="dxa"/>
            <w:bottom w:w="0" w:type="dxa"/>
            <w:right w:w="108" w:type="dxa"/>
          </w:tblCellMar>
        </w:tblPrEx>
        <w:trPr>
          <w:trHeight w:val="347"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18C00518">
            <w:pPr>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020</w:t>
            </w:r>
          </w:p>
        </w:tc>
        <w:tc>
          <w:tcPr>
            <w:tcW w:w="1702" w:type="dxa"/>
            <w:tcBorders>
              <w:top w:val="single" w:color="auto" w:sz="4" w:space="0"/>
              <w:left w:val="nil"/>
              <w:bottom w:val="single" w:color="auto" w:sz="4" w:space="0"/>
              <w:right w:val="single" w:color="auto" w:sz="4" w:space="0"/>
            </w:tcBorders>
            <w:vAlign w:val="center"/>
          </w:tcPr>
          <w:p w14:paraId="694C7FDE">
            <w:pPr>
              <w:jc w:val="center"/>
              <w:rPr>
                <w:rFonts w:ascii="Times New Roman" w:hAnsi="Times New Roman" w:eastAsia="仿宋_GB2312"/>
                <w:sz w:val="24"/>
              </w:rPr>
            </w:pPr>
            <w:r>
              <w:rPr>
                <w:rFonts w:ascii="Times New Roman" w:hAnsi="Times New Roman" w:eastAsia="仿宋_GB2312"/>
                <w:sz w:val="24"/>
              </w:rPr>
              <w:t>950.56</w:t>
            </w:r>
          </w:p>
        </w:tc>
        <w:tc>
          <w:tcPr>
            <w:tcW w:w="2166" w:type="dxa"/>
            <w:tcBorders>
              <w:top w:val="single" w:color="auto" w:sz="4" w:space="0"/>
              <w:left w:val="single" w:color="auto" w:sz="4" w:space="0"/>
              <w:bottom w:val="single" w:color="auto" w:sz="4" w:space="0"/>
              <w:right w:val="single" w:color="auto" w:sz="4" w:space="0"/>
            </w:tcBorders>
            <w:vAlign w:val="center"/>
          </w:tcPr>
          <w:p w14:paraId="47FB96F0">
            <w:pPr>
              <w:jc w:val="center"/>
              <w:rPr>
                <w:rFonts w:ascii="Times New Roman" w:hAnsi="Times New Roman" w:eastAsia="仿宋_GB2312"/>
                <w:sz w:val="24"/>
              </w:rPr>
            </w:pPr>
            <w:r>
              <w:rPr>
                <w:rFonts w:ascii="Times New Roman" w:hAnsi="Times New Roman" w:eastAsia="仿宋_GB2312"/>
                <w:sz w:val="24"/>
              </w:rPr>
              <w:t>24628.50</w:t>
            </w:r>
          </w:p>
        </w:tc>
        <w:tc>
          <w:tcPr>
            <w:tcW w:w="2347" w:type="dxa"/>
            <w:tcBorders>
              <w:top w:val="single" w:color="auto" w:sz="4" w:space="0"/>
              <w:left w:val="single" w:color="auto" w:sz="4" w:space="0"/>
              <w:bottom w:val="single" w:color="auto" w:sz="4" w:space="0"/>
              <w:right w:val="single" w:color="auto" w:sz="4" w:space="0"/>
            </w:tcBorders>
            <w:vAlign w:val="center"/>
          </w:tcPr>
          <w:p w14:paraId="1A7BB29D">
            <w:pPr>
              <w:jc w:val="center"/>
              <w:rPr>
                <w:rFonts w:ascii="Times New Roman" w:hAnsi="Times New Roman" w:eastAsia="仿宋_GB2312"/>
                <w:sz w:val="24"/>
              </w:rPr>
            </w:pPr>
            <w:r>
              <w:rPr>
                <w:rFonts w:ascii="Times New Roman" w:hAnsi="Times New Roman" w:eastAsia="仿宋_GB2312"/>
                <w:sz w:val="24"/>
              </w:rPr>
              <w:t xml:space="preserve">25579.06 </w:t>
            </w:r>
          </w:p>
        </w:tc>
      </w:tr>
    </w:tbl>
    <w:p w14:paraId="6D58074C">
      <w:pPr>
        <w:jc w:val="center"/>
        <w:rPr>
          <w:rFonts w:ascii="Times New Roman" w:hAnsi="Times New Roman"/>
        </w:rPr>
      </w:pPr>
    </w:p>
    <w:p w14:paraId="412BCD6C">
      <w:pPr>
        <w:tabs>
          <w:tab w:val="center" w:pos="4482"/>
          <w:tab w:val="left" w:pos="5526"/>
        </w:tabs>
        <w:jc w:val="left"/>
        <w:rPr>
          <w:rFonts w:hint="eastAsia" w:ascii="Times New Roman" w:hAnsi="Times New Roman" w:eastAsia="宋体"/>
          <w:sz w:val="28"/>
          <w:szCs w:val="28"/>
          <w:lang w:eastAsia="zh-CN"/>
        </w:rPr>
      </w:pPr>
      <w:r>
        <w:rPr>
          <w:rFonts w:hint="eastAsia"/>
          <w:lang w:val="en-US" w:eastAsia="zh-CN"/>
        </w:rPr>
        <w:tab/>
      </w:r>
      <w:r>
        <w:rPr>
          <w:lang w:val="en-US"/>
        </w:rPr>
        <w:drawing>
          <wp:inline distT="0" distB="0" distL="0" distR="0">
            <wp:extent cx="4568825" cy="2740025"/>
            <wp:effectExtent l="0" t="0" r="3175" b="317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hint="eastAsia"/>
          <w:lang w:val="en-US" w:eastAsia="zh-CN"/>
        </w:rPr>
        <w:tab/>
      </w:r>
    </w:p>
    <w:p w14:paraId="218420F3">
      <w:pPr>
        <w:spacing w:after="0" w:line="560" w:lineRule="exact"/>
        <w:jc w:val="center"/>
        <w:rPr>
          <w:rFonts w:ascii="Times New Roman" w:hAnsi="Times New Roman" w:eastAsia="仿宋_GB2312"/>
          <w:sz w:val="28"/>
          <w:szCs w:val="28"/>
        </w:rPr>
      </w:pPr>
      <w:r>
        <w:rPr>
          <w:rFonts w:ascii="Times New Roman" w:hAnsi="Times New Roman" w:eastAsia="仿宋_GB2312"/>
          <w:sz w:val="28"/>
          <w:szCs w:val="28"/>
        </w:rPr>
        <w:t>图xx 排放量变化趋势图（增加</w:t>
      </w:r>
      <w:r>
        <w:rPr>
          <w:rFonts w:hint="eastAsia" w:ascii="Times New Roman" w:hAnsi="Times New Roman" w:eastAsia="仿宋_GB2312"/>
          <w:sz w:val="28"/>
          <w:szCs w:val="28"/>
        </w:rPr>
        <w:t>2</w:t>
      </w:r>
      <w:r>
        <w:rPr>
          <w:rFonts w:ascii="Times New Roman" w:hAnsi="Times New Roman" w:eastAsia="仿宋_GB2312"/>
          <w:sz w:val="28"/>
          <w:szCs w:val="28"/>
        </w:rPr>
        <w:t>020年度）</w:t>
      </w:r>
    </w:p>
    <w:p w14:paraId="0DED3B10">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56DA97B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32F3BB83">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排放单位核算和报告边界为在北京市辖区内的物业项目地，商业写字楼包括xxx、xxx，建筑面积（不含地下车库）xxxx平方米，地下车库面积xxxx平方米，实际物业管理面积xxx平方米。</w:t>
      </w:r>
    </w:p>
    <w:p w14:paraId="35573ACB">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与上一年度相比，新增商业写字楼xx发展中心，建筑面积（不含地下车库）xxxx平方米，地下车库面积xxxx平方米，实际物业管理面积xxx平方米。</w:t>
      </w:r>
    </w:p>
    <w:p w14:paraId="4C4BA968">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与基准年相比，新增商业写字楼xx发展中心，建筑面积（不含地下车库）xxxx平方米，地下车库面积xxxx平方米，实际物业管理面积xxx平方米。</w:t>
      </w:r>
    </w:p>
    <w:p w14:paraId="241F0379">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575308A4">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排放单位不涉及既有配额调整。</w:t>
      </w:r>
    </w:p>
    <w:p w14:paraId="53C6774C">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排放单位无既有设施退出。</w:t>
      </w:r>
    </w:p>
    <w:p w14:paraId="5D5B3362">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排放单位新增设施及其排放详见下表：</w:t>
      </w:r>
    </w:p>
    <w:p w14:paraId="7AF476EB">
      <w:pPr>
        <w:spacing w:after="0" w:line="560" w:lineRule="exact"/>
        <w:ind w:firstLine="465"/>
        <w:jc w:val="center"/>
        <w:rPr>
          <w:rFonts w:ascii="Times New Roman" w:hAnsi="Times New Roman" w:eastAsia="仿宋_GB2312"/>
          <w:sz w:val="28"/>
          <w:szCs w:val="28"/>
        </w:rPr>
      </w:pPr>
      <w:r>
        <w:rPr>
          <w:rFonts w:ascii="Times New Roman" w:hAnsi="Times New Roman" w:eastAsia="仿宋_GB2312"/>
          <w:sz w:val="28"/>
          <w:szCs w:val="28"/>
        </w:rPr>
        <w:t>表xx   新增设施信息表</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35"/>
        <w:gridCol w:w="2125"/>
        <w:gridCol w:w="1700"/>
        <w:gridCol w:w="1448"/>
        <w:gridCol w:w="1293"/>
      </w:tblGrid>
      <w:tr w14:paraId="7703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5E0DDA7">
            <w:pPr>
              <w:tabs>
                <w:tab w:val="left" w:pos="1701"/>
              </w:tabs>
              <w:spacing w:after="0" w:line="340" w:lineRule="exact"/>
              <w:jc w:val="center"/>
              <w:rPr>
                <w:rFonts w:ascii="Times New Roman" w:hAnsi="Times New Roman" w:eastAsia="仿宋_GB2312"/>
                <w:color w:val="000000"/>
                <w:sz w:val="24"/>
              </w:rPr>
            </w:pPr>
            <w:r>
              <w:rPr>
                <w:rFonts w:ascii="Times New Roman" w:hAnsi="Times New Roman" w:eastAsia="仿宋_GB2312"/>
                <w:color w:val="000000"/>
                <w:sz w:val="24"/>
              </w:rPr>
              <w:t>序号</w:t>
            </w:r>
          </w:p>
        </w:tc>
        <w:tc>
          <w:tcPr>
            <w:tcW w:w="1135" w:type="dxa"/>
            <w:vAlign w:val="center"/>
          </w:tcPr>
          <w:p w14:paraId="02046CC2">
            <w:pPr>
              <w:tabs>
                <w:tab w:val="left" w:pos="1701"/>
              </w:tabs>
              <w:spacing w:after="0" w:line="340" w:lineRule="exact"/>
              <w:jc w:val="center"/>
              <w:rPr>
                <w:rFonts w:ascii="Times New Roman" w:hAnsi="Times New Roman" w:eastAsia="仿宋_GB2312"/>
                <w:color w:val="000000"/>
                <w:sz w:val="24"/>
              </w:rPr>
            </w:pPr>
            <w:r>
              <w:rPr>
                <w:rFonts w:ascii="Times New Roman" w:hAnsi="Times New Roman" w:eastAsia="仿宋_GB2312"/>
                <w:color w:val="000000"/>
                <w:sz w:val="24"/>
              </w:rPr>
              <w:t>设施新增年份</w:t>
            </w:r>
          </w:p>
        </w:tc>
        <w:tc>
          <w:tcPr>
            <w:tcW w:w="2125" w:type="dxa"/>
            <w:vAlign w:val="center"/>
          </w:tcPr>
          <w:p w14:paraId="54426D39">
            <w:pPr>
              <w:tabs>
                <w:tab w:val="left" w:pos="1701"/>
              </w:tabs>
              <w:spacing w:after="0" w:line="340" w:lineRule="exact"/>
              <w:jc w:val="center"/>
              <w:rPr>
                <w:rFonts w:ascii="Times New Roman" w:hAnsi="Times New Roman" w:eastAsia="仿宋_GB2312"/>
                <w:color w:val="000000"/>
                <w:sz w:val="24"/>
              </w:rPr>
            </w:pPr>
            <w:r>
              <w:rPr>
                <w:rFonts w:ascii="Times New Roman" w:hAnsi="Times New Roman" w:eastAsia="仿宋_GB2312"/>
                <w:color w:val="000000"/>
                <w:sz w:val="24"/>
              </w:rPr>
              <w:t>新增设施类型</w:t>
            </w:r>
          </w:p>
        </w:tc>
        <w:tc>
          <w:tcPr>
            <w:tcW w:w="1700" w:type="dxa"/>
            <w:vAlign w:val="center"/>
          </w:tcPr>
          <w:p w14:paraId="1B0B4CEB">
            <w:pPr>
              <w:tabs>
                <w:tab w:val="left" w:pos="1701"/>
              </w:tabs>
              <w:spacing w:after="0" w:line="340" w:lineRule="exact"/>
              <w:jc w:val="center"/>
              <w:rPr>
                <w:rFonts w:ascii="Times New Roman" w:hAnsi="Times New Roman" w:eastAsia="仿宋_GB2312"/>
                <w:color w:val="000000"/>
                <w:sz w:val="24"/>
              </w:rPr>
            </w:pPr>
            <w:r>
              <w:rPr>
                <w:rFonts w:ascii="Times New Roman" w:hAnsi="Times New Roman" w:eastAsia="仿宋_GB2312"/>
                <w:color w:val="000000"/>
                <w:sz w:val="24"/>
              </w:rPr>
              <w:t>是否替代既有设施，被替代既有设施类型</w:t>
            </w:r>
          </w:p>
        </w:tc>
        <w:tc>
          <w:tcPr>
            <w:tcW w:w="1448" w:type="dxa"/>
            <w:vAlign w:val="center"/>
          </w:tcPr>
          <w:p w14:paraId="018F357E">
            <w:pPr>
              <w:tabs>
                <w:tab w:val="left" w:pos="1701"/>
              </w:tabs>
              <w:spacing w:after="0" w:line="340" w:lineRule="exact"/>
              <w:jc w:val="center"/>
              <w:rPr>
                <w:rFonts w:ascii="Times New Roman" w:hAnsi="Times New Roman" w:eastAsia="仿宋_GB2312"/>
                <w:color w:val="000000"/>
                <w:sz w:val="24"/>
              </w:rPr>
            </w:pPr>
            <w:r>
              <w:rPr>
                <w:rFonts w:ascii="Times New Roman" w:hAnsi="Times New Roman" w:eastAsia="仿宋_GB2312"/>
                <w:color w:val="000000"/>
                <w:sz w:val="24"/>
              </w:rPr>
              <w:t>新增设施排放量（吨）</w:t>
            </w:r>
          </w:p>
        </w:tc>
        <w:tc>
          <w:tcPr>
            <w:tcW w:w="1293" w:type="dxa"/>
            <w:vAlign w:val="center"/>
          </w:tcPr>
          <w:p w14:paraId="3BDE46E8">
            <w:pPr>
              <w:tabs>
                <w:tab w:val="left" w:pos="1701"/>
              </w:tabs>
              <w:spacing w:after="0" w:line="3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替代既有设施的新增排放量(吨)</w:t>
            </w:r>
          </w:p>
        </w:tc>
      </w:tr>
      <w:tr w14:paraId="5128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74187A50">
            <w:pPr>
              <w:spacing w:after="0" w:line="340" w:lineRule="exact"/>
              <w:jc w:val="center"/>
              <w:rPr>
                <w:rFonts w:ascii="Times New Roman" w:hAnsi="Times New Roman" w:eastAsia="仿宋_GB2312"/>
                <w:sz w:val="24"/>
              </w:rPr>
            </w:pPr>
            <w:r>
              <w:rPr>
                <w:rFonts w:ascii="Times New Roman" w:hAnsi="Times New Roman" w:eastAsia="仿宋_GB2312"/>
                <w:color w:val="000000"/>
                <w:sz w:val="24"/>
              </w:rPr>
              <w:t>1</w:t>
            </w:r>
          </w:p>
        </w:tc>
        <w:tc>
          <w:tcPr>
            <w:tcW w:w="1135" w:type="dxa"/>
            <w:vAlign w:val="center"/>
          </w:tcPr>
          <w:p w14:paraId="36479D27">
            <w:pPr>
              <w:spacing w:after="0" w:line="340" w:lineRule="exact"/>
              <w:jc w:val="center"/>
              <w:rPr>
                <w:rFonts w:ascii="Times New Roman" w:hAnsi="Times New Roman" w:eastAsia="仿宋_GB2312"/>
                <w:sz w:val="24"/>
              </w:rPr>
            </w:pPr>
            <w:r>
              <w:rPr>
                <w:rFonts w:ascii="Times New Roman" w:hAnsi="Times New Roman" w:eastAsia="仿宋_GB2312"/>
                <w:sz w:val="24"/>
              </w:rPr>
              <w:t>2019</w:t>
            </w:r>
          </w:p>
        </w:tc>
        <w:tc>
          <w:tcPr>
            <w:tcW w:w="2125" w:type="dxa"/>
            <w:vAlign w:val="center"/>
          </w:tcPr>
          <w:p w14:paraId="19E0620A">
            <w:pPr>
              <w:spacing w:after="0" w:line="340" w:lineRule="exact"/>
              <w:jc w:val="center"/>
              <w:rPr>
                <w:rFonts w:ascii="Times New Roman" w:hAnsi="Times New Roman" w:eastAsia="仿宋_GB2312"/>
                <w:sz w:val="24"/>
              </w:rPr>
            </w:pPr>
            <w:r>
              <w:rPr>
                <w:rFonts w:ascii="Times New Roman" w:hAnsi="Times New Roman" w:eastAsia="仿宋_GB2312"/>
                <w:sz w:val="24"/>
              </w:rPr>
              <w:t>xx发展中心设施</w:t>
            </w:r>
          </w:p>
        </w:tc>
        <w:tc>
          <w:tcPr>
            <w:tcW w:w="1700" w:type="dxa"/>
            <w:vAlign w:val="center"/>
          </w:tcPr>
          <w:p w14:paraId="24A204D6">
            <w:pPr>
              <w:spacing w:after="0" w:line="340" w:lineRule="exact"/>
              <w:jc w:val="center"/>
              <w:rPr>
                <w:rFonts w:ascii="Times New Roman" w:hAnsi="Times New Roman" w:eastAsia="仿宋_GB2312"/>
                <w:sz w:val="24"/>
              </w:rPr>
            </w:pPr>
            <w:r>
              <w:rPr>
                <w:rFonts w:ascii="Times New Roman" w:hAnsi="Times New Roman" w:eastAsia="仿宋_GB2312"/>
                <w:sz w:val="24"/>
              </w:rPr>
              <w:t>否</w:t>
            </w:r>
          </w:p>
        </w:tc>
        <w:tc>
          <w:tcPr>
            <w:tcW w:w="1448" w:type="dxa"/>
            <w:vAlign w:val="center"/>
          </w:tcPr>
          <w:p w14:paraId="38644429">
            <w:pPr>
              <w:spacing w:after="0" w:line="340" w:lineRule="exact"/>
              <w:jc w:val="center"/>
              <w:rPr>
                <w:rFonts w:ascii="Times New Roman" w:hAnsi="Times New Roman" w:eastAsia="仿宋_GB2312"/>
                <w:sz w:val="24"/>
              </w:rPr>
            </w:pPr>
            <w:r>
              <w:rPr>
                <w:rFonts w:ascii="Times New Roman" w:hAnsi="Times New Roman" w:eastAsia="仿宋_GB2312"/>
                <w:sz w:val="24"/>
              </w:rPr>
              <w:t>2006.10</w:t>
            </w:r>
          </w:p>
        </w:tc>
        <w:tc>
          <w:tcPr>
            <w:tcW w:w="1293" w:type="dxa"/>
            <w:vAlign w:val="center"/>
          </w:tcPr>
          <w:p w14:paraId="7BEDCAB1">
            <w:pPr>
              <w:spacing w:after="0" w:line="340" w:lineRule="exact"/>
              <w:jc w:val="center"/>
              <w:rPr>
                <w:rFonts w:ascii="Times New Roman" w:hAnsi="Times New Roman" w:eastAsia="仿宋_GB2312"/>
                <w:sz w:val="24"/>
              </w:rPr>
            </w:pPr>
            <w:r>
              <w:rPr>
                <w:rFonts w:ascii="Times New Roman" w:hAnsi="Times New Roman" w:eastAsia="仿宋_GB2312"/>
                <w:sz w:val="24"/>
              </w:rPr>
              <w:t>/</w:t>
            </w:r>
          </w:p>
        </w:tc>
      </w:tr>
      <w:tr w14:paraId="0601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66B06C9D">
            <w:pPr>
              <w:spacing w:after="0" w:line="3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2</w:t>
            </w:r>
          </w:p>
        </w:tc>
        <w:tc>
          <w:tcPr>
            <w:tcW w:w="1135" w:type="dxa"/>
            <w:vAlign w:val="center"/>
          </w:tcPr>
          <w:p w14:paraId="129B39EF">
            <w:pPr>
              <w:spacing w:after="0" w:line="340" w:lineRule="exact"/>
              <w:jc w:val="center"/>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020</w:t>
            </w:r>
          </w:p>
        </w:tc>
        <w:tc>
          <w:tcPr>
            <w:tcW w:w="2125" w:type="dxa"/>
          </w:tcPr>
          <w:p w14:paraId="4ABC1193">
            <w:pPr>
              <w:spacing w:after="0" w:line="340" w:lineRule="exact"/>
              <w:jc w:val="center"/>
              <w:rPr>
                <w:rFonts w:ascii="Times New Roman" w:hAnsi="Times New Roman" w:eastAsia="仿宋_GB2312"/>
                <w:sz w:val="24"/>
              </w:rPr>
            </w:pPr>
            <w:r>
              <w:rPr>
                <w:rFonts w:hint="eastAsia"/>
              </w:rPr>
              <w:t>xx发展中心设施</w:t>
            </w:r>
          </w:p>
        </w:tc>
        <w:tc>
          <w:tcPr>
            <w:tcW w:w="1700" w:type="dxa"/>
          </w:tcPr>
          <w:p w14:paraId="740FFCAD">
            <w:pPr>
              <w:spacing w:after="0" w:line="340" w:lineRule="exact"/>
              <w:jc w:val="center"/>
              <w:rPr>
                <w:rFonts w:ascii="Times New Roman" w:hAnsi="Times New Roman" w:eastAsia="仿宋_GB2312"/>
                <w:sz w:val="24"/>
              </w:rPr>
            </w:pPr>
            <w:r>
              <w:rPr>
                <w:rFonts w:hint="eastAsia"/>
              </w:rPr>
              <w:t>否</w:t>
            </w:r>
          </w:p>
        </w:tc>
        <w:tc>
          <w:tcPr>
            <w:tcW w:w="1448" w:type="dxa"/>
            <w:vAlign w:val="center"/>
          </w:tcPr>
          <w:p w14:paraId="36615991">
            <w:pPr>
              <w:spacing w:after="0" w:line="340" w:lineRule="exact"/>
              <w:jc w:val="center"/>
              <w:rPr>
                <w:rFonts w:ascii="Times New Roman" w:hAnsi="Times New Roman" w:eastAsia="仿宋_GB2312"/>
                <w:sz w:val="24"/>
              </w:rPr>
            </w:pPr>
            <w:r>
              <w:rPr>
                <w:rFonts w:hint="eastAsia" w:ascii="Times New Roman" w:hAnsi="Times New Roman" w:eastAsia="仿宋_GB2312"/>
                <w:sz w:val="24"/>
              </w:rPr>
              <w:t>X</w:t>
            </w:r>
            <w:r>
              <w:rPr>
                <w:rFonts w:ascii="Times New Roman" w:hAnsi="Times New Roman" w:eastAsia="仿宋_GB2312"/>
                <w:sz w:val="24"/>
              </w:rPr>
              <w:t>XX</w:t>
            </w:r>
          </w:p>
        </w:tc>
        <w:tc>
          <w:tcPr>
            <w:tcW w:w="1293" w:type="dxa"/>
            <w:vAlign w:val="center"/>
          </w:tcPr>
          <w:p w14:paraId="7203F374">
            <w:pPr>
              <w:spacing w:after="0" w:line="340" w:lineRule="exact"/>
              <w:jc w:val="center"/>
              <w:rPr>
                <w:rFonts w:ascii="Times New Roman" w:hAnsi="Times New Roman" w:eastAsia="仿宋_GB2312"/>
                <w:sz w:val="24"/>
              </w:rPr>
            </w:pPr>
          </w:p>
        </w:tc>
      </w:tr>
      <w:tr w14:paraId="5015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612F36F">
            <w:pPr>
              <w:spacing w:after="0" w:line="340" w:lineRule="exact"/>
              <w:jc w:val="center"/>
              <w:rPr>
                <w:rFonts w:ascii="Times New Roman" w:hAnsi="Times New Roman" w:eastAsia="仿宋_GB2312"/>
                <w:sz w:val="24"/>
              </w:rPr>
            </w:pPr>
            <w:r>
              <w:rPr>
                <w:rFonts w:ascii="Times New Roman" w:hAnsi="Times New Roman" w:eastAsia="仿宋_GB2312"/>
                <w:color w:val="000000"/>
                <w:sz w:val="24"/>
              </w:rPr>
              <w:t>合计</w:t>
            </w:r>
          </w:p>
        </w:tc>
        <w:tc>
          <w:tcPr>
            <w:tcW w:w="1135" w:type="dxa"/>
            <w:vAlign w:val="center"/>
          </w:tcPr>
          <w:p w14:paraId="56EF1DCF">
            <w:pPr>
              <w:spacing w:after="0" w:line="340" w:lineRule="exact"/>
              <w:jc w:val="center"/>
              <w:rPr>
                <w:rFonts w:ascii="Times New Roman" w:hAnsi="Times New Roman" w:eastAsia="仿宋_GB2312"/>
                <w:sz w:val="24"/>
              </w:rPr>
            </w:pPr>
          </w:p>
        </w:tc>
        <w:tc>
          <w:tcPr>
            <w:tcW w:w="2125" w:type="dxa"/>
            <w:vAlign w:val="center"/>
          </w:tcPr>
          <w:p w14:paraId="67A9C7FC">
            <w:pPr>
              <w:spacing w:after="0" w:line="340" w:lineRule="exact"/>
              <w:jc w:val="center"/>
              <w:rPr>
                <w:rFonts w:ascii="Times New Roman" w:hAnsi="Times New Roman" w:eastAsia="仿宋_GB2312"/>
                <w:sz w:val="24"/>
              </w:rPr>
            </w:pPr>
          </w:p>
        </w:tc>
        <w:tc>
          <w:tcPr>
            <w:tcW w:w="1700" w:type="dxa"/>
            <w:vAlign w:val="center"/>
          </w:tcPr>
          <w:p w14:paraId="65BE4A0F">
            <w:pPr>
              <w:spacing w:after="0" w:line="340" w:lineRule="exact"/>
              <w:jc w:val="center"/>
              <w:rPr>
                <w:rFonts w:ascii="Times New Roman" w:hAnsi="Times New Roman" w:eastAsia="仿宋_GB2312"/>
                <w:sz w:val="24"/>
              </w:rPr>
            </w:pPr>
          </w:p>
        </w:tc>
        <w:tc>
          <w:tcPr>
            <w:tcW w:w="1448" w:type="dxa"/>
            <w:vAlign w:val="center"/>
          </w:tcPr>
          <w:p w14:paraId="31B647F0">
            <w:pPr>
              <w:spacing w:after="0" w:line="340" w:lineRule="exact"/>
              <w:jc w:val="center"/>
              <w:rPr>
                <w:rFonts w:ascii="Times New Roman" w:hAnsi="Times New Roman" w:eastAsia="仿宋_GB2312"/>
                <w:sz w:val="24"/>
              </w:rPr>
            </w:pPr>
            <w:r>
              <w:rPr>
                <w:rFonts w:ascii="Times New Roman" w:hAnsi="Times New Roman" w:eastAsia="仿宋_GB2312"/>
                <w:sz w:val="24"/>
              </w:rPr>
              <w:t>XXX</w:t>
            </w:r>
          </w:p>
        </w:tc>
        <w:tc>
          <w:tcPr>
            <w:tcW w:w="1293" w:type="dxa"/>
            <w:vAlign w:val="center"/>
          </w:tcPr>
          <w:p w14:paraId="0AF6A3FC">
            <w:pPr>
              <w:spacing w:after="0" w:line="340" w:lineRule="exact"/>
              <w:jc w:val="center"/>
              <w:rPr>
                <w:rFonts w:ascii="Times New Roman" w:hAnsi="Times New Roman" w:eastAsia="仿宋_GB2312"/>
                <w:sz w:val="24"/>
              </w:rPr>
            </w:pPr>
            <w:r>
              <w:rPr>
                <w:rFonts w:ascii="Times New Roman" w:hAnsi="Times New Roman" w:eastAsia="仿宋_GB2312"/>
                <w:sz w:val="24"/>
              </w:rPr>
              <w:t>/</w:t>
            </w:r>
          </w:p>
        </w:tc>
      </w:tr>
    </w:tbl>
    <w:p w14:paraId="32C52B07">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排放单位2020年新增设施导致的总排放量为XXX吨，是基准年排放量的XXX%，新增服务范围xx发展中心建筑面积（不含地下车库）xxxx平方米，地下车库面积xxxx平方米，实际物业管理面积xxxx平方米，</w:t>
      </w:r>
      <w:r>
        <w:rPr>
          <w:rFonts w:hint="eastAsia" w:ascii="Times New Roman" w:hAnsi="Times New Roman" w:eastAsia="仿宋_GB2312"/>
          <w:sz w:val="32"/>
          <w:szCs w:val="32"/>
        </w:rPr>
        <w:t>新增服务范围对应的</w:t>
      </w:r>
      <w:r>
        <w:rPr>
          <w:rFonts w:ascii="Times New Roman" w:hAnsi="Times New Roman" w:eastAsia="仿宋_GB2312"/>
          <w:sz w:val="32"/>
          <w:szCs w:val="32"/>
        </w:rPr>
        <w:t>产值为xxx万元</w:t>
      </w:r>
      <w:r>
        <w:rPr>
          <w:rFonts w:hint="eastAsia" w:ascii="Times New Roman" w:hAnsi="Times New Roman" w:eastAsia="仿宋_GB2312"/>
          <w:sz w:val="32"/>
          <w:szCs w:val="32"/>
        </w:rPr>
        <w:t>（其中物业管理费xx万元，采暖制冷费用xx万元，物业经营收入xx万元，增值服务费xx万元），入驻率为xx%</w:t>
      </w:r>
      <w:r>
        <w:rPr>
          <w:rFonts w:ascii="Times New Roman" w:hAnsi="Times New Roman" w:eastAsia="仿宋_GB2312"/>
          <w:sz w:val="32"/>
          <w:szCs w:val="32"/>
        </w:rPr>
        <w:t>。此信息供新增设施发放配额参考。</w:t>
      </w:r>
    </w:p>
    <w:p w14:paraId="0730ED6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0FBA6C37">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由于天然气表和电表分别为燃气公司及电力公司管控，因此未能核查这些仪表的检定信息。</w:t>
      </w:r>
    </w:p>
    <w:p w14:paraId="5410FBBC">
      <w:pPr>
        <w:spacing w:after="0" w:line="560" w:lineRule="exact"/>
        <w:ind w:right="-198" w:rightChars="-90" w:firstLine="640" w:firstLineChars="200"/>
        <w:rPr>
          <w:rFonts w:ascii="Times New Roman" w:hAnsi="Times New Roman" w:eastAsia="仿宋_GB2312"/>
          <w:sz w:val="32"/>
          <w:szCs w:val="32"/>
        </w:rPr>
        <w:sectPr>
          <w:pgSz w:w="11906" w:h="16838"/>
          <w:pgMar w:top="2098" w:right="1474" w:bottom="1984" w:left="1587" w:header="851" w:footer="1587" w:gutter="0"/>
          <w:pgNumType w:fmt="decimal"/>
          <w:cols w:space="0" w:num="1"/>
          <w:docGrid w:type="lines" w:linePitch="312" w:charSpace="0"/>
        </w:sectPr>
      </w:pPr>
      <w:r>
        <w:rPr>
          <w:rFonts w:ascii="Times New Roman" w:hAnsi="Times New Roman" w:eastAsia="仿宋_GB2312"/>
          <w:sz w:val="32"/>
          <w:szCs w:val="32"/>
        </w:rPr>
        <w:t>历史核查时，对于排放单位服务的</w:t>
      </w:r>
      <w:r>
        <w:rPr>
          <w:rFonts w:hint="eastAsia" w:ascii="Times New Roman" w:hAnsi="Times New Roman" w:eastAsia="仿宋_GB2312"/>
          <w:sz w:val="32"/>
          <w:szCs w:val="32"/>
        </w:rPr>
        <w:t>商业</w:t>
      </w:r>
      <w:r>
        <w:rPr>
          <w:rFonts w:ascii="Times New Roman" w:hAnsi="Times New Roman" w:eastAsia="仿宋_GB2312"/>
          <w:sz w:val="32"/>
          <w:szCs w:val="32"/>
        </w:rPr>
        <w:t>写字楼内的租户（非重点排放单位）消耗的电力予以了扣减，因此本次核查与历史核查边界保持一致，对</w:t>
      </w:r>
      <w:r>
        <w:rPr>
          <w:rFonts w:hint="eastAsia" w:ascii="Times New Roman" w:hAnsi="Times New Roman" w:eastAsia="仿宋_GB2312"/>
          <w:sz w:val="32"/>
          <w:szCs w:val="32"/>
        </w:rPr>
        <w:t>商业</w:t>
      </w:r>
      <w:r>
        <w:rPr>
          <w:rFonts w:ascii="Times New Roman" w:hAnsi="Times New Roman" w:eastAsia="仿宋_GB2312"/>
          <w:sz w:val="32"/>
          <w:szCs w:val="32"/>
        </w:rPr>
        <w:t>写字楼内的租户也予以了扣减。</w:t>
      </w:r>
    </w:p>
    <w:p w14:paraId="5073AA93">
      <w:pPr>
        <w:pStyle w:val="4"/>
        <w:spacing w:before="0" w:after="0" w:line="56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其他行业企业</w:t>
      </w:r>
    </w:p>
    <w:p w14:paraId="4D4D0E11">
      <w:pPr>
        <w:spacing w:after="0" w:line="560" w:lineRule="exact"/>
        <w:rPr>
          <w:rFonts w:ascii="Times New Roman" w:hAnsi="Times New Roman" w:eastAsia="仿宋_GB2312"/>
          <w:sz w:val="32"/>
          <w:szCs w:val="32"/>
        </w:rPr>
      </w:pPr>
      <w:r>
        <w:rPr>
          <w:rFonts w:ascii="Times New Roman" w:hAnsi="Times New Roman" w:eastAsia="仿宋_GB2312"/>
          <w:sz w:val="32"/>
          <w:szCs w:val="32"/>
        </w:rPr>
        <w:t>核查结论</w:t>
      </w:r>
    </w:p>
    <w:p w14:paraId="684F6BEF">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
          <w:sz w:val="32"/>
          <w:szCs w:val="32"/>
        </w:rPr>
        <w:t>xxxx公司（以下简称排放单位）委托xxx公司开展XXXX年</w:t>
      </w:r>
      <w:r>
        <w:rPr>
          <w:rFonts w:ascii="Times New Roman" w:hAnsi="Times New Roman" w:eastAsia="仿宋_GB2312"/>
          <w:sz w:val="32"/>
          <w:szCs w:val="32"/>
        </w:rPr>
        <w:t>二氧化碳排放的核查工作。核查范围包括排放单位所有在北京市辖区内的固定设施导致的二氧化碳直接排放和二氧化碳间接排放。</w:t>
      </w:r>
    </w:p>
    <w:p w14:paraId="1FE4DD22">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通过文件评审、现场访问、核查报告编写及内部技术复核，核查组对排放单位XXXX年度二氧化碳排放报告形成如下核查结论：</w:t>
      </w:r>
    </w:p>
    <w:p w14:paraId="40409E37">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 核算、报告与方法学的符合性</w:t>
      </w:r>
    </w:p>
    <w:p w14:paraId="7755A8B3">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核查组确认所有不符合已全部关闭，排放单位的核算与报告均符合方法学</w:t>
      </w:r>
      <w:r>
        <w:rPr>
          <w:rFonts w:hint="eastAsia" w:ascii="Times New Roman" w:hAnsi="Times New Roman" w:eastAsia="仿宋_GB2312"/>
          <w:sz w:val="32"/>
          <w:szCs w:val="32"/>
        </w:rPr>
        <w:t>《二氧化碳排放核算和报告要求其他行业》（DB11/T 1787-2020）</w:t>
      </w:r>
      <w:r>
        <w:rPr>
          <w:rFonts w:ascii="Times New Roman" w:hAnsi="Times New Roman" w:eastAsia="仿宋_GB2312"/>
          <w:sz w:val="32"/>
          <w:szCs w:val="32"/>
        </w:rPr>
        <w:t>的要求，核查组对本排放报告出具肯定的核查结论。</w:t>
      </w:r>
    </w:p>
    <w:p w14:paraId="5B859186">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 本年度排放量及活动水平数据的声明</w:t>
      </w:r>
    </w:p>
    <w:p w14:paraId="357D2541">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经核查的直接和间接排放量与最终排放报告中的一</w:t>
      </w:r>
      <w:r>
        <w:rPr>
          <w:rFonts w:hint="eastAsia" w:ascii="Times New Roman" w:hAnsi="Times New Roman" w:eastAsia="仿宋_GB2312"/>
          <w:sz w:val="32"/>
          <w:szCs w:val="32"/>
        </w:rPr>
        <w:t>致。经核查的直接排放量为</w:t>
      </w:r>
      <w:r>
        <w:rPr>
          <w:rFonts w:ascii="Times New Roman" w:hAnsi="Times New Roman" w:eastAsia="仿宋_GB2312"/>
          <w:sz w:val="32"/>
          <w:szCs w:val="32"/>
        </w:rPr>
        <w:t>4306.14</w:t>
      </w:r>
      <w:r>
        <w:rPr>
          <w:rFonts w:hint="eastAsia" w:ascii="Times New Roman" w:hAnsi="Times New Roman" w:eastAsia="仿宋_GB2312"/>
          <w:sz w:val="32"/>
          <w:szCs w:val="32"/>
        </w:rPr>
        <w:t>吨，间接排放量为</w:t>
      </w:r>
      <w:r>
        <w:rPr>
          <w:rFonts w:ascii="Times New Roman" w:hAnsi="Times New Roman" w:eastAsia="仿宋_GB2312"/>
          <w:sz w:val="32"/>
          <w:szCs w:val="32"/>
        </w:rPr>
        <w:t>5567.87</w:t>
      </w:r>
      <w:r>
        <w:rPr>
          <w:rFonts w:hint="eastAsia" w:ascii="Times New Roman" w:hAnsi="Times New Roman" w:eastAsia="仿宋_GB2312"/>
          <w:sz w:val="32"/>
          <w:szCs w:val="32"/>
        </w:rPr>
        <w:t>吨，总排放量为</w:t>
      </w:r>
      <w:r>
        <w:rPr>
          <w:rFonts w:ascii="Times New Roman" w:hAnsi="Times New Roman" w:eastAsia="仿宋_GB2312"/>
          <w:sz w:val="32"/>
          <w:szCs w:val="32"/>
        </w:rPr>
        <w:t>9874.01</w:t>
      </w:r>
      <w:r>
        <w:rPr>
          <w:rFonts w:hint="eastAsia" w:ascii="Times New Roman" w:hAnsi="Times New Roman" w:eastAsia="仿宋_GB2312"/>
          <w:sz w:val="32"/>
          <w:szCs w:val="32"/>
        </w:rPr>
        <w:t>吨。</w:t>
      </w:r>
    </w:p>
    <w:p w14:paraId="4816CADD">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经核查的产品产量、产值与最终排放报告数据一致。经核查的</w:t>
      </w:r>
      <w:r>
        <w:rPr>
          <w:rFonts w:ascii="Times New Roman" w:hAnsi="Times New Roman" w:eastAsia="仿宋_GB2312"/>
          <w:sz w:val="32"/>
          <w:szCs w:val="32"/>
        </w:rPr>
        <w:t>xx</w:t>
      </w:r>
      <w:r>
        <w:rPr>
          <w:rFonts w:hint="eastAsia" w:ascii="Times New Roman" w:hAnsi="Times New Roman" w:eastAsia="仿宋_GB2312"/>
          <w:sz w:val="32"/>
          <w:szCs w:val="32"/>
        </w:rPr>
        <w:t>产品产量为</w:t>
      </w:r>
      <w:r>
        <w:rPr>
          <w:rFonts w:ascii="Times New Roman" w:hAnsi="Times New Roman" w:eastAsia="仿宋_GB2312"/>
          <w:sz w:val="32"/>
          <w:szCs w:val="32"/>
        </w:rPr>
        <w:t>xxx</w:t>
      </w:r>
      <w:r>
        <w:rPr>
          <w:rFonts w:hint="eastAsia" w:ascii="Times New Roman" w:hAnsi="Times New Roman" w:eastAsia="仿宋_GB2312"/>
          <w:sz w:val="32"/>
          <w:szCs w:val="32"/>
        </w:rPr>
        <w:t>吨，产值数据为</w:t>
      </w:r>
      <w:r>
        <w:rPr>
          <w:rFonts w:ascii="Times New Roman" w:hAnsi="Times New Roman" w:eastAsia="仿宋_GB2312"/>
          <w:sz w:val="32"/>
          <w:szCs w:val="32"/>
        </w:rPr>
        <w:t>xxxx</w:t>
      </w:r>
      <w:r>
        <w:rPr>
          <w:rFonts w:hint="eastAsia" w:ascii="Times New Roman" w:hAnsi="Times New Roman" w:eastAsia="仿宋_GB2312"/>
          <w:sz w:val="32"/>
          <w:szCs w:val="32"/>
        </w:rPr>
        <w:t>万元。</w:t>
      </w:r>
    </w:p>
    <w:p w14:paraId="2E9A66F6">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年度排放量及活动水平波动的原因说明</w:t>
      </w:r>
    </w:p>
    <w:p w14:paraId="58852E39">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本年度排放量与上一年度排放量相比增加了</w:t>
      </w:r>
      <w:r>
        <w:rPr>
          <w:rFonts w:ascii="Times New Roman" w:hAnsi="Times New Roman" w:eastAsia="仿宋_GB2312"/>
          <w:sz w:val="32"/>
          <w:szCs w:val="32"/>
        </w:rPr>
        <w:t>1812.43</w:t>
      </w:r>
      <w:r>
        <w:rPr>
          <w:rFonts w:hint="eastAsia" w:ascii="Times New Roman" w:hAnsi="Times New Roman" w:eastAsia="仿宋_GB2312"/>
          <w:sz w:val="32"/>
          <w:szCs w:val="32"/>
        </w:rPr>
        <w:t>吨</w:t>
      </w:r>
      <w:r>
        <w:rPr>
          <w:rFonts w:ascii="Times New Roman" w:hAnsi="Times New Roman" w:eastAsia="仿宋_GB2312"/>
          <w:sz w:val="32"/>
          <w:szCs w:val="32"/>
        </w:rPr>
        <w:t>/22.48%</w:t>
      </w:r>
      <w:r>
        <w:rPr>
          <w:rFonts w:hint="eastAsia" w:ascii="Times New Roman" w:hAnsi="Times New Roman" w:eastAsia="仿宋_GB2312"/>
          <w:sz w:val="32"/>
          <w:szCs w:val="32"/>
        </w:rPr>
        <w:t>，其中，直接排放量增加了</w:t>
      </w:r>
      <w:r>
        <w:rPr>
          <w:rFonts w:ascii="Times New Roman" w:hAnsi="Times New Roman" w:eastAsia="仿宋_GB2312"/>
          <w:sz w:val="32"/>
          <w:szCs w:val="32"/>
        </w:rPr>
        <w:t>648.81</w:t>
      </w:r>
      <w:r>
        <w:rPr>
          <w:rFonts w:hint="eastAsia" w:ascii="Times New Roman" w:hAnsi="Times New Roman" w:eastAsia="仿宋_GB2312"/>
          <w:sz w:val="32"/>
          <w:szCs w:val="32"/>
        </w:rPr>
        <w:t>吨</w:t>
      </w:r>
      <w:r>
        <w:rPr>
          <w:rFonts w:ascii="Times New Roman" w:hAnsi="Times New Roman" w:eastAsia="仿宋_GB2312"/>
          <w:sz w:val="32"/>
          <w:szCs w:val="32"/>
        </w:rPr>
        <w:t>/17.74%</w:t>
      </w:r>
      <w:r>
        <w:rPr>
          <w:rFonts w:hint="eastAsia" w:ascii="Times New Roman" w:hAnsi="Times New Roman" w:eastAsia="仿宋_GB2312"/>
          <w:sz w:val="32"/>
          <w:szCs w:val="32"/>
        </w:rPr>
        <w:t>，间接排放量增加了</w:t>
      </w:r>
      <w:r>
        <w:rPr>
          <w:rFonts w:ascii="Times New Roman" w:hAnsi="Times New Roman" w:eastAsia="仿宋_GB2312"/>
          <w:sz w:val="32"/>
          <w:szCs w:val="32"/>
        </w:rPr>
        <w:t>1163.61</w:t>
      </w:r>
      <w:r>
        <w:rPr>
          <w:rFonts w:hint="eastAsia" w:ascii="Times New Roman" w:hAnsi="Times New Roman" w:eastAsia="仿宋_GB2312"/>
          <w:sz w:val="32"/>
          <w:szCs w:val="32"/>
        </w:rPr>
        <w:t>吨</w:t>
      </w:r>
      <w:r>
        <w:rPr>
          <w:rFonts w:ascii="Times New Roman" w:hAnsi="Times New Roman" w:eastAsia="仿宋_GB2312"/>
          <w:sz w:val="32"/>
          <w:szCs w:val="32"/>
        </w:rPr>
        <w:t>/26.42%</w:t>
      </w:r>
      <w:r>
        <w:rPr>
          <w:rFonts w:hint="eastAsia" w:ascii="Times New Roman" w:hAnsi="Times New Roman" w:eastAsia="仿宋_GB2312"/>
          <w:sz w:val="32"/>
          <w:szCs w:val="32"/>
        </w:rPr>
        <w:t>。经与排放单位确认，排放单位为提高</w:t>
      </w:r>
      <w:r>
        <w:rPr>
          <w:rFonts w:ascii="Times New Roman" w:hAnsi="Times New Roman" w:eastAsia="仿宋_GB2312"/>
          <w:sz w:val="32"/>
          <w:szCs w:val="32"/>
        </w:rPr>
        <w:t>产能，</w:t>
      </w:r>
      <w:r>
        <w:rPr>
          <w:rFonts w:hint="eastAsia" w:ascii="Times New Roman" w:hAnsi="Times New Roman" w:eastAsia="仿宋_GB2312"/>
          <w:sz w:val="32"/>
          <w:szCs w:val="32"/>
        </w:rPr>
        <w:t>增加了原料处理量</w:t>
      </w:r>
      <w:r>
        <w:rPr>
          <w:rFonts w:ascii="Times New Roman" w:hAnsi="Times New Roman" w:eastAsia="仿宋_GB2312"/>
          <w:sz w:val="32"/>
          <w:szCs w:val="32"/>
        </w:rPr>
        <w:t>，导致2019年天然气消耗上升直接排放量增加；2019年新增了一</w:t>
      </w:r>
      <w:r>
        <w:rPr>
          <w:rFonts w:hint="eastAsia" w:ascii="Times New Roman" w:hAnsi="Times New Roman" w:eastAsia="仿宋_GB2312"/>
          <w:sz w:val="32"/>
          <w:szCs w:val="32"/>
        </w:rPr>
        <w:t>套xxxx</w:t>
      </w:r>
      <w:r>
        <w:rPr>
          <w:rFonts w:ascii="Times New Roman" w:hAnsi="Times New Roman" w:eastAsia="仿宋_GB2312"/>
          <w:sz w:val="32"/>
          <w:szCs w:val="32"/>
        </w:rPr>
        <w:t>生产设备，电力消耗量增加导致间接排放量增加。</w:t>
      </w:r>
    </w:p>
    <w:p w14:paraId="6C949252">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2020年度排放量与历史基准年份排放量相比增加了1812.42吨/22.48%。排放量增加的主要原因为排放单位增加</w:t>
      </w:r>
      <w:r>
        <w:rPr>
          <w:rFonts w:hint="eastAsia" w:ascii="Times New Roman" w:hAnsi="Times New Roman" w:eastAsia="仿宋_GB2312"/>
          <w:sz w:val="32"/>
          <w:szCs w:val="32"/>
        </w:rPr>
        <w:t>了原料处理量</w:t>
      </w:r>
      <w:r>
        <w:rPr>
          <w:rFonts w:ascii="Times New Roman" w:hAnsi="Times New Roman" w:eastAsia="仿宋_GB2312"/>
          <w:sz w:val="32"/>
          <w:szCs w:val="32"/>
        </w:rPr>
        <w:t>且新增加了一</w:t>
      </w:r>
      <w:r>
        <w:rPr>
          <w:rFonts w:hint="eastAsia" w:ascii="Times New Roman" w:hAnsi="Times New Roman" w:eastAsia="仿宋_GB2312"/>
          <w:sz w:val="32"/>
          <w:szCs w:val="32"/>
        </w:rPr>
        <w:t>套xxxx</w:t>
      </w:r>
      <w:r>
        <w:rPr>
          <w:rFonts w:ascii="Times New Roman" w:hAnsi="Times New Roman" w:eastAsia="仿宋_GB2312"/>
          <w:sz w:val="32"/>
          <w:szCs w:val="32"/>
        </w:rPr>
        <w:t>生产设备，导致排放量上升。</w:t>
      </w:r>
    </w:p>
    <w:p w14:paraId="38A6567B">
      <w:pPr>
        <w:spacing w:after="0" w:line="560" w:lineRule="exact"/>
        <w:jc w:val="center"/>
        <w:rPr>
          <w:rFonts w:ascii="Times New Roman" w:hAnsi="Times New Roman" w:eastAsia="仿宋_GB2312"/>
          <w:sz w:val="24"/>
        </w:rPr>
      </w:pPr>
      <w:r>
        <w:rPr>
          <w:rFonts w:ascii="Times New Roman" w:hAnsi="Times New Roman" w:eastAsia="仿宋_GB2312"/>
          <w:sz w:val="24"/>
        </w:rPr>
        <w:t>表XX  排放量汇总表</w:t>
      </w:r>
    </w:p>
    <w:tbl>
      <w:tblPr>
        <w:tblStyle w:val="35"/>
        <w:tblW w:w="8329" w:type="dxa"/>
        <w:tblInd w:w="0" w:type="dxa"/>
        <w:tblLayout w:type="fixed"/>
        <w:tblCellMar>
          <w:top w:w="0" w:type="dxa"/>
          <w:left w:w="0" w:type="dxa"/>
          <w:bottom w:w="0" w:type="dxa"/>
          <w:right w:w="0" w:type="dxa"/>
        </w:tblCellMar>
      </w:tblPr>
      <w:tblGrid>
        <w:gridCol w:w="1707"/>
        <w:gridCol w:w="1996"/>
        <w:gridCol w:w="2424"/>
        <w:gridCol w:w="2202"/>
      </w:tblGrid>
      <w:tr w14:paraId="16C216CB">
        <w:tblPrEx>
          <w:tblCellMar>
            <w:top w:w="0" w:type="dxa"/>
            <w:left w:w="0" w:type="dxa"/>
            <w:bottom w:w="0" w:type="dxa"/>
            <w:right w:w="0" w:type="dxa"/>
          </w:tblCellMar>
        </w:tblPrEx>
        <w:trPr>
          <w:trHeight w:val="737" w:hRule="atLeast"/>
        </w:trPr>
        <w:tc>
          <w:tcPr>
            <w:tcW w:w="1707"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14:paraId="285537B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年度</w:t>
            </w:r>
          </w:p>
        </w:tc>
        <w:tc>
          <w:tcPr>
            <w:tcW w:w="1996"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14:paraId="35ABD89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直接排放量（tCO2）</w:t>
            </w:r>
          </w:p>
        </w:tc>
        <w:tc>
          <w:tcPr>
            <w:tcW w:w="2424"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14:paraId="740D5D34">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间接排放量（tCO2）</w:t>
            </w:r>
          </w:p>
        </w:tc>
        <w:tc>
          <w:tcPr>
            <w:tcW w:w="2202"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14:paraId="2E4882F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排放总量（tCO2）</w:t>
            </w:r>
          </w:p>
        </w:tc>
      </w:tr>
      <w:tr w14:paraId="2F6769BF">
        <w:tblPrEx>
          <w:tblCellMar>
            <w:top w:w="0" w:type="dxa"/>
            <w:left w:w="0" w:type="dxa"/>
            <w:bottom w:w="0" w:type="dxa"/>
            <w:right w:w="0" w:type="dxa"/>
          </w:tblCellMar>
        </w:tblPrEx>
        <w:trPr>
          <w:trHeight w:val="330" w:hRule="atLeast"/>
        </w:trPr>
        <w:tc>
          <w:tcPr>
            <w:tcW w:w="1707"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14:paraId="117622D7">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2016</w:t>
            </w:r>
          </w:p>
        </w:tc>
        <w:tc>
          <w:tcPr>
            <w:tcW w:w="1996" w:type="dxa"/>
            <w:tcBorders>
              <w:top w:val="nil"/>
              <w:left w:val="nil"/>
              <w:bottom w:val="single" w:color="000000" w:sz="8" w:space="0"/>
              <w:right w:val="single" w:color="000000" w:sz="8" w:space="0"/>
            </w:tcBorders>
            <w:tcMar>
              <w:top w:w="10" w:type="dxa"/>
              <w:left w:w="10" w:type="dxa"/>
              <w:right w:w="10" w:type="dxa"/>
            </w:tcMar>
            <w:vAlign w:val="center"/>
          </w:tcPr>
          <w:p w14:paraId="1E06582C">
            <w:pPr>
              <w:jc w:val="center"/>
              <w:rPr>
                <w:rFonts w:ascii="Times New Roman" w:hAnsi="Times New Roman"/>
              </w:rPr>
            </w:pPr>
            <w:r>
              <w:rPr>
                <w:rFonts w:ascii="Times New Roman" w:hAnsi="Times New Roman"/>
              </w:rPr>
              <w:t>3442.68</w:t>
            </w:r>
          </w:p>
        </w:tc>
        <w:tc>
          <w:tcPr>
            <w:tcW w:w="2424" w:type="dxa"/>
            <w:tcBorders>
              <w:top w:val="nil"/>
              <w:left w:val="nil"/>
              <w:bottom w:val="single" w:color="000000" w:sz="8" w:space="0"/>
              <w:right w:val="single" w:color="000000" w:sz="8" w:space="0"/>
            </w:tcBorders>
            <w:tcMar>
              <w:top w:w="10" w:type="dxa"/>
              <w:left w:w="10" w:type="dxa"/>
              <w:right w:w="10" w:type="dxa"/>
            </w:tcMar>
            <w:vAlign w:val="center"/>
          </w:tcPr>
          <w:p w14:paraId="2DD56BAF">
            <w:pPr>
              <w:jc w:val="center"/>
              <w:rPr>
                <w:rFonts w:ascii="Times New Roman" w:hAnsi="Times New Roman"/>
              </w:rPr>
            </w:pPr>
            <w:r>
              <w:rPr>
                <w:rFonts w:ascii="Times New Roman" w:hAnsi="Times New Roman"/>
              </w:rPr>
              <w:t>3824.26</w:t>
            </w:r>
          </w:p>
        </w:tc>
        <w:tc>
          <w:tcPr>
            <w:tcW w:w="2202" w:type="dxa"/>
            <w:tcBorders>
              <w:top w:val="nil"/>
              <w:left w:val="nil"/>
              <w:bottom w:val="single" w:color="000000" w:sz="8" w:space="0"/>
              <w:right w:val="single" w:color="000000" w:sz="8" w:space="0"/>
            </w:tcBorders>
            <w:tcMar>
              <w:top w:w="10" w:type="dxa"/>
              <w:left w:w="10" w:type="dxa"/>
              <w:right w:w="10" w:type="dxa"/>
            </w:tcMar>
            <w:vAlign w:val="center"/>
          </w:tcPr>
          <w:p w14:paraId="0AC2D4E0">
            <w:pPr>
              <w:jc w:val="center"/>
              <w:rPr>
                <w:rFonts w:ascii="Times New Roman" w:hAnsi="Times New Roman"/>
              </w:rPr>
            </w:pPr>
            <w:r>
              <w:rPr>
                <w:rFonts w:ascii="Times New Roman" w:hAnsi="Times New Roman"/>
              </w:rPr>
              <w:t>7266.93</w:t>
            </w:r>
          </w:p>
        </w:tc>
      </w:tr>
      <w:tr w14:paraId="6DD883F7">
        <w:tblPrEx>
          <w:tblCellMar>
            <w:top w:w="0" w:type="dxa"/>
            <w:left w:w="0" w:type="dxa"/>
            <w:bottom w:w="0" w:type="dxa"/>
            <w:right w:w="0" w:type="dxa"/>
          </w:tblCellMar>
        </w:tblPrEx>
        <w:trPr>
          <w:trHeight w:val="330" w:hRule="atLeast"/>
        </w:trPr>
        <w:tc>
          <w:tcPr>
            <w:tcW w:w="1707" w:type="dxa"/>
            <w:tcBorders>
              <w:top w:val="nil"/>
              <w:left w:val="single" w:color="000000" w:sz="8" w:space="0"/>
              <w:bottom w:val="single" w:color="auto" w:sz="4" w:space="0"/>
              <w:right w:val="single" w:color="000000" w:sz="8" w:space="0"/>
            </w:tcBorders>
            <w:tcMar>
              <w:top w:w="10" w:type="dxa"/>
              <w:left w:w="10" w:type="dxa"/>
              <w:right w:w="10" w:type="dxa"/>
            </w:tcMar>
            <w:vAlign w:val="center"/>
          </w:tcPr>
          <w:p w14:paraId="1D6A606B">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2017</w:t>
            </w:r>
          </w:p>
        </w:tc>
        <w:tc>
          <w:tcPr>
            <w:tcW w:w="1996" w:type="dxa"/>
            <w:tcBorders>
              <w:top w:val="nil"/>
              <w:left w:val="nil"/>
              <w:bottom w:val="single" w:color="auto" w:sz="4" w:space="0"/>
              <w:right w:val="single" w:color="000000" w:sz="8" w:space="0"/>
            </w:tcBorders>
            <w:tcMar>
              <w:top w:w="10" w:type="dxa"/>
              <w:left w:w="10" w:type="dxa"/>
              <w:right w:w="10" w:type="dxa"/>
            </w:tcMar>
            <w:vAlign w:val="center"/>
          </w:tcPr>
          <w:p w14:paraId="437D491A">
            <w:pPr>
              <w:jc w:val="center"/>
              <w:rPr>
                <w:rFonts w:ascii="Times New Roman" w:hAnsi="Times New Roman"/>
              </w:rPr>
            </w:pPr>
            <w:r>
              <w:rPr>
                <w:rFonts w:ascii="Times New Roman" w:hAnsi="Times New Roman"/>
              </w:rPr>
              <w:t>3522.33</w:t>
            </w:r>
          </w:p>
        </w:tc>
        <w:tc>
          <w:tcPr>
            <w:tcW w:w="2424" w:type="dxa"/>
            <w:tcBorders>
              <w:top w:val="nil"/>
              <w:left w:val="nil"/>
              <w:bottom w:val="single" w:color="auto" w:sz="4" w:space="0"/>
              <w:right w:val="single" w:color="000000" w:sz="8" w:space="0"/>
            </w:tcBorders>
            <w:tcMar>
              <w:top w:w="10" w:type="dxa"/>
              <w:left w:w="10" w:type="dxa"/>
              <w:right w:w="10" w:type="dxa"/>
            </w:tcMar>
            <w:vAlign w:val="center"/>
          </w:tcPr>
          <w:p w14:paraId="517FB1B5">
            <w:pPr>
              <w:jc w:val="center"/>
              <w:rPr>
                <w:rFonts w:ascii="Times New Roman" w:hAnsi="Times New Roman"/>
              </w:rPr>
            </w:pPr>
            <w:r>
              <w:rPr>
                <w:rFonts w:ascii="Times New Roman" w:hAnsi="Times New Roman"/>
              </w:rPr>
              <w:t>4114.26</w:t>
            </w:r>
          </w:p>
        </w:tc>
        <w:tc>
          <w:tcPr>
            <w:tcW w:w="2202" w:type="dxa"/>
            <w:tcBorders>
              <w:top w:val="nil"/>
              <w:left w:val="nil"/>
              <w:bottom w:val="single" w:color="auto" w:sz="4" w:space="0"/>
              <w:right w:val="single" w:color="000000" w:sz="8" w:space="0"/>
            </w:tcBorders>
            <w:tcMar>
              <w:top w:w="10" w:type="dxa"/>
              <w:left w:w="10" w:type="dxa"/>
              <w:right w:w="10" w:type="dxa"/>
            </w:tcMar>
            <w:vAlign w:val="center"/>
          </w:tcPr>
          <w:p w14:paraId="6248221D">
            <w:pPr>
              <w:jc w:val="center"/>
              <w:rPr>
                <w:rFonts w:ascii="Times New Roman" w:hAnsi="Times New Roman"/>
              </w:rPr>
            </w:pPr>
            <w:r>
              <w:rPr>
                <w:rFonts w:ascii="Times New Roman" w:hAnsi="Times New Roman"/>
              </w:rPr>
              <w:t>7636.58</w:t>
            </w:r>
          </w:p>
        </w:tc>
      </w:tr>
      <w:tr w14:paraId="24BF951C">
        <w:tblPrEx>
          <w:tblCellMar>
            <w:top w:w="0" w:type="dxa"/>
            <w:left w:w="0" w:type="dxa"/>
            <w:bottom w:w="0" w:type="dxa"/>
            <w:right w:w="0" w:type="dxa"/>
          </w:tblCellMar>
        </w:tblPrEx>
        <w:trPr>
          <w:trHeight w:val="330" w:hRule="atLeast"/>
        </w:trPr>
        <w:tc>
          <w:tcPr>
            <w:tcW w:w="170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819ADF6">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2018</w:t>
            </w:r>
          </w:p>
        </w:tc>
        <w:tc>
          <w:tcPr>
            <w:tcW w:w="19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7314CCB">
            <w:pPr>
              <w:jc w:val="center"/>
              <w:rPr>
                <w:rFonts w:ascii="Times New Roman" w:hAnsi="Times New Roman"/>
              </w:rPr>
            </w:pPr>
            <w:r>
              <w:rPr>
                <w:rFonts w:ascii="Times New Roman" w:hAnsi="Times New Roman"/>
              </w:rPr>
              <w:t>3657.33</w:t>
            </w:r>
          </w:p>
        </w:tc>
        <w:tc>
          <w:tcPr>
            <w:tcW w:w="24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70E085B">
            <w:pPr>
              <w:jc w:val="center"/>
              <w:rPr>
                <w:rFonts w:ascii="Times New Roman" w:hAnsi="Times New Roman"/>
              </w:rPr>
            </w:pPr>
            <w:r>
              <w:rPr>
                <w:rFonts w:ascii="Times New Roman" w:hAnsi="Times New Roman"/>
              </w:rPr>
              <w:t>4404.26</w:t>
            </w:r>
          </w:p>
        </w:tc>
        <w:tc>
          <w:tcPr>
            <w:tcW w:w="22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505EDA4">
            <w:pPr>
              <w:jc w:val="center"/>
              <w:rPr>
                <w:rFonts w:ascii="Times New Roman" w:hAnsi="Times New Roman"/>
              </w:rPr>
            </w:pPr>
            <w:r>
              <w:rPr>
                <w:rFonts w:ascii="Times New Roman" w:hAnsi="Times New Roman"/>
              </w:rPr>
              <w:t>8061.58</w:t>
            </w:r>
          </w:p>
        </w:tc>
      </w:tr>
      <w:tr w14:paraId="48D34AC0">
        <w:tblPrEx>
          <w:tblCellMar>
            <w:top w:w="0" w:type="dxa"/>
            <w:left w:w="0" w:type="dxa"/>
            <w:bottom w:w="0" w:type="dxa"/>
            <w:right w:w="0" w:type="dxa"/>
          </w:tblCellMar>
        </w:tblPrEx>
        <w:trPr>
          <w:trHeight w:val="315" w:hRule="atLeast"/>
        </w:trPr>
        <w:tc>
          <w:tcPr>
            <w:tcW w:w="170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4B8E78FE">
            <w:pPr>
              <w:jc w:val="center"/>
              <w:textAlignment w:val="center"/>
              <w:rPr>
                <w:rFonts w:ascii="Times New Roman" w:hAnsi="Times New Roman" w:eastAsia="仿宋_GB2312"/>
                <w:color w:val="000000"/>
                <w:sz w:val="24"/>
              </w:rPr>
            </w:pPr>
            <w:r>
              <w:rPr>
                <w:rFonts w:ascii="Times New Roman" w:hAnsi="Times New Roman" w:eastAsia="仿宋_GB2312"/>
                <w:color w:val="000000"/>
                <w:sz w:val="24"/>
              </w:rPr>
              <w:t>2019</w:t>
            </w:r>
          </w:p>
        </w:tc>
        <w:tc>
          <w:tcPr>
            <w:tcW w:w="19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AD5A9CF">
            <w:pPr>
              <w:jc w:val="center"/>
              <w:rPr>
                <w:rFonts w:ascii="Times New Roman" w:hAnsi="Times New Roman"/>
              </w:rPr>
            </w:pPr>
            <w:r>
              <w:rPr>
                <w:rFonts w:ascii="Times New Roman" w:hAnsi="Times New Roman"/>
              </w:rPr>
              <w:t>4306.14</w:t>
            </w:r>
          </w:p>
        </w:tc>
        <w:tc>
          <w:tcPr>
            <w:tcW w:w="24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71B4C597">
            <w:pPr>
              <w:jc w:val="center"/>
              <w:rPr>
                <w:rFonts w:ascii="Times New Roman" w:hAnsi="Times New Roman"/>
              </w:rPr>
            </w:pPr>
            <w:bookmarkStart w:id="23" w:name="_Hlk34833377"/>
            <w:r>
              <w:rPr>
                <w:rFonts w:ascii="Times New Roman" w:hAnsi="Times New Roman"/>
              </w:rPr>
              <w:t>5567.87</w:t>
            </w:r>
            <w:bookmarkEnd w:id="23"/>
          </w:p>
        </w:tc>
        <w:tc>
          <w:tcPr>
            <w:tcW w:w="22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14FACE8C">
            <w:pPr>
              <w:jc w:val="center"/>
              <w:rPr>
                <w:rFonts w:ascii="Times New Roman" w:hAnsi="Times New Roman"/>
              </w:rPr>
            </w:pPr>
            <w:bookmarkStart w:id="24" w:name="_Hlk34833386"/>
            <w:r>
              <w:rPr>
                <w:rFonts w:ascii="Times New Roman" w:hAnsi="Times New Roman"/>
              </w:rPr>
              <w:t>9874.01</w:t>
            </w:r>
            <w:bookmarkEnd w:id="24"/>
          </w:p>
        </w:tc>
      </w:tr>
      <w:tr w14:paraId="540D8857">
        <w:tblPrEx>
          <w:tblCellMar>
            <w:top w:w="0" w:type="dxa"/>
            <w:left w:w="0" w:type="dxa"/>
            <w:bottom w:w="0" w:type="dxa"/>
            <w:right w:w="0" w:type="dxa"/>
          </w:tblCellMar>
        </w:tblPrEx>
        <w:trPr>
          <w:trHeight w:val="315" w:hRule="atLeast"/>
        </w:trPr>
        <w:tc>
          <w:tcPr>
            <w:tcW w:w="170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69B84AD0">
            <w:pPr>
              <w:jc w:val="center"/>
              <w:textAlignment w:val="center"/>
              <w:rPr>
                <w:rFonts w:ascii="Times New Roman" w:hAnsi="Times New Roman" w:eastAsia="仿宋_GB2312"/>
                <w:color w:val="000000"/>
                <w:sz w:val="24"/>
              </w:rPr>
            </w:pPr>
            <w:r>
              <w:rPr>
                <w:rFonts w:hint="eastAsia" w:ascii="Times New Roman" w:hAnsi="Times New Roman" w:eastAsia="仿宋_GB2312"/>
                <w:color w:val="000000"/>
                <w:sz w:val="24"/>
              </w:rPr>
              <w:t>2</w:t>
            </w:r>
            <w:r>
              <w:rPr>
                <w:rFonts w:ascii="Times New Roman" w:hAnsi="Times New Roman" w:eastAsia="仿宋_GB2312"/>
                <w:color w:val="000000"/>
                <w:sz w:val="24"/>
              </w:rPr>
              <w:t>020</w:t>
            </w:r>
          </w:p>
        </w:tc>
        <w:tc>
          <w:tcPr>
            <w:tcW w:w="199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24F2FE8">
            <w:pPr>
              <w:jc w:val="center"/>
              <w:rPr>
                <w:rFonts w:ascii="Times New Roman" w:hAnsi="Times New Roman"/>
              </w:rPr>
            </w:pPr>
            <w:r>
              <w:rPr>
                <w:rFonts w:ascii="Times New Roman" w:hAnsi="Times New Roman"/>
              </w:rPr>
              <w:t>4306.14</w:t>
            </w:r>
          </w:p>
        </w:tc>
        <w:tc>
          <w:tcPr>
            <w:tcW w:w="2424"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57690931">
            <w:pPr>
              <w:jc w:val="center"/>
              <w:rPr>
                <w:rFonts w:ascii="Times New Roman" w:hAnsi="Times New Roman"/>
              </w:rPr>
            </w:pPr>
            <w:r>
              <w:rPr>
                <w:rFonts w:ascii="Times New Roman" w:hAnsi="Times New Roman"/>
              </w:rPr>
              <w:t>5567.87</w:t>
            </w:r>
          </w:p>
        </w:tc>
        <w:tc>
          <w:tcPr>
            <w:tcW w:w="220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14:paraId="309D1AB9">
            <w:pPr>
              <w:jc w:val="center"/>
              <w:rPr>
                <w:rFonts w:ascii="Times New Roman" w:hAnsi="Times New Roman"/>
              </w:rPr>
            </w:pPr>
            <w:r>
              <w:rPr>
                <w:rFonts w:ascii="Times New Roman" w:hAnsi="Times New Roman"/>
              </w:rPr>
              <w:t>9874.01</w:t>
            </w:r>
          </w:p>
        </w:tc>
      </w:tr>
    </w:tbl>
    <w:p w14:paraId="0CE66CAD">
      <w:pPr>
        <w:jc w:val="center"/>
        <w:rPr>
          <w:rFonts w:ascii="Times New Roman" w:hAnsi="Times New Roman"/>
        </w:rPr>
      </w:pPr>
      <w:r>
        <w:rPr>
          <w:lang w:val="en-US"/>
        </w:rPr>
        <w:drawing>
          <wp:inline distT="0" distB="0" distL="0" distR="0">
            <wp:extent cx="4568825" cy="2740025"/>
            <wp:effectExtent l="0" t="0" r="3175" b="317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417641E">
      <w:pPr>
        <w:spacing w:after="0" w:line="560" w:lineRule="exact"/>
        <w:jc w:val="center"/>
        <w:rPr>
          <w:rFonts w:ascii="Times New Roman" w:hAnsi="Times New Roman" w:eastAsia="仿宋_GB2312"/>
          <w:sz w:val="32"/>
          <w:szCs w:val="32"/>
        </w:rPr>
      </w:pPr>
      <w:r>
        <w:rPr>
          <w:rFonts w:ascii="Times New Roman" w:hAnsi="Times New Roman" w:eastAsia="仿宋_GB2312"/>
          <w:sz w:val="24"/>
        </w:rPr>
        <w:t>图XX  排放量变化趋势图（增加</w:t>
      </w:r>
      <w:r>
        <w:rPr>
          <w:rFonts w:hint="eastAsia" w:ascii="Times New Roman" w:hAnsi="Times New Roman" w:eastAsia="仿宋_GB2312"/>
          <w:sz w:val="24"/>
        </w:rPr>
        <w:t>2</w:t>
      </w:r>
      <w:r>
        <w:rPr>
          <w:rFonts w:ascii="Times New Roman" w:hAnsi="Times New Roman" w:eastAsia="仿宋_GB2312"/>
          <w:sz w:val="24"/>
        </w:rPr>
        <w:t>020年度）</w:t>
      </w:r>
    </w:p>
    <w:p w14:paraId="2CD7EC4E">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核算和报告边界变化</w:t>
      </w:r>
      <w:r>
        <w:rPr>
          <w:rFonts w:hint="eastAsia" w:ascii="Times New Roman" w:hAnsi="Times New Roman" w:eastAsia="仿宋_GB2312"/>
          <w:sz w:val="32"/>
          <w:szCs w:val="32"/>
        </w:rPr>
        <w:t>（含设施变化）</w:t>
      </w:r>
      <w:r>
        <w:rPr>
          <w:rFonts w:ascii="Times New Roman" w:hAnsi="Times New Roman" w:eastAsia="仿宋_GB2312"/>
          <w:sz w:val="32"/>
          <w:szCs w:val="32"/>
        </w:rPr>
        <w:t>情况</w:t>
      </w:r>
    </w:p>
    <w:p w14:paraId="24EEB113">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4.1 本年度场所边界的变化</w:t>
      </w:r>
    </w:p>
    <w:p w14:paraId="367A58A0">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排放单位核算和报告边界为在位于xxx的生产厂区，产品为xxx。与上一年度相比，场所边界无变化；与基准年相比，场所边界无变化。</w:t>
      </w:r>
    </w:p>
    <w:p w14:paraId="75F8776B">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4.2 本年度排放设施的变化</w:t>
      </w:r>
    </w:p>
    <w:p w14:paraId="48FAAC4A">
      <w:pPr>
        <w:spacing w:after="0" w:line="560" w:lineRule="exact"/>
        <w:ind w:firstLine="465"/>
        <w:jc w:val="both"/>
        <w:rPr>
          <w:rFonts w:ascii="Times New Roman" w:hAnsi="Times New Roman" w:eastAsia="仿宋_GB2312"/>
          <w:sz w:val="32"/>
          <w:szCs w:val="32"/>
        </w:rPr>
      </w:pPr>
      <w:r>
        <w:rPr>
          <w:rFonts w:ascii="Times New Roman" w:hAnsi="Times New Roman" w:eastAsia="仿宋_GB2312"/>
          <w:sz w:val="32"/>
          <w:szCs w:val="32"/>
        </w:rPr>
        <w:t>排放单位2018年新建生产车间和厂房（x号楼、x号楼）。新建生产车间设施在2018年调试运行近2个月，投产运行2个月，截止2018年12月底运行时间不足12个月，符合既有设施排放配额调整的申请条件。此信息供既有设施调整配额参考。</w:t>
      </w:r>
    </w:p>
    <w:p w14:paraId="43E0EC36">
      <w:pPr>
        <w:spacing w:after="0" w:line="560" w:lineRule="exact"/>
        <w:ind w:firstLine="465"/>
        <w:rPr>
          <w:rFonts w:ascii="Times New Roman" w:hAnsi="Times New Roman" w:eastAsia="仿宋_GB2312"/>
          <w:sz w:val="32"/>
          <w:szCs w:val="32"/>
        </w:rPr>
      </w:pPr>
      <w:r>
        <w:rPr>
          <w:rFonts w:ascii="Times New Roman" w:hAnsi="Times New Roman" w:eastAsia="仿宋_GB2312"/>
          <w:sz w:val="32"/>
          <w:szCs w:val="32"/>
        </w:rPr>
        <w:t>排放单位既有设施xxx退出，未被新增设施替代。</w:t>
      </w:r>
    </w:p>
    <w:p w14:paraId="2D8B5A49">
      <w:pPr>
        <w:spacing w:after="0" w:line="560" w:lineRule="exact"/>
        <w:ind w:firstLine="465"/>
        <w:rPr>
          <w:rFonts w:ascii="Times New Roman" w:hAnsi="Times New Roman" w:eastAsia="仿宋_GB2312"/>
          <w:sz w:val="32"/>
          <w:szCs w:val="32"/>
        </w:rPr>
      </w:pPr>
    </w:p>
    <w:p w14:paraId="4FF43AA0">
      <w:pPr>
        <w:spacing w:after="0" w:line="560" w:lineRule="exact"/>
        <w:ind w:firstLine="465"/>
        <w:rPr>
          <w:rFonts w:ascii="Times New Roman" w:hAnsi="Times New Roman" w:eastAsia="仿宋_GB2312"/>
          <w:sz w:val="32"/>
          <w:szCs w:val="32"/>
        </w:rPr>
      </w:pPr>
    </w:p>
    <w:p w14:paraId="3D561419">
      <w:pPr>
        <w:spacing w:after="0" w:line="560" w:lineRule="exact"/>
        <w:jc w:val="center"/>
        <w:rPr>
          <w:rFonts w:ascii="Times New Roman" w:hAnsi="Times New Roman" w:eastAsia="仿宋_GB2312"/>
          <w:sz w:val="24"/>
        </w:rPr>
      </w:pPr>
      <w:r>
        <w:rPr>
          <w:rFonts w:ascii="Times New Roman" w:hAnsi="Times New Roman" w:eastAsia="仿宋_GB2312"/>
          <w:sz w:val="24"/>
        </w:rPr>
        <w:t>表XX  既有设施退出信息表</w:t>
      </w:r>
    </w:p>
    <w:tbl>
      <w:tblPr>
        <w:tblStyle w:val="35"/>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77"/>
        <w:gridCol w:w="1106"/>
        <w:gridCol w:w="722"/>
        <w:gridCol w:w="927"/>
        <w:gridCol w:w="1094"/>
        <w:gridCol w:w="1201"/>
        <w:gridCol w:w="1201"/>
        <w:gridCol w:w="1202"/>
      </w:tblGrid>
      <w:tr w14:paraId="3CFF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65" w:type="dxa"/>
            <w:vMerge w:val="restart"/>
            <w:vAlign w:val="center"/>
          </w:tcPr>
          <w:p w14:paraId="0C1E2366">
            <w:pPr>
              <w:spacing w:after="0" w:line="340" w:lineRule="exact"/>
              <w:jc w:val="center"/>
              <w:rPr>
                <w:rFonts w:ascii="Times New Roman" w:hAnsi="Times New Roman" w:eastAsia="仿宋_GB2312"/>
                <w:sz w:val="24"/>
              </w:rPr>
            </w:pPr>
            <w:r>
              <w:rPr>
                <w:rFonts w:ascii="Times New Roman" w:hAnsi="Times New Roman" w:eastAsia="仿宋_GB2312"/>
                <w:sz w:val="24"/>
              </w:rPr>
              <w:t>序号</w:t>
            </w:r>
          </w:p>
        </w:tc>
        <w:tc>
          <w:tcPr>
            <w:tcW w:w="777" w:type="dxa"/>
            <w:vMerge w:val="restart"/>
            <w:vAlign w:val="center"/>
          </w:tcPr>
          <w:p w14:paraId="46B6102F">
            <w:pPr>
              <w:spacing w:after="0" w:line="340" w:lineRule="exact"/>
              <w:jc w:val="center"/>
              <w:rPr>
                <w:rFonts w:ascii="Times New Roman" w:hAnsi="Times New Roman" w:eastAsia="仿宋_GB2312"/>
                <w:sz w:val="24"/>
              </w:rPr>
            </w:pPr>
            <w:r>
              <w:rPr>
                <w:rFonts w:ascii="Times New Roman" w:hAnsi="Times New Roman" w:eastAsia="仿宋_GB2312"/>
                <w:sz w:val="24"/>
              </w:rPr>
              <w:t>既有设施名称</w:t>
            </w:r>
          </w:p>
        </w:tc>
        <w:tc>
          <w:tcPr>
            <w:tcW w:w="1106" w:type="dxa"/>
            <w:vMerge w:val="restart"/>
            <w:vAlign w:val="center"/>
          </w:tcPr>
          <w:p w14:paraId="1D8FE591">
            <w:pPr>
              <w:spacing w:after="0" w:line="340" w:lineRule="exact"/>
              <w:jc w:val="center"/>
              <w:rPr>
                <w:rFonts w:ascii="Times New Roman" w:hAnsi="Times New Roman" w:eastAsia="仿宋_GB2312"/>
                <w:sz w:val="24"/>
              </w:rPr>
            </w:pPr>
            <w:r>
              <w:rPr>
                <w:rFonts w:ascii="Times New Roman" w:hAnsi="Times New Roman" w:eastAsia="仿宋_GB2312"/>
                <w:sz w:val="24"/>
              </w:rPr>
              <w:t>既有设施对应其它生产信息（如适用）</w:t>
            </w:r>
          </w:p>
        </w:tc>
        <w:tc>
          <w:tcPr>
            <w:tcW w:w="722" w:type="dxa"/>
            <w:vMerge w:val="restart"/>
            <w:vAlign w:val="center"/>
          </w:tcPr>
          <w:p w14:paraId="35F7B28E">
            <w:pPr>
              <w:spacing w:after="0" w:line="340" w:lineRule="exact"/>
              <w:jc w:val="center"/>
              <w:rPr>
                <w:rFonts w:ascii="Times New Roman" w:hAnsi="Times New Roman" w:eastAsia="仿宋_GB2312"/>
                <w:sz w:val="24"/>
              </w:rPr>
            </w:pPr>
            <w:r>
              <w:rPr>
                <w:rFonts w:ascii="Times New Roman" w:hAnsi="Times New Roman" w:eastAsia="仿宋_GB2312"/>
                <w:sz w:val="24"/>
              </w:rPr>
              <w:t>退出时间</w:t>
            </w:r>
          </w:p>
        </w:tc>
        <w:tc>
          <w:tcPr>
            <w:tcW w:w="927" w:type="dxa"/>
            <w:vMerge w:val="restart"/>
            <w:vAlign w:val="center"/>
          </w:tcPr>
          <w:p w14:paraId="30B90678">
            <w:pPr>
              <w:spacing w:after="0" w:line="340" w:lineRule="exact"/>
              <w:jc w:val="center"/>
              <w:rPr>
                <w:rFonts w:ascii="Times New Roman" w:hAnsi="Times New Roman" w:eastAsia="仿宋_GB2312"/>
                <w:sz w:val="24"/>
              </w:rPr>
            </w:pPr>
            <w:r>
              <w:rPr>
                <w:rFonts w:ascii="Times New Roman" w:hAnsi="Times New Roman" w:eastAsia="仿宋_GB2312"/>
                <w:sz w:val="24"/>
              </w:rPr>
              <w:t>是否由新增设施替代</w:t>
            </w:r>
          </w:p>
        </w:tc>
        <w:tc>
          <w:tcPr>
            <w:tcW w:w="1094" w:type="dxa"/>
            <w:vMerge w:val="restart"/>
            <w:tcBorders>
              <w:right w:val="single" w:color="auto" w:sz="4" w:space="0"/>
            </w:tcBorders>
            <w:vAlign w:val="center"/>
          </w:tcPr>
          <w:p w14:paraId="3BB25BC5">
            <w:pPr>
              <w:spacing w:after="0" w:line="340" w:lineRule="exact"/>
              <w:jc w:val="center"/>
              <w:rPr>
                <w:rFonts w:ascii="Times New Roman" w:hAnsi="Times New Roman" w:eastAsia="仿宋_GB2312"/>
                <w:sz w:val="24"/>
              </w:rPr>
            </w:pPr>
            <w:r>
              <w:rPr>
                <w:rFonts w:ascii="Times New Roman" w:hAnsi="Times New Roman" w:eastAsia="仿宋_GB2312"/>
                <w:sz w:val="24"/>
              </w:rPr>
              <w:t>年度</w:t>
            </w:r>
          </w:p>
        </w:tc>
        <w:tc>
          <w:tcPr>
            <w:tcW w:w="3604" w:type="dxa"/>
            <w:gridSpan w:val="3"/>
            <w:tcBorders>
              <w:left w:val="single" w:color="auto" w:sz="4" w:space="0"/>
            </w:tcBorders>
            <w:vAlign w:val="center"/>
          </w:tcPr>
          <w:p w14:paraId="3E017C93">
            <w:pPr>
              <w:spacing w:after="0" w:line="340" w:lineRule="exact"/>
              <w:jc w:val="center"/>
              <w:rPr>
                <w:rFonts w:ascii="Times New Roman" w:hAnsi="Times New Roman" w:eastAsia="仿宋_GB2312"/>
                <w:sz w:val="24"/>
              </w:rPr>
            </w:pPr>
            <w:r>
              <w:rPr>
                <w:rFonts w:ascii="Times New Roman" w:hAnsi="Times New Roman" w:eastAsia="仿宋_GB2312"/>
                <w:sz w:val="24"/>
              </w:rPr>
              <w:t>历史年度排放量</w:t>
            </w:r>
          </w:p>
        </w:tc>
      </w:tr>
      <w:tr w14:paraId="59A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 w:type="dxa"/>
            <w:vMerge w:val="continue"/>
            <w:vAlign w:val="center"/>
          </w:tcPr>
          <w:p w14:paraId="367DE900">
            <w:pPr>
              <w:spacing w:after="0" w:line="340" w:lineRule="exact"/>
              <w:jc w:val="center"/>
              <w:rPr>
                <w:rFonts w:ascii="Times New Roman" w:hAnsi="Times New Roman" w:eastAsia="仿宋_GB2312"/>
                <w:sz w:val="24"/>
              </w:rPr>
            </w:pPr>
          </w:p>
        </w:tc>
        <w:tc>
          <w:tcPr>
            <w:tcW w:w="777" w:type="dxa"/>
            <w:vMerge w:val="continue"/>
            <w:vAlign w:val="center"/>
          </w:tcPr>
          <w:p w14:paraId="3F746AA0">
            <w:pPr>
              <w:spacing w:after="0" w:line="340" w:lineRule="exact"/>
              <w:jc w:val="center"/>
              <w:rPr>
                <w:rFonts w:ascii="Times New Roman" w:hAnsi="Times New Roman" w:eastAsia="仿宋_GB2312"/>
                <w:sz w:val="24"/>
              </w:rPr>
            </w:pPr>
          </w:p>
        </w:tc>
        <w:tc>
          <w:tcPr>
            <w:tcW w:w="1106" w:type="dxa"/>
            <w:vMerge w:val="continue"/>
            <w:vAlign w:val="center"/>
          </w:tcPr>
          <w:p w14:paraId="5E50BDA5">
            <w:pPr>
              <w:spacing w:after="0" w:line="340" w:lineRule="exact"/>
              <w:jc w:val="center"/>
              <w:rPr>
                <w:rFonts w:ascii="Times New Roman" w:hAnsi="Times New Roman" w:eastAsia="仿宋_GB2312"/>
                <w:sz w:val="24"/>
              </w:rPr>
            </w:pPr>
          </w:p>
        </w:tc>
        <w:tc>
          <w:tcPr>
            <w:tcW w:w="722" w:type="dxa"/>
            <w:vMerge w:val="continue"/>
            <w:vAlign w:val="center"/>
          </w:tcPr>
          <w:p w14:paraId="423EB382">
            <w:pPr>
              <w:spacing w:after="0" w:line="340" w:lineRule="exact"/>
              <w:jc w:val="center"/>
              <w:rPr>
                <w:rFonts w:ascii="Times New Roman" w:hAnsi="Times New Roman" w:eastAsia="仿宋_GB2312"/>
                <w:sz w:val="24"/>
              </w:rPr>
            </w:pPr>
          </w:p>
        </w:tc>
        <w:tc>
          <w:tcPr>
            <w:tcW w:w="927" w:type="dxa"/>
            <w:vMerge w:val="continue"/>
            <w:vAlign w:val="center"/>
          </w:tcPr>
          <w:p w14:paraId="56308263">
            <w:pPr>
              <w:spacing w:after="0" w:line="340" w:lineRule="exact"/>
              <w:jc w:val="center"/>
              <w:rPr>
                <w:rFonts w:ascii="Times New Roman" w:hAnsi="Times New Roman" w:eastAsia="仿宋_GB2312"/>
                <w:sz w:val="24"/>
              </w:rPr>
            </w:pPr>
          </w:p>
        </w:tc>
        <w:tc>
          <w:tcPr>
            <w:tcW w:w="1094" w:type="dxa"/>
            <w:vMerge w:val="continue"/>
            <w:tcBorders>
              <w:right w:val="single" w:color="auto" w:sz="4" w:space="0"/>
            </w:tcBorders>
            <w:vAlign w:val="center"/>
          </w:tcPr>
          <w:p w14:paraId="6519CBB8">
            <w:pPr>
              <w:spacing w:after="0" w:line="340" w:lineRule="exact"/>
              <w:jc w:val="center"/>
              <w:rPr>
                <w:rFonts w:ascii="Times New Roman" w:hAnsi="Times New Roman" w:eastAsia="仿宋_GB2312"/>
                <w:sz w:val="24"/>
              </w:rPr>
            </w:pPr>
          </w:p>
        </w:tc>
        <w:tc>
          <w:tcPr>
            <w:tcW w:w="1201" w:type="dxa"/>
            <w:tcBorders>
              <w:left w:val="single" w:color="auto" w:sz="4" w:space="0"/>
            </w:tcBorders>
            <w:vAlign w:val="center"/>
          </w:tcPr>
          <w:p w14:paraId="72247A4A">
            <w:pPr>
              <w:spacing w:after="0" w:line="340" w:lineRule="exact"/>
              <w:jc w:val="center"/>
              <w:rPr>
                <w:rFonts w:ascii="Times New Roman" w:hAnsi="Times New Roman" w:eastAsia="仿宋_GB2312"/>
                <w:sz w:val="24"/>
              </w:rPr>
            </w:pPr>
            <w:r>
              <w:rPr>
                <w:rFonts w:ascii="Times New Roman" w:hAnsi="Times New Roman" w:eastAsia="仿宋_GB2312"/>
                <w:sz w:val="24"/>
              </w:rPr>
              <w:t>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201" w:type="dxa"/>
            <w:vAlign w:val="center"/>
          </w:tcPr>
          <w:p w14:paraId="022017A0">
            <w:pPr>
              <w:spacing w:after="0" w:line="340" w:lineRule="exact"/>
              <w:jc w:val="center"/>
              <w:rPr>
                <w:rFonts w:ascii="Times New Roman" w:hAnsi="Times New Roman" w:eastAsia="仿宋_GB2312"/>
                <w:sz w:val="24"/>
              </w:rPr>
            </w:pPr>
            <w:r>
              <w:rPr>
                <w:rFonts w:ascii="Times New Roman" w:hAnsi="Times New Roman" w:eastAsia="仿宋_GB2312"/>
                <w:sz w:val="24"/>
              </w:rPr>
              <w:t>间接排放量（tCO</w:t>
            </w:r>
            <w:r>
              <w:rPr>
                <w:rFonts w:ascii="Times New Roman" w:hAnsi="Times New Roman" w:eastAsia="仿宋_GB2312"/>
                <w:sz w:val="24"/>
                <w:vertAlign w:val="subscript"/>
              </w:rPr>
              <w:t>2</w:t>
            </w:r>
            <w:r>
              <w:rPr>
                <w:rFonts w:ascii="Times New Roman" w:hAnsi="Times New Roman" w:eastAsia="仿宋_GB2312"/>
                <w:sz w:val="24"/>
              </w:rPr>
              <w:t>）</w:t>
            </w:r>
          </w:p>
        </w:tc>
        <w:tc>
          <w:tcPr>
            <w:tcW w:w="1202" w:type="dxa"/>
            <w:vAlign w:val="center"/>
          </w:tcPr>
          <w:p w14:paraId="048321B1">
            <w:pPr>
              <w:spacing w:after="0" w:line="340" w:lineRule="exact"/>
              <w:jc w:val="center"/>
              <w:rPr>
                <w:rFonts w:ascii="Times New Roman" w:hAnsi="Times New Roman" w:eastAsia="仿宋_GB2312"/>
                <w:sz w:val="24"/>
              </w:rPr>
            </w:pPr>
            <w:r>
              <w:rPr>
                <w:rFonts w:ascii="Times New Roman" w:hAnsi="Times New Roman" w:eastAsia="仿宋_GB2312"/>
                <w:sz w:val="24"/>
              </w:rPr>
              <w:t>总排放量（tCO</w:t>
            </w:r>
            <w:r>
              <w:rPr>
                <w:rFonts w:ascii="Times New Roman" w:hAnsi="Times New Roman" w:eastAsia="仿宋_GB2312"/>
                <w:sz w:val="24"/>
                <w:vertAlign w:val="subscript"/>
              </w:rPr>
              <w:t>2</w:t>
            </w:r>
            <w:r>
              <w:rPr>
                <w:rFonts w:ascii="Times New Roman" w:hAnsi="Times New Roman" w:eastAsia="仿宋_GB2312"/>
                <w:sz w:val="24"/>
              </w:rPr>
              <w:t>）</w:t>
            </w:r>
          </w:p>
        </w:tc>
      </w:tr>
      <w:tr w14:paraId="05AE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65" w:type="dxa"/>
            <w:vMerge w:val="restart"/>
            <w:vAlign w:val="center"/>
          </w:tcPr>
          <w:p w14:paraId="70EB5887">
            <w:pPr>
              <w:spacing w:after="0" w:line="340" w:lineRule="exact"/>
              <w:jc w:val="center"/>
              <w:rPr>
                <w:rFonts w:ascii="Times New Roman" w:hAnsi="Times New Roman" w:eastAsia="仿宋_GB2312"/>
                <w:sz w:val="24"/>
              </w:rPr>
            </w:pPr>
            <w:r>
              <w:rPr>
                <w:rFonts w:ascii="Times New Roman" w:hAnsi="Times New Roman" w:eastAsia="仿宋_GB2312"/>
                <w:sz w:val="24"/>
              </w:rPr>
              <w:t>1</w:t>
            </w:r>
          </w:p>
        </w:tc>
        <w:tc>
          <w:tcPr>
            <w:tcW w:w="777" w:type="dxa"/>
            <w:vMerge w:val="restart"/>
            <w:vAlign w:val="center"/>
          </w:tcPr>
          <w:p w14:paraId="746AE5BF">
            <w:pPr>
              <w:spacing w:after="0" w:line="340" w:lineRule="exact"/>
              <w:jc w:val="center"/>
              <w:rPr>
                <w:rFonts w:ascii="Times New Roman" w:hAnsi="Times New Roman" w:eastAsia="仿宋_GB2312"/>
                <w:sz w:val="24"/>
              </w:rPr>
            </w:pPr>
            <w:r>
              <w:rPr>
                <w:rFonts w:ascii="Times New Roman" w:hAnsi="Times New Roman" w:eastAsia="仿宋_GB2312"/>
                <w:sz w:val="24"/>
              </w:rPr>
              <w:t>xxx</w:t>
            </w:r>
          </w:p>
        </w:tc>
        <w:tc>
          <w:tcPr>
            <w:tcW w:w="1106" w:type="dxa"/>
            <w:vMerge w:val="restart"/>
            <w:vAlign w:val="center"/>
          </w:tcPr>
          <w:p w14:paraId="5E68B780">
            <w:pPr>
              <w:spacing w:after="0" w:line="340" w:lineRule="exact"/>
              <w:jc w:val="center"/>
              <w:rPr>
                <w:rFonts w:ascii="Times New Roman" w:hAnsi="Times New Roman" w:eastAsia="仿宋_GB2312"/>
                <w:sz w:val="24"/>
              </w:rPr>
            </w:pPr>
          </w:p>
        </w:tc>
        <w:tc>
          <w:tcPr>
            <w:tcW w:w="722" w:type="dxa"/>
            <w:vMerge w:val="restart"/>
            <w:vAlign w:val="center"/>
          </w:tcPr>
          <w:p w14:paraId="4A0A2D72">
            <w:pPr>
              <w:spacing w:after="0" w:line="340" w:lineRule="exact"/>
              <w:jc w:val="center"/>
              <w:rPr>
                <w:rFonts w:ascii="Times New Roman" w:hAnsi="Times New Roman" w:eastAsia="仿宋_GB2312"/>
                <w:sz w:val="24"/>
              </w:rPr>
            </w:pPr>
            <w:r>
              <w:rPr>
                <w:rFonts w:ascii="Times New Roman" w:hAnsi="Times New Roman" w:eastAsia="仿宋_GB2312"/>
                <w:sz w:val="24"/>
              </w:rPr>
              <w:t>2018</w:t>
            </w:r>
          </w:p>
        </w:tc>
        <w:tc>
          <w:tcPr>
            <w:tcW w:w="927" w:type="dxa"/>
            <w:vMerge w:val="restart"/>
            <w:vAlign w:val="center"/>
          </w:tcPr>
          <w:p w14:paraId="3FE4F0C3">
            <w:pPr>
              <w:spacing w:after="0" w:line="340" w:lineRule="exact"/>
              <w:jc w:val="center"/>
              <w:rPr>
                <w:rFonts w:ascii="Times New Roman" w:hAnsi="Times New Roman" w:eastAsia="仿宋_GB2312"/>
                <w:sz w:val="24"/>
              </w:rPr>
            </w:pPr>
            <w:r>
              <w:rPr>
                <w:rFonts w:ascii="Times New Roman" w:hAnsi="Times New Roman" w:eastAsia="仿宋_GB2312"/>
                <w:sz w:val="24"/>
              </w:rPr>
              <w:t>否</w:t>
            </w:r>
          </w:p>
        </w:tc>
        <w:tc>
          <w:tcPr>
            <w:tcW w:w="1094" w:type="dxa"/>
            <w:tcBorders>
              <w:right w:val="single" w:color="auto" w:sz="4" w:space="0"/>
            </w:tcBorders>
          </w:tcPr>
          <w:p w14:paraId="6F93D159">
            <w:pPr>
              <w:spacing w:after="0" w:line="340" w:lineRule="exact"/>
              <w:rPr>
                <w:rFonts w:ascii="Times New Roman" w:hAnsi="Times New Roman" w:eastAsia="仿宋_GB2312"/>
                <w:sz w:val="24"/>
              </w:rPr>
            </w:pPr>
            <w:r>
              <w:rPr>
                <w:rFonts w:ascii="Times New Roman" w:hAnsi="Times New Roman" w:eastAsia="仿宋_GB2312"/>
                <w:sz w:val="24"/>
              </w:rPr>
              <w:t>2016年</w:t>
            </w:r>
          </w:p>
        </w:tc>
        <w:tc>
          <w:tcPr>
            <w:tcW w:w="1201" w:type="dxa"/>
            <w:tcBorders>
              <w:left w:val="single" w:color="auto" w:sz="4" w:space="0"/>
            </w:tcBorders>
          </w:tcPr>
          <w:p w14:paraId="36BAD9FF">
            <w:pPr>
              <w:spacing w:after="0" w:line="340" w:lineRule="exact"/>
              <w:rPr>
                <w:rFonts w:ascii="Times New Roman" w:hAnsi="Times New Roman" w:eastAsia="仿宋_GB2312"/>
                <w:sz w:val="24"/>
              </w:rPr>
            </w:pPr>
            <w:r>
              <w:rPr>
                <w:rFonts w:ascii="Times New Roman" w:hAnsi="Times New Roman" w:eastAsia="仿宋_GB2312"/>
                <w:sz w:val="24"/>
              </w:rPr>
              <w:t>800.00</w:t>
            </w:r>
          </w:p>
        </w:tc>
        <w:tc>
          <w:tcPr>
            <w:tcW w:w="1201" w:type="dxa"/>
          </w:tcPr>
          <w:p w14:paraId="0A6A4950">
            <w:pPr>
              <w:spacing w:after="0" w:line="340" w:lineRule="exact"/>
              <w:rPr>
                <w:rFonts w:ascii="Times New Roman" w:hAnsi="Times New Roman" w:eastAsia="仿宋_GB2312"/>
                <w:sz w:val="24"/>
              </w:rPr>
            </w:pPr>
            <w:r>
              <w:rPr>
                <w:rFonts w:ascii="Times New Roman" w:hAnsi="Times New Roman" w:eastAsia="仿宋_GB2312"/>
                <w:sz w:val="24"/>
              </w:rPr>
              <w:t>100.00</w:t>
            </w:r>
          </w:p>
        </w:tc>
        <w:tc>
          <w:tcPr>
            <w:tcW w:w="1202" w:type="dxa"/>
          </w:tcPr>
          <w:p w14:paraId="7543E978">
            <w:pPr>
              <w:spacing w:after="0" w:line="340" w:lineRule="exact"/>
              <w:rPr>
                <w:rFonts w:ascii="Times New Roman" w:hAnsi="Times New Roman" w:eastAsia="仿宋_GB2312"/>
                <w:sz w:val="24"/>
              </w:rPr>
            </w:pPr>
            <w:r>
              <w:rPr>
                <w:rFonts w:ascii="Times New Roman" w:hAnsi="Times New Roman" w:eastAsia="仿宋_GB2312"/>
                <w:sz w:val="24"/>
              </w:rPr>
              <w:t>900.00</w:t>
            </w:r>
          </w:p>
        </w:tc>
      </w:tr>
      <w:tr w14:paraId="494B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65" w:type="dxa"/>
            <w:vMerge w:val="continue"/>
          </w:tcPr>
          <w:p w14:paraId="4CEC2EC6">
            <w:pPr>
              <w:spacing w:after="0" w:line="340" w:lineRule="exact"/>
              <w:rPr>
                <w:rFonts w:ascii="Times New Roman" w:hAnsi="Times New Roman" w:eastAsia="仿宋_GB2312"/>
                <w:sz w:val="24"/>
              </w:rPr>
            </w:pPr>
          </w:p>
        </w:tc>
        <w:tc>
          <w:tcPr>
            <w:tcW w:w="777" w:type="dxa"/>
            <w:vMerge w:val="continue"/>
          </w:tcPr>
          <w:p w14:paraId="6844C81E">
            <w:pPr>
              <w:spacing w:after="0" w:line="340" w:lineRule="exact"/>
              <w:rPr>
                <w:rFonts w:ascii="Times New Roman" w:hAnsi="Times New Roman" w:eastAsia="仿宋_GB2312"/>
                <w:sz w:val="24"/>
              </w:rPr>
            </w:pPr>
          </w:p>
        </w:tc>
        <w:tc>
          <w:tcPr>
            <w:tcW w:w="1106" w:type="dxa"/>
            <w:vMerge w:val="continue"/>
          </w:tcPr>
          <w:p w14:paraId="2DC9DCDF">
            <w:pPr>
              <w:spacing w:after="0" w:line="340" w:lineRule="exact"/>
              <w:rPr>
                <w:rFonts w:ascii="Times New Roman" w:hAnsi="Times New Roman" w:eastAsia="仿宋_GB2312"/>
                <w:sz w:val="24"/>
              </w:rPr>
            </w:pPr>
          </w:p>
        </w:tc>
        <w:tc>
          <w:tcPr>
            <w:tcW w:w="722" w:type="dxa"/>
            <w:vMerge w:val="continue"/>
          </w:tcPr>
          <w:p w14:paraId="64A5D5F7">
            <w:pPr>
              <w:spacing w:after="0" w:line="340" w:lineRule="exact"/>
              <w:rPr>
                <w:rFonts w:ascii="Times New Roman" w:hAnsi="Times New Roman" w:eastAsia="仿宋_GB2312"/>
                <w:sz w:val="24"/>
              </w:rPr>
            </w:pPr>
          </w:p>
        </w:tc>
        <w:tc>
          <w:tcPr>
            <w:tcW w:w="927" w:type="dxa"/>
            <w:vMerge w:val="continue"/>
          </w:tcPr>
          <w:p w14:paraId="315F7542">
            <w:pPr>
              <w:spacing w:after="0" w:line="340" w:lineRule="exact"/>
              <w:rPr>
                <w:rFonts w:ascii="Times New Roman" w:hAnsi="Times New Roman" w:eastAsia="仿宋_GB2312"/>
                <w:sz w:val="24"/>
              </w:rPr>
            </w:pPr>
          </w:p>
        </w:tc>
        <w:tc>
          <w:tcPr>
            <w:tcW w:w="1094" w:type="dxa"/>
            <w:tcBorders>
              <w:right w:val="single" w:color="auto" w:sz="4" w:space="0"/>
            </w:tcBorders>
          </w:tcPr>
          <w:p w14:paraId="15DB4D78">
            <w:pPr>
              <w:spacing w:after="0" w:line="340" w:lineRule="exact"/>
              <w:rPr>
                <w:rFonts w:ascii="Times New Roman" w:hAnsi="Times New Roman" w:eastAsia="仿宋_GB2312"/>
                <w:sz w:val="24"/>
              </w:rPr>
            </w:pPr>
            <w:r>
              <w:rPr>
                <w:rFonts w:ascii="Times New Roman" w:hAnsi="Times New Roman" w:eastAsia="仿宋_GB2312"/>
                <w:sz w:val="24"/>
              </w:rPr>
              <w:t>2017年</w:t>
            </w:r>
          </w:p>
        </w:tc>
        <w:tc>
          <w:tcPr>
            <w:tcW w:w="1201" w:type="dxa"/>
            <w:tcBorders>
              <w:left w:val="single" w:color="auto" w:sz="4" w:space="0"/>
            </w:tcBorders>
          </w:tcPr>
          <w:p w14:paraId="774B8FD4">
            <w:pPr>
              <w:spacing w:after="0" w:line="340" w:lineRule="exact"/>
              <w:rPr>
                <w:rFonts w:ascii="Times New Roman" w:hAnsi="Times New Roman" w:eastAsia="仿宋_GB2312"/>
                <w:sz w:val="24"/>
              </w:rPr>
            </w:pPr>
            <w:r>
              <w:rPr>
                <w:rFonts w:ascii="Times New Roman" w:hAnsi="Times New Roman" w:eastAsia="仿宋_GB2312"/>
                <w:sz w:val="24"/>
              </w:rPr>
              <w:t>810.00</w:t>
            </w:r>
          </w:p>
        </w:tc>
        <w:tc>
          <w:tcPr>
            <w:tcW w:w="1201" w:type="dxa"/>
          </w:tcPr>
          <w:p w14:paraId="0BBF956C">
            <w:pPr>
              <w:spacing w:after="0" w:line="340" w:lineRule="exact"/>
              <w:rPr>
                <w:rFonts w:ascii="Times New Roman" w:hAnsi="Times New Roman" w:eastAsia="仿宋_GB2312"/>
                <w:sz w:val="24"/>
              </w:rPr>
            </w:pPr>
            <w:r>
              <w:rPr>
                <w:rFonts w:ascii="Times New Roman" w:hAnsi="Times New Roman" w:eastAsia="仿宋_GB2312"/>
                <w:sz w:val="24"/>
              </w:rPr>
              <w:t>102.00</w:t>
            </w:r>
          </w:p>
        </w:tc>
        <w:tc>
          <w:tcPr>
            <w:tcW w:w="1202" w:type="dxa"/>
          </w:tcPr>
          <w:p w14:paraId="3FF83C4E">
            <w:pPr>
              <w:spacing w:after="0" w:line="340" w:lineRule="exact"/>
              <w:rPr>
                <w:rFonts w:ascii="Times New Roman" w:hAnsi="Times New Roman" w:eastAsia="仿宋_GB2312"/>
                <w:sz w:val="24"/>
              </w:rPr>
            </w:pPr>
            <w:r>
              <w:rPr>
                <w:rFonts w:ascii="Times New Roman" w:hAnsi="Times New Roman" w:eastAsia="仿宋_GB2312"/>
                <w:sz w:val="24"/>
              </w:rPr>
              <w:t>912.00</w:t>
            </w:r>
          </w:p>
        </w:tc>
      </w:tr>
      <w:tr w14:paraId="4858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65" w:type="dxa"/>
            <w:vMerge w:val="continue"/>
          </w:tcPr>
          <w:p w14:paraId="25E5194E">
            <w:pPr>
              <w:spacing w:after="0" w:line="340" w:lineRule="exact"/>
              <w:rPr>
                <w:rFonts w:ascii="Times New Roman" w:hAnsi="Times New Roman" w:eastAsia="仿宋_GB2312"/>
                <w:sz w:val="24"/>
              </w:rPr>
            </w:pPr>
          </w:p>
        </w:tc>
        <w:tc>
          <w:tcPr>
            <w:tcW w:w="777" w:type="dxa"/>
            <w:vMerge w:val="continue"/>
          </w:tcPr>
          <w:p w14:paraId="69F0B588">
            <w:pPr>
              <w:spacing w:after="0" w:line="340" w:lineRule="exact"/>
              <w:rPr>
                <w:rFonts w:ascii="Times New Roman" w:hAnsi="Times New Roman" w:eastAsia="仿宋_GB2312"/>
                <w:sz w:val="24"/>
              </w:rPr>
            </w:pPr>
          </w:p>
        </w:tc>
        <w:tc>
          <w:tcPr>
            <w:tcW w:w="1106" w:type="dxa"/>
            <w:vMerge w:val="continue"/>
          </w:tcPr>
          <w:p w14:paraId="3D293D4B">
            <w:pPr>
              <w:spacing w:after="0" w:line="340" w:lineRule="exact"/>
              <w:rPr>
                <w:rFonts w:ascii="Times New Roman" w:hAnsi="Times New Roman" w:eastAsia="仿宋_GB2312"/>
                <w:sz w:val="24"/>
              </w:rPr>
            </w:pPr>
          </w:p>
        </w:tc>
        <w:tc>
          <w:tcPr>
            <w:tcW w:w="722" w:type="dxa"/>
            <w:vMerge w:val="continue"/>
          </w:tcPr>
          <w:p w14:paraId="1F7DDF3C">
            <w:pPr>
              <w:spacing w:after="0" w:line="340" w:lineRule="exact"/>
              <w:rPr>
                <w:rFonts w:ascii="Times New Roman" w:hAnsi="Times New Roman" w:eastAsia="仿宋_GB2312"/>
                <w:sz w:val="24"/>
              </w:rPr>
            </w:pPr>
          </w:p>
        </w:tc>
        <w:tc>
          <w:tcPr>
            <w:tcW w:w="927" w:type="dxa"/>
            <w:vMerge w:val="continue"/>
          </w:tcPr>
          <w:p w14:paraId="545EEEC4">
            <w:pPr>
              <w:spacing w:after="0" w:line="340" w:lineRule="exact"/>
              <w:rPr>
                <w:rFonts w:ascii="Times New Roman" w:hAnsi="Times New Roman" w:eastAsia="仿宋_GB2312"/>
                <w:sz w:val="24"/>
              </w:rPr>
            </w:pPr>
          </w:p>
        </w:tc>
        <w:tc>
          <w:tcPr>
            <w:tcW w:w="1094" w:type="dxa"/>
            <w:tcBorders>
              <w:right w:val="single" w:color="auto" w:sz="4" w:space="0"/>
            </w:tcBorders>
          </w:tcPr>
          <w:p w14:paraId="7C6FF991">
            <w:pPr>
              <w:spacing w:after="0" w:line="340" w:lineRule="exact"/>
              <w:rPr>
                <w:rFonts w:ascii="Times New Roman" w:hAnsi="Times New Roman" w:eastAsia="仿宋_GB2312"/>
                <w:sz w:val="24"/>
              </w:rPr>
            </w:pPr>
            <w:r>
              <w:rPr>
                <w:rFonts w:ascii="Times New Roman" w:hAnsi="Times New Roman" w:eastAsia="仿宋_GB2312"/>
                <w:sz w:val="24"/>
              </w:rPr>
              <w:t>2018年</w:t>
            </w:r>
          </w:p>
        </w:tc>
        <w:tc>
          <w:tcPr>
            <w:tcW w:w="1201" w:type="dxa"/>
            <w:tcBorders>
              <w:left w:val="single" w:color="auto" w:sz="4" w:space="0"/>
            </w:tcBorders>
          </w:tcPr>
          <w:p w14:paraId="6F28E9C9">
            <w:pPr>
              <w:spacing w:after="0" w:line="340" w:lineRule="exact"/>
              <w:rPr>
                <w:rFonts w:ascii="Times New Roman" w:hAnsi="Times New Roman" w:eastAsia="仿宋_GB2312"/>
                <w:sz w:val="24"/>
              </w:rPr>
            </w:pPr>
            <w:r>
              <w:rPr>
                <w:rFonts w:ascii="Times New Roman" w:hAnsi="Times New Roman" w:eastAsia="仿宋_GB2312"/>
                <w:sz w:val="24"/>
              </w:rPr>
              <w:t>130.00</w:t>
            </w:r>
          </w:p>
        </w:tc>
        <w:tc>
          <w:tcPr>
            <w:tcW w:w="1201" w:type="dxa"/>
          </w:tcPr>
          <w:p w14:paraId="7F5D5DFC">
            <w:pPr>
              <w:spacing w:after="0" w:line="340" w:lineRule="exact"/>
              <w:rPr>
                <w:rFonts w:ascii="Times New Roman" w:hAnsi="Times New Roman" w:eastAsia="仿宋_GB2312"/>
                <w:sz w:val="24"/>
              </w:rPr>
            </w:pPr>
            <w:r>
              <w:rPr>
                <w:rFonts w:ascii="Times New Roman" w:hAnsi="Times New Roman" w:eastAsia="仿宋_GB2312"/>
                <w:sz w:val="24"/>
              </w:rPr>
              <w:t>10.00</w:t>
            </w:r>
          </w:p>
        </w:tc>
        <w:tc>
          <w:tcPr>
            <w:tcW w:w="1202" w:type="dxa"/>
          </w:tcPr>
          <w:p w14:paraId="14ACC1DC">
            <w:pPr>
              <w:spacing w:after="0" w:line="340" w:lineRule="exact"/>
              <w:rPr>
                <w:rFonts w:ascii="Times New Roman" w:hAnsi="Times New Roman" w:eastAsia="仿宋_GB2312"/>
                <w:sz w:val="24"/>
              </w:rPr>
            </w:pPr>
            <w:r>
              <w:rPr>
                <w:rFonts w:ascii="Times New Roman" w:hAnsi="Times New Roman" w:eastAsia="仿宋_GB2312"/>
                <w:sz w:val="24"/>
              </w:rPr>
              <w:t>140.00</w:t>
            </w:r>
          </w:p>
        </w:tc>
      </w:tr>
    </w:tbl>
    <w:p w14:paraId="2319A0DB">
      <w:pPr>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排放单位新增设施主要包括xxx发生器及生产用电设备，其排放量信息见下表：</w:t>
      </w:r>
    </w:p>
    <w:p w14:paraId="31E3D324">
      <w:pPr>
        <w:spacing w:after="0" w:line="560" w:lineRule="exact"/>
        <w:jc w:val="center"/>
        <w:rPr>
          <w:rFonts w:ascii="Times New Roman" w:hAnsi="Times New Roman" w:eastAsia="仿宋_GB2312"/>
          <w:sz w:val="32"/>
          <w:szCs w:val="32"/>
        </w:rPr>
      </w:pPr>
      <w:r>
        <w:rPr>
          <w:rFonts w:hint="eastAsia" w:ascii="Times New Roman" w:hAnsi="Times New Roman" w:eastAsia="仿宋_GB2312"/>
          <w:sz w:val="24"/>
        </w:rPr>
        <w:t>表</w:t>
      </w:r>
      <w:r>
        <w:rPr>
          <w:rFonts w:ascii="Times New Roman" w:hAnsi="Times New Roman" w:eastAsia="仿宋_GB2312"/>
          <w:sz w:val="24"/>
        </w:rPr>
        <w:t xml:space="preserve">XX  </w:t>
      </w:r>
      <w:r>
        <w:rPr>
          <w:rFonts w:hint="eastAsia" w:ascii="Times New Roman" w:hAnsi="Times New Roman" w:eastAsia="仿宋_GB2312"/>
          <w:sz w:val="24"/>
        </w:rPr>
        <w:t>新增设施信息表</w:t>
      </w:r>
    </w:p>
    <w:tbl>
      <w:tblPr>
        <w:tblStyle w:val="35"/>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247"/>
        <w:gridCol w:w="2251"/>
        <w:gridCol w:w="1592"/>
        <w:gridCol w:w="1223"/>
        <w:gridCol w:w="1461"/>
      </w:tblGrid>
      <w:tr w14:paraId="4AFF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63" w:type="dxa"/>
            <w:vAlign w:val="center"/>
          </w:tcPr>
          <w:p w14:paraId="4CC6B12A">
            <w:pPr>
              <w:tabs>
                <w:tab w:val="left" w:pos="1701"/>
              </w:tabs>
              <w:spacing w:after="0" w:line="340" w:lineRule="exact"/>
              <w:jc w:val="center"/>
              <w:rPr>
                <w:rFonts w:ascii="Times New Roman" w:hAnsi="Times New Roman" w:eastAsia="仿宋_GB2312"/>
                <w:sz w:val="24"/>
              </w:rPr>
            </w:pPr>
            <w:r>
              <w:rPr>
                <w:rFonts w:hint="eastAsia" w:ascii="Times New Roman" w:hAnsi="Times New Roman" w:eastAsia="仿宋_GB2312"/>
                <w:sz w:val="24"/>
              </w:rPr>
              <w:t>序号</w:t>
            </w:r>
          </w:p>
        </w:tc>
        <w:tc>
          <w:tcPr>
            <w:tcW w:w="1247" w:type="dxa"/>
            <w:vAlign w:val="center"/>
          </w:tcPr>
          <w:p w14:paraId="7BB76229">
            <w:pPr>
              <w:tabs>
                <w:tab w:val="left" w:pos="1701"/>
              </w:tabs>
              <w:spacing w:after="0" w:line="340" w:lineRule="exact"/>
              <w:jc w:val="center"/>
              <w:rPr>
                <w:rFonts w:ascii="Times New Roman" w:hAnsi="Times New Roman" w:eastAsia="仿宋_GB2312"/>
                <w:sz w:val="24"/>
              </w:rPr>
            </w:pPr>
            <w:r>
              <w:rPr>
                <w:rFonts w:hint="eastAsia" w:ascii="Times New Roman" w:hAnsi="Times New Roman" w:eastAsia="仿宋_GB2312"/>
                <w:sz w:val="24"/>
              </w:rPr>
              <w:t>设施新增年份</w:t>
            </w:r>
          </w:p>
        </w:tc>
        <w:tc>
          <w:tcPr>
            <w:tcW w:w="2251" w:type="dxa"/>
            <w:vAlign w:val="center"/>
          </w:tcPr>
          <w:p w14:paraId="61A7C0AD">
            <w:pPr>
              <w:tabs>
                <w:tab w:val="left" w:pos="1701"/>
              </w:tabs>
              <w:spacing w:after="0" w:line="340" w:lineRule="exact"/>
              <w:jc w:val="center"/>
              <w:rPr>
                <w:rFonts w:ascii="Times New Roman" w:hAnsi="Times New Roman" w:eastAsia="仿宋_GB2312"/>
                <w:sz w:val="24"/>
              </w:rPr>
            </w:pPr>
            <w:r>
              <w:rPr>
                <w:rFonts w:hint="eastAsia" w:ascii="Times New Roman" w:hAnsi="Times New Roman" w:eastAsia="仿宋_GB2312"/>
                <w:sz w:val="24"/>
              </w:rPr>
              <w:t>新增设施类型</w:t>
            </w:r>
          </w:p>
        </w:tc>
        <w:tc>
          <w:tcPr>
            <w:tcW w:w="1592" w:type="dxa"/>
            <w:vAlign w:val="center"/>
          </w:tcPr>
          <w:p w14:paraId="01040BBA">
            <w:pPr>
              <w:tabs>
                <w:tab w:val="left" w:pos="1701"/>
              </w:tabs>
              <w:spacing w:after="0" w:line="340" w:lineRule="exact"/>
              <w:jc w:val="center"/>
              <w:rPr>
                <w:rFonts w:ascii="Times New Roman" w:hAnsi="Times New Roman" w:eastAsia="仿宋_GB2312"/>
                <w:sz w:val="24"/>
              </w:rPr>
            </w:pPr>
            <w:r>
              <w:rPr>
                <w:rFonts w:hint="eastAsia" w:ascii="Times New Roman" w:hAnsi="Times New Roman" w:eastAsia="仿宋_GB2312"/>
                <w:sz w:val="24"/>
              </w:rPr>
              <w:t>是否替代既有设施，被替代既有设施类型</w:t>
            </w:r>
          </w:p>
        </w:tc>
        <w:tc>
          <w:tcPr>
            <w:tcW w:w="1223" w:type="dxa"/>
            <w:vAlign w:val="center"/>
          </w:tcPr>
          <w:p w14:paraId="3556C4AE">
            <w:pPr>
              <w:tabs>
                <w:tab w:val="left" w:pos="1701"/>
              </w:tabs>
              <w:spacing w:after="0" w:line="340" w:lineRule="exact"/>
              <w:jc w:val="center"/>
              <w:rPr>
                <w:rFonts w:ascii="Times New Roman" w:hAnsi="Times New Roman" w:eastAsia="仿宋_GB2312"/>
                <w:sz w:val="24"/>
              </w:rPr>
            </w:pPr>
            <w:r>
              <w:rPr>
                <w:rFonts w:hint="eastAsia" w:ascii="Times New Roman" w:hAnsi="Times New Roman" w:eastAsia="仿宋_GB2312"/>
                <w:sz w:val="24"/>
              </w:rPr>
              <w:t>新增设施排放量（吨）</w:t>
            </w:r>
          </w:p>
        </w:tc>
        <w:tc>
          <w:tcPr>
            <w:tcW w:w="1461" w:type="dxa"/>
            <w:vAlign w:val="center"/>
          </w:tcPr>
          <w:p w14:paraId="427EEDC6">
            <w:pPr>
              <w:tabs>
                <w:tab w:val="left" w:pos="1701"/>
              </w:tabs>
              <w:spacing w:after="0" w:line="340" w:lineRule="exact"/>
              <w:jc w:val="center"/>
              <w:rPr>
                <w:rFonts w:ascii="Times New Roman" w:hAnsi="Times New Roman" w:eastAsia="仿宋_GB2312"/>
                <w:sz w:val="24"/>
              </w:rPr>
            </w:pPr>
            <w:r>
              <w:rPr>
                <w:rFonts w:hint="eastAsia" w:ascii="Times New Roman" w:hAnsi="Times New Roman" w:eastAsia="仿宋_GB2312"/>
                <w:sz w:val="24"/>
              </w:rPr>
              <w:t>替代既有设施的新增排放量</w:t>
            </w:r>
            <w:r>
              <w:rPr>
                <w:rFonts w:ascii="Times New Roman" w:hAnsi="Times New Roman" w:eastAsia="仿宋_GB2312"/>
                <w:sz w:val="24"/>
              </w:rPr>
              <w:t>(</w:t>
            </w:r>
            <w:r>
              <w:rPr>
                <w:rFonts w:hint="eastAsia" w:ascii="Times New Roman" w:hAnsi="Times New Roman" w:eastAsia="仿宋_GB2312"/>
                <w:sz w:val="24"/>
              </w:rPr>
              <w:t>吨</w:t>
            </w:r>
            <w:r>
              <w:rPr>
                <w:rFonts w:ascii="Times New Roman" w:hAnsi="Times New Roman" w:eastAsia="仿宋_GB2312"/>
                <w:sz w:val="24"/>
              </w:rPr>
              <w:t>)</w:t>
            </w:r>
          </w:p>
        </w:tc>
      </w:tr>
      <w:tr w14:paraId="56D4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63" w:type="dxa"/>
            <w:vAlign w:val="center"/>
          </w:tcPr>
          <w:p w14:paraId="605C4705">
            <w:pPr>
              <w:tabs>
                <w:tab w:val="left" w:pos="1701"/>
              </w:tabs>
              <w:spacing w:after="0" w:line="340" w:lineRule="exact"/>
              <w:jc w:val="center"/>
              <w:rPr>
                <w:rFonts w:ascii="Times New Roman" w:hAnsi="Times New Roman" w:eastAsia="仿宋_GB2312"/>
                <w:sz w:val="24"/>
              </w:rPr>
            </w:pPr>
            <w:r>
              <w:rPr>
                <w:rFonts w:ascii="Times New Roman" w:hAnsi="Times New Roman" w:eastAsia="仿宋_GB2312"/>
                <w:sz w:val="24"/>
              </w:rPr>
              <w:t>1</w:t>
            </w:r>
          </w:p>
        </w:tc>
        <w:tc>
          <w:tcPr>
            <w:tcW w:w="1247" w:type="dxa"/>
            <w:vAlign w:val="center"/>
          </w:tcPr>
          <w:p w14:paraId="09084E73">
            <w:pPr>
              <w:tabs>
                <w:tab w:val="left" w:pos="1701"/>
              </w:tabs>
              <w:spacing w:after="0" w:line="340" w:lineRule="exact"/>
              <w:jc w:val="center"/>
              <w:rPr>
                <w:rFonts w:ascii="Times New Roman" w:hAnsi="Times New Roman" w:eastAsia="仿宋_GB2312"/>
                <w:sz w:val="24"/>
              </w:rPr>
            </w:pPr>
            <w:r>
              <w:rPr>
                <w:rFonts w:ascii="Times New Roman" w:hAnsi="Times New Roman" w:eastAsia="仿宋_GB2312"/>
                <w:sz w:val="24"/>
              </w:rPr>
              <w:t>2019</w:t>
            </w:r>
          </w:p>
        </w:tc>
        <w:tc>
          <w:tcPr>
            <w:tcW w:w="2251" w:type="dxa"/>
            <w:vAlign w:val="center"/>
          </w:tcPr>
          <w:p w14:paraId="242E0D5B">
            <w:pPr>
              <w:tabs>
                <w:tab w:val="left" w:pos="1701"/>
              </w:tabs>
              <w:spacing w:after="0" w:line="340" w:lineRule="exact"/>
              <w:jc w:val="center"/>
              <w:rPr>
                <w:rFonts w:ascii="Times New Roman" w:hAnsi="Times New Roman" w:eastAsia="仿宋_GB2312"/>
                <w:sz w:val="24"/>
              </w:rPr>
            </w:pPr>
            <w:r>
              <w:rPr>
                <w:rFonts w:ascii="Times New Roman" w:hAnsi="Times New Roman" w:eastAsia="仿宋_GB2312"/>
                <w:sz w:val="24"/>
              </w:rPr>
              <w:t>xxx</w:t>
            </w:r>
            <w:r>
              <w:rPr>
                <w:rFonts w:hint="eastAsia" w:ascii="Times New Roman" w:hAnsi="Times New Roman" w:eastAsia="仿宋_GB2312"/>
                <w:sz w:val="24"/>
              </w:rPr>
              <w:t>发生器</w:t>
            </w:r>
          </w:p>
        </w:tc>
        <w:tc>
          <w:tcPr>
            <w:tcW w:w="1592" w:type="dxa"/>
            <w:vAlign w:val="center"/>
          </w:tcPr>
          <w:p w14:paraId="67995480">
            <w:pPr>
              <w:tabs>
                <w:tab w:val="left" w:pos="1701"/>
              </w:tabs>
              <w:spacing w:after="0" w:line="340" w:lineRule="exact"/>
              <w:jc w:val="center"/>
              <w:rPr>
                <w:rFonts w:ascii="Times New Roman" w:hAnsi="Times New Roman" w:eastAsia="仿宋_GB2312"/>
                <w:sz w:val="24"/>
              </w:rPr>
            </w:pPr>
            <w:r>
              <w:rPr>
                <w:rFonts w:hint="eastAsia" w:ascii="Times New Roman" w:hAnsi="Times New Roman" w:eastAsia="仿宋_GB2312"/>
                <w:sz w:val="24"/>
              </w:rPr>
              <w:t>否</w:t>
            </w:r>
          </w:p>
        </w:tc>
        <w:tc>
          <w:tcPr>
            <w:tcW w:w="1223" w:type="dxa"/>
            <w:vAlign w:val="center"/>
          </w:tcPr>
          <w:p w14:paraId="12231017">
            <w:pPr>
              <w:tabs>
                <w:tab w:val="left" w:pos="1701"/>
              </w:tabs>
              <w:spacing w:after="0" w:line="340" w:lineRule="exact"/>
              <w:jc w:val="center"/>
              <w:rPr>
                <w:rFonts w:ascii="Times New Roman" w:hAnsi="Times New Roman" w:eastAsia="仿宋_GB2312"/>
                <w:sz w:val="24"/>
              </w:rPr>
            </w:pPr>
            <w:bookmarkStart w:id="25" w:name="_Hlk34834187"/>
            <w:r>
              <w:rPr>
                <w:rFonts w:ascii="Times New Roman" w:hAnsi="Times New Roman" w:eastAsia="仿宋_GB2312"/>
                <w:sz w:val="24"/>
              </w:rPr>
              <w:t>1590.36</w:t>
            </w:r>
            <w:bookmarkEnd w:id="25"/>
          </w:p>
        </w:tc>
        <w:tc>
          <w:tcPr>
            <w:tcW w:w="1461" w:type="dxa"/>
            <w:vAlign w:val="center"/>
          </w:tcPr>
          <w:p w14:paraId="301CB881">
            <w:pPr>
              <w:tabs>
                <w:tab w:val="left" w:pos="1701"/>
              </w:tabs>
              <w:spacing w:after="0" w:line="340" w:lineRule="exact"/>
              <w:jc w:val="center"/>
              <w:rPr>
                <w:rFonts w:ascii="Times New Roman" w:hAnsi="Times New Roman" w:eastAsia="仿宋_GB2312"/>
                <w:sz w:val="24"/>
              </w:rPr>
            </w:pPr>
            <w:r>
              <w:rPr>
                <w:rFonts w:ascii="Times New Roman" w:hAnsi="Times New Roman" w:eastAsia="仿宋_GB2312"/>
                <w:sz w:val="24"/>
              </w:rPr>
              <w:t>/</w:t>
            </w:r>
          </w:p>
        </w:tc>
      </w:tr>
      <w:tr w14:paraId="34B8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63" w:type="dxa"/>
            <w:vAlign w:val="center"/>
          </w:tcPr>
          <w:p w14:paraId="72E89D1E">
            <w:pPr>
              <w:spacing w:after="0" w:line="340" w:lineRule="exact"/>
              <w:jc w:val="center"/>
              <w:rPr>
                <w:rFonts w:ascii="Times New Roman" w:hAnsi="Times New Roman" w:eastAsia="仿宋_GB2312"/>
                <w:sz w:val="24"/>
              </w:rPr>
            </w:pPr>
            <w:r>
              <w:rPr>
                <w:rFonts w:ascii="Times New Roman" w:hAnsi="Times New Roman" w:eastAsia="仿宋_GB2312"/>
                <w:sz w:val="24"/>
              </w:rPr>
              <w:t>2</w:t>
            </w:r>
          </w:p>
        </w:tc>
        <w:tc>
          <w:tcPr>
            <w:tcW w:w="1247" w:type="dxa"/>
            <w:vAlign w:val="center"/>
          </w:tcPr>
          <w:p w14:paraId="67728BB9">
            <w:pPr>
              <w:spacing w:after="0" w:line="340" w:lineRule="exact"/>
              <w:jc w:val="center"/>
              <w:rPr>
                <w:rFonts w:ascii="Times New Roman" w:hAnsi="Times New Roman" w:eastAsia="仿宋_GB2312"/>
                <w:sz w:val="24"/>
              </w:rPr>
            </w:pPr>
            <w:r>
              <w:rPr>
                <w:rFonts w:ascii="Times New Roman" w:hAnsi="Times New Roman" w:eastAsia="仿宋_GB2312"/>
                <w:sz w:val="24"/>
              </w:rPr>
              <w:t>2020</w:t>
            </w:r>
          </w:p>
        </w:tc>
        <w:tc>
          <w:tcPr>
            <w:tcW w:w="2251" w:type="dxa"/>
            <w:vAlign w:val="center"/>
          </w:tcPr>
          <w:p w14:paraId="3C154FC8">
            <w:pPr>
              <w:spacing w:after="0" w:line="340" w:lineRule="exact"/>
              <w:rPr>
                <w:rFonts w:ascii="Times New Roman" w:hAnsi="Times New Roman" w:eastAsia="仿宋_GB2312"/>
                <w:sz w:val="24"/>
              </w:rPr>
            </w:pPr>
            <w:r>
              <w:rPr>
                <w:rFonts w:ascii="Times New Roman" w:hAnsi="Times New Roman" w:eastAsia="仿宋_GB2312"/>
                <w:sz w:val="24"/>
              </w:rPr>
              <w:t>2</w:t>
            </w:r>
            <w:r>
              <w:rPr>
                <w:rFonts w:hint="eastAsia" w:ascii="Times New Roman" w:hAnsi="Times New Roman" w:eastAsia="仿宋_GB2312"/>
                <w:sz w:val="24"/>
              </w:rPr>
              <w:t>套</w:t>
            </w:r>
            <w:r>
              <w:rPr>
                <w:rFonts w:ascii="Times New Roman" w:hAnsi="Times New Roman" w:eastAsia="仿宋_GB2312"/>
                <w:sz w:val="24"/>
              </w:rPr>
              <w:t>1#</w:t>
            </w:r>
            <w:r>
              <w:rPr>
                <w:rFonts w:hint="eastAsia" w:ascii="Times New Roman" w:hAnsi="Times New Roman" w:eastAsia="仿宋_GB2312"/>
                <w:sz w:val="24"/>
              </w:rPr>
              <w:t>楼</w:t>
            </w:r>
            <w:r>
              <w:rPr>
                <w:rFonts w:ascii="Times New Roman" w:hAnsi="Times New Roman" w:eastAsia="仿宋_GB2312"/>
                <w:sz w:val="24"/>
              </w:rPr>
              <w:t>1</w:t>
            </w:r>
            <w:r>
              <w:rPr>
                <w:rFonts w:hint="eastAsia" w:ascii="Times New Roman" w:hAnsi="Times New Roman" w:eastAsia="仿宋_GB2312"/>
                <w:sz w:val="24"/>
              </w:rPr>
              <w:t>层空调机房新增冷冻机组、</w:t>
            </w:r>
            <w:r>
              <w:rPr>
                <w:rFonts w:ascii="Times New Roman" w:hAnsi="Times New Roman" w:eastAsia="仿宋_GB2312"/>
                <w:sz w:val="24"/>
              </w:rPr>
              <w:t>2</w:t>
            </w:r>
            <w:r>
              <w:rPr>
                <w:rFonts w:hint="eastAsia" w:ascii="Times New Roman" w:hAnsi="Times New Roman" w:eastAsia="仿宋_GB2312"/>
                <w:sz w:val="24"/>
              </w:rPr>
              <w:t>套液体发酵系统等生产用电设备</w:t>
            </w:r>
          </w:p>
        </w:tc>
        <w:tc>
          <w:tcPr>
            <w:tcW w:w="1592" w:type="dxa"/>
            <w:vAlign w:val="center"/>
          </w:tcPr>
          <w:p w14:paraId="108BD4E5">
            <w:pPr>
              <w:spacing w:after="0" w:line="340" w:lineRule="exact"/>
              <w:jc w:val="center"/>
              <w:rPr>
                <w:rFonts w:ascii="Times New Roman" w:hAnsi="Times New Roman" w:eastAsia="仿宋_GB2312"/>
                <w:sz w:val="24"/>
              </w:rPr>
            </w:pPr>
            <w:r>
              <w:rPr>
                <w:rFonts w:hint="eastAsia" w:ascii="Times New Roman" w:hAnsi="Times New Roman" w:eastAsia="仿宋_GB2312"/>
                <w:sz w:val="24"/>
              </w:rPr>
              <w:t>否</w:t>
            </w:r>
          </w:p>
        </w:tc>
        <w:tc>
          <w:tcPr>
            <w:tcW w:w="1223" w:type="dxa"/>
            <w:vAlign w:val="center"/>
          </w:tcPr>
          <w:p w14:paraId="75453EC1">
            <w:pPr>
              <w:tabs>
                <w:tab w:val="left" w:pos="1701"/>
              </w:tabs>
              <w:spacing w:after="0" w:line="340" w:lineRule="exact"/>
              <w:jc w:val="center"/>
              <w:rPr>
                <w:rFonts w:ascii="Times New Roman" w:hAnsi="Times New Roman" w:eastAsia="仿宋_GB2312"/>
                <w:sz w:val="24"/>
              </w:rPr>
            </w:pPr>
            <w:r>
              <w:rPr>
                <w:rFonts w:ascii="Times New Roman" w:hAnsi="Times New Roman" w:eastAsia="仿宋_GB2312"/>
                <w:sz w:val="24"/>
              </w:rPr>
              <w:t>1917.90</w:t>
            </w:r>
          </w:p>
        </w:tc>
        <w:tc>
          <w:tcPr>
            <w:tcW w:w="1461" w:type="dxa"/>
            <w:vAlign w:val="center"/>
          </w:tcPr>
          <w:p w14:paraId="2359EF10">
            <w:pPr>
              <w:tabs>
                <w:tab w:val="left" w:pos="1701"/>
              </w:tabs>
              <w:spacing w:after="0" w:line="340" w:lineRule="exact"/>
              <w:jc w:val="center"/>
              <w:rPr>
                <w:rFonts w:ascii="Times New Roman" w:hAnsi="Times New Roman" w:eastAsia="仿宋_GB2312"/>
                <w:sz w:val="24"/>
              </w:rPr>
            </w:pPr>
            <w:r>
              <w:rPr>
                <w:rFonts w:ascii="Times New Roman" w:hAnsi="Times New Roman" w:eastAsia="仿宋_GB2312"/>
                <w:sz w:val="24"/>
              </w:rPr>
              <w:t>/</w:t>
            </w:r>
          </w:p>
        </w:tc>
      </w:tr>
      <w:tr w14:paraId="3956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63" w:type="dxa"/>
          </w:tcPr>
          <w:p w14:paraId="2F2B25EE">
            <w:pPr>
              <w:spacing w:after="0" w:line="340" w:lineRule="exact"/>
              <w:jc w:val="center"/>
              <w:rPr>
                <w:rFonts w:ascii="Times New Roman" w:hAnsi="Times New Roman" w:eastAsia="仿宋_GB2312"/>
                <w:sz w:val="24"/>
              </w:rPr>
            </w:pPr>
            <w:r>
              <w:rPr>
                <w:rFonts w:hint="eastAsia" w:ascii="Times New Roman" w:hAnsi="Times New Roman" w:eastAsia="仿宋_GB2312"/>
                <w:sz w:val="24"/>
              </w:rPr>
              <w:t>合计</w:t>
            </w:r>
          </w:p>
        </w:tc>
        <w:tc>
          <w:tcPr>
            <w:tcW w:w="1247" w:type="dxa"/>
          </w:tcPr>
          <w:p w14:paraId="2E05817D">
            <w:pPr>
              <w:spacing w:after="0" w:line="340" w:lineRule="exact"/>
              <w:rPr>
                <w:rFonts w:ascii="Times New Roman" w:hAnsi="Times New Roman" w:eastAsia="仿宋_GB2312"/>
                <w:sz w:val="24"/>
              </w:rPr>
            </w:pPr>
          </w:p>
        </w:tc>
        <w:tc>
          <w:tcPr>
            <w:tcW w:w="2251" w:type="dxa"/>
          </w:tcPr>
          <w:p w14:paraId="5BC5C5DD">
            <w:pPr>
              <w:spacing w:after="0" w:line="340" w:lineRule="exact"/>
              <w:rPr>
                <w:rFonts w:ascii="Times New Roman" w:hAnsi="Times New Roman" w:eastAsia="仿宋_GB2312"/>
                <w:sz w:val="24"/>
              </w:rPr>
            </w:pPr>
          </w:p>
        </w:tc>
        <w:tc>
          <w:tcPr>
            <w:tcW w:w="1592" w:type="dxa"/>
          </w:tcPr>
          <w:p w14:paraId="03C550ED">
            <w:pPr>
              <w:spacing w:after="0" w:line="340" w:lineRule="exact"/>
              <w:rPr>
                <w:rFonts w:ascii="Times New Roman" w:hAnsi="Times New Roman" w:eastAsia="仿宋_GB2312"/>
                <w:sz w:val="24"/>
              </w:rPr>
            </w:pPr>
          </w:p>
        </w:tc>
        <w:tc>
          <w:tcPr>
            <w:tcW w:w="1223" w:type="dxa"/>
            <w:vAlign w:val="center"/>
          </w:tcPr>
          <w:p w14:paraId="13229640">
            <w:pPr>
              <w:tabs>
                <w:tab w:val="left" w:pos="1701"/>
              </w:tabs>
              <w:spacing w:after="0" w:line="340" w:lineRule="exact"/>
              <w:jc w:val="center"/>
              <w:rPr>
                <w:rFonts w:ascii="Times New Roman" w:hAnsi="Times New Roman" w:eastAsia="仿宋_GB2312"/>
                <w:sz w:val="24"/>
              </w:rPr>
            </w:pPr>
            <w:bookmarkStart w:id="26" w:name="_Hlk34834123"/>
            <w:r>
              <w:rPr>
                <w:rFonts w:ascii="Times New Roman" w:hAnsi="Times New Roman" w:eastAsia="仿宋_GB2312"/>
                <w:sz w:val="24"/>
              </w:rPr>
              <w:t>3508.26</w:t>
            </w:r>
            <w:bookmarkEnd w:id="26"/>
          </w:p>
        </w:tc>
        <w:tc>
          <w:tcPr>
            <w:tcW w:w="1461" w:type="dxa"/>
            <w:vAlign w:val="center"/>
          </w:tcPr>
          <w:p w14:paraId="500628B9">
            <w:pPr>
              <w:tabs>
                <w:tab w:val="left" w:pos="1701"/>
              </w:tabs>
              <w:spacing w:after="0" w:line="340" w:lineRule="exact"/>
              <w:jc w:val="center"/>
              <w:rPr>
                <w:rFonts w:ascii="Times New Roman" w:hAnsi="Times New Roman" w:eastAsia="仿宋_GB2312"/>
                <w:sz w:val="24"/>
              </w:rPr>
            </w:pPr>
          </w:p>
        </w:tc>
      </w:tr>
    </w:tbl>
    <w:p w14:paraId="669102AF">
      <w:pPr>
        <w:spacing w:after="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排放单位新增设施导致的总排放量为</w:t>
      </w:r>
      <w:r>
        <w:rPr>
          <w:rFonts w:ascii="Times New Roman" w:hAnsi="Times New Roman" w:eastAsia="仿宋_GB2312"/>
          <w:sz w:val="32"/>
          <w:szCs w:val="32"/>
        </w:rPr>
        <w:t>3508.26</w:t>
      </w:r>
      <w:r>
        <w:rPr>
          <w:rFonts w:hint="eastAsia" w:ascii="Times New Roman" w:hAnsi="Times New Roman" w:eastAsia="仿宋_GB2312"/>
          <w:sz w:val="32"/>
          <w:szCs w:val="32"/>
        </w:rPr>
        <w:t>吨，是基准年年排放量的</w:t>
      </w:r>
      <w:r>
        <w:rPr>
          <w:rFonts w:ascii="Times New Roman" w:hAnsi="Times New Roman" w:eastAsia="仿宋_GB2312"/>
          <w:sz w:val="32"/>
          <w:szCs w:val="32"/>
        </w:rPr>
        <w:t>43.52%</w:t>
      </w:r>
      <w:r>
        <w:rPr>
          <w:rFonts w:hint="eastAsia" w:ascii="Times New Roman" w:hAnsi="Times New Roman" w:eastAsia="仿宋_GB2312"/>
          <w:sz w:val="32"/>
          <w:szCs w:val="32"/>
        </w:rPr>
        <w:t>，新增设施对应的产值为</w:t>
      </w:r>
      <w:r>
        <w:rPr>
          <w:rFonts w:ascii="Times New Roman" w:hAnsi="Times New Roman" w:eastAsia="仿宋_GB2312"/>
          <w:sz w:val="32"/>
          <w:szCs w:val="32"/>
        </w:rPr>
        <w:t>xx</w:t>
      </w:r>
      <w:r>
        <w:rPr>
          <w:rFonts w:hint="eastAsia" w:ascii="Times New Roman" w:hAnsi="Times New Roman" w:eastAsia="仿宋_GB2312"/>
          <w:sz w:val="32"/>
          <w:szCs w:val="32"/>
        </w:rPr>
        <w:t>万元。此信息供新增设施发放配额参考。</w:t>
      </w:r>
    </w:p>
    <w:p w14:paraId="2E6B5AEC">
      <w:pPr>
        <w:spacing w:after="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 核查过程未覆盖的问题描述</w:t>
      </w:r>
    </w:p>
    <w:p w14:paraId="57E3D4BF">
      <w:pPr>
        <w:spacing w:after="0" w:line="560" w:lineRule="exact"/>
        <w:ind w:firstLine="640" w:firstLineChars="200"/>
        <w:jc w:val="both"/>
        <w:rPr>
          <w:rFonts w:ascii="仿宋_GB2312" w:hAnsi="仿宋" w:eastAsia="仿宋_GB2312"/>
          <w:sz w:val="32"/>
          <w:szCs w:val="32"/>
        </w:rPr>
      </w:pPr>
      <w:r>
        <w:rPr>
          <w:rFonts w:ascii="Times New Roman" w:hAnsi="Times New Roman" w:eastAsia="仿宋_GB2312"/>
          <w:sz w:val="32"/>
          <w:szCs w:val="32"/>
        </w:rPr>
        <w:t>由于天然气表和电表分别为燃气公司及电力公司管控，因此未能核查这些仪表的检定信息。</w:t>
      </w:r>
    </w:p>
    <w:sectPr>
      <w:footerReference r:id="rId17" w:type="default"/>
      <w:footerReference r:id="rId18" w:type="even"/>
      <w:pgSz w:w="11906" w:h="16838"/>
      <w:pgMar w:top="2098" w:right="1474" w:bottom="1984" w:left="1587" w:header="709" w:footer="1587" w:gutter="0"/>
      <w:pgNumType w:fmt="decimal"/>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Wide Latin">
    <w:altName w:val="Segoe Print"/>
    <w:panose1 w:val="020A0A07050505020404"/>
    <w:charset w:val="00"/>
    <w:family w:val="roman"/>
    <w:pitch w:val="default"/>
    <w:sig w:usb0="00000000" w:usb1="00000000" w:usb2="00000000" w:usb3="00000000" w:csb0="20000001" w:csb1="00000000"/>
  </w:font>
  <w:font w:name="Noto Nastaliq Urdu">
    <w:altName w:val="Yu Gothic UI Semibold"/>
    <w:panose1 w:val="020B0802040504020204"/>
    <w:charset w:val="00"/>
    <w:family w:val="auto"/>
    <w:pitch w:val="default"/>
    <w:sig w:usb0="00000000" w:usb1="00000000" w:usb2="00000000" w:usb3="00000000" w:csb0="0000004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0D03">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3E88">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131D4">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103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1g1Sc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yt5&#10;n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7WDVJyQEAAJoDAAAOAAAAAAAAAAEAIAAAAB4BAABkcnMvZTJvRG9j&#10;LnhtbFBLBQYAAAAABgAGAFkBAABZBQAAAAA=&#10;">
              <v:fill on="f" focussize="0,0"/>
              <v:stroke on="f"/>
              <v:imagedata o:title=""/>
              <o:lock v:ext="edit" aspectratio="f"/>
              <v:textbox inset="0mm,0mm,0mm,0mm" style="mso-fit-shape-to-text:t;">
                <w:txbxContent>
                  <w:p w14:paraId="525131D4">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103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45C7">
    <w:pPr>
      <w:pStyle w:val="22"/>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60C7D230">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A99F">
    <w:pPr>
      <w:pStyle w:val="2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67190">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pJ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8pcdzixC/fv11+/Lr8/Epe&#10;5f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oGklyQEAAJoDAAAOAAAAAAAAAAEAIAAAAB4BAABkcnMvZTJvRG9j&#10;LnhtbFBLBQYAAAAABgAGAFkBAABZBQAAAAA=&#10;">
              <v:fill on="f" focussize="0,0"/>
              <v:stroke on="f"/>
              <v:imagedata o:title=""/>
              <o:lock v:ext="edit" aspectratio="f"/>
              <v:textbox inset="0mm,0mm,0mm,0mm" style="mso-fit-shape-to-text:t;">
                <w:txbxContent>
                  <w:p w14:paraId="3F167190">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70F3">
    <w:pPr>
      <w:pStyle w:val="22"/>
      <w:ind w:firstLine="26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009A8">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LIIs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V&#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5SyCLIAQAAmQMAAA4AAAAAAAAAAQAgAAAAHgEAAGRycy9lMm9Eb2Mu&#10;eG1sUEsFBgAAAAAGAAYAWQEAAFgFAAAAAA==&#10;">
              <v:fill on="f" focussize="0,0"/>
              <v:stroke on="f"/>
              <v:imagedata o:title=""/>
              <o:lock v:ext="edit" aspectratio="f"/>
              <v:textbox inset="0mm,0mm,0mm,0mm" style="mso-fit-shape-to-text:t;">
                <w:txbxContent>
                  <w:p w14:paraId="786009A8">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8635F">
    <w:pPr>
      <w:pStyle w:val="22"/>
      <w:ind w:firstLine="26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930F">
    <w:pPr>
      <w:pStyle w:val="22"/>
      <w:ind w:firstLine="26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4431">
    <w:pPr>
      <w:pStyle w:val="22"/>
      <w:ind w:firstLine="26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826BBD">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U+u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9k&#10;l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1T64yQEAAJoDAAAOAAAAAAAAAAEAIAAAAB4BAABkcnMvZTJvRG9j&#10;LnhtbFBLBQYAAAAABgAGAFkBAABZBQAAAAA=&#10;">
              <v:fill on="f" focussize="0,0"/>
              <v:stroke on="f"/>
              <v:imagedata o:title=""/>
              <o:lock v:ext="edit" aspectratio="f"/>
              <v:textbox inset="0mm,0mm,0mm,0mm" style="mso-fit-shape-to-text:t;">
                <w:txbxContent>
                  <w:p w14:paraId="38826BBD">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A21E">
    <w:pPr>
      <w:pStyle w:val="22"/>
      <w:ind w:firstLine="26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D6C61">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balM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9k&#10;lfvTB6gx7SFgYhru/IC5sx/QmWUPKtr8RUEE49jd87W7ckhE5Efr1XpdYUhgbL4gPnt8HiKkt9Jb&#10;ko2GRhxf6So/vYc0ps4puZrz99qYMkLj/nIgZvawzH3kmK007IdJ0N63Z9TT4+Qb6nDRKTHvHDY2&#10;L8lsxNnYz8YxRH3okNqy8IJwe0xIonDLFUbYqTCOrKib1ivvxJ/3kvX4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9tqUyQEAAJoDAAAOAAAAAAAAAAEAIAAAAB4BAABkcnMvZTJvRG9j&#10;LnhtbFBLBQYAAAAABgAGAFkBAABZBQAAAAA=&#10;">
              <v:fill on="f" focussize="0,0"/>
              <v:stroke on="f"/>
              <v:imagedata o:title=""/>
              <o:lock v:ext="edit" aspectratio="f"/>
              <v:textbox inset="0mm,0mm,0mm,0mm" style="mso-fit-shape-to-text:t;">
                <w:txbxContent>
                  <w:p w14:paraId="7A5D6C61">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F74F">
    <w:pPr>
      <w:pStyle w:val="22"/>
      <w:ind w:firstLine="26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0EF947">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L24ckBAACa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3BDieMWJ375/u3y49fl51ey&#10;yv3pA9SY9hgwMQ33fsDc2Q/ozLIHFW3+oiCCcezu+dpdOSQi8qP1ar2uMCQwNl8Qnz09DxHSW+kt&#10;yUZDI46vdJWf3kMaU+eUXM35B21MGaFxfzkQM3tY5j5yzFYa9sMkaO/bM+rpcfINdbjolJh3Dhub&#10;l2Q24mzsZ+MYoj50SG1ZeEG4OyYkUbjlCiPsVBhHVtRN65V34s97yXr6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kvbhyQEAAJoDAAAOAAAAAAAAAAEAIAAAAB4BAABkcnMvZTJvRG9j&#10;LnhtbFBLBQYAAAAABgAGAFkBAABZBQAAAAA=&#10;">
              <v:fill on="f" focussize="0,0"/>
              <v:stroke on="f"/>
              <v:imagedata o:title=""/>
              <o:lock v:ext="edit" aspectratio="f"/>
              <v:textbox inset="0mm,0mm,0mm,0mm" style="mso-fit-shape-to-text:t;">
                <w:txbxContent>
                  <w:p w14:paraId="360EF947">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DFFE">
    <w:pPr>
      <w:pStyle w:val="22"/>
      <w:ind w:firstLine="268"/>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772001">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7ESzcgBAACa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f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xEs3IAQAAmgMAAA4AAAAAAAAAAQAgAAAAHgEAAGRycy9lMm9Eb2Mu&#10;eG1sUEsFBgAAAAAGAAYAWQEAAFgFAAAAAA==&#10;">
              <v:fill on="f" focussize="0,0"/>
              <v:stroke on="f"/>
              <v:imagedata o:title=""/>
              <o:lock v:ext="edit" aspectratio="f"/>
              <v:textbox inset="0mm,0mm,0mm,0mm" style="mso-fit-shape-to-text:t;">
                <w:txbxContent>
                  <w:p w14:paraId="77772001">
                    <w:pPr>
                      <w:pStyle w:val="2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36371810">
      <w:pPr>
        <w:pStyle w:val="27"/>
      </w:pPr>
      <w:r>
        <w:rPr>
          <w:rStyle w:val="40"/>
        </w:rPr>
        <w:footnoteRef/>
      </w:r>
      <w:r>
        <w:rPr>
          <w:rFonts w:hint="eastAsia"/>
        </w:rPr>
        <w:t>投入规模中已统计了退出的设备，即新增规模为净新增规模。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21F6">
    <w:pPr>
      <w:pStyle w:val="23"/>
      <w:ind w:firstLine="26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6087">
    <w:pPr>
      <w:pStyle w:val="23"/>
      <w:ind w:firstLine="26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ABE">
    <w:pPr>
      <w:pStyle w:val="23"/>
      <w:ind w:firstLine="2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512CD"/>
    <w:multiLevelType w:val="multilevel"/>
    <w:tmpl w:val="052512CD"/>
    <w:lvl w:ilvl="0" w:tentative="0">
      <w:start w:val="1"/>
      <w:numFmt w:val="lowerLetter"/>
      <w:lvlText w:val="%1)"/>
      <w:lvlJc w:val="left"/>
      <w:pPr>
        <w:ind w:left="980" w:hanging="420"/>
      </w:pPr>
      <w:rPr>
        <w:rFonts w:hint="default"/>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058D22A4"/>
    <w:multiLevelType w:val="multilevel"/>
    <w:tmpl w:val="058D22A4"/>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26B3718"/>
    <w:multiLevelType w:val="multilevel"/>
    <w:tmpl w:val="126B3718"/>
    <w:lvl w:ilvl="0" w:tentative="0">
      <w:start w:val="1"/>
      <w:numFmt w:val="bullet"/>
      <w:lvlText w:val="-"/>
      <w:lvlJc w:val="left"/>
      <w:pPr>
        <w:ind w:left="980" w:hanging="420"/>
      </w:pPr>
      <w:rPr>
        <w:rFonts w:hint="default" w:ascii="Wide Latin" w:hAnsi="Wide Latin"/>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138055A0"/>
    <w:multiLevelType w:val="multilevel"/>
    <w:tmpl w:val="138055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89B3A93"/>
    <w:multiLevelType w:val="multilevel"/>
    <w:tmpl w:val="189B3A93"/>
    <w:lvl w:ilvl="0" w:tentative="0">
      <w:start w:val="1"/>
      <w:numFmt w:val="bullet"/>
      <w:lvlText w:val="-"/>
      <w:lvlJc w:val="left"/>
      <w:pPr>
        <w:ind w:left="987" w:hanging="420"/>
      </w:pPr>
      <w:rPr>
        <w:rFonts w:hint="default" w:ascii="Wide Latin" w:hAnsi="Wide Lati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5">
    <w:nsid w:val="198A09AC"/>
    <w:multiLevelType w:val="multilevel"/>
    <w:tmpl w:val="198A09AC"/>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19B44F7B"/>
    <w:multiLevelType w:val="multilevel"/>
    <w:tmpl w:val="19B44F7B"/>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18D521B"/>
    <w:multiLevelType w:val="multilevel"/>
    <w:tmpl w:val="218D521B"/>
    <w:lvl w:ilvl="0" w:tentative="0">
      <w:start w:val="1"/>
      <w:numFmt w:val="bullet"/>
      <w:lvlText w:val="-"/>
      <w:lvlJc w:val="left"/>
      <w:pPr>
        <w:ind w:left="1260" w:hanging="420"/>
      </w:pPr>
      <w:rPr>
        <w:rFonts w:hint="default" w:ascii="Wide Latin" w:hAnsi="Wide Lati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22F953BD"/>
    <w:multiLevelType w:val="multilevel"/>
    <w:tmpl w:val="22F953BD"/>
    <w:lvl w:ilvl="0" w:tentative="0">
      <w:start w:val="1"/>
      <w:numFmt w:val="bullet"/>
      <w:lvlText w:val="-"/>
      <w:lvlJc w:val="left"/>
      <w:pPr>
        <w:ind w:left="984" w:hanging="420"/>
      </w:pPr>
      <w:rPr>
        <w:rFonts w:hint="default" w:ascii="Wide Latin" w:hAnsi="Wide Latin"/>
      </w:rPr>
    </w:lvl>
    <w:lvl w:ilvl="1" w:tentative="0">
      <w:start w:val="1"/>
      <w:numFmt w:val="bullet"/>
      <w:lvlText w:val=""/>
      <w:lvlJc w:val="left"/>
      <w:pPr>
        <w:ind w:left="1404" w:hanging="420"/>
      </w:pPr>
      <w:rPr>
        <w:rFonts w:hint="default" w:ascii="Wingdings" w:hAnsi="Wingdings"/>
      </w:rPr>
    </w:lvl>
    <w:lvl w:ilvl="2" w:tentative="0">
      <w:start w:val="1"/>
      <w:numFmt w:val="bullet"/>
      <w:lvlText w:val=""/>
      <w:lvlJc w:val="left"/>
      <w:pPr>
        <w:ind w:left="1824" w:hanging="420"/>
      </w:pPr>
      <w:rPr>
        <w:rFonts w:hint="default" w:ascii="Wingdings" w:hAnsi="Wingdings"/>
      </w:rPr>
    </w:lvl>
    <w:lvl w:ilvl="3" w:tentative="0">
      <w:start w:val="1"/>
      <w:numFmt w:val="bullet"/>
      <w:lvlText w:val=""/>
      <w:lvlJc w:val="left"/>
      <w:pPr>
        <w:ind w:left="2244" w:hanging="420"/>
      </w:pPr>
      <w:rPr>
        <w:rFonts w:hint="default" w:ascii="Wingdings" w:hAnsi="Wingdings"/>
      </w:rPr>
    </w:lvl>
    <w:lvl w:ilvl="4" w:tentative="0">
      <w:start w:val="1"/>
      <w:numFmt w:val="bullet"/>
      <w:lvlText w:val=""/>
      <w:lvlJc w:val="left"/>
      <w:pPr>
        <w:ind w:left="2664" w:hanging="420"/>
      </w:pPr>
      <w:rPr>
        <w:rFonts w:hint="default" w:ascii="Wingdings" w:hAnsi="Wingdings"/>
      </w:rPr>
    </w:lvl>
    <w:lvl w:ilvl="5" w:tentative="0">
      <w:start w:val="1"/>
      <w:numFmt w:val="bullet"/>
      <w:lvlText w:val=""/>
      <w:lvlJc w:val="left"/>
      <w:pPr>
        <w:ind w:left="3084" w:hanging="420"/>
      </w:pPr>
      <w:rPr>
        <w:rFonts w:hint="default" w:ascii="Wingdings" w:hAnsi="Wingdings"/>
      </w:rPr>
    </w:lvl>
    <w:lvl w:ilvl="6" w:tentative="0">
      <w:start w:val="1"/>
      <w:numFmt w:val="bullet"/>
      <w:lvlText w:val=""/>
      <w:lvlJc w:val="left"/>
      <w:pPr>
        <w:ind w:left="3504" w:hanging="420"/>
      </w:pPr>
      <w:rPr>
        <w:rFonts w:hint="default" w:ascii="Wingdings" w:hAnsi="Wingdings"/>
      </w:rPr>
    </w:lvl>
    <w:lvl w:ilvl="7" w:tentative="0">
      <w:start w:val="1"/>
      <w:numFmt w:val="bullet"/>
      <w:lvlText w:val=""/>
      <w:lvlJc w:val="left"/>
      <w:pPr>
        <w:ind w:left="3924" w:hanging="420"/>
      </w:pPr>
      <w:rPr>
        <w:rFonts w:hint="default" w:ascii="Wingdings" w:hAnsi="Wingdings"/>
      </w:rPr>
    </w:lvl>
    <w:lvl w:ilvl="8" w:tentative="0">
      <w:start w:val="1"/>
      <w:numFmt w:val="bullet"/>
      <w:lvlText w:val=""/>
      <w:lvlJc w:val="left"/>
      <w:pPr>
        <w:ind w:left="4344" w:hanging="420"/>
      </w:pPr>
      <w:rPr>
        <w:rFonts w:hint="default" w:ascii="Wingdings" w:hAnsi="Wingdings"/>
      </w:rPr>
    </w:lvl>
  </w:abstractNum>
  <w:abstractNum w:abstractNumId="9">
    <w:nsid w:val="2A3851F0"/>
    <w:multiLevelType w:val="multilevel"/>
    <w:tmpl w:val="2A3851F0"/>
    <w:lvl w:ilvl="0" w:tentative="0">
      <w:start w:val="1"/>
      <w:numFmt w:val="bullet"/>
      <w:lvlText w:val="-"/>
      <w:lvlJc w:val="left"/>
      <w:pPr>
        <w:ind w:left="982" w:hanging="420"/>
      </w:pPr>
      <w:rPr>
        <w:rFonts w:hint="default" w:ascii="Wide Latin" w:hAnsi="Wide Latin"/>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10">
    <w:nsid w:val="2D9C7E16"/>
    <w:multiLevelType w:val="multilevel"/>
    <w:tmpl w:val="2D9C7E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1110727"/>
    <w:multiLevelType w:val="multilevel"/>
    <w:tmpl w:val="31110727"/>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32552D3B"/>
    <w:multiLevelType w:val="multilevel"/>
    <w:tmpl w:val="32552D3B"/>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32AF19ED"/>
    <w:multiLevelType w:val="multilevel"/>
    <w:tmpl w:val="32AF19ED"/>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33114887"/>
    <w:multiLevelType w:val="multilevel"/>
    <w:tmpl w:val="33114887"/>
    <w:lvl w:ilvl="0" w:tentative="0">
      <w:start w:val="1"/>
      <w:numFmt w:val="bullet"/>
      <w:lvlText w:val="-"/>
      <w:lvlJc w:val="left"/>
      <w:pPr>
        <w:ind w:left="900" w:hanging="420"/>
      </w:pPr>
      <w:rPr>
        <w:rFonts w:hint="default" w:ascii="Wide Latin" w:hAnsi="Wide Lati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412A29EC"/>
    <w:multiLevelType w:val="multilevel"/>
    <w:tmpl w:val="412A29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32223E3"/>
    <w:multiLevelType w:val="multilevel"/>
    <w:tmpl w:val="432223E3"/>
    <w:lvl w:ilvl="0" w:tentative="0">
      <w:start w:val="1"/>
      <w:numFmt w:val="bullet"/>
      <w:lvlText w:val="-"/>
      <w:lvlJc w:val="left"/>
      <w:pPr>
        <w:ind w:left="1260" w:hanging="420"/>
      </w:pPr>
      <w:rPr>
        <w:rFonts w:hint="default" w:ascii="Wide Latin" w:hAnsi="Wide Latin"/>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7">
    <w:nsid w:val="45D957EB"/>
    <w:multiLevelType w:val="multilevel"/>
    <w:tmpl w:val="45D957E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485234A7"/>
    <w:multiLevelType w:val="multilevel"/>
    <w:tmpl w:val="485234A7"/>
    <w:lvl w:ilvl="0" w:tentative="0">
      <w:start w:val="1"/>
      <w:numFmt w:val="bullet"/>
      <w:lvlText w:val="-"/>
      <w:lvlJc w:val="left"/>
      <w:pPr>
        <w:ind w:left="900" w:hanging="420"/>
      </w:pPr>
      <w:rPr>
        <w:rFonts w:hint="default" w:ascii="Wide Latin" w:hAnsi="Wide Lati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9">
    <w:nsid w:val="4C150647"/>
    <w:multiLevelType w:val="multilevel"/>
    <w:tmpl w:val="4C15064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0">
    <w:nsid w:val="4F635FB4"/>
    <w:multiLevelType w:val="multilevel"/>
    <w:tmpl w:val="4F635FB4"/>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5B8A176C"/>
    <w:multiLevelType w:val="multilevel"/>
    <w:tmpl w:val="5B8A176C"/>
    <w:lvl w:ilvl="0" w:tentative="0">
      <w:start w:val="3"/>
      <w:numFmt w:val="decimal"/>
      <w:lvlText w:val="%1"/>
      <w:lvlJc w:val="left"/>
      <w:pPr>
        <w:ind w:left="456" w:hanging="45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2">
    <w:nsid w:val="61123ECD"/>
    <w:multiLevelType w:val="multilevel"/>
    <w:tmpl w:val="61123ECD"/>
    <w:lvl w:ilvl="0" w:tentative="0">
      <w:start w:val="1"/>
      <w:numFmt w:val="bullet"/>
      <w:lvlText w:val="-"/>
      <w:lvlJc w:val="left"/>
      <w:pPr>
        <w:ind w:left="980" w:hanging="420"/>
      </w:pPr>
      <w:rPr>
        <w:rFonts w:hint="default" w:ascii="Wide Latin" w:hAnsi="Wide Latin"/>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3">
    <w:nsid w:val="63230C11"/>
    <w:multiLevelType w:val="multilevel"/>
    <w:tmpl w:val="63230C11"/>
    <w:lvl w:ilvl="0" w:tentative="0">
      <w:start w:val="1"/>
      <w:numFmt w:val="bullet"/>
      <w:lvlText w:val="-"/>
      <w:lvlJc w:val="left"/>
      <w:pPr>
        <w:ind w:left="987" w:hanging="420"/>
      </w:pPr>
      <w:rPr>
        <w:rFonts w:hint="default" w:ascii="Wide Latin" w:hAnsi="Wide Lati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4">
    <w:nsid w:val="64A131F4"/>
    <w:multiLevelType w:val="multilevel"/>
    <w:tmpl w:val="64A131F4"/>
    <w:lvl w:ilvl="0" w:tentative="0">
      <w:start w:val="1"/>
      <w:numFmt w:val="bullet"/>
      <w:lvlText w:val="-"/>
      <w:lvlJc w:val="left"/>
      <w:pPr>
        <w:ind w:left="972" w:hanging="420"/>
      </w:pPr>
      <w:rPr>
        <w:rFonts w:hint="default" w:ascii="Wide Latin" w:hAnsi="Wide Latin"/>
      </w:rPr>
    </w:lvl>
    <w:lvl w:ilvl="1" w:tentative="0">
      <w:start w:val="1"/>
      <w:numFmt w:val="bullet"/>
      <w:lvlText w:val=""/>
      <w:lvlJc w:val="left"/>
      <w:pPr>
        <w:ind w:left="1392" w:hanging="420"/>
      </w:pPr>
      <w:rPr>
        <w:rFonts w:hint="default" w:ascii="Wingdings" w:hAnsi="Wingdings"/>
      </w:rPr>
    </w:lvl>
    <w:lvl w:ilvl="2" w:tentative="0">
      <w:start w:val="1"/>
      <w:numFmt w:val="bullet"/>
      <w:lvlText w:val=""/>
      <w:lvlJc w:val="left"/>
      <w:pPr>
        <w:ind w:left="1812" w:hanging="420"/>
      </w:pPr>
      <w:rPr>
        <w:rFonts w:hint="default" w:ascii="Wingdings" w:hAnsi="Wingdings"/>
      </w:rPr>
    </w:lvl>
    <w:lvl w:ilvl="3" w:tentative="0">
      <w:start w:val="1"/>
      <w:numFmt w:val="bullet"/>
      <w:lvlText w:val=""/>
      <w:lvlJc w:val="left"/>
      <w:pPr>
        <w:ind w:left="2232" w:hanging="420"/>
      </w:pPr>
      <w:rPr>
        <w:rFonts w:hint="default" w:ascii="Wingdings" w:hAnsi="Wingdings"/>
      </w:rPr>
    </w:lvl>
    <w:lvl w:ilvl="4" w:tentative="0">
      <w:start w:val="1"/>
      <w:numFmt w:val="bullet"/>
      <w:lvlText w:val=""/>
      <w:lvlJc w:val="left"/>
      <w:pPr>
        <w:ind w:left="2652" w:hanging="420"/>
      </w:pPr>
      <w:rPr>
        <w:rFonts w:hint="default" w:ascii="Wingdings" w:hAnsi="Wingdings"/>
      </w:rPr>
    </w:lvl>
    <w:lvl w:ilvl="5" w:tentative="0">
      <w:start w:val="1"/>
      <w:numFmt w:val="bullet"/>
      <w:lvlText w:val=""/>
      <w:lvlJc w:val="left"/>
      <w:pPr>
        <w:ind w:left="3072" w:hanging="420"/>
      </w:pPr>
      <w:rPr>
        <w:rFonts w:hint="default" w:ascii="Wingdings" w:hAnsi="Wingdings"/>
      </w:rPr>
    </w:lvl>
    <w:lvl w:ilvl="6" w:tentative="0">
      <w:start w:val="1"/>
      <w:numFmt w:val="bullet"/>
      <w:lvlText w:val=""/>
      <w:lvlJc w:val="left"/>
      <w:pPr>
        <w:ind w:left="3492" w:hanging="420"/>
      </w:pPr>
      <w:rPr>
        <w:rFonts w:hint="default" w:ascii="Wingdings" w:hAnsi="Wingdings"/>
      </w:rPr>
    </w:lvl>
    <w:lvl w:ilvl="7" w:tentative="0">
      <w:start w:val="1"/>
      <w:numFmt w:val="bullet"/>
      <w:lvlText w:val=""/>
      <w:lvlJc w:val="left"/>
      <w:pPr>
        <w:ind w:left="3912" w:hanging="420"/>
      </w:pPr>
      <w:rPr>
        <w:rFonts w:hint="default" w:ascii="Wingdings" w:hAnsi="Wingdings"/>
      </w:rPr>
    </w:lvl>
    <w:lvl w:ilvl="8" w:tentative="0">
      <w:start w:val="1"/>
      <w:numFmt w:val="bullet"/>
      <w:lvlText w:val=""/>
      <w:lvlJc w:val="left"/>
      <w:pPr>
        <w:ind w:left="4332" w:hanging="420"/>
      </w:pPr>
      <w:rPr>
        <w:rFonts w:hint="default" w:ascii="Wingdings" w:hAnsi="Wingdings"/>
      </w:rPr>
    </w:lvl>
  </w:abstractNum>
  <w:abstractNum w:abstractNumId="25">
    <w:nsid w:val="657D285C"/>
    <w:multiLevelType w:val="multilevel"/>
    <w:tmpl w:val="657D285C"/>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6F4B5286"/>
    <w:multiLevelType w:val="multilevel"/>
    <w:tmpl w:val="6F4B5286"/>
    <w:lvl w:ilvl="0" w:tentative="0">
      <w:start w:val="1"/>
      <w:numFmt w:val="decimal"/>
      <w:lvlText w:val="（%1）"/>
      <w:lvlJc w:val="left"/>
      <w:pPr>
        <w:ind w:left="2705" w:hanging="720"/>
      </w:pPr>
      <w:rPr>
        <w:rFonts w:hint="default"/>
      </w:rPr>
    </w:lvl>
    <w:lvl w:ilvl="1" w:tentative="0">
      <w:start w:val="1"/>
      <w:numFmt w:val="lowerLetter"/>
      <w:lvlText w:val="%2)"/>
      <w:lvlJc w:val="left"/>
      <w:pPr>
        <w:ind w:left="2825" w:hanging="420"/>
      </w:pPr>
    </w:lvl>
    <w:lvl w:ilvl="2" w:tentative="0">
      <w:start w:val="1"/>
      <w:numFmt w:val="lowerRoman"/>
      <w:lvlText w:val="%3."/>
      <w:lvlJc w:val="right"/>
      <w:pPr>
        <w:ind w:left="3245" w:hanging="420"/>
      </w:pPr>
    </w:lvl>
    <w:lvl w:ilvl="3" w:tentative="0">
      <w:start w:val="1"/>
      <w:numFmt w:val="decimal"/>
      <w:lvlText w:val="%4."/>
      <w:lvlJc w:val="left"/>
      <w:pPr>
        <w:ind w:left="3665" w:hanging="420"/>
      </w:pPr>
    </w:lvl>
    <w:lvl w:ilvl="4" w:tentative="0">
      <w:start w:val="1"/>
      <w:numFmt w:val="lowerLetter"/>
      <w:lvlText w:val="%5)"/>
      <w:lvlJc w:val="left"/>
      <w:pPr>
        <w:ind w:left="4085" w:hanging="420"/>
      </w:pPr>
    </w:lvl>
    <w:lvl w:ilvl="5" w:tentative="0">
      <w:start w:val="1"/>
      <w:numFmt w:val="lowerRoman"/>
      <w:lvlText w:val="%6."/>
      <w:lvlJc w:val="right"/>
      <w:pPr>
        <w:ind w:left="4505" w:hanging="420"/>
      </w:pPr>
    </w:lvl>
    <w:lvl w:ilvl="6" w:tentative="0">
      <w:start w:val="1"/>
      <w:numFmt w:val="decimal"/>
      <w:lvlText w:val="%7."/>
      <w:lvlJc w:val="left"/>
      <w:pPr>
        <w:ind w:left="4925" w:hanging="420"/>
      </w:pPr>
    </w:lvl>
    <w:lvl w:ilvl="7" w:tentative="0">
      <w:start w:val="1"/>
      <w:numFmt w:val="lowerLetter"/>
      <w:lvlText w:val="%8)"/>
      <w:lvlJc w:val="left"/>
      <w:pPr>
        <w:ind w:left="5345" w:hanging="420"/>
      </w:pPr>
    </w:lvl>
    <w:lvl w:ilvl="8" w:tentative="0">
      <w:start w:val="1"/>
      <w:numFmt w:val="lowerRoman"/>
      <w:lvlText w:val="%9."/>
      <w:lvlJc w:val="right"/>
      <w:pPr>
        <w:ind w:left="5765" w:hanging="420"/>
      </w:pPr>
    </w:lvl>
  </w:abstractNum>
  <w:abstractNum w:abstractNumId="27">
    <w:nsid w:val="7B8617B2"/>
    <w:multiLevelType w:val="multilevel"/>
    <w:tmpl w:val="7B8617B2"/>
    <w:lvl w:ilvl="0" w:tentative="0">
      <w:start w:val="1"/>
      <w:numFmt w:val="bullet"/>
      <w:lvlText w:val="-"/>
      <w:lvlJc w:val="left"/>
      <w:pPr>
        <w:ind w:left="840" w:hanging="420"/>
      </w:pPr>
      <w:rPr>
        <w:rFonts w:hint="default" w:ascii="Wide Latin" w:hAnsi="Wide Lati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8">
    <w:nsid w:val="7E474D71"/>
    <w:multiLevelType w:val="multilevel"/>
    <w:tmpl w:val="7E474D71"/>
    <w:lvl w:ilvl="0" w:tentative="0">
      <w:start w:val="1"/>
      <w:numFmt w:val="bullet"/>
      <w:lvlText w:val="-"/>
      <w:lvlJc w:val="left"/>
      <w:pPr>
        <w:ind w:left="1400" w:hanging="420"/>
      </w:pPr>
      <w:rPr>
        <w:rFonts w:hint="default" w:ascii="Wide Latin" w:hAnsi="Wide Latin"/>
      </w:rPr>
    </w:lvl>
    <w:lvl w:ilvl="1" w:tentative="0">
      <w:start w:val="1"/>
      <w:numFmt w:val="bullet"/>
      <w:lvlText w:val=""/>
      <w:lvlJc w:val="left"/>
      <w:pPr>
        <w:ind w:left="1820" w:hanging="420"/>
      </w:pPr>
      <w:rPr>
        <w:rFonts w:hint="default" w:ascii="Wingdings" w:hAnsi="Wingdings"/>
      </w:rPr>
    </w:lvl>
    <w:lvl w:ilvl="2" w:tentative="0">
      <w:start w:val="1"/>
      <w:numFmt w:val="bullet"/>
      <w:lvlText w:val=""/>
      <w:lvlJc w:val="left"/>
      <w:pPr>
        <w:ind w:left="2240" w:hanging="420"/>
      </w:pPr>
      <w:rPr>
        <w:rFonts w:hint="default" w:ascii="Wingdings" w:hAnsi="Wingdings"/>
      </w:rPr>
    </w:lvl>
    <w:lvl w:ilvl="3" w:tentative="0">
      <w:start w:val="1"/>
      <w:numFmt w:val="bullet"/>
      <w:lvlText w:val=""/>
      <w:lvlJc w:val="left"/>
      <w:pPr>
        <w:ind w:left="2660" w:hanging="420"/>
      </w:pPr>
      <w:rPr>
        <w:rFonts w:hint="default" w:ascii="Wingdings" w:hAnsi="Wingdings"/>
      </w:rPr>
    </w:lvl>
    <w:lvl w:ilvl="4" w:tentative="0">
      <w:start w:val="1"/>
      <w:numFmt w:val="bullet"/>
      <w:lvlText w:val=""/>
      <w:lvlJc w:val="left"/>
      <w:pPr>
        <w:ind w:left="3080" w:hanging="420"/>
      </w:pPr>
      <w:rPr>
        <w:rFonts w:hint="default" w:ascii="Wingdings" w:hAnsi="Wingdings"/>
      </w:rPr>
    </w:lvl>
    <w:lvl w:ilvl="5" w:tentative="0">
      <w:start w:val="1"/>
      <w:numFmt w:val="bullet"/>
      <w:lvlText w:val=""/>
      <w:lvlJc w:val="left"/>
      <w:pPr>
        <w:ind w:left="3500" w:hanging="420"/>
      </w:pPr>
      <w:rPr>
        <w:rFonts w:hint="default" w:ascii="Wingdings" w:hAnsi="Wingdings"/>
      </w:rPr>
    </w:lvl>
    <w:lvl w:ilvl="6" w:tentative="0">
      <w:start w:val="1"/>
      <w:numFmt w:val="bullet"/>
      <w:lvlText w:val=""/>
      <w:lvlJc w:val="left"/>
      <w:pPr>
        <w:ind w:left="3920" w:hanging="420"/>
      </w:pPr>
      <w:rPr>
        <w:rFonts w:hint="default" w:ascii="Wingdings" w:hAnsi="Wingdings"/>
      </w:rPr>
    </w:lvl>
    <w:lvl w:ilvl="7" w:tentative="0">
      <w:start w:val="1"/>
      <w:numFmt w:val="bullet"/>
      <w:lvlText w:val=""/>
      <w:lvlJc w:val="left"/>
      <w:pPr>
        <w:ind w:left="4340" w:hanging="420"/>
      </w:pPr>
      <w:rPr>
        <w:rFonts w:hint="default" w:ascii="Wingdings" w:hAnsi="Wingdings"/>
      </w:rPr>
    </w:lvl>
    <w:lvl w:ilvl="8" w:tentative="0">
      <w:start w:val="1"/>
      <w:numFmt w:val="bullet"/>
      <w:lvlText w:val=""/>
      <w:lvlJc w:val="left"/>
      <w:pPr>
        <w:ind w:left="4760" w:hanging="420"/>
      </w:pPr>
      <w:rPr>
        <w:rFonts w:hint="default" w:ascii="Wingdings" w:hAnsi="Wingdings"/>
      </w:rPr>
    </w:lvl>
  </w:abstractNum>
  <w:abstractNum w:abstractNumId="29">
    <w:nsid w:val="7E8C17C4"/>
    <w:multiLevelType w:val="multilevel"/>
    <w:tmpl w:val="7E8C17C4"/>
    <w:lvl w:ilvl="0" w:tentative="0">
      <w:start w:val="1"/>
      <w:numFmt w:val="bullet"/>
      <w:lvlText w:val="-"/>
      <w:lvlJc w:val="left"/>
      <w:pPr>
        <w:ind w:left="704" w:hanging="420"/>
      </w:pPr>
      <w:rPr>
        <w:rFonts w:hint="default" w:ascii="Wide Latin" w:hAnsi="Wide Lati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de Latin" w:hAnsi="Wide Latin"/>
      </w:rPr>
    </w:lvl>
    <w:lvl w:ilvl="3" w:tentative="0">
      <w:start w:val="1"/>
      <w:numFmt w:val="bullet"/>
      <w:lvlText w:val="-"/>
      <w:lvlJc w:val="left"/>
      <w:pPr>
        <w:ind w:left="1964" w:hanging="420"/>
      </w:pPr>
      <w:rPr>
        <w:rFonts w:hint="default" w:ascii="Wide Latin" w:hAnsi="Wide Latin"/>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10"/>
  </w:num>
  <w:num w:numId="2">
    <w:abstractNumId w:val="14"/>
  </w:num>
  <w:num w:numId="3">
    <w:abstractNumId w:val="18"/>
  </w:num>
  <w:num w:numId="4">
    <w:abstractNumId w:val="3"/>
  </w:num>
  <w:num w:numId="5">
    <w:abstractNumId w:val="15"/>
  </w:num>
  <w:num w:numId="6">
    <w:abstractNumId w:val="13"/>
  </w:num>
  <w:num w:numId="7">
    <w:abstractNumId w:val="26"/>
  </w:num>
  <w:num w:numId="8">
    <w:abstractNumId w:val="0"/>
  </w:num>
  <w:num w:numId="9">
    <w:abstractNumId w:val="28"/>
  </w:num>
  <w:num w:numId="10">
    <w:abstractNumId w:val="24"/>
  </w:num>
  <w:num w:numId="11">
    <w:abstractNumId w:val="21"/>
  </w:num>
  <w:num w:numId="12">
    <w:abstractNumId w:val="16"/>
  </w:num>
  <w:num w:numId="13">
    <w:abstractNumId w:val="7"/>
  </w:num>
  <w:num w:numId="14">
    <w:abstractNumId w:val="27"/>
  </w:num>
  <w:num w:numId="15">
    <w:abstractNumId w:val="9"/>
  </w:num>
  <w:num w:numId="16">
    <w:abstractNumId w:val="11"/>
  </w:num>
  <w:num w:numId="17">
    <w:abstractNumId w:val="12"/>
  </w:num>
  <w:num w:numId="18">
    <w:abstractNumId w:val="17"/>
  </w:num>
  <w:num w:numId="19">
    <w:abstractNumId w:val="5"/>
  </w:num>
  <w:num w:numId="20">
    <w:abstractNumId w:val="8"/>
  </w:num>
  <w:num w:numId="21">
    <w:abstractNumId w:val="2"/>
  </w:num>
  <w:num w:numId="22">
    <w:abstractNumId w:val="6"/>
  </w:num>
  <w:num w:numId="23">
    <w:abstractNumId w:val="22"/>
  </w:num>
  <w:num w:numId="24">
    <w:abstractNumId w:val="20"/>
  </w:num>
  <w:num w:numId="25">
    <w:abstractNumId w:val="4"/>
  </w:num>
  <w:num w:numId="26">
    <w:abstractNumId w:val="23"/>
  </w:num>
  <w:num w:numId="27">
    <w:abstractNumId w:val="25"/>
  </w:num>
  <w:num w:numId="28">
    <w:abstractNumId w:val="1"/>
  </w:num>
  <w:num w:numId="29">
    <w:abstractNumId w:val="2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1"/>
    </o:shapelayout>
  </w:hdrShapeDefaults>
  <w:footnotePr>
    <w:footnote w:id="2"/>
    <w:footnote w:id="3"/>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N2MwYzAzZDBlMDc3ZDU1N2NkNDdlNGJhMjE1M2EifQ=="/>
  </w:docVars>
  <w:rsids>
    <w:rsidRoot w:val="00841FE8"/>
    <w:rsid w:val="000008B2"/>
    <w:rsid w:val="00002506"/>
    <w:rsid w:val="00003113"/>
    <w:rsid w:val="00003C80"/>
    <w:rsid w:val="0000475F"/>
    <w:rsid w:val="00005605"/>
    <w:rsid w:val="000066CF"/>
    <w:rsid w:val="000070C4"/>
    <w:rsid w:val="000109EA"/>
    <w:rsid w:val="00010B21"/>
    <w:rsid w:val="00010F86"/>
    <w:rsid w:val="00011218"/>
    <w:rsid w:val="000122DF"/>
    <w:rsid w:val="00012C63"/>
    <w:rsid w:val="00012E4F"/>
    <w:rsid w:val="00015580"/>
    <w:rsid w:val="00015DBD"/>
    <w:rsid w:val="0001652C"/>
    <w:rsid w:val="00016FD5"/>
    <w:rsid w:val="0002041B"/>
    <w:rsid w:val="000209BF"/>
    <w:rsid w:val="00021653"/>
    <w:rsid w:val="0002263C"/>
    <w:rsid w:val="000247F3"/>
    <w:rsid w:val="000249E3"/>
    <w:rsid w:val="00024D94"/>
    <w:rsid w:val="00024F4D"/>
    <w:rsid w:val="00025143"/>
    <w:rsid w:val="00026837"/>
    <w:rsid w:val="00030E6B"/>
    <w:rsid w:val="000332CA"/>
    <w:rsid w:val="0003432B"/>
    <w:rsid w:val="00035836"/>
    <w:rsid w:val="00037A17"/>
    <w:rsid w:val="00037CC7"/>
    <w:rsid w:val="00037E7B"/>
    <w:rsid w:val="000419F6"/>
    <w:rsid w:val="00043319"/>
    <w:rsid w:val="00043C46"/>
    <w:rsid w:val="0004491D"/>
    <w:rsid w:val="00045DA9"/>
    <w:rsid w:val="00045F59"/>
    <w:rsid w:val="0005029B"/>
    <w:rsid w:val="0005045B"/>
    <w:rsid w:val="0005299B"/>
    <w:rsid w:val="00053E2E"/>
    <w:rsid w:val="00053FC2"/>
    <w:rsid w:val="00054322"/>
    <w:rsid w:val="00054586"/>
    <w:rsid w:val="00054BF7"/>
    <w:rsid w:val="00056189"/>
    <w:rsid w:val="0005786B"/>
    <w:rsid w:val="00060615"/>
    <w:rsid w:val="00064C13"/>
    <w:rsid w:val="000659A1"/>
    <w:rsid w:val="0006712A"/>
    <w:rsid w:val="000674B5"/>
    <w:rsid w:val="00067D6A"/>
    <w:rsid w:val="00071B9C"/>
    <w:rsid w:val="00072146"/>
    <w:rsid w:val="00072E43"/>
    <w:rsid w:val="00073F92"/>
    <w:rsid w:val="00074D48"/>
    <w:rsid w:val="00076593"/>
    <w:rsid w:val="00076957"/>
    <w:rsid w:val="00077E77"/>
    <w:rsid w:val="00080D11"/>
    <w:rsid w:val="00081644"/>
    <w:rsid w:val="00082E24"/>
    <w:rsid w:val="00083140"/>
    <w:rsid w:val="00084A48"/>
    <w:rsid w:val="00087C2F"/>
    <w:rsid w:val="00087FD9"/>
    <w:rsid w:val="000904D0"/>
    <w:rsid w:val="00092DE8"/>
    <w:rsid w:val="00095874"/>
    <w:rsid w:val="000969F8"/>
    <w:rsid w:val="00096A9D"/>
    <w:rsid w:val="0009794C"/>
    <w:rsid w:val="000A0447"/>
    <w:rsid w:val="000A0645"/>
    <w:rsid w:val="000A1BAC"/>
    <w:rsid w:val="000A2019"/>
    <w:rsid w:val="000A204A"/>
    <w:rsid w:val="000A231D"/>
    <w:rsid w:val="000A27E5"/>
    <w:rsid w:val="000A2923"/>
    <w:rsid w:val="000A31DB"/>
    <w:rsid w:val="000B0330"/>
    <w:rsid w:val="000B0CD6"/>
    <w:rsid w:val="000B0D79"/>
    <w:rsid w:val="000B1642"/>
    <w:rsid w:val="000B1737"/>
    <w:rsid w:val="000B182C"/>
    <w:rsid w:val="000B2422"/>
    <w:rsid w:val="000B3620"/>
    <w:rsid w:val="000B4714"/>
    <w:rsid w:val="000B4BD1"/>
    <w:rsid w:val="000B4E97"/>
    <w:rsid w:val="000B509A"/>
    <w:rsid w:val="000B5DA9"/>
    <w:rsid w:val="000B7683"/>
    <w:rsid w:val="000B7A05"/>
    <w:rsid w:val="000C0953"/>
    <w:rsid w:val="000C26C8"/>
    <w:rsid w:val="000C316C"/>
    <w:rsid w:val="000C438E"/>
    <w:rsid w:val="000C4690"/>
    <w:rsid w:val="000C4D0B"/>
    <w:rsid w:val="000C4E10"/>
    <w:rsid w:val="000C661E"/>
    <w:rsid w:val="000D24C4"/>
    <w:rsid w:val="000D25BA"/>
    <w:rsid w:val="000D2CDE"/>
    <w:rsid w:val="000D3753"/>
    <w:rsid w:val="000D4BE6"/>
    <w:rsid w:val="000D5705"/>
    <w:rsid w:val="000D6E4A"/>
    <w:rsid w:val="000D72DA"/>
    <w:rsid w:val="000E19B9"/>
    <w:rsid w:val="000E21BA"/>
    <w:rsid w:val="000E2BDF"/>
    <w:rsid w:val="000E64F0"/>
    <w:rsid w:val="000E7410"/>
    <w:rsid w:val="000F00F6"/>
    <w:rsid w:val="000F0D8D"/>
    <w:rsid w:val="000F0E0C"/>
    <w:rsid w:val="000F1785"/>
    <w:rsid w:val="000F20D0"/>
    <w:rsid w:val="000F2659"/>
    <w:rsid w:val="000F3408"/>
    <w:rsid w:val="000F39B9"/>
    <w:rsid w:val="000F4FCC"/>
    <w:rsid w:val="000F6DC8"/>
    <w:rsid w:val="000F6F8B"/>
    <w:rsid w:val="00100FEE"/>
    <w:rsid w:val="0010198F"/>
    <w:rsid w:val="00101D73"/>
    <w:rsid w:val="00102831"/>
    <w:rsid w:val="001032D0"/>
    <w:rsid w:val="00104933"/>
    <w:rsid w:val="00105C91"/>
    <w:rsid w:val="00106FD3"/>
    <w:rsid w:val="00107A66"/>
    <w:rsid w:val="00107DA6"/>
    <w:rsid w:val="00110DD3"/>
    <w:rsid w:val="00111618"/>
    <w:rsid w:val="00111C9A"/>
    <w:rsid w:val="00112605"/>
    <w:rsid w:val="00113142"/>
    <w:rsid w:val="0011497D"/>
    <w:rsid w:val="00114F0A"/>
    <w:rsid w:val="00115B75"/>
    <w:rsid w:val="001177EF"/>
    <w:rsid w:val="00117F60"/>
    <w:rsid w:val="0012442E"/>
    <w:rsid w:val="00124882"/>
    <w:rsid w:val="00125E3A"/>
    <w:rsid w:val="0012612B"/>
    <w:rsid w:val="001263CC"/>
    <w:rsid w:val="001266FA"/>
    <w:rsid w:val="00127D41"/>
    <w:rsid w:val="00127E7C"/>
    <w:rsid w:val="001313D5"/>
    <w:rsid w:val="00131DAA"/>
    <w:rsid w:val="0013264C"/>
    <w:rsid w:val="00132977"/>
    <w:rsid w:val="00132FF6"/>
    <w:rsid w:val="0013404A"/>
    <w:rsid w:val="00137051"/>
    <w:rsid w:val="0013791D"/>
    <w:rsid w:val="00140348"/>
    <w:rsid w:val="0014135D"/>
    <w:rsid w:val="001413D0"/>
    <w:rsid w:val="00142001"/>
    <w:rsid w:val="001422DC"/>
    <w:rsid w:val="00142749"/>
    <w:rsid w:val="0014315B"/>
    <w:rsid w:val="00143434"/>
    <w:rsid w:val="001447DA"/>
    <w:rsid w:val="0014579F"/>
    <w:rsid w:val="00145DA5"/>
    <w:rsid w:val="00145E92"/>
    <w:rsid w:val="001460D1"/>
    <w:rsid w:val="001473DC"/>
    <w:rsid w:val="001476A5"/>
    <w:rsid w:val="00150992"/>
    <w:rsid w:val="00150AD0"/>
    <w:rsid w:val="00150B9D"/>
    <w:rsid w:val="0015132A"/>
    <w:rsid w:val="00152FE6"/>
    <w:rsid w:val="00154367"/>
    <w:rsid w:val="001553BD"/>
    <w:rsid w:val="00155B21"/>
    <w:rsid w:val="00155BD9"/>
    <w:rsid w:val="001567D6"/>
    <w:rsid w:val="00161223"/>
    <w:rsid w:val="001614BA"/>
    <w:rsid w:val="00161CAC"/>
    <w:rsid w:val="00162259"/>
    <w:rsid w:val="00162555"/>
    <w:rsid w:val="00162A37"/>
    <w:rsid w:val="00164B59"/>
    <w:rsid w:val="00165A80"/>
    <w:rsid w:val="00165CAB"/>
    <w:rsid w:val="00170589"/>
    <w:rsid w:val="00173F07"/>
    <w:rsid w:val="001772A1"/>
    <w:rsid w:val="00180897"/>
    <w:rsid w:val="00181953"/>
    <w:rsid w:val="00181D56"/>
    <w:rsid w:val="00181E09"/>
    <w:rsid w:val="00181F00"/>
    <w:rsid w:val="001831C7"/>
    <w:rsid w:val="00183668"/>
    <w:rsid w:val="00183B98"/>
    <w:rsid w:val="00183FF3"/>
    <w:rsid w:val="00184C34"/>
    <w:rsid w:val="00185DA3"/>
    <w:rsid w:val="00186BC3"/>
    <w:rsid w:val="001873F3"/>
    <w:rsid w:val="00193062"/>
    <w:rsid w:val="00194435"/>
    <w:rsid w:val="0019677B"/>
    <w:rsid w:val="00196A72"/>
    <w:rsid w:val="00196BE4"/>
    <w:rsid w:val="001976FF"/>
    <w:rsid w:val="001A072A"/>
    <w:rsid w:val="001A074E"/>
    <w:rsid w:val="001A2735"/>
    <w:rsid w:val="001A2813"/>
    <w:rsid w:val="001A4C3D"/>
    <w:rsid w:val="001A52E1"/>
    <w:rsid w:val="001A5976"/>
    <w:rsid w:val="001A751F"/>
    <w:rsid w:val="001B28BE"/>
    <w:rsid w:val="001B3E13"/>
    <w:rsid w:val="001B7AC0"/>
    <w:rsid w:val="001C04F9"/>
    <w:rsid w:val="001C2147"/>
    <w:rsid w:val="001C4566"/>
    <w:rsid w:val="001C4A44"/>
    <w:rsid w:val="001D0219"/>
    <w:rsid w:val="001D1BCA"/>
    <w:rsid w:val="001D293B"/>
    <w:rsid w:val="001D2C0C"/>
    <w:rsid w:val="001D4DD2"/>
    <w:rsid w:val="001D5ABA"/>
    <w:rsid w:val="001D5BE8"/>
    <w:rsid w:val="001D6C35"/>
    <w:rsid w:val="001D704D"/>
    <w:rsid w:val="001D70B6"/>
    <w:rsid w:val="001D7632"/>
    <w:rsid w:val="001E01E0"/>
    <w:rsid w:val="001E0B9D"/>
    <w:rsid w:val="001E2A67"/>
    <w:rsid w:val="001E33A9"/>
    <w:rsid w:val="001E3688"/>
    <w:rsid w:val="001E4C4F"/>
    <w:rsid w:val="001E4E51"/>
    <w:rsid w:val="001E53BB"/>
    <w:rsid w:val="001E5798"/>
    <w:rsid w:val="001E638E"/>
    <w:rsid w:val="001F18B4"/>
    <w:rsid w:val="001F2334"/>
    <w:rsid w:val="001F52C9"/>
    <w:rsid w:val="001F5895"/>
    <w:rsid w:val="001F6024"/>
    <w:rsid w:val="001F6A37"/>
    <w:rsid w:val="001F6D21"/>
    <w:rsid w:val="001F7635"/>
    <w:rsid w:val="001F7A55"/>
    <w:rsid w:val="001F7C96"/>
    <w:rsid w:val="001F7F96"/>
    <w:rsid w:val="002017D0"/>
    <w:rsid w:val="00202B33"/>
    <w:rsid w:val="0020461B"/>
    <w:rsid w:val="00205EA5"/>
    <w:rsid w:val="00206394"/>
    <w:rsid w:val="002079F5"/>
    <w:rsid w:val="00210FBF"/>
    <w:rsid w:val="00211C5B"/>
    <w:rsid w:val="00212223"/>
    <w:rsid w:val="00212D20"/>
    <w:rsid w:val="00213327"/>
    <w:rsid w:val="00213340"/>
    <w:rsid w:val="00213D78"/>
    <w:rsid w:val="00216D92"/>
    <w:rsid w:val="00217C5B"/>
    <w:rsid w:val="00220A6E"/>
    <w:rsid w:val="00223360"/>
    <w:rsid w:val="00224191"/>
    <w:rsid w:val="00226A4B"/>
    <w:rsid w:val="00226FFF"/>
    <w:rsid w:val="0022745F"/>
    <w:rsid w:val="002304B7"/>
    <w:rsid w:val="00230666"/>
    <w:rsid w:val="00230FC4"/>
    <w:rsid w:val="0023252B"/>
    <w:rsid w:val="0023290F"/>
    <w:rsid w:val="00233829"/>
    <w:rsid w:val="00235AFC"/>
    <w:rsid w:val="00236A7B"/>
    <w:rsid w:val="0024038C"/>
    <w:rsid w:val="002403F5"/>
    <w:rsid w:val="00241BAF"/>
    <w:rsid w:val="00245DC5"/>
    <w:rsid w:val="00247A46"/>
    <w:rsid w:val="00251800"/>
    <w:rsid w:val="00251F5E"/>
    <w:rsid w:val="00252363"/>
    <w:rsid w:val="00252BA3"/>
    <w:rsid w:val="00252D3C"/>
    <w:rsid w:val="00254945"/>
    <w:rsid w:val="00255AB6"/>
    <w:rsid w:val="00257948"/>
    <w:rsid w:val="00257F40"/>
    <w:rsid w:val="002605D5"/>
    <w:rsid w:val="00260727"/>
    <w:rsid w:val="00261ABF"/>
    <w:rsid w:val="0026202D"/>
    <w:rsid w:val="002632FF"/>
    <w:rsid w:val="00263A80"/>
    <w:rsid w:val="00264173"/>
    <w:rsid w:val="00264ACA"/>
    <w:rsid w:val="00265D02"/>
    <w:rsid w:val="002666FE"/>
    <w:rsid w:val="002672B1"/>
    <w:rsid w:val="002672E0"/>
    <w:rsid w:val="0027110F"/>
    <w:rsid w:val="00272BAC"/>
    <w:rsid w:val="00273288"/>
    <w:rsid w:val="00275C6C"/>
    <w:rsid w:val="002827BE"/>
    <w:rsid w:val="002833D3"/>
    <w:rsid w:val="00283495"/>
    <w:rsid w:val="002835B1"/>
    <w:rsid w:val="002837A4"/>
    <w:rsid w:val="002855B2"/>
    <w:rsid w:val="00286795"/>
    <w:rsid w:val="0029165D"/>
    <w:rsid w:val="00292DD3"/>
    <w:rsid w:val="00293B3A"/>
    <w:rsid w:val="00294BB3"/>
    <w:rsid w:val="0029567F"/>
    <w:rsid w:val="00295E43"/>
    <w:rsid w:val="00295E5D"/>
    <w:rsid w:val="002965B5"/>
    <w:rsid w:val="002969AA"/>
    <w:rsid w:val="00297E5A"/>
    <w:rsid w:val="002A3655"/>
    <w:rsid w:val="002A38AE"/>
    <w:rsid w:val="002A59F0"/>
    <w:rsid w:val="002A5CDC"/>
    <w:rsid w:val="002A7F60"/>
    <w:rsid w:val="002B00C3"/>
    <w:rsid w:val="002B3877"/>
    <w:rsid w:val="002B4595"/>
    <w:rsid w:val="002B5B3B"/>
    <w:rsid w:val="002B704E"/>
    <w:rsid w:val="002B725C"/>
    <w:rsid w:val="002B74D7"/>
    <w:rsid w:val="002B78E0"/>
    <w:rsid w:val="002B79D3"/>
    <w:rsid w:val="002B7B4B"/>
    <w:rsid w:val="002B7D89"/>
    <w:rsid w:val="002C050A"/>
    <w:rsid w:val="002C064A"/>
    <w:rsid w:val="002C26A4"/>
    <w:rsid w:val="002C39C9"/>
    <w:rsid w:val="002C401D"/>
    <w:rsid w:val="002C403E"/>
    <w:rsid w:val="002C4CAB"/>
    <w:rsid w:val="002C50AD"/>
    <w:rsid w:val="002C5E26"/>
    <w:rsid w:val="002C61CE"/>
    <w:rsid w:val="002C6535"/>
    <w:rsid w:val="002C6B58"/>
    <w:rsid w:val="002C7BBA"/>
    <w:rsid w:val="002D008B"/>
    <w:rsid w:val="002D00A7"/>
    <w:rsid w:val="002D3551"/>
    <w:rsid w:val="002D3667"/>
    <w:rsid w:val="002D4010"/>
    <w:rsid w:val="002D4CA9"/>
    <w:rsid w:val="002D7099"/>
    <w:rsid w:val="002E12B1"/>
    <w:rsid w:val="002E489D"/>
    <w:rsid w:val="002E48CE"/>
    <w:rsid w:val="002E4ADF"/>
    <w:rsid w:val="002E6F74"/>
    <w:rsid w:val="002E6F7E"/>
    <w:rsid w:val="002E7EA7"/>
    <w:rsid w:val="002F1455"/>
    <w:rsid w:val="002F312A"/>
    <w:rsid w:val="002F6EB9"/>
    <w:rsid w:val="002F7060"/>
    <w:rsid w:val="00300A2F"/>
    <w:rsid w:val="00302A98"/>
    <w:rsid w:val="00303EBD"/>
    <w:rsid w:val="00303FE1"/>
    <w:rsid w:val="00304EB0"/>
    <w:rsid w:val="00305E9F"/>
    <w:rsid w:val="003063F7"/>
    <w:rsid w:val="00306550"/>
    <w:rsid w:val="00306AF1"/>
    <w:rsid w:val="00306B87"/>
    <w:rsid w:val="0031053B"/>
    <w:rsid w:val="00315095"/>
    <w:rsid w:val="00315695"/>
    <w:rsid w:val="00315736"/>
    <w:rsid w:val="00316CA4"/>
    <w:rsid w:val="00317612"/>
    <w:rsid w:val="00317AE9"/>
    <w:rsid w:val="00320FDF"/>
    <w:rsid w:val="003217BF"/>
    <w:rsid w:val="0032183F"/>
    <w:rsid w:val="003226E1"/>
    <w:rsid w:val="00324421"/>
    <w:rsid w:val="0032570D"/>
    <w:rsid w:val="00326595"/>
    <w:rsid w:val="00333002"/>
    <w:rsid w:val="003330AD"/>
    <w:rsid w:val="00334275"/>
    <w:rsid w:val="003364B4"/>
    <w:rsid w:val="00337A4F"/>
    <w:rsid w:val="003403CA"/>
    <w:rsid w:val="0034188A"/>
    <w:rsid w:val="003419B8"/>
    <w:rsid w:val="003431B7"/>
    <w:rsid w:val="003433DB"/>
    <w:rsid w:val="00343BBC"/>
    <w:rsid w:val="00344E27"/>
    <w:rsid w:val="00345657"/>
    <w:rsid w:val="0034621D"/>
    <w:rsid w:val="003463B7"/>
    <w:rsid w:val="00347C50"/>
    <w:rsid w:val="003510FE"/>
    <w:rsid w:val="0035183D"/>
    <w:rsid w:val="0035378F"/>
    <w:rsid w:val="00355E9C"/>
    <w:rsid w:val="00356004"/>
    <w:rsid w:val="00356CC6"/>
    <w:rsid w:val="0036004F"/>
    <w:rsid w:val="00361FF8"/>
    <w:rsid w:val="00362013"/>
    <w:rsid w:val="0036617D"/>
    <w:rsid w:val="00366ACD"/>
    <w:rsid w:val="0036757B"/>
    <w:rsid w:val="00370198"/>
    <w:rsid w:val="003716AC"/>
    <w:rsid w:val="003730D5"/>
    <w:rsid w:val="0037376C"/>
    <w:rsid w:val="0037648A"/>
    <w:rsid w:val="0037754D"/>
    <w:rsid w:val="00377D45"/>
    <w:rsid w:val="00377E92"/>
    <w:rsid w:val="00377EFE"/>
    <w:rsid w:val="00380447"/>
    <w:rsid w:val="003813EE"/>
    <w:rsid w:val="00382825"/>
    <w:rsid w:val="00382D4D"/>
    <w:rsid w:val="003843CC"/>
    <w:rsid w:val="00384C56"/>
    <w:rsid w:val="00386FDB"/>
    <w:rsid w:val="00387C79"/>
    <w:rsid w:val="00390FDD"/>
    <w:rsid w:val="0039342D"/>
    <w:rsid w:val="00394C73"/>
    <w:rsid w:val="00394D2D"/>
    <w:rsid w:val="00395B25"/>
    <w:rsid w:val="003971C3"/>
    <w:rsid w:val="00397371"/>
    <w:rsid w:val="003A0382"/>
    <w:rsid w:val="003A11CD"/>
    <w:rsid w:val="003A1897"/>
    <w:rsid w:val="003A1F81"/>
    <w:rsid w:val="003A2494"/>
    <w:rsid w:val="003A2768"/>
    <w:rsid w:val="003A2C08"/>
    <w:rsid w:val="003A3D09"/>
    <w:rsid w:val="003A4164"/>
    <w:rsid w:val="003A43B2"/>
    <w:rsid w:val="003A4419"/>
    <w:rsid w:val="003A5145"/>
    <w:rsid w:val="003A5247"/>
    <w:rsid w:val="003A5BDF"/>
    <w:rsid w:val="003A5D62"/>
    <w:rsid w:val="003A7300"/>
    <w:rsid w:val="003A75D3"/>
    <w:rsid w:val="003B3415"/>
    <w:rsid w:val="003B35AC"/>
    <w:rsid w:val="003B4105"/>
    <w:rsid w:val="003B4BF9"/>
    <w:rsid w:val="003B4DEE"/>
    <w:rsid w:val="003B6C5E"/>
    <w:rsid w:val="003B6E0A"/>
    <w:rsid w:val="003B6FF4"/>
    <w:rsid w:val="003B77AB"/>
    <w:rsid w:val="003C0B03"/>
    <w:rsid w:val="003C38BA"/>
    <w:rsid w:val="003C395B"/>
    <w:rsid w:val="003C3F20"/>
    <w:rsid w:val="003C4903"/>
    <w:rsid w:val="003C49A0"/>
    <w:rsid w:val="003C6D84"/>
    <w:rsid w:val="003C6DA0"/>
    <w:rsid w:val="003C7402"/>
    <w:rsid w:val="003D0DEA"/>
    <w:rsid w:val="003D187E"/>
    <w:rsid w:val="003D2F63"/>
    <w:rsid w:val="003D5AE9"/>
    <w:rsid w:val="003D5B27"/>
    <w:rsid w:val="003E0BAB"/>
    <w:rsid w:val="003E2392"/>
    <w:rsid w:val="003E2C28"/>
    <w:rsid w:val="003E2E76"/>
    <w:rsid w:val="003E2F3C"/>
    <w:rsid w:val="003E3DC9"/>
    <w:rsid w:val="003E4D50"/>
    <w:rsid w:val="003E5B25"/>
    <w:rsid w:val="003E5C1D"/>
    <w:rsid w:val="003E7866"/>
    <w:rsid w:val="003F2BE0"/>
    <w:rsid w:val="003F5524"/>
    <w:rsid w:val="003F7CA6"/>
    <w:rsid w:val="0040032E"/>
    <w:rsid w:val="004005E4"/>
    <w:rsid w:val="00400689"/>
    <w:rsid w:val="00401596"/>
    <w:rsid w:val="004026A3"/>
    <w:rsid w:val="00402C4A"/>
    <w:rsid w:val="0040393B"/>
    <w:rsid w:val="0040406D"/>
    <w:rsid w:val="00405006"/>
    <w:rsid w:val="0040566E"/>
    <w:rsid w:val="00407AD9"/>
    <w:rsid w:val="00410B53"/>
    <w:rsid w:val="00411A0E"/>
    <w:rsid w:val="00411F44"/>
    <w:rsid w:val="00412BB0"/>
    <w:rsid w:val="0041351C"/>
    <w:rsid w:val="00413739"/>
    <w:rsid w:val="004147E1"/>
    <w:rsid w:val="00414FBA"/>
    <w:rsid w:val="004163E1"/>
    <w:rsid w:val="004206C5"/>
    <w:rsid w:val="004222DF"/>
    <w:rsid w:val="00422AB8"/>
    <w:rsid w:val="00423DF7"/>
    <w:rsid w:val="00423DFB"/>
    <w:rsid w:val="00424173"/>
    <w:rsid w:val="0042567F"/>
    <w:rsid w:val="00427CCD"/>
    <w:rsid w:val="00430054"/>
    <w:rsid w:val="004302AD"/>
    <w:rsid w:val="00431344"/>
    <w:rsid w:val="004313EE"/>
    <w:rsid w:val="00432009"/>
    <w:rsid w:val="00432214"/>
    <w:rsid w:val="004332B4"/>
    <w:rsid w:val="0043435B"/>
    <w:rsid w:val="004347E7"/>
    <w:rsid w:val="00435B8E"/>
    <w:rsid w:val="00435D9B"/>
    <w:rsid w:val="00435E47"/>
    <w:rsid w:val="0043683D"/>
    <w:rsid w:val="004374A5"/>
    <w:rsid w:val="00440F86"/>
    <w:rsid w:val="00441734"/>
    <w:rsid w:val="00442EB0"/>
    <w:rsid w:val="004466A2"/>
    <w:rsid w:val="00446C9A"/>
    <w:rsid w:val="00446CDD"/>
    <w:rsid w:val="0045014B"/>
    <w:rsid w:val="00450862"/>
    <w:rsid w:val="00451BD4"/>
    <w:rsid w:val="0045228B"/>
    <w:rsid w:val="00452416"/>
    <w:rsid w:val="00452567"/>
    <w:rsid w:val="004529F3"/>
    <w:rsid w:val="004563D9"/>
    <w:rsid w:val="0045660C"/>
    <w:rsid w:val="00456895"/>
    <w:rsid w:val="0045739B"/>
    <w:rsid w:val="00457DFF"/>
    <w:rsid w:val="00460331"/>
    <w:rsid w:val="00461931"/>
    <w:rsid w:val="004640CD"/>
    <w:rsid w:val="00464F0C"/>
    <w:rsid w:val="00465D30"/>
    <w:rsid w:val="0046739A"/>
    <w:rsid w:val="004673BE"/>
    <w:rsid w:val="004674CE"/>
    <w:rsid w:val="004708BA"/>
    <w:rsid w:val="004719DA"/>
    <w:rsid w:val="004737E7"/>
    <w:rsid w:val="00473913"/>
    <w:rsid w:val="00474842"/>
    <w:rsid w:val="00477A02"/>
    <w:rsid w:val="004819A0"/>
    <w:rsid w:val="00481DA8"/>
    <w:rsid w:val="00481EEE"/>
    <w:rsid w:val="0048262E"/>
    <w:rsid w:val="00482CBF"/>
    <w:rsid w:val="004843B1"/>
    <w:rsid w:val="00484F57"/>
    <w:rsid w:val="0048636A"/>
    <w:rsid w:val="00486624"/>
    <w:rsid w:val="00486A4B"/>
    <w:rsid w:val="00487E50"/>
    <w:rsid w:val="00490938"/>
    <w:rsid w:val="00492AB0"/>
    <w:rsid w:val="00493A88"/>
    <w:rsid w:val="00494299"/>
    <w:rsid w:val="00494922"/>
    <w:rsid w:val="0049560D"/>
    <w:rsid w:val="00495A9C"/>
    <w:rsid w:val="00496401"/>
    <w:rsid w:val="00496809"/>
    <w:rsid w:val="004A080F"/>
    <w:rsid w:val="004A1CDB"/>
    <w:rsid w:val="004A2216"/>
    <w:rsid w:val="004A3BC4"/>
    <w:rsid w:val="004A3D7F"/>
    <w:rsid w:val="004A4C1F"/>
    <w:rsid w:val="004A5126"/>
    <w:rsid w:val="004A61BD"/>
    <w:rsid w:val="004B029A"/>
    <w:rsid w:val="004B0AC9"/>
    <w:rsid w:val="004B5014"/>
    <w:rsid w:val="004B519A"/>
    <w:rsid w:val="004B5854"/>
    <w:rsid w:val="004B6412"/>
    <w:rsid w:val="004B64A9"/>
    <w:rsid w:val="004B690E"/>
    <w:rsid w:val="004B6F6F"/>
    <w:rsid w:val="004C13C1"/>
    <w:rsid w:val="004C513D"/>
    <w:rsid w:val="004C56F5"/>
    <w:rsid w:val="004C5AEC"/>
    <w:rsid w:val="004C6401"/>
    <w:rsid w:val="004C7EA5"/>
    <w:rsid w:val="004D05F5"/>
    <w:rsid w:val="004D24AF"/>
    <w:rsid w:val="004D25CF"/>
    <w:rsid w:val="004D2B26"/>
    <w:rsid w:val="004D2DEF"/>
    <w:rsid w:val="004D3135"/>
    <w:rsid w:val="004D396D"/>
    <w:rsid w:val="004D570C"/>
    <w:rsid w:val="004D77A1"/>
    <w:rsid w:val="004D7DCC"/>
    <w:rsid w:val="004E1CD4"/>
    <w:rsid w:val="004E2A09"/>
    <w:rsid w:val="004E2BD7"/>
    <w:rsid w:val="004E2BDE"/>
    <w:rsid w:val="004E2F1C"/>
    <w:rsid w:val="004E3049"/>
    <w:rsid w:val="004E3DAD"/>
    <w:rsid w:val="004E4524"/>
    <w:rsid w:val="004E4AC0"/>
    <w:rsid w:val="004E56CC"/>
    <w:rsid w:val="004E5F41"/>
    <w:rsid w:val="004E602E"/>
    <w:rsid w:val="004E796B"/>
    <w:rsid w:val="004F141B"/>
    <w:rsid w:val="004F272F"/>
    <w:rsid w:val="004F3979"/>
    <w:rsid w:val="004F3C4C"/>
    <w:rsid w:val="004F3F4C"/>
    <w:rsid w:val="004F5B2E"/>
    <w:rsid w:val="004F63FD"/>
    <w:rsid w:val="00500516"/>
    <w:rsid w:val="0050422B"/>
    <w:rsid w:val="00504264"/>
    <w:rsid w:val="00504961"/>
    <w:rsid w:val="005068F8"/>
    <w:rsid w:val="00510607"/>
    <w:rsid w:val="00512055"/>
    <w:rsid w:val="005120C0"/>
    <w:rsid w:val="005122A1"/>
    <w:rsid w:val="00513D28"/>
    <w:rsid w:val="00514536"/>
    <w:rsid w:val="005145DF"/>
    <w:rsid w:val="00516B98"/>
    <w:rsid w:val="005202DE"/>
    <w:rsid w:val="0052150B"/>
    <w:rsid w:val="00522AAE"/>
    <w:rsid w:val="00524069"/>
    <w:rsid w:val="00524A4A"/>
    <w:rsid w:val="00525083"/>
    <w:rsid w:val="005252FC"/>
    <w:rsid w:val="00526D2B"/>
    <w:rsid w:val="00530062"/>
    <w:rsid w:val="0053012B"/>
    <w:rsid w:val="00530B90"/>
    <w:rsid w:val="005311DD"/>
    <w:rsid w:val="005321A4"/>
    <w:rsid w:val="00533360"/>
    <w:rsid w:val="00533743"/>
    <w:rsid w:val="00536CEF"/>
    <w:rsid w:val="00536F60"/>
    <w:rsid w:val="00537B4E"/>
    <w:rsid w:val="00537CF4"/>
    <w:rsid w:val="005408B1"/>
    <w:rsid w:val="005421A7"/>
    <w:rsid w:val="005429B8"/>
    <w:rsid w:val="005432F0"/>
    <w:rsid w:val="00544D5B"/>
    <w:rsid w:val="00545B64"/>
    <w:rsid w:val="00547C2A"/>
    <w:rsid w:val="00550C15"/>
    <w:rsid w:val="005513FB"/>
    <w:rsid w:val="005521A8"/>
    <w:rsid w:val="005528F3"/>
    <w:rsid w:val="00552E26"/>
    <w:rsid w:val="00560543"/>
    <w:rsid w:val="0056159F"/>
    <w:rsid w:val="005637C0"/>
    <w:rsid w:val="0056473B"/>
    <w:rsid w:val="00564D9D"/>
    <w:rsid w:val="00565156"/>
    <w:rsid w:val="005651CC"/>
    <w:rsid w:val="005652C2"/>
    <w:rsid w:val="00565856"/>
    <w:rsid w:val="005665B2"/>
    <w:rsid w:val="00566948"/>
    <w:rsid w:val="00570868"/>
    <w:rsid w:val="00570B9C"/>
    <w:rsid w:val="00571354"/>
    <w:rsid w:val="00571878"/>
    <w:rsid w:val="00571C98"/>
    <w:rsid w:val="00571E4E"/>
    <w:rsid w:val="00573921"/>
    <w:rsid w:val="00575C84"/>
    <w:rsid w:val="00576552"/>
    <w:rsid w:val="00576B92"/>
    <w:rsid w:val="00581788"/>
    <w:rsid w:val="00581D49"/>
    <w:rsid w:val="00582E5F"/>
    <w:rsid w:val="00583B4E"/>
    <w:rsid w:val="00583FE9"/>
    <w:rsid w:val="005840B8"/>
    <w:rsid w:val="0058540C"/>
    <w:rsid w:val="00585C86"/>
    <w:rsid w:val="00586A4A"/>
    <w:rsid w:val="00586E87"/>
    <w:rsid w:val="005876A2"/>
    <w:rsid w:val="00587A83"/>
    <w:rsid w:val="00587AC1"/>
    <w:rsid w:val="005924DC"/>
    <w:rsid w:val="00592B4D"/>
    <w:rsid w:val="00593B47"/>
    <w:rsid w:val="00593DAD"/>
    <w:rsid w:val="00594DC6"/>
    <w:rsid w:val="00595270"/>
    <w:rsid w:val="005953D1"/>
    <w:rsid w:val="00596937"/>
    <w:rsid w:val="00596CB7"/>
    <w:rsid w:val="005A005D"/>
    <w:rsid w:val="005A0E11"/>
    <w:rsid w:val="005A1013"/>
    <w:rsid w:val="005A362B"/>
    <w:rsid w:val="005A4084"/>
    <w:rsid w:val="005A4943"/>
    <w:rsid w:val="005A4B36"/>
    <w:rsid w:val="005A537C"/>
    <w:rsid w:val="005A538D"/>
    <w:rsid w:val="005A5BB5"/>
    <w:rsid w:val="005A5EAE"/>
    <w:rsid w:val="005B16FF"/>
    <w:rsid w:val="005B1741"/>
    <w:rsid w:val="005B1A3C"/>
    <w:rsid w:val="005B3F4C"/>
    <w:rsid w:val="005B4BA1"/>
    <w:rsid w:val="005B5783"/>
    <w:rsid w:val="005B5D3C"/>
    <w:rsid w:val="005B6935"/>
    <w:rsid w:val="005B6C32"/>
    <w:rsid w:val="005B7AC2"/>
    <w:rsid w:val="005B7E4F"/>
    <w:rsid w:val="005C10C7"/>
    <w:rsid w:val="005C1737"/>
    <w:rsid w:val="005C1A4D"/>
    <w:rsid w:val="005C2D17"/>
    <w:rsid w:val="005C50A7"/>
    <w:rsid w:val="005C54F2"/>
    <w:rsid w:val="005C7CB7"/>
    <w:rsid w:val="005C7E76"/>
    <w:rsid w:val="005D0E61"/>
    <w:rsid w:val="005D2932"/>
    <w:rsid w:val="005D33E2"/>
    <w:rsid w:val="005D3821"/>
    <w:rsid w:val="005D4160"/>
    <w:rsid w:val="005D4682"/>
    <w:rsid w:val="005D49FF"/>
    <w:rsid w:val="005D5868"/>
    <w:rsid w:val="005D6152"/>
    <w:rsid w:val="005D683B"/>
    <w:rsid w:val="005D72CD"/>
    <w:rsid w:val="005E2637"/>
    <w:rsid w:val="005E2B75"/>
    <w:rsid w:val="005E33EF"/>
    <w:rsid w:val="005E36B0"/>
    <w:rsid w:val="005E4F67"/>
    <w:rsid w:val="005E56AD"/>
    <w:rsid w:val="005E678C"/>
    <w:rsid w:val="005F0CF5"/>
    <w:rsid w:val="005F0FF5"/>
    <w:rsid w:val="005F2365"/>
    <w:rsid w:val="005F238C"/>
    <w:rsid w:val="005F355D"/>
    <w:rsid w:val="005F632A"/>
    <w:rsid w:val="005F7424"/>
    <w:rsid w:val="006009B5"/>
    <w:rsid w:val="00600DED"/>
    <w:rsid w:val="006022A4"/>
    <w:rsid w:val="00603098"/>
    <w:rsid w:val="00603531"/>
    <w:rsid w:val="006039F1"/>
    <w:rsid w:val="0060560A"/>
    <w:rsid w:val="00606BC6"/>
    <w:rsid w:val="00606DEF"/>
    <w:rsid w:val="0061097E"/>
    <w:rsid w:val="006113E3"/>
    <w:rsid w:val="00615BB3"/>
    <w:rsid w:val="00615E17"/>
    <w:rsid w:val="006174CC"/>
    <w:rsid w:val="00617636"/>
    <w:rsid w:val="00620808"/>
    <w:rsid w:val="006228E5"/>
    <w:rsid w:val="00623238"/>
    <w:rsid w:val="00623BD7"/>
    <w:rsid w:val="00624ED2"/>
    <w:rsid w:val="00626A5A"/>
    <w:rsid w:val="00627ED1"/>
    <w:rsid w:val="00630C99"/>
    <w:rsid w:val="00631541"/>
    <w:rsid w:val="006316C9"/>
    <w:rsid w:val="00633168"/>
    <w:rsid w:val="00633E5A"/>
    <w:rsid w:val="006350B6"/>
    <w:rsid w:val="0063557D"/>
    <w:rsid w:val="00636469"/>
    <w:rsid w:val="0064100D"/>
    <w:rsid w:val="0064181F"/>
    <w:rsid w:val="00644A2F"/>
    <w:rsid w:val="00644CEB"/>
    <w:rsid w:val="00647082"/>
    <w:rsid w:val="00647918"/>
    <w:rsid w:val="00647CFD"/>
    <w:rsid w:val="0065192B"/>
    <w:rsid w:val="00651A9F"/>
    <w:rsid w:val="00651BB1"/>
    <w:rsid w:val="00652702"/>
    <w:rsid w:val="00652928"/>
    <w:rsid w:val="00652F11"/>
    <w:rsid w:val="006533D1"/>
    <w:rsid w:val="00653F87"/>
    <w:rsid w:val="00655217"/>
    <w:rsid w:val="0065659D"/>
    <w:rsid w:val="00656B8A"/>
    <w:rsid w:val="00656D45"/>
    <w:rsid w:val="006607E5"/>
    <w:rsid w:val="006621A1"/>
    <w:rsid w:val="0066261B"/>
    <w:rsid w:val="00662FEF"/>
    <w:rsid w:val="006630D7"/>
    <w:rsid w:val="006643CA"/>
    <w:rsid w:val="00664A6F"/>
    <w:rsid w:val="00664B82"/>
    <w:rsid w:val="006661E9"/>
    <w:rsid w:val="00666730"/>
    <w:rsid w:val="00667377"/>
    <w:rsid w:val="006704CE"/>
    <w:rsid w:val="00671911"/>
    <w:rsid w:val="00672766"/>
    <w:rsid w:val="00674BB7"/>
    <w:rsid w:val="00676000"/>
    <w:rsid w:val="006762AF"/>
    <w:rsid w:val="00676794"/>
    <w:rsid w:val="00676CD9"/>
    <w:rsid w:val="00677700"/>
    <w:rsid w:val="0067775F"/>
    <w:rsid w:val="00677EFE"/>
    <w:rsid w:val="00680238"/>
    <w:rsid w:val="00680FD2"/>
    <w:rsid w:val="00681D73"/>
    <w:rsid w:val="00684515"/>
    <w:rsid w:val="00684AB6"/>
    <w:rsid w:val="00686065"/>
    <w:rsid w:val="006864A6"/>
    <w:rsid w:val="00686AF5"/>
    <w:rsid w:val="00690C44"/>
    <w:rsid w:val="0069133B"/>
    <w:rsid w:val="006916A3"/>
    <w:rsid w:val="00692128"/>
    <w:rsid w:val="0069261C"/>
    <w:rsid w:val="00693858"/>
    <w:rsid w:val="006A0772"/>
    <w:rsid w:val="006A1403"/>
    <w:rsid w:val="006A1E35"/>
    <w:rsid w:val="006A26D3"/>
    <w:rsid w:val="006A2739"/>
    <w:rsid w:val="006A2909"/>
    <w:rsid w:val="006A3EEB"/>
    <w:rsid w:val="006A4983"/>
    <w:rsid w:val="006A5E94"/>
    <w:rsid w:val="006A6E34"/>
    <w:rsid w:val="006A72AE"/>
    <w:rsid w:val="006A7953"/>
    <w:rsid w:val="006B2474"/>
    <w:rsid w:val="006B52A1"/>
    <w:rsid w:val="006B5C0C"/>
    <w:rsid w:val="006B5E35"/>
    <w:rsid w:val="006B7803"/>
    <w:rsid w:val="006C01CC"/>
    <w:rsid w:val="006C19FB"/>
    <w:rsid w:val="006C2AAA"/>
    <w:rsid w:val="006C33B2"/>
    <w:rsid w:val="006C4DAF"/>
    <w:rsid w:val="006C4E17"/>
    <w:rsid w:val="006C5814"/>
    <w:rsid w:val="006C67D7"/>
    <w:rsid w:val="006C6E87"/>
    <w:rsid w:val="006D16C7"/>
    <w:rsid w:val="006D3C07"/>
    <w:rsid w:val="006D40C6"/>
    <w:rsid w:val="006D4103"/>
    <w:rsid w:val="006D430C"/>
    <w:rsid w:val="006D4B17"/>
    <w:rsid w:val="006D629A"/>
    <w:rsid w:val="006D6703"/>
    <w:rsid w:val="006D6A1F"/>
    <w:rsid w:val="006D6BD8"/>
    <w:rsid w:val="006D6CB9"/>
    <w:rsid w:val="006E07DD"/>
    <w:rsid w:val="006E1847"/>
    <w:rsid w:val="006E1B87"/>
    <w:rsid w:val="006E29DB"/>
    <w:rsid w:val="006E315F"/>
    <w:rsid w:val="006E39DC"/>
    <w:rsid w:val="006E3D37"/>
    <w:rsid w:val="006E59BB"/>
    <w:rsid w:val="006E6168"/>
    <w:rsid w:val="006F19DF"/>
    <w:rsid w:val="006F1D38"/>
    <w:rsid w:val="006F5521"/>
    <w:rsid w:val="006F5666"/>
    <w:rsid w:val="006F62E8"/>
    <w:rsid w:val="006F641B"/>
    <w:rsid w:val="006F6DC8"/>
    <w:rsid w:val="006F77D5"/>
    <w:rsid w:val="006F7A12"/>
    <w:rsid w:val="006F7AF2"/>
    <w:rsid w:val="0070059A"/>
    <w:rsid w:val="00700F6B"/>
    <w:rsid w:val="007012A0"/>
    <w:rsid w:val="00701716"/>
    <w:rsid w:val="00701F3B"/>
    <w:rsid w:val="00702750"/>
    <w:rsid w:val="007041D2"/>
    <w:rsid w:val="007043AF"/>
    <w:rsid w:val="007045CD"/>
    <w:rsid w:val="00705010"/>
    <w:rsid w:val="00705FE4"/>
    <w:rsid w:val="007062DD"/>
    <w:rsid w:val="00707213"/>
    <w:rsid w:val="00707BD5"/>
    <w:rsid w:val="0071031C"/>
    <w:rsid w:val="00711014"/>
    <w:rsid w:val="0071391E"/>
    <w:rsid w:val="00713EFB"/>
    <w:rsid w:val="00714D5A"/>
    <w:rsid w:val="00716FDE"/>
    <w:rsid w:val="00722F45"/>
    <w:rsid w:val="007239EB"/>
    <w:rsid w:val="00723BD1"/>
    <w:rsid w:val="007279E1"/>
    <w:rsid w:val="00731DD5"/>
    <w:rsid w:val="00732891"/>
    <w:rsid w:val="00732CC3"/>
    <w:rsid w:val="007350B5"/>
    <w:rsid w:val="00736578"/>
    <w:rsid w:val="00736855"/>
    <w:rsid w:val="00736E7B"/>
    <w:rsid w:val="007414FE"/>
    <w:rsid w:val="00741CD1"/>
    <w:rsid w:val="00742A90"/>
    <w:rsid w:val="00743B25"/>
    <w:rsid w:val="00743ECC"/>
    <w:rsid w:val="00745773"/>
    <w:rsid w:val="007458FD"/>
    <w:rsid w:val="007463CE"/>
    <w:rsid w:val="007466D7"/>
    <w:rsid w:val="00747DB3"/>
    <w:rsid w:val="00751ECF"/>
    <w:rsid w:val="00752B20"/>
    <w:rsid w:val="00752E0A"/>
    <w:rsid w:val="0075524B"/>
    <w:rsid w:val="00755FDB"/>
    <w:rsid w:val="0075665E"/>
    <w:rsid w:val="0075687F"/>
    <w:rsid w:val="007578E2"/>
    <w:rsid w:val="00760476"/>
    <w:rsid w:val="00760EBB"/>
    <w:rsid w:val="007626BD"/>
    <w:rsid w:val="00762A7C"/>
    <w:rsid w:val="00762CF4"/>
    <w:rsid w:val="00763516"/>
    <w:rsid w:val="007645ED"/>
    <w:rsid w:val="00764AFC"/>
    <w:rsid w:val="0076565E"/>
    <w:rsid w:val="00765995"/>
    <w:rsid w:val="00767C56"/>
    <w:rsid w:val="00767EA0"/>
    <w:rsid w:val="0077067C"/>
    <w:rsid w:val="00770928"/>
    <w:rsid w:val="00771025"/>
    <w:rsid w:val="007715ED"/>
    <w:rsid w:val="00771D70"/>
    <w:rsid w:val="00771F3A"/>
    <w:rsid w:val="00775E15"/>
    <w:rsid w:val="0077738F"/>
    <w:rsid w:val="007773C5"/>
    <w:rsid w:val="007777CB"/>
    <w:rsid w:val="00777859"/>
    <w:rsid w:val="007821A3"/>
    <w:rsid w:val="007825E8"/>
    <w:rsid w:val="00783C1E"/>
    <w:rsid w:val="00790ACD"/>
    <w:rsid w:val="007941AF"/>
    <w:rsid w:val="00794868"/>
    <w:rsid w:val="00795027"/>
    <w:rsid w:val="00796691"/>
    <w:rsid w:val="007A19F2"/>
    <w:rsid w:val="007A1A4A"/>
    <w:rsid w:val="007A30F1"/>
    <w:rsid w:val="007A3C7A"/>
    <w:rsid w:val="007A426D"/>
    <w:rsid w:val="007A442E"/>
    <w:rsid w:val="007A453E"/>
    <w:rsid w:val="007A498E"/>
    <w:rsid w:val="007A4AE2"/>
    <w:rsid w:val="007A4C03"/>
    <w:rsid w:val="007A4C40"/>
    <w:rsid w:val="007A604C"/>
    <w:rsid w:val="007A7430"/>
    <w:rsid w:val="007A7C60"/>
    <w:rsid w:val="007B38AE"/>
    <w:rsid w:val="007B4922"/>
    <w:rsid w:val="007B4A56"/>
    <w:rsid w:val="007B5658"/>
    <w:rsid w:val="007B6DAD"/>
    <w:rsid w:val="007B71FA"/>
    <w:rsid w:val="007B7461"/>
    <w:rsid w:val="007B79A0"/>
    <w:rsid w:val="007C0040"/>
    <w:rsid w:val="007C074D"/>
    <w:rsid w:val="007C0948"/>
    <w:rsid w:val="007C0AF9"/>
    <w:rsid w:val="007C2521"/>
    <w:rsid w:val="007C3DF1"/>
    <w:rsid w:val="007C6AD5"/>
    <w:rsid w:val="007C79B5"/>
    <w:rsid w:val="007D2016"/>
    <w:rsid w:val="007D2417"/>
    <w:rsid w:val="007D35A3"/>
    <w:rsid w:val="007D5AF4"/>
    <w:rsid w:val="007E165E"/>
    <w:rsid w:val="007E2DAF"/>
    <w:rsid w:val="007E3B88"/>
    <w:rsid w:val="007E4428"/>
    <w:rsid w:val="007E4431"/>
    <w:rsid w:val="007E4AA1"/>
    <w:rsid w:val="007E534C"/>
    <w:rsid w:val="007E5953"/>
    <w:rsid w:val="007E5A1C"/>
    <w:rsid w:val="007E6C1D"/>
    <w:rsid w:val="007E6C3E"/>
    <w:rsid w:val="007E7056"/>
    <w:rsid w:val="007E7ED2"/>
    <w:rsid w:val="007F0195"/>
    <w:rsid w:val="007F216D"/>
    <w:rsid w:val="007F2DD2"/>
    <w:rsid w:val="007F2FD9"/>
    <w:rsid w:val="007F33BB"/>
    <w:rsid w:val="007F451B"/>
    <w:rsid w:val="007F5525"/>
    <w:rsid w:val="00800D7B"/>
    <w:rsid w:val="008010AD"/>
    <w:rsid w:val="00802849"/>
    <w:rsid w:val="0080324F"/>
    <w:rsid w:val="00803AF7"/>
    <w:rsid w:val="0080549D"/>
    <w:rsid w:val="00805C33"/>
    <w:rsid w:val="008061D4"/>
    <w:rsid w:val="00807A43"/>
    <w:rsid w:val="00807BDE"/>
    <w:rsid w:val="008112CE"/>
    <w:rsid w:val="008117D9"/>
    <w:rsid w:val="00812592"/>
    <w:rsid w:val="00813F46"/>
    <w:rsid w:val="00815844"/>
    <w:rsid w:val="0081716C"/>
    <w:rsid w:val="008177BE"/>
    <w:rsid w:val="00817E7A"/>
    <w:rsid w:val="0082065B"/>
    <w:rsid w:val="00820D81"/>
    <w:rsid w:val="00820EA2"/>
    <w:rsid w:val="00821124"/>
    <w:rsid w:val="008212E4"/>
    <w:rsid w:val="00822D1D"/>
    <w:rsid w:val="00823B03"/>
    <w:rsid w:val="008246E2"/>
    <w:rsid w:val="008264E6"/>
    <w:rsid w:val="00826705"/>
    <w:rsid w:val="008278BA"/>
    <w:rsid w:val="00832A69"/>
    <w:rsid w:val="00832A80"/>
    <w:rsid w:val="00834557"/>
    <w:rsid w:val="00834A08"/>
    <w:rsid w:val="0083532B"/>
    <w:rsid w:val="008355B9"/>
    <w:rsid w:val="008362D8"/>
    <w:rsid w:val="0083739D"/>
    <w:rsid w:val="00837534"/>
    <w:rsid w:val="008404D5"/>
    <w:rsid w:val="00840BCF"/>
    <w:rsid w:val="00840C55"/>
    <w:rsid w:val="00840F0E"/>
    <w:rsid w:val="00841FE8"/>
    <w:rsid w:val="0084245F"/>
    <w:rsid w:val="00842605"/>
    <w:rsid w:val="00842B60"/>
    <w:rsid w:val="008433FD"/>
    <w:rsid w:val="008439C8"/>
    <w:rsid w:val="008440F7"/>
    <w:rsid w:val="00844C83"/>
    <w:rsid w:val="00845E69"/>
    <w:rsid w:val="00846FCB"/>
    <w:rsid w:val="008470D8"/>
    <w:rsid w:val="0085190A"/>
    <w:rsid w:val="00851B81"/>
    <w:rsid w:val="008536CA"/>
    <w:rsid w:val="008571EC"/>
    <w:rsid w:val="00860A8E"/>
    <w:rsid w:val="00862816"/>
    <w:rsid w:val="00862D5E"/>
    <w:rsid w:val="00863463"/>
    <w:rsid w:val="00863C14"/>
    <w:rsid w:val="008652A1"/>
    <w:rsid w:val="00865F5B"/>
    <w:rsid w:val="00866119"/>
    <w:rsid w:val="008673C8"/>
    <w:rsid w:val="00867915"/>
    <w:rsid w:val="0087163F"/>
    <w:rsid w:val="0087211F"/>
    <w:rsid w:val="00872AC5"/>
    <w:rsid w:val="008738F8"/>
    <w:rsid w:val="00873ED3"/>
    <w:rsid w:val="0087443E"/>
    <w:rsid w:val="00874E1C"/>
    <w:rsid w:val="00877510"/>
    <w:rsid w:val="0088237F"/>
    <w:rsid w:val="008828D5"/>
    <w:rsid w:val="008836C1"/>
    <w:rsid w:val="00883C43"/>
    <w:rsid w:val="00883D87"/>
    <w:rsid w:val="008848DC"/>
    <w:rsid w:val="00885555"/>
    <w:rsid w:val="00885A5B"/>
    <w:rsid w:val="00885E00"/>
    <w:rsid w:val="00885F31"/>
    <w:rsid w:val="008867F3"/>
    <w:rsid w:val="00887B8C"/>
    <w:rsid w:val="00887F46"/>
    <w:rsid w:val="00887F69"/>
    <w:rsid w:val="008931F8"/>
    <w:rsid w:val="00893AF3"/>
    <w:rsid w:val="0089419E"/>
    <w:rsid w:val="0089462E"/>
    <w:rsid w:val="0089497C"/>
    <w:rsid w:val="00894A97"/>
    <w:rsid w:val="00895346"/>
    <w:rsid w:val="008A0903"/>
    <w:rsid w:val="008A184C"/>
    <w:rsid w:val="008A2D2A"/>
    <w:rsid w:val="008A3E04"/>
    <w:rsid w:val="008A452E"/>
    <w:rsid w:val="008A507F"/>
    <w:rsid w:val="008A55C1"/>
    <w:rsid w:val="008B06ED"/>
    <w:rsid w:val="008B1853"/>
    <w:rsid w:val="008B1A26"/>
    <w:rsid w:val="008B279D"/>
    <w:rsid w:val="008B3339"/>
    <w:rsid w:val="008B5ADC"/>
    <w:rsid w:val="008B647D"/>
    <w:rsid w:val="008B78C1"/>
    <w:rsid w:val="008B7D2B"/>
    <w:rsid w:val="008C1ADD"/>
    <w:rsid w:val="008C2C58"/>
    <w:rsid w:val="008C3150"/>
    <w:rsid w:val="008C31AA"/>
    <w:rsid w:val="008D0F40"/>
    <w:rsid w:val="008D1885"/>
    <w:rsid w:val="008D1FAD"/>
    <w:rsid w:val="008D30B9"/>
    <w:rsid w:val="008D3D90"/>
    <w:rsid w:val="008D63A7"/>
    <w:rsid w:val="008D6447"/>
    <w:rsid w:val="008D68F3"/>
    <w:rsid w:val="008D6C61"/>
    <w:rsid w:val="008D76DF"/>
    <w:rsid w:val="008E007D"/>
    <w:rsid w:val="008E00BB"/>
    <w:rsid w:val="008E0DC2"/>
    <w:rsid w:val="008E173E"/>
    <w:rsid w:val="008E1B75"/>
    <w:rsid w:val="008E1FC1"/>
    <w:rsid w:val="008E2BBE"/>
    <w:rsid w:val="008E2EBF"/>
    <w:rsid w:val="008E3216"/>
    <w:rsid w:val="008E3930"/>
    <w:rsid w:val="008E3CE3"/>
    <w:rsid w:val="008E3D49"/>
    <w:rsid w:val="008E63E5"/>
    <w:rsid w:val="008E640C"/>
    <w:rsid w:val="008E7FF1"/>
    <w:rsid w:val="008F041B"/>
    <w:rsid w:val="008F1472"/>
    <w:rsid w:val="008F233D"/>
    <w:rsid w:val="008F27A1"/>
    <w:rsid w:val="008F2FD0"/>
    <w:rsid w:val="008F46B0"/>
    <w:rsid w:val="008F4BBB"/>
    <w:rsid w:val="008F68C0"/>
    <w:rsid w:val="00901C7A"/>
    <w:rsid w:val="00901CFB"/>
    <w:rsid w:val="00902432"/>
    <w:rsid w:val="009025F0"/>
    <w:rsid w:val="009028B2"/>
    <w:rsid w:val="00903F13"/>
    <w:rsid w:val="0090419F"/>
    <w:rsid w:val="0090475C"/>
    <w:rsid w:val="00904D9A"/>
    <w:rsid w:val="009058BB"/>
    <w:rsid w:val="00905C45"/>
    <w:rsid w:val="0090699B"/>
    <w:rsid w:val="00906A0B"/>
    <w:rsid w:val="00906DA4"/>
    <w:rsid w:val="009077BB"/>
    <w:rsid w:val="00907DAE"/>
    <w:rsid w:val="00912400"/>
    <w:rsid w:val="00912BBD"/>
    <w:rsid w:val="009133FB"/>
    <w:rsid w:val="0091397E"/>
    <w:rsid w:val="009159EB"/>
    <w:rsid w:val="0091669A"/>
    <w:rsid w:val="00916F5B"/>
    <w:rsid w:val="0091744C"/>
    <w:rsid w:val="00920499"/>
    <w:rsid w:val="00920E9C"/>
    <w:rsid w:val="00925107"/>
    <w:rsid w:val="00925333"/>
    <w:rsid w:val="0092626F"/>
    <w:rsid w:val="009279D0"/>
    <w:rsid w:val="0093010C"/>
    <w:rsid w:val="00930CAA"/>
    <w:rsid w:val="0093174A"/>
    <w:rsid w:val="0093266F"/>
    <w:rsid w:val="00933550"/>
    <w:rsid w:val="00934343"/>
    <w:rsid w:val="0093490D"/>
    <w:rsid w:val="00935027"/>
    <w:rsid w:val="00936B13"/>
    <w:rsid w:val="009371B1"/>
    <w:rsid w:val="0093795E"/>
    <w:rsid w:val="0094066A"/>
    <w:rsid w:val="0094097B"/>
    <w:rsid w:val="00940C24"/>
    <w:rsid w:val="00941CFC"/>
    <w:rsid w:val="0094253E"/>
    <w:rsid w:val="0094342E"/>
    <w:rsid w:val="0094434A"/>
    <w:rsid w:val="009463C7"/>
    <w:rsid w:val="0094786E"/>
    <w:rsid w:val="0095119C"/>
    <w:rsid w:val="00952F01"/>
    <w:rsid w:val="00955192"/>
    <w:rsid w:val="009551A6"/>
    <w:rsid w:val="00955FC6"/>
    <w:rsid w:val="00955FDD"/>
    <w:rsid w:val="00960023"/>
    <w:rsid w:val="0096061C"/>
    <w:rsid w:val="00960BF3"/>
    <w:rsid w:val="00961830"/>
    <w:rsid w:val="00962E35"/>
    <w:rsid w:val="00965266"/>
    <w:rsid w:val="00965A03"/>
    <w:rsid w:val="00965E58"/>
    <w:rsid w:val="00966BA2"/>
    <w:rsid w:val="00967063"/>
    <w:rsid w:val="009701F0"/>
    <w:rsid w:val="0097023D"/>
    <w:rsid w:val="00970901"/>
    <w:rsid w:val="009722F6"/>
    <w:rsid w:val="00972CD2"/>
    <w:rsid w:val="009735E5"/>
    <w:rsid w:val="009759B6"/>
    <w:rsid w:val="009759ED"/>
    <w:rsid w:val="0097738E"/>
    <w:rsid w:val="00980C13"/>
    <w:rsid w:val="00980FB7"/>
    <w:rsid w:val="009812B1"/>
    <w:rsid w:val="00981FE0"/>
    <w:rsid w:val="009837D7"/>
    <w:rsid w:val="00984554"/>
    <w:rsid w:val="00986D4D"/>
    <w:rsid w:val="00986D92"/>
    <w:rsid w:val="00986E4F"/>
    <w:rsid w:val="00990108"/>
    <w:rsid w:val="00990332"/>
    <w:rsid w:val="00991E14"/>
    <w:rsid w:val="009936E9"/>
    <w:rsid w:val="0099415D"/>
    <w:rsid w:val="0099426B"/>
    <w:rsid w:val="00995A14"/>
    <w:rsid w:val="00995D94"/>
    <w:rsid w:val="00995E31"/>
    <w:rsid w:val="009963F7"/>
    <w:rsid w:val="009970B3"/>
    <w:rsid w:val="009975A9"/>
    <w:rsid w:val="00997D30"/>
    <w:rsid w:val="009A1618"/>
    <w:rsid w:val="009A1AE4"/>
    <w:rsid w:val="009A2DBB"/>
    <w:rsid w:val="009A3F0E"/>
    <w:rsid w:val="009A4999"/>
    <w:rsid w:val="009A6F32"/>
    <w:rsid w:val="009A71F2"/>
    <w:rsid w:val="009B021F"/>
    <w:rsid w:val="009B1832"/>
    <w:rsid w:val="009B3CB6"/>
    <w:rsid w:val="009B47BB"/>
    <w:rsid w:val="009B48A7"/>
    <w:rsid w:val="009B5E65"/>
    <w:rsid w:val="009B60D8"/>
    <w:rsid w:val="009B6744"/>
    <w:rsid w:val="009B6E30"/>
    <w:rsid w:val="009B7C26"/>
    <w:rsid w:val="009C08ED"/>
    <w:rsid w:val="009C2948"/>
    <w:rsid w:val="009C2F3E"/>
    <w:rsid w:val="009C2FB5"/>
    <w:rsid w:val="009C5A6A"/>
    <w:rsid w:val="009C5FDC"/>
    <w:rsid w:val="009C66FC"/>
    <w:rsid w:val="009D0AD4"/>
    <w:rsid w:val="009D0F47"/>
    <w:rsid w:val="009D27E2"/>
    <w:rsid w:val="009D281E"/>
    <w:rsid w:val="009D400C"/>
    <w:rsid w:val="009D49E1"/>
    <w:rsid w:val="009D5DC8"/>
    <w:rsid w:val="009E08C7"/>
    <w:rsid w:val="009E10F3"/>
    <w:rsid w:val="009E253D"/>
    <w:rsid w:val="009E2C84"/>
    <w:rsid w:val="009E3969"/>
    <w:rsid w:val="009E436A"/>
    <w:rsid w:val="009E4C07"/>
    <w:rsid w:val="009E5F4A"/>
    <w:rsid w:val="009E619D"/>
    <w:rsid w:val="009E66CD"/>
    <w:rsid w:val="009E76FB"/>
    <w:rsid w:val="009E7905"/>
    <w:rsid w:val="009F0636"/>
    <w:rsid w:val="009F1FE3"/>
    <w:rsid w:val="009F308E"/>
    <w:rsid w:val="009F36AD"/>
    <w:rsid w:val="009F4681"/>
    <w:rsid w:val="009F5D63"/>
    <w:rsid w:val="009F678A"/>
    <w:rsid w:val="00A03262"/>
    <w:rsid w:val="00A04259"/>
    <w:rsid w:val="00A045DE"/>
    <w:rsid w:val="00A05C44"/>
    <w:rsid w:val="00A06AB7"/>
    <w:rsid w:val="00A07C7A"/>
    <w:rsid w:val="00A07CDA"/>
    <w:rsid w:val="00A100BD"/>
    <w:rsid w:val="00A12249"/>
    <w:rsid w:val="00A1233F"/>
    <w:rsid w:val="00A1464C"/>
    <w:rsid w:val="00A14D63"/>
    <w:rsid w:val="00A15448"/>
    <w:rsid w:val="00A161A1"/>
    <w:rsid w:val="00A16E93"/>
    <w:rsid w:val="00A17878"/>
    <w:rsid w:val="00A2177F"/>
    <w:rsid w:val="00A21FE3"/>
    <w:rsid w:val="00A2287F"/>
    <w:rsid w:val="00A22BAD"/>
    <w:rsid w:val="00A23529"/>
    <w:rsid w:val="00A23E6C"/>
    <w:rsid w:val="00A2577E"/>
    <w:rsid w:val="00A2784C"/>
    <w:rsid w:val="00A27F1B"/>
    <w:rsid w:val="00A3052E"/>
    <w:rsid w:val="00A30BFA"/>
    <w:rsid w:val="00A30CA5"/>
    <w:rsid w:val="00A30CFE"/>
    <w:rsid w:val="00A3334D"/>
    <w:rsid w:val="00A35DAC"/>
    <w:rsid w:val="00A36060"/>
    <w:rsid w:val="00A3798A"/>
    <w:rsid w:val="00A4022C"/>
    <w:rsid w:val="00A43265"/>
    <w:rsid w:val="00A435A7"/>
    <w:rsid w:val="00A43D1A"/>
    <w:rsid w:val="00A44789"/>
    <w:rsid w:val="00A44D62"/>
    <w:rsid w:val="00A45A74"/>
    <w:rsid w:val="00A514C5"/>
    <w:rsid w:val="00A51D45"/>
    <w:rsid w:val="00A52460"/>
    <w:rsid w:val="00A52FAC"/>
    <w:rsid w:val="00A52FF7"/>
    <w:rsid w:val="00A533A5"/>
    <w:rsid w:val="00A53E4A"/>
    <w:rsid w:val="00A54B2F"/>
    <w:rsid w:val="00A5519D"/>
    <w:rsid w:val="00A55D45"/>
    <w:rsid w:val="00A5716C"/>
    <w:rsid w:val="00A572F1"/>
    <w:rsid w:val="00A574EB"/>
    <w:rsid w:val="00A57FDE"/>
    <w:rsid w:val="00A60749"/>
    <w:rsid w:val="00A6084A"/>
    <w:rsid w:val="00A60D48"/>
    <w:rsid w:val="00A6242F"/>
    <w:rsid w:val="00A63881"/>
    <w:rsid w:val="00A648D0"/>
    <w:rsid w:val="00A64AEE"/>
    <w:rsid w:val="00A64E0F"/>
    <w:rsid w:val="00A65812"/>
    <w:rsid w:val="00A669AC"/>
    <w:rsid w:val="00A66AAA"/>
    <w:rsid w:val="00A66D79"/>
    <w:rsid w:val="00A67709"/>
    <w:rsid w:val="00A70039"/>
    <w:rsid w:val="00A71CD3"/>
    <w:rsid w:val="00A73485"/>
    <w:rsid w:val="00A742F3"/>
    <w:rsid w:val="00A75E6A"/>
    <w:rsid w:val="00A76942"/>
    <w:rsid w:val="00A76C37"/>
    <w:rsid w:val="00A76D14"/>
    <w:rsid w:val="00A76D56"/>
    <w:rsid w:val="00A77785"/>
    <w:rsid w:val="00A80296"/>
    <w:rsid w:val="00A80782"/>
    <w:rsid w:val="00A81547"/>
    <w:rsid w:val="00A82630"/>
    <w:rsid w:val="00A85805"/>
    <w:rsid w:val="00A85EE7"/>
    <w:rsid w:val="00A86C71"/>
    <w:rsid w:val="00A90F9D"/>
    <w:rsid w:val="00A9127C"/>
    <w:rsid w:val="00A91B9D"/>
    <w:rsid w:val="00A92106"/>
    <w:rsid w:val="00A94E6C"/>
    <w:rsid w:val="00A95E6C"/>
    <w:rsid w:val="00A964D4"/>
    <w:rsid w:val="00A96D47"/>
    <w:rsid w:val="00A96EB6"/>
    <w:rsid w:val="00A97F40"/>
    <w:rsid w:val="00AA09A7"/>
    <w:rsid w:val="00AA2274"/>
    <w:rsid w:val="00AA23CE"/>
    <w:rsid w:val="00AA2DE5"/>
    <w:rsid w:val="00AA3BE2"/>
    <w:rsid w:val="00AA4060"/>
    <w:rsid w:val="00AA4C6D"/>
    <w:rsid w:val="00AA6F6B"/>
    <w:rsid w:val="00AA78C5"/>
    <w:rsid w:val="00AA7CF9"/>
    <w:rsid w:val="00AB2297"/>
    <w:rsid w:val="00AB35A1"/>
    <w:rsid w:val="00AB56B9"/>
    <w:rsid w:val="00AB5DCD"/>
    <w:rsid w:val="00AB7228"/>
    <w:rsid w:val="00AB7BAE"/>
    <w:rsid w:val="00AC0B6C"/>
    <w:rsid w:val="00AC0FAC"/>
    <w:rsid w:val="00AC14E4"/>
    <w:rsid w:val="00AC17F8"/>
    <w:rsid w:val="00AC1BD5"/>
    <w:rsid w:val="00AC214F"/>
    <w:rsid w:val="00AC228B"/>
    <w:rsid w:val="00AC29DA"/>
    <w:rsid w:val="00AC31DD"/>
    <w:rsid w:val="00AC53D8"/>
    <w:rsid w:val="00AC5A9B"/>
    <w:rsid w:val="00AC7542"/>
    <w:rsid w:val="00AD0A9A"/>
    <w:rsid w:val="00AD0C46"/>
    <w:rsid w:val="00AD13B5"/>
    <w:rsid w:val="00AD1A9D"/>
    <w:rsid w:val="00AD1AD8"/>
    <w:rsid w:val="00AD1CF1"/>
    <w:rsid w:val="00AD3B4F"/>
    <w:rsid w:val="00AD3FFE"/>
    <w:rsid w:val="00AD4E42"/>
    <w:rsid w:val="00AD6E97"/>
    <w:rsid w:val="00AD7B9C"/>
    <w:rsid w:val="00AE15B6"/>
    <w:rsid w:val="00AE1BF2"/>
    <w:rsid w:val="00AE24FD"/>
    <w:rsid w:val="00AE3A08"/>
    <w:rsid w:val="00AE4B05"/>
    <w:rsid w:val="00AE546F"/>
    <w:rsid w:val="00AE58AB"/>
    <w:rsid w:val="00AE6CFC"/>
    <w:rsid w:val="00AE6D90"/>
    <w:rsid w:val="00AE6F09"/>
    <w:rsid w:val="00AE7809"/>
    <w:rsid w:val="00AF0252"/>
    <w:rsid w:val="00AF08D2"/>
    <w:rsid w:val="00AF1947"/>
    <w:rsid w:val="00AF1DEF"/>
    <w:rsid w:val="00AF2286"/>
    <w:rsid w:val="00AF2C43"/>
    <w:rsid w:val="00AF51CE"/>
    <w:rsid w:val="00AF60D8"/>
    <w:rsid w:val="00AF60DC"/>
    <w:rsid w:val="00AF6228"/>
    <w:rsid w:val="00AF66DF"/>
    <w:rsid w:val="00B00523"/>
    <w:rsid w:val="00B00630"/>
    <w:rsid w:val="00B0094F"/>
    <w:rsid w:val="00B0442E"/>
    <w:rsid w:val="00B06C5B"/>
    <w:rsid w:val="00B06D97"/>
    <w:rsid w:val="00B12916"/>
    <w:rsid w:val="00B1357E"/>
    <w:rsid w:val="00B13B73"/>
    <w:rsid w:val="00B141CB"/>
    <w:rsid w:val="00B149BB"/>
    <w:rsid w:val="00B155CC"/>
    <w:rsid w:val="00B17764"/>
    <w:rsid w:val="00B2142C"/>
    <w:rsid w:val="00B22C7B"/>
    <w:rsid w:val="00B258B4"/>
    <w:rsid w:val="00B25DE9"/>
    <w:rsid w:val="00B2766A"/>
    <w:rsid w:val="00B30A9F"/>
    <w:rsid w:val="00B30C1A"/>
    <w:rsid w:val="00B31D90"/>
    <w:rsid w:val="00B33AA6"/>
    <w:rsid w:val="00B340E9"/>
    <w:rsid w:val="00B358BE"/>
    <w:rsid w:val="00B3729C"/>
    <w:rsid w:val="00B3768B"/>
    <w:rsid w:val="00B413BB"/>
    <w:rsid w:val="00B4268D"/>
    <w:rsid w:val="00B42782"/>
    <w:rsid w:val="00B44DCD"/>
    <w:rsid w:val="00B4594C"/>
    <w:rsid w:val="00B46CEF"/>
    <w:rsid w:val="00B52394"/>
    <w:rsid w:val="00B53671"/>
    <w:rsid w:val="00B53861"/>
    <w:rsid w:val="00B54B6A"/>
    <w:rsid w:val="00B54E5F"/>
    <w:rsid w:val="00B552B3"/>
    <w:rsid w:val="00B55563"/>
    <w:rsid w:val="00B5622D"/>
    <w:rsid w:val="00B604DB"/>
    <w:rsid w:val="00B60FD0"/>
    <w:rsid w:val="00B6210A"/>
    <w:rsid w:val="00B63B6E"/>
    <w:rsid w:val="00B63C8A"/>
    <w:rsid w:val="00B641A8"/>
    <w:rsid w:val="00B64ECF"/>
    <w:rsid w:val="00B6524B"/>
    <w:rsid w:val="00B653EB"/>
    <w:rsid w:val="00B6587E"/>
    <w:rsid w:val="00B67944"/>
    <w:rsid w:val="00B67DBE"/>
    <w:rsid w:val="00B72E15"/>
    <w:rsid w:val="00B72F98"/>
    <w:rsid w:val="00B73878"/>
    <w:rsid w:val="00B73B71"/>
    <w:rsid w:val="00B73D14"/>
    <w:rsid w:val="00B746FB"/>
    <w:rsid w:val="00B74723"/>
    <w:rsid w:val="00B74DBB"/>
    <w:rsid w:val="00B764BE"/>
    <w:rsid w:val="00B7666E"/>
    <w:rsid w:val="00B7747B"/>
    <w:rsid w:val="00B8168D"/>
    <w:rsid w:val="00B822A4"/>
    <w:rsid w:val="00B83525"/>
    <w:rsid w:val="00B8452A"/>
    <w:rsid w:val="00B84FA6"/>
    <w:rsid w:val="00B851EC"/>
    <w:rsid w:val="00B86B1D"/>
    <w:rsid w:val="00B874E9"/>
    <w:rsid w:val="00B879A0"/>
    <w:rsid w:val="00B87DD9"/>
    <w:rsid w:val="00B910A4"/>
    <w:rsid w:val="00B92D22"/>
    <w:rsid w:val="00B92DC1"/>
    <w:rsid w:val="00B92E26"/>
    <w:rsid w:val="00B93045"/>
    <w:rsid w:val="00B951AC"/>
    <w:rsid w:val="00B965C7"/>
    <w:rsid w:val="00B977C3"/>
    <w:rsid w:val="00B97DDF"/>
    <w:rsid w:val="00BA0581"/>
    <w:rsid w:val="00BA1C8B"/>
    <w:rsid w:val="00BA28B6"/>
    <w:rsid w:val="00BA28D4"/>
    <w:rsid w:val="00BA2B4E"/>
    <w:rsid w:val="00BA2D9B"/>
    <w:rsid w:val="00BA3E09"/>
    <w:rsid w:val="00BA5A40"/>
    <w:rsid w:val="00BA63DF"/>
    <w:rsid w:val="00BA70C3"/>
    <w:rsid w:val="00BA7214"/>
    <w:rsid w:val="00BA7577"/>
    <w:rsid w:val="00BB00D3"/>
    <w:rsid w:val="00BB019F"/>
    <w:rsid w:val="00BB0FFD"/>
    <w:rsid w:val="00BB23E3"/>
    <w:rsid w:val="00BB2D67"/>
    <w:rsid w:val="00BB4612"/>
    <w:rsid w:val="00BB49AE"/>
    <w:rsid w:val="00BB6C00"/>
    <w:rsid w:val="00BB72F8"/>
    <w:rsid w:val="00BB7673"/>
    <w:rsid w:val="00BC0024"/>
    <w:rsid w:val="00BC0FAD"/>
    <w:rsid w:val="00BC1B02"/>
    <w:rsid w:val="00BC235C"/>
    <w:rsid w:val="00BC3597"/>
    <w:rsid w:val="00BC3A41"/>
    <w:rsid w:val="00BC3CF1"/>
    <w:rsid w:val="00BC4E3C"/>
    <w:rsid w:val="00BC4FB9"/>
    <w:rsid w:val="00BC68B9"/>
    <w:rsid w:val="00BC6AC9"/>
    <w:rsid w:val="00BC7855"/>
    <w:rsid w:val="00BD191C"/>
    <w:rsid w:val="00BD2E12"/>
    <w:rsid w:val="00BD2E6B"/>
    <w:rsid w:val="00BD3D52"/>
    <w:rsid w:val="00BD4C10"/>
    <w:rsid w:val="00BD4F3C"/>
    <w:rsid w:val="00BD5188"/>
    <w:rsid w:val="00BD56E1"/>
    <w:rsid w:val="00BD785C"/>
    <w:rsid w:val="00BE021F"/>
    <w:rsid w:val="00BE2169"/>
    <w:rsid w:val="00BE2CB4"/>
    <w:rsid w:val="00BE35D2"/>
    <w:rsid w:val="00BE4271"/>
    <w:rsid w:val="00BE7466"/>
    <w:rsid w:val="00BE76F9"/>
    <w:rsid w:val="00BE7C9A"/>
    <w:rsid w:val="00BF04C6"/>
    <w:rsid w:val="00BF11B8"/>
    <w:rsid w:val="00BF13FB"/>
    <w:rsid w:val="00BF22EE"/>
    <w:rsid w:val="00BF2819"/>
    <w:rsid w:val="00BF380E"/>
    <w:rsid w:val="00BF497B"/>
    <w:rsid w:val="00BF4A3A"/>
    <w:rsid w:val="00BF4C98"/>
    <w:rsid w:val="00BF578A"/>
    <w:rsid w:val="00BF6124"/>
    <w:rsid w:val="00BF77E2"/>
    <w:rsid w:val="00C013AA"/>
    <w:rsid w:val="00C03E5C"/>
    <w:rsid w:val="00C04B86"/>
    <w:rsid w:val="00C04C5A"/>
    <w:rsid w:val="00C06E4A"/>
    <w:rsid w:val="00C1268B"/>
    <w:rsid w:val="00C12BAA"/>
    <w:rsid w:val="00C1432F"/>
    <w:rsid w:val="00C15571"/>
    <w:rsid w:val="00C1758C"/>
    <w:rsid w:val="00C17DBD"/>
    <w:rsid w:val="00C20D73"/>
    <w:rsid w:val="00C224BB"/>
    <w:rsid w:val="00C246DD"/>
    <w:rsid w:val="00C24A02"/>
    <w:rsid w:val="00C26E47"/>
    <w:rsid w:val="00C27518"/>
    <w:rsid w:val="00C3029B"/>
    <w:rsid w:val="00C30321"/>
    <w:rsid w:val="00C32021"/>
    <w:rsid w:val="00C332D1"/>
    <w:rsid w:val="00C33AD4"/>
    <w:rsid w:val="00C34661"/>
    <w:rsid w:val="00C348B2"/>
    <w:rsid w:val="00C34BD6"/>
    <w:rsid w:val="00C34F4F"/>
    <w:rsid w:val="00C35D16"/>
    <w:rsid w:val="00C40003"/>
    <w:rsid w:val="00C40553"/>
    <w:rsid w:val="00C41323"/>
    <w:rsid w:val="00C416FE"/>
    <w:rsid w:val="00C422CC"/>
    <w:rsid w:val="00C42C0C"/>
    <w:rsid w:val="00C43772"/>
    <w:rsid w:val="00C4564D"/>
    <w:rsid w:val="00C45941"/>
    <w:rsid w:val="00C46E8D"/>
    <w:rsid w:val="00C47120"/>
    <w:rsid w:val="00C4774F"/>
    <w:rsid w:val="00C47E6A"/>
    <w:rsid w:val="00C50223"/>
    <w:rsid w:val="00C502A7"/>
    <w:rsid w:val="00C50F49"/>
    <w:rsid w:val="00C52103"/>
    <w:rsid w:val="00C54E4F"/>
    <w:rsid w:val="00C5600C"/>
    <w:rsid w:val="00C5650F"/>
    <w:rsid w:val="00C56E88"/>
    <w:rsid w:val="00C61617"/>
    <w:rsid w:val="00C63047"/>
    <w:rsid w:val="00C63B99"/>
    <w:rsid w:val="00C64EC8"/>
    <w:rsid w:val="00C654F5"/>
    <w:rsid w:val="00C65C67"/>
    <w:rsid w:val="00C66409"/>
    <w:rsid w:val="00C678AA"/>
    <w:rsid w:val="00C703FB"/>
    <w:rsid w:val="00C71E29"/>
    <w:rsid w:val="00C73E4D"/>
    <w:rsid w:val="00C74E44"/>
    <w:rsid w:val="00C74E62"/>
    <w:rsid w:val="00C75245"/>
    <w:rsid w:val="00C757DB"/>
    <w:rsid w:val="00C75A99"/>
    <w:rsid w:val="00C7655E"/>
    <w:rsid w:val="00C773ED"/>
    <w:rsid w:val="00C80E93"/>
    <w:rsid w:val="00C8147C"/>
    <w:rsid w:val="00C827BE"/>
    <w:rsid w:val="00C827F9"/>
    <w:rsid w:val="00C85F31"/>
    <w:rsid w:val="00C86E82"/>
    <w:rsid w:val="00C87494"/>
    <w:rsid w:val="00C87D11"/>
    <w:rsid w:val="00C92610"/>
    <w:rsid w:val="00C93FC6"/>
    <w:rsid w:val="00C94C12"/>
    <w:rsid w:val="00C95930"/>
    <w:rsid w:val="00C95A1D"/>
    <w:rsid w:val="00C972D7"/>
    <w:rsid w:val="00C975D8"/>
    <w:rsid w:val="00CA00A0"/>
    <w:rsid w:val="00CA0243"/>
    <w:rsid w:val="00CA030D"/>
    <w:rsid w:val="00CA1BDF"/>
    <w:rsid w:val="00CA2BFC"/>
    <w:rsid w:val="00CA41CE"/>
    <w:rsid w:val="00CA4C12"/>
    <w:rsid w:val="00CA555C"/>
    <w:rsid w:val="00CA5CE8"/>
    <w:rsid w:val="00CA5D2C"/>
    <w:rsid w:val="00CA65F4"/>
    <w:rsid w:val="00CA695D"/>
    <w:rsid w:val="00CB0BA8"/>
    <w:rsid w:val="00CB0FB2"/>
    <w:rsid w:val="00CB2B74"/>
    <w:rsid w:val="00CB39F6"/>
    <w:rsid w:val="00CB3CCC"/>
    <w:rsid w:val="00CB494F"/>
    <w:rsid w:val="00CB4BCA"/>
    <w:rsid w:val="00CC0615"/>
    <w:rsid w:val="00CC0FAE"/>
    <w:rsid w:val="00CC2F66"/>
    <w:rsid w:val="00CC447E"/>
    <w:rsid w:val="00CC4DE1"/>
    <w:rsid w:val="00CC5820"/>
    <w:rsid w:val="00CC696A"/>
    <w:rsid w:val="00CC797C"/>
    <w:rsid w:val="00CD37A8"/>
    <w:rsid w:val="00CD37BC"/>
    <w:rsid w:val="00CD5016"/>
    <w:rsid w:val="00CE092E"/>
    <w:rsid w:val="00CE428D"/>
    <w:rsid w:val="00CE6800"/>
    <w:rsid w:val="00CE685A"/>
    <w:rsid w:val="00CE6FF7"/>
    <w:rsid w:val="00CE76E8"/>
    <w:rsid w:val="00CF0458"/>
    <w:rsid w:val="00CF16CB"/>
    <w:rsid w:val="00CF1ABE"/>
    <w:rsid w:val="00CF2471"/>
    <w:rsid w:val="00CF2497"/>
    <w:rsid w:val="00CF3100"/>
    <w:rsid w:val="00CF32BF"/>
    <w:rsid w:val="00CF352B"/>
    <w:rsid w:val="00CF3878"/>
    <w:rsid w:val="00CF4BFC"/>
    <w:rsid w:val="00CF4D0E"/>
    <w:rsid w:val="00CF4D4F"/>
    <w:rsid w:val="00CF5FBE"/>
    <w:rsid w:val="00CF6A1A"/>
    <w:rsid w:val="00CF7EF7"/>
    <w:rsid w:val="00D00FFE"/>
    <w:rsid w:val="00D01847"/>
    <w:rsid w:val="00D02798"/>
    <w:rsid w:val="00D030BD"/>
    <w:rsid w:val="00D03344"/>
    <w:rsid w:val="00D037D5"/>
    <w:rsid w:val="00D053B9"/>
    <w:rsid w:val="00D059FA"/>
    <w:rsid w:val="00D05A7A"/>
    <w:rsid w:val="00D06370"/>
    <w:rsid w:val="00D06385"/>
    <w:rsid w:val="00D10429"/>
    <w:rsid w:val="00D10E8C"/>
    <w:rsid w:val="00D1199C"/>
    <w:rsid w:val="00D11CC7"/>
    <w:rsid w:val="00D139BE"/>
    <w:rsid w:val="00D147A5"/>
    <w:rsid w:val="00D159FA"/>
    <w:rsid w:val="00D2133B"/>
    <w:rsid w:val="00D21B86"/>
    <w:rsid w:val="00D21D5C"/>
    <w:rsid w:val="00D22102"/>
    <w:rsid w:val="00D2247B"/>
    <w:rsid w:val="00D22973"/>
    <w:rsid w:val="00D24B10"/>
    <w:rsid w:val="00D251CD"/>
    <w:rsid w:val="00D26538"/>
    <w:rsid w:val="00D26ADA"/>
    <w:rsid w:val="00D26CB2"/>
    <w:rsid w:val="00D26E53"/>
    <w:rsid w:val="00D26E81"/>
    <w:rsid w:val="00D27F5B"/>
    <w:rsid w:val="00D32E59"/>
    <w:rsid w:val="00D330D2"/>
    <w:rsid w:val="00D33F3F"/>
    <w:rsid w:val="00D34ACC"/>
    <w:rsid w:val="00D3525A"/>
    <w:rsid w:val="00D35A13"/>
    <w:rsid w:val="00D36A17"/>
    <w:rsid w:val="00D36D41"/>
    <w:rsid w:val="00D372A7"/>
    <w:rsid w:val="00D41D3A"/>
    <w:rsid w:val="00D421EE"/>
    <w:rsid w:val="00D42A8E"/>
    <w:rsid w:val="00D4387F"/>
    <w:rsid w:val="00D43C9B"/>
    <w:rsid w:val="00D5056D"/>
    <w:rsid w:val="00D534F9"/>
    <w:rsid w:val="00D53AE5"/>
    <w:rsid w:val="00D53D07"/>
    <w:rsid w:val="00D541C0"/>
    <w:rsid w:val="00D550A0"/>
    <w:rsid w:val="00D550A8"/>
    <w:rsid w:val="00D55A0F"/>
    <w:rsid w:val="00D57BB6"/>
    <w:rsid w:val="00D57D27"/>
    <w:rsid w:val="00D6108C"/>
    <w:rsid w:val="00D61F93"/>
    <w:rsid w:val="00D623C1"/>
    <w:rsid w:val="00D625D0"/>
    <w:rsid w:val="00D62C5F"/>
    <w:rsid w:val="00D62CFD"/>
    <w:rsid w:val="00D66389"/>
    <w:rsid w:val="00D66672"/>
    <w:rsid w:val="00D66E6E"/>
    <w:rsid w:val="00D70CFE"/>
    <w:rsid w:val="00D73D99"/>
    <w:rsid w:val="00D74A03"/>
    <w:rsid w:val="00D75346"/>
    <w:rsid w:val="00D753BC"/>
    <w:rsid w:val="00D80B68"/>
    <w:rsid w:val="00D814BB"/>
    <w:rsid w:val="00D81773"/>
    <w:rsid w:val="00D8292F"/>
    <w:rsid w:val="00D851A1"/>
    <w:rsid w:val="00D85C6F"/>
    <w:rsid w:val="00D900F2"/>
    <w:rsid w:val="00D90658"/>
    <w:rsid w:val="00D94BD8"/>
    <w:rsid w:val="00D96D52"/>
    <w:rsid w:val="00D975B9"/>
    <w:rsid w:val="00DA015B"/>
    <w:rsid w:val="00DA0AF7"/>
    <w:rsid w:val="00DA35E3"/>
    <w:rsid w:val="00DA5C46"/>
    <w:rsid w:val="00DA7372"/>
    <w:rsid w:val="00DB07B6"/>
    <w:rsid w:val="00DB0B74"/>
    <w:rsid w:val="00DB147F"/>
    <w:rsid w:val="00DB214E"/>
    <w:rsid w:val="00DB32FE"/>
    <w:rsid w:val="00DB40FA"/>
    <w:rsid w:val="00DB4FCB"/>
    <w:rsid w:val="00DB5B6E"/>
    <w:rsid w:val="00DB6E2B"/>
    <w:rsid w:val="00DB7137"/>
    <w:rsid w:val="00DB783C"/>
    <w:rsid w:val="00DB7859"/>
    <w:rsid w:val="00DC03F3"/>
    <w:rsid w:val="00DC237E"/>
    <w:rsid w:val="00DC2A2F"/>
    <w:rsid w:val="00DC2AA2"/>
    <w:rsid w:val="00DC2DB8"/>
    <w:rsid w:val="00DC38D9"/>
    <w:rsid w:val="00DC3C8E"/>
    <w:rsid w:val="00DC423C"/>
    <w:rsid w:val="00DC5D69"/>
    <w:rsid w:val="00DC7EE9"/>
    <w:rsid w:val="00DD0295"/>
    <w:rsid w:val="00DD0739"/>
    <w:rsid w:val="00DD0B41"/>
    <w:rsid w:val="00DD1AC0"/>
    <w:rsid w:val="00DD26F4"/>
    <w:rsid w:val="00DD3C8E"/>
    <w:rsid w:val="00DD4D0A"/>
    <w:rsid w:val="00DD503A"/>
    <w:rsid w:val="00DD5834"/>
    <w:rsid w:val="00DE005C"/>
    <w:rsid w:val="00DE00B7"/>
    <w:rsid w:val="00DE0758"/>
    <w:rsid w:val="00DE1338"/>
    <w:rsid w:val="00DE2491"/>
    <w:rsid w:val="00DE25E6"/>
    <w:rsid w:val="00DE2CD1"/>
    <w:rsid w:val="00DE2F0F"/>
    <w:rsid w:val="00DE3928"/>
    <w:rsid w:val="00DE3ED3"/>
    <w:rsid w:val="00DE4592"/>
    <w:rsid w:val="00DE4991"/>
    <w:rsid w:val="00DE4BCF"/>
    <w:rsid w:val="00DE66FA"/>
    <w:rsid w:val="00DE7E3F"/>
    <w:rsid w:val="00DF060C"/>
    <w:rsid w:val="00DF0A40"/>
    <w:rsid w:val="00DF0B52"/>
    <w:rsid w:val="00DF1F32"/>
    <w:rsid w:val="00DF46A4"/>
    <w:rsid w:val="00DF63A7"/>
    <w:rsid w:val="00E003BB"/>
    <w:rsid w:val="00E01C06"/>
    <w:rsid w:val="00E02D18"/>
    <w:rsid w:val="00E037DC"/>
    <w:rsid w:val="00E04DBC"/>
    <w:rsid w:val="00E10984"/>
    <w:rsid w:val="00E11CB3"/>
    <w:rsid w:val="00E129E4"/>
    <w:rsid w:val="00E12B66"/>
    <w:rsid w:val="00E1604D"/>
    <w:rsid w:val="00E16749"/>
    <w:rsid w:val="00E169FF"/>
    <w:rsid w:val="00E17384"/>
    <w:rsid w:val="00E17E04"/>
    <w:rsid w:val="00E17F9F"/>
    <w:rsid w:val="00E21C3B"/>
    <w:rsid w:val="00E24839"/>
    <w:rsid w:val="00E24FB9"/>
    <w:rsid w:val="00E24FFB"/>
    <w:rsid w:val="00E2552F"/>
    <w:rsid w:val="00E26B77"/>
    <w:rsid w:val="00E26E41"/>
    <w:rsid w:val="00E27E3C"/>
    <w:rsid w:val="00E30567"/>
    <w:rsid w:val="00E306E6"/>
    <w:rsid w:val="00E30DF4"/>
    <w:rsid w:val="00E32983"/>
    <w:rsid w:val="00E33EAA"/>
    <w:rsid w:val="00E353C5"/>
    <w:rsid w:val="00E357C1"/>
    <w:rsid w:val="00E405EB"/>
    <w:rsid w:val="00E428B8"/>
    <w:rsid w:val="00E43C1F"/>
    <w:rsid w:val="00E44294"/>
    <w:rsid w:val="00E4457B"/>
    <w:rsid w:val="00E44787"/>
    <w:rsid w:val="00E45632"/>
    <w:rsid w:val="00E51672"/>
    <w:rsid w:val="00E53242"/>
    <w:rsid w:val="00E539C0"/>
    <w:rsid w:val="00E53C44"/>
    <w:rsid w:val="00E5403D"/>
    <w:rsid w:val="00E540FD"/>
    <w:rsid w:val="00E5433A"/>
    <w:rsid w:val="00E550D5"/>
    <w:rsid w:val="00E5591D"/>
    <w:rsid w:val="00E564C9"/>
    <w:rsid w:val="00E56A18"/>
    <w:rsid w:val="00E56E86"/>
    <w:rsid w:val="00E5768A"/>
    <w:rsid w:val="00E579DB"/>
    <w:rsid w:val="00E57BE5"/>
    <w:rsid w:val="00E61762"/>
    <w:rsid w:val="00E61E30"/>
    <w:rsid w:val="00E626F5"/>
    <w:rsid w:val="00E62C03"/>
    <w:rsid w:val="00E62F81"/>
    <w:rsid w:val="00E63234"/>
    <w:rsid w:val="00E64A32"/>
    <w:rsid w:val="00E6610E"/>
    <w:rsid w:val="00E700A8"/>
    <w:rsid w:val="00E70F1A"/>
    <w:rsid w:val="00E71273"/>
    <w:rsid w:val="00E71364"/>
    <w:rsid w:val="00E724B2"/>
    <w:rsid w:val="00E72561"/>
    <w:rsid w:val="00E72D8B"/>
    <w:rsid w:val="00E731A7"/>
    <w:rsid w:val="00E74C0C"/>
    <w:rsid w:val="00E80BE7"/>
    <w:rsid w:val="00E812BB"/>
    <w:rsid w:val="00E82653"/>
    <w:rsid w:val="00E82F41"/>
    <w:rsid w:val="00E83339"/>
    <w:rsid w:val="00E8339D"/>
    <w:rsid w:val="00E8583D"/>
    <w:rsid w:val="00E860C6"/>
    <w:rsid w:val="00E87967"/>
    <w:rsid w:val="00E90015"/>
    <w:rsid w:val="00E90408"/>
    <w:rsid w:val="00E90BEE"/>
    <w:rsid w:val="00E91C77"/>
    <w:rsid w:val="00E92273"/>
    <w:rsid w:val="00E928FD"/>
    <w:rsid w:val="00E9354B"/>
    <w:rsid w:val="00E9416B"/>
    <w:rsid w:val="00E946F5"/>
    <w:rsid w:val="00E95AF9"/>
    <w:rsid w:val="00E95C39"/>
    <w:rsid w:val="00E961AD"/>
    <w:rsid w:val="00E965F5"/>
    <w:rsid w:val="00E96AC4"/>
    <w:rsid w:val="00E96BB5"/>
    <w:rsid w:val="00E96EBF"/>
    <w:rsid w:val="00E96F84"/>
    <w:rsid w:val="00E973EA"/>
    <w:rsid w:val="00EA132F"/>
    <w:rsid w:val="00EA2682"/>
    <w:rsid w:val="00EB01C7"/>
    <w:rsid w:val="00EB05AD"/>
    <w:rsid w:val="00EB0B9B"/>
    <w:rsid w:val="00EB2A59"/>
    <w:rsid w:val="00EB343A"/>
    <w:rsid w:val="00EB4260"/>
    <w:rsid w:val="00EB5505"/>
    <w:rsid w:val="00EB5A4D"/>
    <w:rsid w:val="00EC0360"/>
    <w:rsid w:val="00EC079D"/>
    <w:rsid w:val="00EC09FE"/>
    <w:rsid w:val="00EC0DF5"/>
    <w:rsid w:val="00EC5EAB"/>
    <w:rsid w:val="00EC62B6"/>
    <w:rsid w:val="00EC7394"/>
    <w:rsid w:val="00EC7F08"/>
    <w:rsid w:val="00ED01C5"/>
    <w:rsid w:val="00ED113F"/>
    <w:rsid w:val="00ED2AFC"/>
    <w:rsid w:val="00ED45F2"/>
    <w:rsid w:val="00ED4715"/>
    <w:rsid w:val="00ED4926"/>
    <w:rsid w:val="00ED4E99"/>
    <w:rsid w:val="00EE1197"/>
    <w:rsid w:val="00EE30D4"/>
    <w:rsid w:val="00EE4002"/>
    <w:rsid w:val="00EE5DAD"/>
    <w:rsid w:val="00EE61EF"/>
    <w:rsid w:val="00EE6A86"/>
    <w:rsid w:val="00EF1618"/>
    <w:rsid w:val="00EF2AAB"/>
    <w:rsid w:val="00EF33E1"/>
    <w:rsid w:val="00EF46C7"/>
    <w:rsid w:val="00EF495C"/>
    <w:rsid w:val="00EF66B5"/>
    <w:rsid w:val="00EF718C"/>
    <w:rsid w:val="00F00083"/>
    <w:rsid w:val="00F00F9B"/>
    <w:rsid w:val="00F014F0"/>
    <w:rsid w:val="00F015C4"/>
    <w:rsid w:val="00F0177F"/>
    <w:rsid w:val="00F021B1"/>
    <w:rsid w:val="00F0383E"/>
    <w:rsid w:val="00F042AC"/>
    <w:rsid w:val="00F056A4"/>
    <w:rsid w:val="00F056DA"/>
    <w:rsid w:val="00F067C7"/>
    <w:rsid w:val="00F068AA"/>
    <w:rsid w:val="00F10312"/>
    <w:rsid w:val="00F10988"/>
    <w:rsid w:val="00F11218"/>
    <w:rsid w:val="00F11BAC"/>
    <w:rsid w:val="00F12346"/>
    <w:rsid w:val="00F1322D"/>
    <w:rsid w:val="00F15D61"/>
    <w:rsid w:val="00F166D6"/>
    <w:rsid w:val="00F17FF4"/>
    <w:rsid w:val="00F20647"/>
    <w:rsid w:val="00F207A0"/>
    <w:rsid w:val="00F215CE"/>
    <w:rsid w:val="00F22AE0"/>
    <w:rsid w:val="00F234B8"/>
    <w:rsid w:val="00F2352F"/>
    <w:rsid w:val="00F23663"/>
    <w:rsid w:val="00F2369C"/>
    <w:rsid w:val="00F2505F"/>
    <w:rsid w:val="00F27E2D"/>
    <w:rsid w:val="00F27F5E"/>
    <w:rsid w:val="00F33965"/>
    <w:rsid w:val="00F33F72"/>
    <w:rsid w:val="00F34086"/>
    <w:rsid w:val="00F34990"/>
    <w:rsid w:val="00F34FD5"/>
    <w:rsid w:val="00F355E1"/>
    <w:rsid w:val="00F35851"/>
    <w:rsid w:val="00F36832"/>
    <w:rsid w:val="00F36AAB"/>
    <w:rsid w:val="00F4010C"/>
    <w:rsid w:val="00F412E0"/>
    <w:rsid w:val="00F414BE"/>
    <w:rsid w:val="00F421A9"/>
    <w:rsid w:val="00F441A6"/>
    <w:rsid w:val="00F447A1"/>
    <w:rsid w:val="00F45023"/>
    <w:rsid w:val="00F458ED"/>
    <w:rsid w:val="00F502B1"/>
    <w:rsid w:val="00F50D23"/>
    <w:rsid w:val="00F52C70"/>
    <w:rsid w:val="00F537EC"/>
    <w:rsid w:val="00F53FA4"/>
    <w:rsid w:val="00F54B1E"/>
    <w:rsid w:val="00F562DF"/>
    <w:rsid w:val="00F56688"/>
    <w:rsid w:val="00F5697E"/>
    <w:rsid w:val="00F61E4C"/>
    <w:rsid w:val="00F66E48"/>
    <w:rsid w:val="00F67DC1"/>
    <w:rsid w:val="00F7002E"/>
    <w:rsid w:val="00F70E09"/>
    <w:rsid w:val="00F71425"/>
    <w:rsid w:val="00F73CBC"/>
    <w:rsid w:val="00F7497A"/>
    <w:rsid w:val="00F77D18"/>
    <w:rsid w:val="00F81941"/>
    <w:rsid w:val="00F82024"/>
    <w:rsid w:val="00F82337"/>
    <w:rsid w:val="00F829AE"/>
    <w:rsid w:val="00F838CC"/>
    <w:rsid w:val="00F84FA0"/>
    <w:rsid w:val="00F9046D"/>
    <w:rsid w:val="00F925B9"/>
    <w:rsid w:val="00F929EC"/>
    <w:rsid w:val="00F92A76"/>
    <w:rsid w:val="00F95816"/>
    <w:rsid w:val="00F97BE2"/>
    <w:rsid w:val="00FA0BB5"/>
    <w:rsid w:val="00FA117C"/>
    <w:rsid w:val="00FA156F"/>
    <w:rsid w:val="00FA223B"/>
    <w:rsid w:val="00FA3076"/>
    <w:rsid w:val="00FA3CCA"/>
    <w:rsid w:val="00FA3DE5"/>
    <w:rsid w:val="00FA426B"/>
    <w:rsid w:val="00FA4A96"/>
    <w:rsid w:val="00FA6670"/>
    <w:rsid w:val="00FA6AC8"/>
    <w:rsid w:val="00FB0818"/>
    <w:rsid w:val="00FB1123"/>
    <w:rsid w:val="00FB1563"/>
    <w:rsid w:val="00FB16DF"/>
    <w:rsid w:val="00FB1CAF"/>
    <w:rsid w:val="00FB1ED7"/>
    <w:rsid w:val="00FB1F63"/>
    <w:rsid w:val="00FB47C8"/>
    <w:rsid w:val="00FB4ADE"/>
    <w:rsid w:val="00FB5345"/>
    <w:rsid w:val="00FB6254"/>
    <w:rsid w:val="00FB667A"/>
    <w:rsid w:val="00FB6704"/>
    <w:rsid w:val="00FB6C47"/>
    <w:rsid w:val="00FB74AE"/>
    <w:rsid w:val="00FC01CF"/>
    <w:rsid w:val="00FC0956"/>
    <w:rsid w:val="00FC0C29"/>
    <w:rsid w:val="00FC2F52"/>
    <w:rsid w:val="00FC4620"/>
    <w:rsid w:val="00FC4A36"/>
    <w:rsid w:val="00FC4CB4"/>
    <w:rsid w:val="00FC70F1"/>
    <w:rsid w:val="00FC73D7"/>
    <w:rsid w:val="00FC79FC"/>
    <w:rsid w:val="00FD1E9B"/>
    <w:rsid w:val="00FD39DC"/>
    <w:rsid w:val="00FD4C84"/>
    <w:rsid w:val="00FD4CD1"/>
    <w:rsid w:val="00FD691A"/>
    <w:rsid w:val="00FD6F11"/>
    <w:rsid w:val="00FD72FD"/>
    <w:rsid w:val="00FD7E85"/>
    <w:rsid w:val="00FE0F7C"/>
    <w:rsid w:val="00FE18B9"/>
    <w:rsid w:val="00FE1B4E"/>
    <w:rsid w:val="00FE1BE0"/>
    <w:rsid w:val="00FE26B3"/>
    <w:rsid w:val="00FE313E"/>
    <w:rsid w:val="00FE3276"/>
    <w:rsid w:val="00FE5782"/>
    <w:rsid w:val="00FE5818"/>
    <w:rsid w:val="00FE5FD1"/>
    <w:rsid w:val="00FF0005"/>
    <w:rsid w:val="00FF05A0"/>
    <w:rsid w:val="00FF3BEC"/>
    <w:rsid w:val="00FF4429"/>
    <w:rsid w:val="00FF5A70"/>
    <w:rsid w:val="00FF6387"/>
    <w:rsid w:val="00FF6ADA"/>
    <w:rsid w:val="00FF6E81"/>
    <w:rsid w:val="00FF7499"/>
    <w:rsid w:val="018711C0"/>
    <w:rsid w:val="03F01F3C"/>
    <w:rsid w:val="05A8122D"/>
    <w:rsid w:val="1FD168C0"/>
    <w:rsid w:val="2EEEE4D1"/>
    <w:rsid w:val="306F62B1"/>
    <w:rsid w:val="3399154D"/>
    <w:rsid w:val="37FFE137"/>
    <w:rsid w:val="485C16AA"/>
    <w:rsid w:val="4AA32EBB"/>
    <w:rsid w:val="58EF4A9B"/>
    <w:rsid w:val="F97FC241"/>
    <w:rsid w:val="FBE5C1DF"/>
    <w:rsid w:val="FF6DCE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name="Message Header"/>
    <w:lsdException w:qFormat="1" w:unhideWhenUsed="0" w:uiPriority="0"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IE" w:eastAsia="zh-CN" w:bidi="ar-SA"/>
    </w:rPr>
  </w:style>
  <w:style w:type="paragraph" w:styleId="2">
    <w:name w:val="heading 1"/>
    <w:basedOn w:val="1"/>
    <w:next w:val="1"/>
    <w:link w:val="41"/>
    <w:qFormat/>
    <w:uiPriority w:val="0"/>
    <w:pPr>
      <w:keepNext/>
      <w:keepLines/>
      <w:widowControl w:val="0"/>
      <w:spacing w:before="340" w:after="330" w:line="576" w:lineRule="auto"/>
      <w:jc w:val="both"/>
      <w:outlineLvl w:val="0"/>
    </w:pPr>
    <w:rPr>
      <w:rFonts w:ascii="Times New Roman" w:hAnsi="Times New Roman"/>
      <w:b/>
      <w:bCs/>
      <w:kern w:val="44"/>
      <w:sz w:val="44"/>
      <w:szCs w:val="44"/>
    </w:rPr>
  </w:style>
  <w:style w:type="paragraph" w:styleId="3">
    <w:name w:val="heading 2"/>
    <w:basedOn w:val="1"/>
    <w:next w:val="1"/>
    <w:link w:val="42"/>
    <w:qFormat/>
    <w:uiPriority w:val="0"/>
    <w:pPr>
      <w:keepNext/>
      <w:keepLines/>
      <w:widowControl w:val="0"/>
      <w:spacing w:before="260" w:after="260" w:line="412" w:lineRule="auto"/>
      <w:jc w:val="both"/>
      <w:outlineLvl w:val="1"/>
    </w:pPr>
    <w:rPr>
      <w:rFonts w:ascii="Arial" w:hAnsi="Arial" w:eastAsia="黑体"/>
      <w:b/>
      <w:bCs/>
      <w:kern w:val="2"/>
      <w:sz w:val="32"/>
      <w:szCs w:val="32"/>
    </w:rPr>
  </w:style>
  <w:style w:type="paragraph" w:styleId="4">
    <w:name w:val="heading 3"/>
    <w:basedOn w:val="1"/>
    <w:next w:val="1"/>
    <w:link w:val="43"/>
    <w:qFormat/>
    <w:uiPriority w:val="0"/>
    <w:pPr>
      <w:keepNext/>
      <w:spacing w:before="240" w:after="60"/>
      <w:outlineLvl w:val="2"/>
    </w:pPr>
    <w:rPr>
      <w:rFonts w:ascii="Cambria" w:hAnsi="Cambria"/>
      <w:b/>
      <w:bCs/>
      <w:sz w:val="26"/>
      <w:szCs w:val="26"/>
    </w:rPr>
  </w:style>
  <w:style w:type="paragraph" w:styleId="5">
    <w:name w:val="heading 4"/>
    <w:basedOn w:val="1"/>
    <w:next w:val="1"/>
    <w:link w:val="44"/>
    <w:qFormat/>
    <w:uiPriority w:val="0"/>
    <w:pPr>
      <w:keepNext/>
      <w:spacing w:before="240" w:after="60"/>
      <w:outlineLvl w:val="3"/>
    </w:pPr>
    <w:rPr>
      <w:b/>
      <w:bCs/>
      <w:sz w:val="28"/>
      <w:szCs w:val="28"/>
    </w:rPr>
  </w:style>
  <w:style w:type="paragraph" w:styleId="6">
    <w:name w:val="heading 5"/>
    <w:basedOn w:val="1"/>
    <w:next w:val="1"/>
    <w:link w:val="45"/>
    <w:qFormat/>
    <w:uiPriority w:val="0"/>
    <w:pPr>
      <w:keepNext/>
      <w:keepLines/>
      <w:spacing w:before="200" w:after="0"/>
      <w:outlineLvl w:val="4"/>
    </w:pPr>
    <w:rPr>
      <w:rFonts w:ascii="Cambria" w:hAnsi="Cambria"/>
      <w:color w:val="243F60"/>
      <w:sz w:val="20"/>
      <w:szCs w:val="20"/>
    </w:rPr>
  </w:style>
  <w:style w:type="paragraph" w:styleId="7">
    <w:name w:val="heading 6"/>
    <w:basedOn w:val="1"/>
    <w:next w:val="1"/>
    <w:link w:val="46"/>
    <w:qFormat/>
    <w:uiPriority w:val="0"/>
    <w:pPr>
      <w:keepNext/>
      <w:keepLines/>
      <w:spacing w:before="200" w:after="0"/>
      <w:outlineLvl w:val="5"/>
    </w:pPr>
    <w:rPr>
      <w:rFonts w:ascii="Cambria" w:hAnsi="Cambria"/>
      <w:i/>
      <w:iCs/>
      <w:color w:val="243F60"/>
      <w:sz w:val="20"/>
      <w:szCs w:val="20"/>
    </w:rPr>
  </w:style>
  <w:style w:type="paragraph" w:styleId="8">
    <w:name w:val="heading 7"/>
    <w:basedOn w:val="1"/>
    <w:next w:val="1"/>
    <w:link w:val="47"/>
    <w:qFormat/>
    <w:uiPriority w:val="0"/>
    <w:pPr>
      <w:keepNext/>
      <w:keepLines/>
      <w:spacing w:before="200" w:after="0"/>
      <w:outlineLvl w:val="6"/>
    </w:pPr>
    <w:rPr>
      <w:rFonts w:ascii="Cambria" w:hAnsi="Cambria"/>
      <w:i/>
      <w:iCs/>
      <w:color w:val="404040"/>
      <w:sz w:val="20"/>
      <w:szCs w:val="20"/>
    </w:rPr>
  </w:style>
  <w:style w:type="paragraph" w:styleId="9">
    <w:name w:val="heading 8"/>
    <w:basedOn w:val="1"/>
    <w:next w:val="1"/>
    <w:link w:val="48"/>
    <w:qFormat/>
    <w:uiPriority w:val="0"/>
    <w:pPr>
      <w:keepNext/>
      <w:keepLines/>
      <w:spacing w:before="200" w:after="0"/>
      <w:outlineLvl w:val="7"/>
    </w:pPr>
    <w:rPr>
      <w:rFonts w:ascii="Cambria" w:hAnsi="Cambria"/>
      <w:color w:val="4F81BD"/>
      <w:sz w:val="20"/>
      <w:szCs w:val="20"/>
    </w:rPr>
  </w:style>
  <w:style w:type="paragraph" w:styleId="10">
    <w:name w:val="heading 9"/>
    <w:basedOn w:val="1"/>
    <w:next w:val="1"/>
    <w:link w:val="49"/>
    <w:qFormat/>
    <w:uiPriority w:val="0"/>
    <w:pPr>
      <w:keepNext/>
      <w:keepLines/>
      <w:spacing w:before="200" w:after="0"/>
      <w:outlineLvl w:val="8"/>
    </w:pPr>
    <w:rPr>
      <w:rFonts w:ascii="Cambria" w:hAnsi="Cambria"/>
      <w:i/>
      <w:iCs/>
      <w:color w:val="404040"/>
      <w:sz w:val="20"/>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line="240" w:lineRule="auto"/>
    </w:pPr>
    <w:rPr>
      <w:b/>
      <w:bCs/>
      <w:color w:val="4F81BD"/>
      <w:sz w:val="18"/>
      <w:szCs w:val="18"/>
      <w:lang w:val="en-US" w:eastAsia="en-US" w:bidi="en-US"/>
    </w:rPr>
  </w:style>
  <w:style w:type="paragraph" w:styleId="12">
    <w:name w:val="Document Map"/>
    <w:basedOn w:val="1"/>
    <w:link w:val="57"/>
    <w:semiHidden/>
    <w:qFormat/>
    <w:uiPriority w:val="0"/>
    <w:pPr>
      <w:shd w:val="clear" w:color="auto" w:fill="000080"/>
    </w:pPr>
  </w:style>
  <w:style w:type="paragraph" w:styleId="13">
    <w:name w:val="annotation text"/>
    <w:basedOn w:val="1"/>
    <w:link w:val="53"/>
    <w:unhideWhenUsed/>
    <w:qFormat/>
    <w:uiPriority w:val="99"/>
    <w:rPr>
      <w:sz w:val="20"/>
      <w:szCs w:val="20"/>
    </w:rPr>
  </w:style>
  <w:style w:type="paragraph" w:styleId="14">
    <w:name w:val="Body Text 3"/>
    <w:basedOn w:val="1"/>
    <w:link w:val="71"/>
    <w:semiHidden/>
    <w:unhideWhenUsed/>
    <w:qFormat/>
    <w:uiPriority w:val="0"/>
    <w:pPr>
      <w:widowControl w:val="0"/>
      <w:spacing w:after="0" w:line="360" w:lineRule="auto"/>
      <w:jc w:val="both"/>
    </w:pPr>
    <w:rPr>
      <w:rFonts w:ascii="Times New Roman" w:hAnsi="Times New Roman"/>
      <w:kern w:val="2"/>
      <w:sz w:val="18"/>
      <w:szCs w:val="24"/>
    </w:rPr>
  </w:style>
  <w:style w:type="paragraph" w:styleId="15">
    <w:name w:val="Body Text"/>
    <w:basedOn w:val="1"/>
    <w:link w:val="61"/>
    <w:unhideWhenUsed/>
    <w:qFormat/>
    <w:uiPriority w:val="0"/>
    <w:pPr>
      <w:widowControl w:val="0"/>
      <w:tabs>
        <w:tab w:val="left" w:pos="2415"/>
      </w:tabs>
      <w:spacing w:after="0" w:line="600" w:lineRule="exact"/>
      <w:jc w:val="both"/>
    </w:pPr>
    <w:rPr>
      <w:rFonts w:ascii="宋体" w:hAnsi="宋体"/>
      <w:sz w:val="28"/>
      <w:szCs w:val="28"/>
    </w:rPr>
  </w:style>
  <w:style w:type="paragraph" w:styleId="16">
    <w:name w:val="Body Text Indent"/>
    <w:basedOn w:val="1"/>
    <w:link w:val="63"/>
    <w:semiHidden/>
    <w:unhideWhenUsed/>
    <w:qFormat/>
    <w:uiPriority w:val="0"/>
    <w:pPr>
      <w:widowControl w:val="0"/>
      <w:spacing w:after="120" w:line="240" w:lineRule="auto"/>
      <w:ind w:left="420" w:leftChars="200"/>
      <w:jc w:val="both"/>
    </w:pPr>
    <w:rPr>
      <w:sz w:val="20"/>
      <w:szCs w:val="24"/>
    </w:rPr>
  </w:style>
  <w:style w:type="paragraph" w:styleId="17">
    <w:name w:val="toc 3"/>
    <w:basedOn w:val="1"/>
    <w:next w:val="1"/>
    <w:unhideWhenUsed/>
    <w:qFormat/>
    <w:uiPriority w:val="0"/>
    <w:pPr>
      <w:spacing w:after="100"/>
      <w:ind w:left="720" w:hanging="578"/>
    </w:pPr>
  </w:style>
  <w:style w:type="paragraph" w:styleId="18">
    <w:name w:val="Plain Text"/>
    <w:basedOn w:val="1"/>
    <w:link w:val="74"/>
    <w:unhideWhenUsed/>
    <w:qFormat/>
    <w:uiPriority w:val="0"/>
    <w:pPr>
      <w:widowControl w:val="0"/>
      <w:spacing w:after="0" w:line="240" w:lineRule="auto"/>
      <w:jc w:val="both"/>
    </w:pPr>
    <w:rPr>
      <w:rFonts w:ascii="宋体" w:hAnsi="Courier New"/>
      <w:sz w:val="20"/>
      <w:szCs w:val="21"/>
    </w:rPr>
  </w:style>
  <w:style w:type="paragraph" w:styleId="19">
    <w:name w:val="Date"/>
    <w:basedOn w:val="1"/>
    <w:next w:val="1"/>
    <w:link w:val="67"/>
    <w:semiHidden/>
    <w:unhideWhenUsed/>
    <w:qFormat/>
    <w:uiPriority w:val="0"/>
    <w:pPr>
      <w:widowControl w:val="0"/>
      <w:spacing w:after="0" w:line="240" w:lineRule="auto"/>
      <w:jc w:val="both"/>
    </w:pPr>
    <w:rPr>
      <w:rFonts w:ascii="Times New Roman" w:hAnsi="Times New Roman"/>
      <w:kern w:val="2"/>
      <w:sz w:val="21"/>
      <w:szCs w:val="20"/>
    </w:rPr>
  </w:style>
  <w:style w:type="paragraph" w:styleId="20">
    <w:name w:val="Body Text Indent 2"/>
    <w:basedOn w:val="1"/>
    <w:link w:val="72"/>
    <w:semiHidden/>
    <w:unhideWhenUsed/>
    <w:qFormat/>
    <w:uiPriority w:val="0"/>
    <w:pPr>
      <w:widowControl w:val="0"/>
      <w:spacing w:after="120" w:line="480" w:lineRule="auto"/>
      <w:ind w:left="420" w:leftChars="200"/>
      <w:jc w:val="both"/>
    </w:pPr>
    <w:rPr>
      <w:rFonts w:ascii="Times New Roman" w:hAnsi="Times New Roman"/>
      <w:kern w:val="2"/>
      <w:sz w:val="21"/>
      <w:szCs w:val="20"/>
    </w:rPr>
  </w:style>
  <w:style w:type="paragraph" w:styleId="21">
    <w:name w:val="Balloon Text"/>
    <w:basedOn w:val="1"/>
    <w:link w:val="54"/>
    <w:unhideWhenUsed/>
    <w:qFormat/>
    <w:uiPriority w:val="0"/>
    <w:pPr>
      <w:spacing w:after="0" w:line="240" w:lineRule="auto"/>
    </w:pPr>
    <w:rPr>
      <w:rFonts w:ascii="宋体"/>
      <w:sz w:val="18"/>
      <w:szCs w:val="18"/>
    </w:rPr>
  </w:style>
  <w:style w:type="paragraph" w:styleId="22">
    <w:name w:val="footer"/>
    <w:basedOn w:val="1"/>
    <w:link w:val="52"/>
    <w:unhideWhenUsed/>
    <w:qFormat/>
    <w:uiPriority w:val="99"/>
    <w:pPr>
      <w:tabs>
        <w:tab w:val="center" w:pos="4153"/>
        <w:tab w:val="right" w:pos="8306"/>
      </w:tabs>
      <w:spacing w:after="0" w:line="240" w:lineRule="auto"/>
    </w:pPr>
    <w:rPr>
      <w:sz w:val="20"/>
      <w:szCs w:val="20"/>
    </w:rPr>
  </w:style>
  <w:style w:type="paragraph" w:styleId="23">
    <w:name w:val="header"/>
    <w:basedOn w:val="1"/>
    <w:link w:val="51"/>
    <w:unhideWhenUsed/>
    <w:qFormat/>
    <w:uiPriority w:val="0"/>
    <w:pPr>
      <w:tabs>
        <w:tab w:val="center" w:pos="4153"/>
        <w:tab w:val="right" w:pos="8306"/>
      </w:tabs>
      <w:spacing w:after="0" w:line="240" w:lineRule="auto"/>
    </w:pPr>
    <w:rPr>
      <w:sz w:val="20"/>
      <w:szCs w:val="20"/>
    </w:rPr>
  </w:style>
  <w:style w:type="paragraph" w:styleId="24">
    <w:name w:val="toc 1"/>
    <w:basedOn w:val="1"/>
    <w:next w:val="25"/>
    <w:qFormat/>
    <w:uiPriority w:val="0"/>
    <w:pPr>
      <w:tabs>
        <w:tab w:val="right" w:leader="dot" w:pos="9072"/>
        <w:tab w:val="right" w:pos="9355"/>
      </w:tabs>
      <w:spacing w:before="240" w:after="0" w:line="240" w:lineRule="auto"/>
      <w:ind w:left="851" w:right="850" w:hanging="851"/>
      <w:jc w:val="both"/>
    </w:pPr>
    <w:rPr>
      <w:rFonts w:ascii="Arial" w:hAnsi="Arial"/>
      <w:caps/>
      <w:lang w:val="en-US"/>
    </w:rPr>
  </w:style>
  <w:style w:type="paragraph" w:styleId="25">
    <w:name w:val="toc 2"/>
    <w:basedOn w:val="24"/>
    <w:next w:val="17"/>
    <w:qFormat/>
    <w:uiPriority w:val="0"/>
    <w:pPr>
      <w:tabs>
        <w:tab w:val="right" w:pos="9072"/>
      </w:tabs>
      <w:spacing w:before="60"/>
      <w:ind w:right="851"/>
    </w:pPr>
    <w:rPr>
      <w:caps w:val="0"/>
    </w:rPr>
  </w:style>
  <w:style w:type="paragraph" w:styleId="26">
    <w:name w:val="Subtitle"/>
    <w:basedOn w:val="1"/>
    <w:next w:val="1"/>
    <w:link w:val="66"/>
    <w:qFormat/>
    <w:uiPriority w:val="0"/>
    <w:rPr>
      <w:rFonts w:ascii="Cambria" w:hAnsi="Cambria"/>
      <w:i/>
      <w:iCs/>
      <w:color w:val="4F81BD"/>
      <w:spacing w:val="15"/>
      <w:sz w:val="24"/>
      <w:szCs w:val="24"/>
    </w:rPr>
  </w:style>
  <w:style w:type="paragraph" w:styleId="27">
    <w:name w:val="footnote text"/>
    <w:basedOn w:val="1"/>
    <w:link w:val="151"/>
    <w:unhideWhenUsed/>
    <w:qFormat/>
    <w:uiPriority w:val="0"/>
    <w:pPr>
      <w:widowControl w:val="0"/>
      <w:spacing w:after="0" w:line="240" w:lineRule="auto"/>
      <w:jc w:val="both"/>
    </w:pPr>
    <w:rPr>
      <w:kern w:val="2"/>
      <w:sz w:val="20"/>
      <w:szCs w:val="20"/>
      <w:lang w:val="en-US"/>
    </w:rPr>
  </w:style>
  <w:style w:type="paragraph" w:styleId="28">
    <w:name w:val="Body Text Indent 3"/>
    <w:basedOn w:val="1"/>
    <w:link w:val="73"/>
    <w:semiHidden/>
    <w:unhideWhenUsed/>
    <w:qFormat/>
    <w:uiPriority w:val="0"/>
    <w:pPr>
      <w:widowControl w:val="0"/>
      <w:spacing w:after="120" w:line="240" w:lineRule="auto"/>
      <w:ind w:left="420" w:leftChars="200"/>
      <w:jc w:val="both"/>
    </w:pPr>
    <w:rPr>
      <w:rFonts w:ascii="Times New Roman" w:hAnsi="Times New Roman"/>
      <w:kern w:val="2"/>
      <w:sz w:val="16"/>
      <w:szCs w:val="16"/>
    </w:rPr>
  </w:style>
  <w:style w:type="paragraph" w:styleId="29">
    <w:name w:val="Body Text 2"/>
    <w:basedOn w:val="1"/>
    <w:link w:val="70"/>
    <w:semiHidden/>
    <w:unhideWhenUsed/>
    <w:qFormat/>
    <w:uiPriority w:val="0"/>
    <w:pPr>
      <w:widowControl w:val="0"/>
      <w:spacing w:before="120" w:after="120" w:line="240" w:lineRule="auto"/>
      <w:jc w:val="center"/>
    </w:pPr>
    <w:rPr>
      <w:rFonts w:ascii="Times New Roman" w:hAnsi="Times New Roman"/>
      <w:sz w:val="18"/>
      <w:szCs w:val="18"/>
    </w:rPr>
  </w:style>
  <w:style w:type="paragraph" w:styleId="30">
    <w:name w:val="Message Header"/>
    <w:basedOn w:val="1"/>
    <w:link w:val="65"/>
    <w:semiHidden/>
    <w:unhideWhenUsed/>
    <w:qFormat/>
    <w:uiPriority w:val="0"/>
    <w:pPr>
      <w:widowControl w:val="0"/>
      <w:pBdr>
        <w:top w:val="single" w:color="auto" w:sz="6" w:space="1"/>
        <w:left w:val="single" w:color="auto" w:sz="6" w:space="1"/>
        <w:bottom w:val="single" w:color="auto" w:sz="6" w:space="1"/>
        <w:right w:val="single" w:color="auto" w:sz="6" w:space="1"/>
      </w:pBdr>
      <w:shd w:val="pct20" w:color="auto" w:fill="auto"/>
      <w:spacing w:after="0" w:line="360" w:lineRule="auto"/>
      <w:ind w:left="1080" w:leftChars="500" w:hanging="1080" w:hangingChars="500"/>
      <w:jc w:val="both"/>
    </w:pPr>
    <w:rPr>
      <w:rFonts w:ascii="Arial" w:hAnsi="Arial"/>
      <w:kern w:val="2"/>
      <w:sz w:val="24"/>
      <w:szCs w:val="24"/>
    </w:rPr>
  </w:style>
  <w:style w:type="paragraph" w:styleId="31">
    <w:name w:val="Title"/>
    <w:basedOn w:val="1"/>
    <w:next w:val="1"/>
    <w:link w:val="60"/>
    <w:qFormat/>
    <w:uiPriority w:val="0"/>
    <w:pPr>
      <w:pBdr>
        <w:bottom w:val="single" w:color="4F81BD" w:sz="8" w:space="4"/>
      </w:pBdr>
      <w:spacing w:after="300" w:line="240" w:lineRule="auto"/>
      <w:contextualSpacing/>
    </w:pPr>
    <w:rPr>
      <w:rFonts w:ascii="Cambria" w:hAnsi="Cambria"/>
      <w:color w:val="17365D"/>
      <w:spacing w:val="5"/>
      <w:kern w:val="28"/>
      <w:sz w:val="52"/>
      <w:szCs w:val="52"/>
    </w:rPr>
  </w:style>
  <w:style w:type="paragraph" w:styleId="32">
    <w:name w:val="annotation subject"/>
    <w:basedOn w:val="13"/>
    <w:next w:val="13"/>
    <w:link w:val="55"/>
    <w:unhideWhenUsed/>
    <w:qFormat/>
    <w:uiPriority w:val="0"/>
    <w:rPr>
      <w:b/>
      <w:bCs/>
      <w:sz w:val="22"/>
      <w:szCs w:val="22"/>
    </w:rPr>
  </w:style>
  <w:style w:type="paragraph" w:styleId="33">
    <w:name w:val="Body Text First Indent"/>
    <w:basedOn w:val="15"/>
    <w:link w:val="68"/>
    <w:semiHidden/>
    <w:unhideWhenUsed/>
    <w:qFormat/>
    <w:uiPriority w:val="0"/>
    <w:pPr>
      <w:widowControl/>
      <w:spacing w:after="120" w:line="360" w:lineRule="auto"/>
      <w:ind w:firstLine="420" w:firstLineChars="100"/>
    </w:pPr>
    <w:rPr>
      <w:rFonts w:ascii="Times New Roman" w:hAnsi="Times New Roman"/>
      <w:sz w:val="24"/>
      <w:szCs w:val="24"/>
    </w:rPr>
  </w:style>
  <w:style w:type="paragraph" w:styleId="34">
    <w:name w:val="Body Text First Indent 2"/>
    <w:basedOn w:val="16"/>
    <w:link w:val="69"/>
    <w:semiHidden/>
    <w:unhideWhenUsed/>
    <w:qFormat/>
    <w:uiPriority w:val="0"/>
    <w:pPr>
      <w:widowControl/>
      <w:spacing w:line="360" w:lineRule="auto"/>
      <w:ind w:firstLine="420" w:firstLineChars="200"/>
    </w:pPr>
    <w:rPr>
      <w:rFonts w:ascii="仿宋_GB2312" w:eastAsia="仿宋_GB2312"/>
      <w:sz w:val="24"/>
    </w:rPr>
  </w:style>
  <w:style w:type="table" w:styleId="36">
    <w:name w:val="Table Grid"/>
    <w:basedOn w:val="3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page number"/>
    <w:basedOn w:val="37"/>
    <w:qFormat/>
    <w:uiPriority w:val="0"/>
  </w:style>
  <w:style w:type="character" w:styleId="39">
    <w:name w:val="annotation reference"/>
    <w:unhideWhenUsed/>
    <w:qFormat/>
    <w:uiPriority w:val="99"/>
    <w:rPr>
      <w:sz w:val="16"/>
      <w:szCs w:val="16"/>
    </w:rPr>
  </w:style>
  <w:style w:type="character" w:styleId="40">
    <w:name w:val="footnote reference"/>
    <w:unhideWhenUsed/>
    <w:qFormat/>
    <w:uiPriority w:val="99"/>
    <w:rPr>
      <w:vertAlign w:val="superscript"/>
    </w:rPr>
  </w:style>
  <w:style w:type="character" w:customStyle="1" w:styleId="41">
    <w:name w:val="标题 1 字符"/>
    <w:link w:val="2"/>
    <w:qFormat/>
    <w:uiPriority w:val="0"/>
    <w:rPr>
      <w:rFonts w:ascii="Times New Roman" w:hAnsi="Times New Roman"/>
      <w:b/>
      <w:bCs/>
      <w:kern w:val="44"/>
      <w:sz w:val="44"/>
      <w:szCs w:val="44"/>
    </w:rPr>
  </w:style>
  <w:style w:type="character" w:customStyle="1" w:styleId="42">
    <w:name w:val="标题 2 字符"/>
    <w:link w:val="3"/>
    <w:qFormat/>
    <w:uiPriority w:val="0"/>
    <w:rPr>
      <w:rFonts w:ascii="Arial" w:hAnsi="Arial" w:eastAsia="黑体"/>
      <w:b/>
      <w:bCs/>
      <w:kern w:val="2"/>
      <w:sz w:val="32"/>
      <w:szCs w:val="32"/>
    </w:rPr>
  </w:style>
  <w:style w:type="character" w:customStyle="1" w:styleId="43">
    <w:name w:val="标题 3 字符"/>
    <w:link w:val="4"/>
    <w:qFormat/>
    <w:uiPriority w:val="0"/>
    <w:rPr>
      <w:rFonts w:ascii="Cambria" w:hAnsi="Cambria" w:eastAsia="宋体" w:cs="Times New Roman"/>
      <w:b/>
      <w:bCs/>
      <w:sz w:val="26"/>
      <w:szCs w:val="26"/>
      <w:lang w:val="en-IE"/>
    </w:rPr>
  </w:style>
  <w:style w:type="character" w:customStyle="1" w:styleId="44">
    <w:name w:val="标题 4 字符"/>
    <w:link w:val="5"/>
    <w:qFormat/>
    <w:uiPriority w:val="0"/>
    <w:rPr>
      <w:rFonts w:ascii="Calibri" w:hAnsi="Calibri" w:eastAsia="宋体" w:cs="Times New Roman"/>
      <w:b/>
      <w:bCs/>
      <w:sz w:val="28"/>
      <w:szCs w:val="28"/>
      <w:lang w:val="en-IE"/>
    </w:rPr>
  </w:style>
  <w:style w:type="character" w:customStyle="1" w:styleId="45">
    <w:name w:val="标题 5 字符"/>
    <w:link w:val="6"/>
    <w:qFormat/>
    <w:uiPriority w:val="0"/>
    <w:rPr>
      <w:rFonts w:ascii="Cambria" w:hAnsi="Cambria"/>
      <w:color w:val="243F60"/>
    </w:rPr>
  </w:style>
  <w:style w:type="character" w:customStyle="1" w:styleId="46">
    <w:name w:val="标题 6 字符"/>
    <w:link w:val="7"/>
    <w:qFormat/>
    <w:uiPriority w:val="0"/>
    <w:rPr>
      <w:rFonts w:ascii="Cambria" w:hAnsi="Cambria"/>
      <w:i/>
      <w:iCs/>
      <w:color w:val="243F60"/>
    </w:rPr>
  </w:style>
  <w:style w:type="character" w:customStyle="1" w:styleId="47">
    <w:name w:val="标题 7 字符"/>
    <w:link w:val="8"/>
    <w:qFormat/>
    <w:uiPriority w:val="0"/>
    <w:rPr>
      <w:rFonts w:ascii="Cambria" w:hAnsi="Cambria"/>
      <w:i/>
      <w:iCs/>
      <w:color w:val="404040"/>
    </w:rPr>
  </w:style>
  <w:style w:type="character" w:customStyle="1" w:styleId="48">
    <w:name w:val="标题 8 字符"/>
    <w:link w:val="9"/>
    <w:qFormat/>
    <w:uiPriority w:val="0"/>
    <w:rPr>
      <w:rFonts w:ascii="Cambria" w:hAnsi="Cambria"/>
      <w:color w:val="4F81BD"/>
    </w:rPr>
  </w:style>
  <w:style w:type="character" w:customStyle="1" w:styleId="49">
    <w:name w:val="标题 9 字符"/>
    <w:link w:val="10"/>
    <w:qFormat/>
    <w:uiPriority w:val="0"/>
    <w:rPr>
      <w:rFonts w:ascii="Cambria" w:hAnsi="Cambria"/>
      <w:i/>
      <w:iCs/>
      <w:color w:val="404040"/>
    </w:rPr>
  </w:style>
  <w:style w:type="paragraph" w:styleId="50">
    <w:name w:val="List Paragraph"/>
    <w:basedOn w:val="1"/>
    <w:qFormat/>
    <w:uiPriority w:val="34"/>
    <w:pPr>
      <w:ind w:left="720"/>
      <w:contextualSpacing/>
    </w:pPr>
  </w:style>
  <w:style w:type="character" w:customStyle="1" w:styleId="51">
    <w:name w:val="页眉 字符"/>
    <w:link w:val="23"/>
    <w:qFormat/>
    <w:uiPriority w:val="0"/>
    <w:rPr>
      <w:rFonts w:ascii="Calibri" w:hAnsi="Calibri" w:eastAsia="宋体" w:cs="Times New Roman"/>
      <w:lang w:val="en-IE"/>
    </w:rPr>
  </w:style>
  <w:style w:type="character" w:customStyle="1" w:styleId="52">
    <w:name w:val="页脚 字符"/>
    <w:link w:val="22"/>
    <w:qFormat/>
    <w:uiPriority w:val="99"/>
    <w:rPr>
      <w:rFonts w:ascii="Calibri" w:hAnsi="Calibri" w:eastAsia="宋体" w:cs="Times New Roman"/>
      <w:lang w:val="en-IE"/>
    </w:rPr>
  </w:style>
  <w:style w:type="character" w:customStyle="1" w:styleId="53">
    <w:name w:val="批注文字 字符"/>
    <w:link w:val="13"/>
    <w:qFormat/>
    <w:uiPriority w:val="99"/>
    <w:rPr>
      <w:rFonts w:ascii="Calibri" w:hAnsi="Calibri" w:eastAsia="宋体" w:cs="Times New Roman"/>
      <w:sz w:val="20"/>
      <w:szCs w:val="20"/>
      <w:lang w:val="en-IE"/>
    </w:rPr>
  </w:style>
  <w:style w:type="character" w:customStyle="1" w:styleId="54">
    <w:name w:val="批注框文本 字符"/>
    <w:link w:val="21"/>
    <w:qFormat/>
    <w:uiPriority w:val="0"/>
    <w:rPr>
      <w:rFonts w:ascii="宋体" w:hAnsi="Calibri" w:eastAsia="宋体" w:cs="Times New Roman"/>
      <w:sz w:val="18"/>
      <w:szCs w:val="18"/>
      <w:lang w:val="en-IE"/>
    </w:rPr>
  </w:style>
  <w:style w:type="character" w:customStyle="1" w:styleId="55">
    <w:name w:val="批注主题 字符"/>
    <w:link w:val="32"/>
    <w:qFormat/>
    <w:uiPriority w:val="0"/>
    <w:rPr>
      <w:rFonts w:ascii="Calibri" w:hAnsi="Calibri" w:eastAsia="宋体" w:cs="Times New Roman"/>
      <w:b/>
      <w:bCs/>
      <w:sz w:val="22"/>
      <w:szCs w:val="22"/>
      <w:lang w:val="en-IE"/>
    </w:rPr>
  </w:style>
  <w:style w:type="paragraph" w:customStyle="1" w:styleId="56">
    <w:name w:val="修订1"/>
    <w:hidden/>
    <w:qFormat/>
    <w:uiPriority w:val="99"/>
    <w:rPr>
      <w:rFonts w:ascii="Calibri" w:hAnsi="Calibri" w:eastAsia="宋体" w:cs="Times New Roman"/>
      <w:sz w:val="22"/>
      <w:szCs w:val="22"/>
      <w:lang w:val="en-IE" w:eastAsia="zh-CN" w:bidi="ar-SA"/>
    </w:rPr>
  </w:style>
  <w:style w:type="character" w:customStyle="1" w:styleId="57">
    <w:name w:val="文档结构图 字符"/>
    <w:link w:val="12"/>
    <w:semiHidden/>
    <w:qFormat/>
    <w:uiPriority w:val="0"/>
    <w:rPr>
      <w:sz w:val="22"/>
      <w:szCs w:val="22"/>
      <w:shd w:val="clear" w:color="auto" w:fill="000080"/>
      <w:lang w:val="en-IE"/>
    </w:rPr>
  </w:style>
  <w:style w:type="paragraph" w:customStyle="1" w:styleId="58">
    <w:name w:val="p0"/>
    <w:basedOn w:val="1"/>
    <w:qFormat/>
    <w:uiPriority w:val="0"/>
    <w:pPr>
      <w:spacing w:after="0" w:line="240" w:lineRule="auto"/>
      <w:jc w:val="both"/>
    </w:pPr>
    <w:rPr>
      <w:rFonts w:ascii="Times New Roman" w:hAnsi="Times New Roman"/>
      <w:sz w:val="21"/>
      <w:szCs w:val="21"/>
      <w:lang w:val="en-US"/>
    </w:rPr>
  </w:style>
  <w:style w:type="character" w:customStyle="1" w:styleId="59">
    <w:name w:val="标题 1 Char1"/>
    <w:qFormat/>
    <w:uiPriority w:val="0"/>
    <w:rPr>
      <w:b/>
      <w:bCs/>
      <w:kern w:val="44"/>
      <w:sz w:val="44"/>
      <w:szCs w:val="44"/>
    </w:rPr>
  </w:style>
  <w:style w:type="character" w:customStyle="1" w:styleId="60">
    <w:name w:val="标题 字符"/>
    <w:link w:val="31"/>
    <w:qFormat/>
    <w:uiPriority w:val="0"/>
    <w:rPr>
      <w:rFonts w:ascii="Cambria" w:hAnsi="Cambria"/>
      <w:color w:val="17365D"/>
      <w:spacing w:val="5"/>
      <w:kern w:val="28"/>
      <w:sz w:val="52"/>
      <w:szCs w:val="52"/>
    </w:rPr>
  </w:style>
  <w:style w:type="character" w:customStyle="1" w:styleId="61">
    <w:name w:val="正文文本 字符"/>
    <w:link w:val="15"/>
    <w:qFormat/>
    <w:locked/>
    <w:uiPriority w:val="0"/>
    <w:rPr>
      <w:rFonts w:ascii="宋体" w:hAnsi="宋体"/>
      <w:sz w:val="28"/>
      <w:szCs w:val="28"/>
    </w:rPr>
  </w:style>
  <w:style w:type="character" w:customStyle="1" w:styleId="62">
    <w:name w:val="正文文本 Char1"/>
    <w:semiHidden/>
    <w:qFormat/>
    <w:uiPriority w:val="0"/>
    <w:rPr>
      <w:sz w:val="22"/>
      <w:szCs w:val="22"/>
      <w:lang w:val="en-IE"/>
    </w:rPr>
  </w:style>
  <w:style w:type="character" w:customStyle="1" w:styleId="63">
    <w:name w:val="正文文本缩进 字符"/>
    <w:link w:val="16"/>
    <w:semiHidden/>
    <w:qFormat/>
    <w:locked/>
    <w:uiPriority w:val="0"/>
    <w:rPr>
      <w:szCs w:val="24"/>
    </w:rPr>
  </w:style>
  <w:style w:type="character" w:customStyle="1" w:styleId="64">
    <w:name w:val="正文文本缩进 Char1"/>
    <w:semiHidden/>
    <w:qFormat/>
    <w:uiPriority w:val="99"/>
    <w:rPr>
      <w:sz w:val="22"/>
      <w:szCs w:val="22"/>
      <w:lang w:val="en-IE"/>
    </w:rPr>
  </w:style>
  <w:style w:type="character" w:customStyle="1" w:styleId="65">
    <w:name w:val="信息标题 字符"/>
    <w:link w:val="30"/>
    <w:semiHidden/>
    <w:qFormat/>
    <w:uiPriority w:val="0"/>
    <w:rPr>
      <w:rFonts w:ascii="Arial" w:hAnsi="Arial"/>
      <w:kern w:val="2"/>
      <w:sz w:val="24"/>
      <w:szCs w:val="24"/>
      <w:shd w:val="pct20" w:color="auto" w:fill="auto"/>
    </w:rPr>
  </w:style>
  <w:style w:type="character" w:customStyle="1" w:styleId="66">
    <w:name w:val="副标题 字符"/>
    <w:link w:val="26"/>
    <w:qFormat/>
    <w:uiPriority w:val="0"/>
    <w:rPr>
      <w:rFonts w:ascii="Cambria" w:hAnsi="Cambria"/>
      <w:i/>
      <w:iCs/>
      <w:color w:val="4F81BD"/>
      <w:spacing w:val="15"/>
      <w:sz w:val="24"/>
      <w:szCs w:val="24"/>
    </w:rPr>
  </w:style>
  <w:style w:type="character" w:customStyle="1" w:styleId="67">
    <w:name w:val="日期 字符"/>
    <w:link w:val="19"/>
    <w:semiHidden/>
    <w:qFormat/>
    <w:uiPriority w:val="0"/>
    <w:rPr>
      <w:rFonts w:ascii="Times New Roman" w:hAnsi="Times New Roman"/>
      <w:kern w:val="2"/>
      <w:sz w:val="21"/>
    </w:rPr>
  </w:style>
  <w:style w:type="character" w:customStyle="1" w:styleId="68">
    <w:name w:val="正文文本首行缩进 字符"/>
    <w:link w:val="33"/>
    <w:semiHidden/>
    <w:qFormat/>
    <w:uiPriority w:val="0"/>
    <w:rPr>
      <w:rFonts w:ascii="Times New Roman" w:hAnsi="Times New Roman"/>
      <w:sz w:val="24"/>
      <w:szCs w:val="24"/>
      <w:lang w:val="en-IE"/>
    </w:rPr>
  </w:style>
  <w:style w:type="character" w:customStyle="1" w:styleId="69">
    <w:name w:val="正文文本首行缩进 2 字符"/>
    <w:link w:val="34"/>
    <w:semiHidden/>
    <w:qFormat/>
    <w:uiPriority w:val="0"/>
    <w:rPr>
      <w:rFonts w:ascii="仿宋_GB2312" w:eastAsia="仿宋_GB2312"/>
      <w:sz w:val="24"/>
      <w:szCs w:val="24"/>
      <w:lang w:val="en-IE"/>
    </w:rPr>
  </w:style>
  <w:style w:type="character" w:customStyle="1" w:styleId="70">
    <w:name w:val="正文文本 2 字符"/>
    <w:link w:val="29"/>
    <w:semiHidden/>
    <w:qFormat/>
    <w:uiPriority w:val="0"/>
    <w:rPr>
      <w:rFonts w:ascii="Times New Roman" w:hAnsi="Times New Roman"/>
      <w:sz w:val="18"/>
      <w:szCs w:val="18"/>
    </w:rPr>
  </w:style>
  <w:style w:type="character" w:customStyle="1" w:styleId="71">
    <w:name w:val="正文文本 3 字符"/>
    <w:link w:val="14"/>
    <w:semiHidden/>
    <w:qFormat/>
    <w:uiPriority w:val="0"/>
    <w:rPr>
      <w:rFonts w:ascii="Times New Roman" w:hAnsi="Times New Roman"/>
      <w:kern w:val="2"/>
      <w:sz w:val="18"/>
      <w:szCs w:val="24"/>
    </w:rPr>
  </w:style>
  <w:style w:type="character" w:customStyle="1" w:styleId="72">
    <w:name w:val="正文文本缩进 2 字符"/>
    <w:link w:val="20"/>
    <w:semiHidden/>
    <w:qFormat/>
    <w:uiPriority w:val="0"/>
    <w:rPr>
      <w:rFonts w:ascii="Times New Roman" w:hAnsi="Times New Roman"/>
      <w:kern w:val="2"/>
      <w:sz w:val="21"/>
    </w:rPr>
  </w:style>
  <w:style w:type="character" w:customStyle="1" w:styleId="73">
    <w:name w:val="正文文本缩进 3 字符"/>
    <w:link w:val="28"/>
    <w:semiHidden/>
    <w:qFormat/>
    <w:uiPriority w:val="0"/>
    <w:rPr>
      <w:rFonts w:ascii="Times New Roman" w:hAnsi="Times New Roman"/>
      <w:kern w:val="2"/>
      <w:sz w:val="16"/>
      <w:szCs w:val="16"/>
    </w:rPr>
  </w:style>
  <w:style w:type="character" w:customStyle="1" w:styleId="74">
    <w:name w:val="纯文本 字符"/>
    <w:link w:val="18"/>
    <w:qFormat/>
    <w:locked/>
    <w:uiPriority w:val="0"/>
    <w:rPr>
      <w:rFonts w:ascii="宋体" w:hAnsi="Courier New"/>
      <w:szCs w:val="21"/>
    </w:rPr>
  </w:style>
  <w:style w:type="character" w:customStyle="1" w:styleId="75">
    <w:name w:val="纯文本 Char1"/>
    <w:semiHidden/>
    <w:qFormat/>
    <w:uiPriority w:val="0"/>
    <w:rPr>
      <w:rFonts w:ascii="宋体" w:hAnsi="Courier New" w:cs="Courier New"/>
      <w:sz w:val="21"/>
      <w:szCs w:val="21"/>
      <w:lang w:val="en-IE"/>
    </w:rPr>
  </w:style>
  <w:style w:type="paragraph" w:styleId="76">
    <w:name w:val="No Spacing"/>
    <w:qFormat/>
    <w:uiPriority w:val="0"/>
    <w:rPr>
      <w:rFonts w:ascii="Calibri" w:hAnsi="Calibri" w:eastAsia="宋体" w:cs="Times New Roman"/>
      <w:sz w:val="22"/>
      <w:szCs w:val="22"/>
      <w:lang w:val="en-US" w:eastAsia="en-US" w:bidi="en-US"/>
    </w:rPr>
  </w:style>
  <w:style w:type="paragraph" w:styleId="77">
    <w:name w:val="Quote"/>
    <w:basedOn w:val="1"/>
    <w:next w:val="1"/>
    <w:link w:val="78"/>
    <w:qFormat/>
    <w:uiPriority w:val="0"/>
    <w:rPr>
      <w:i/>
      <w:iCs/>
      <w:color w:val="000000"/>
      <w:sz w:val="20"/>
      <w:szCs w:val="20"/>
    </w:rPr>
  </w:style>
  <w:style w:type="character" w:customStyle="1" w:styleId="78">
    <w:name w:val="引用 字符"/>
    <w:link w:val="77"/>
    <w:qFormat/>
    <w:uiPriority w:val="0"/>
    <w:rPr>
      <w:i/>
      <w:iCs/>
      <w:color w:val="000000"/>
    </w:rPr>
  </w:style>
  <w:style w:type="paragraph" w:styleId="79">
    <w:name w:val="Intense Quote"/>
    <w:basedOn w:val="1"/>
    <w:next w:val="1"/>
    <w:link w:val="80"/>
    <w:qFormat/>
    <w:uiPriority w:val="0"/>
    <w:pPr>
      <w:pBdr>
        <w:bottom w:val="single" w:color="4F81BD" w:sz="4" w:space="4"/>
      </w:pBdr>
      <w:spacing w:before="200" w:after="280"/>
      <w:ind w:left="936" w:right="936"/>
    </w:pPr>
    <w:rPr>
      <w:b/>
      <w:bCs/>
      <w:i/>
      <w:iCs/>
      <w:color w:val="4F81BD"/>
      <w:sz w:val="20"/>
      <w:szCs w:val="20"/>
    </w:rPr>
  </w:style>
  <w:style w:type="character" w:customStyle="1" w:styleId="80">
    <w:name w:val="明显引用 字符"/>
    <w:link w:val="79"/>
    <w:qFormat/>
    <w:uiPriority w:val="0"/>
    <w:rPr>
      <w:b/>
      <w:bCs/>
      <w:i/>
      <w:iCs/>
      <w:color w:val="4F81BD"/>
    </w:rPr>
  </w:style>
  <w:style w:type="paragraph" w:customStyle="1" w:styleId="81">
    <w:name w:val="TOC 标题1"/>
    <w:basedOn w:val="2"/>
    <w:next w:val="1"/>
    <w:qFormat/>
    <w:uiPriority w:val="0"/>
    <w:pPr>
      <w:widowControl/>
      <w:spacing w:before="240" w:after="240" w:line="276" w:lineRule="auto"/>
      <w:jc w:val="left"/>
      <w:outlineLvl w:val="9"/>
    </w:pPr>
    <w:rPr>
      <w:kern w:val="0"/>
      <w:sz w:val="28"/>
      <w:szCs w:val="28"/>
    </w:rPr>
  </w:style>
  <w:style w:type="paragraph" w:customStyle="1" w:styleId="82">
    <w:name w:val="Char3 Char Char Char Char Char Char"/>
    <w:basedOn w:val="1"/>
    <w:qFormat/>
    <w:uiPriority w:val="0"/>
    <w:pPr>
      <w:widowControl w:val="0"/>
      <w:spacing w:after="0" w:line="240" w:lineRule="auto"/>
      <w:jc w:val="both"/>
    </w:pPr>
    <w:rPr>
      <w:rFonts w:ascii="宋体" w:hAnsi="宋体" w:cs="Courier New"/>
      <w:kern w:val="2"/>
      <w:sz w:val="32"/>
      <w:szCs w:val="32"/>
      <w:lang w:val="en-US"/>
    </w:rPr>
  </w:style>
  <w:style w:type="paragraph" w:customStyle="1" w:styleId="83">
    <w:name w:val="Char Char Char Char Char Char Char Char Char"/>
    <w:basedOn w:val="1"/>
    <w:qFormat/>
    <w:uiPriority w:val="0"/>
    <w:pPr>
      <w:widowControl w:val="0"/>
      <w:spacing w:after="0" w:line="240" w:lineRule="auto"/>
      <w:jc w:val="both"/>
    </w:pPr>
    <w:rPr>
      <w:rFonts w:ascii="宋体" w:hAnsi="宋体" w:cs="Courier New"/>
      <w:kern w:val="2"/>
      <w:sz w:val="32"/>
      <w:szCs w:val="32"/>
      <w:lang w:val="en-US"/>
    </w:rPr>
  </w:style>
  <w:style w:type="paragraph" w:customStyle="1" w:styleId="84">
    <w:name w:val="默认段落字体 Para Char Char Char Char"/>
    <w:basedOn w:val="1"/>
    <w:qFormat/>
    <w:uiPriority w:val="0"/>
    <w:pPr>
      <w:widowControl w:val="0"/>
      <w:spacing w:after="0" w:line="240" w:lineRule="auto"/>
      <w:jc w:val="both"/>
    </w:pPr>
    <w:rPr>
      <w:rFonts w:ascii="Times New Roman" w:hAnsi="Times New Roman"/>
      <w:kern w:val="2"/>
      <w:sz w:val="32"/>
      <w:szCs w:val="32"/>
      <w:lang w:val="en-US"/>
    </w:rPr>
  </w:style>
  <w:style w:type="paragraph" w:customStyle="1" w:styleId="85">
    <w:name w:val="Char"/>
    <w:basedOn w:val="1"/>
    <w:qFormat/>
    <w:uiPriority w:val="0"/>
    <w:pPr>
      <w:spacing w:after="160" w:line="240" w:lineRule="exact"/>
    </w:pPr>
    <w:rPr>
      <w:rFonts w:ascii="Verdana" w:hAnsi="Verdana"/>
      <w:sz w:val="20"/>
      <w:szCs w:val="20"/>
      <w:lang w:val="en-US" w:eastAsia="en-US"/>
    </w:rPr>
  </w:style>
  <w:style w:type="paragraph" w:customStyle="1" w:styleId="86">
    <w:name w:val="Char Char16 Char Char Char Char Char Char Char Char Char Char Char Char1"/>
    <w:basedOn w:val="1"/>
    <w:qFormat/>
    <w:uiPriority w:val="0"/>
    <w:pPr>
      <w:widowControl w:val="0"/>
      <w:spacing w:after="0" w:line="240" w:lineRule="auto"/>
      <w:jc w:val="both"/>
    </w:pPr>
    <w:rPr>
      <w:rFonts w:ascii="Tahoma" w:hAnsi="Tahoma" w:cs="Tahoma"/>
      <w:kern w:val="2"/>
      <w:sz w:val="24"/>
      <w:szCs w:val="24"/>
      <w:lang w:val="en-US"/>
    </w:rPr>
  </w:style>
  <w:style w:type="paragraph" w:customStyle="1" w:styleId="87">
    <w:name w:val="font5"/>
    <w:basedOn w:val="1"/>
    <w:qFormat/>
    <w:uiPriority w:val="0"/>
    <w:pPr>
      <w:spacing w:before="100" w:beforeAutospacing="1" w:after="100" w:afterAutospacing="1" w:line="240" w:lineRule="auto"/>
    </w:pPr>
    <w:rPr>
      <w:rFonts w:ascii="宋体" w:hAnsi="宋体" w:cs="宋体"/>
      <w:sz w:val="18"/>
      <w:szCs w:val="18"/>
      <w:lang w:val="en-US"/>
    </w:rPr>
  </w:style>
  <w:style w:type="paragraph" w:customStyle="1" w:styleId="88">
    <w:name w:val="font6"/>
    <w:basedOn w:val="1"/>
    <w:qFormat/>
    <w:uiPriority w:val="0"/>
    <w:pPr>
      <w:spacing w:before="100" w:beforeAutospacing="1" w:after="100" w:afterAutospacing="1" w:line="240" w:lineRule="auto"/>
    </w:pPr>
    <w:rPr>
      <w:rFonts w:ascii="仿宋_GB2312" w:hAnsi="宋体" w:eastAsia="仿宋_GB2312" w:cs="宋体"/>
      <w:sz w:val="20"/>
      <w:szCs w:val="20"/>
      <w:lang w:val="en-US"/>
    </w:rPr>
  </w:style>
  <w:style w:type="paragraph" w:customStyle="1" w:styleId="89">
    <w:name w:val="font7"/>
    <w:basedOn w:val="1"/>
    <w:qFormat/>
    <w:uiPriority w:val="0"/>
    <w:pPr>
      <w:spacing w:before="100" w:beforeAutospacing="1" w:after="100" w:afterAutospacing="1" w:line="240" w:lineRule="auto"/>
    </w:pPr>
    <w:rPr>
      <w:rFonts w:ascii="仿宋_GB2312" w:hAnsi="宋体" w:eastAsia="仿宋_GB2312" w:cs="宋体"/>
      <w:b/>
      <w:bCs/>
      <w:sz w:val="28"/>
      <w:szCs w:val="28"/>
      <w:lang w:val="en-US"/>
    </w:rPr>
  </w:style>
  <w:style w:type="paragraph" w:customStyle="1" w:styleId="90">
    <w:name w:val="font8"/>
    <w:basedOn w:val="1"/>
    <w:qFormat/>
    <w:uiPriority w:val="0"/>
    <w:pPr>
      <w:spacing w:before="100" w:beforeAutospacing="1" w:after="100" w:afterAutospacing="1" w:line="240" w:lineRule="auto"/>
    </w:pPr>
    <w:rPr>
      <w:rFonts w:ascii="Times New Roman" w:hAnsi="Times New Roman"/>
      <w:sz w:val="20"/>
      <w:szCs w:val="20"/>
      <w:lang w:val="en-US"/>
    </w:rPr>
  </w:style>
  <w:style w:type="paragraph" w:customStyle="1" w:styleId="91">
    <w:name w:val="font9"/>
    <w:basedOn w:val="1"/>
    <w:qFormat/>
    <w:uiPriority w:val="0"/>
    <w:pPr>
      <w:spacing w:before="100" w:beforeAutospacing="1" w:after="100" w:afterAutospacing="1" w:line="240" w:lineRule="auto"/>
    </w:pPr>
    <w:rPr>
      <w:rFonts w:ascii="仿宋_GB2312" w:hAnsi="宋体" w:eastAsia="仿宋_GB2312" w:cs="宋体"/>
      <w:color w:val="000000"/>
      <w:sz w:val="20"/>
      <w:szCs w:val="20"/>
      <w:lang w:val="en-US"/>
    </w:rPr>
  </w:style>
  <w:style w:type="paragraph" w:customStyle="1" w:styleId="92">
    <w:name w:val="font10"/>
    <w:basedOn w:val="1"/>
    <w:qFormat/>
    <w:uiPriority w:val="0"/>
    <w:pPr>
      <w:spacing w:before="100" w:beforeAutospacing="1" w:after="100" w:afterAutospacing="1" w:line="240" w:lineRule="auto"/>
    </w:pPr>
    <w:rPr>
      <w:rFonts w:ascii="Times New Roman" w:hAnsi="Times New Roman"/>
      <w:b/>
      <w:bCs/>
      <w:sz w:val="28"/>
      <w:szCs w:val="28"/>
      <w:lang w:val="en-US"/>
    </w:rPr>
  </w:style>
  <w:style w:type="paragraph" w:customStyle="1" w:styleId="93">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4">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9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7">
    <w:name w:val="xl71"/>
    <w:basedOn w:val="1"/>
    <w:qFormat/>
    <w:uiPriority w:val="0"/>
    <w:pPr>
      <w:spacing w:before="100" w:beforeAutospacing="1" w:after="100" w:afterAutospacing="1" w:line="240" w:lineRule="auto"/>
    </w:pPr>
    <w:rPr>
      <w:rFonts w:ascii="仿宋_GB2312" w:hAnsi="宋体" w:eastAsia="仿宋_GB2312" w:cs="宋体"/>
      <w:sz w:val="24"/>
      <w:szCs w:val="24"/>
      <w:lang w:val="en-US"/>
    </w:rPr>
  </w:style>
  <w:style w:type="paragraph" w:customStyle="1" w:styleId="98">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9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b/>
      <w:bCs/>
      <w:sz w:val="28"/>
      <w:szCs w:val="28"/>
      <w:lang w:val="en-US"/>
    </w:rPr>
  </w:style>
  <w:style w:type="paragraph" w:customStyle="1" w:styleId="100">
    <w:name w:val="font11"/>
    <w:basedOn w:val="1"/>
    <w:qFormat/>
    <w:uiPriority w:val="0"/>
    <w:pPr>
      <w:spacing w:before="100" w:beforeAutospacing="1" w:after="100" w:afterAutospacing="1" w:line="240" w:lineRule="auto"/>
    </w:pPr>
    <w:rPr>
      <w:rFonts w:ascii="Times New Roman" w:hAnsi="Times New Roman"/>
      <w:b/>
      <w:bCs/>
      <w:color w:val="000000"/>
      <w:sz w:val="24"/>
      <w:szCs w:val="24"/>
      <w:lang w:val="en-US"/>
    </w:rPr>
  </w:style>
  <w:style w:type="paragraph" w:customStyle="1" w:styleId="101">
    <w:name w:val="font12"/>
    <w:basedOn w:val="1"/>
    <w:qFormat/>
    <w:uiPriority w:val="0"/>
    <w:pPr>
      <w:spacing w:before="100" w:beforeAutospacing="1" w:after="100" w:afterAutospacing="1" w:line="240" w:lineRule="auto"/>
    </w:pPr>
    <w:rPr>
      <w:rFonts w:ascii="宋体" w:hAnsi="宋体" w:cs="宋体"/>
      <w:sz w:val="18"/>
      <w:szCs w:val="18"/>
      <w:lang w:val="en-US"/>
    </w:rPr>
  </w:style>
  <w:style w:type="paragraph" w:customStyle="1" w:styleId="10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color w:val="000000"/>
      <w:sz w:val="20"/>
      <w:szCs w:val="20"/>
      <w:lang w:val="en-US"/>
    </w:rPr>
  </w:style>
  <w:style w:type="paragraph" w:customStyle="1" w:styleId="10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5">
    <w:name w:val="xl70"/>
    <w:basedOn w:val="1"/>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Times New Roman" w:hAnsi="Times New Roman"/>
      <w:b/>
      <w:bCs/>
      <w:sz w:val="28"/>
      <w:szCs w:val="28"/>
      <w:lang w:val="en-US"/>
    </w:rPr>
  </w:style>
  <w:style w:type="paragraph" w:customStyle="1" w:styleId="106">
    <w:name w:val="xl74"/>
    <w:basedOn w:val="1"/>
    <w:qFormat/>
    <w:uiPriority w:val="0"/>
    <w:pPr>
      <w:pBdr>
        <w:left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7">
    <w:name w:val="xl7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0"/>
      <w:szCs w:val="20"/>
      <w:lang w:val="en-US"/>
    </w:rPr>
  </w:style>
  <w:style w:type="paragraph" w:customStyle="1" w:styleId="108">
    <w:name w:val="xl76"/>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仿宋_GB2312" w:hAnsi="宋体" w:eastAsia="仿宋_GB2312" w:cs="宋体"/>
      <w:color w:val="000000"/>
      <w:sz w:val="20"/>
      <w:szCs w:val="20"/>
      <w:lang w:val="en-US"/>
    </w:rPr>
  </w:style>
  <w:style w:type="character" w:customStyle="1" w:styleId="109">
    <w:name w:val="标书正文格式 Char Char Char"/>
    <w:link w:val="110"/>
    <w:qFormat/>
    <w:locked/>
    <w:uiPriority w:val="0"/>
    <w:rPr>
      <w:rFonts w:ascii="楷体_GB2312" w:eastAsia="楷体_GB2312"/>
      <w:kern w:val="2"/>
      <w:sz w:val="24"/>
      <w:szCs w:val="22"/>
      <w:lang w:val="en-US" w:eastAsia="zh-CN" w:bidi="ar-SA"/>
    </w:rPr>
  </w:style>
  <w:style w:type="paragraph" w:customStyle="1" w:styleId="110">
    <w:name w:val="标书正文格式 Char Char"/>
    <w:link w:val="109"/>
    <w:qFormat/>
    <w:uiPriority w:val="0"/>
    <w:pPr>
      <w:spacing w:line="360" w:lineRule="auto"/>
      <w:ind w:firstLine="200" w:firstLineChars="200"/>
    </w:pPr>
    <w:rPr>
      <w:rFonts w:ascii="楷体_GB2312" w:hAnsi="Calibri" w:eastAsia="楷体_GB2312" w:cs="Times New Roman"/>
      <w:kern w:val="2"/>
      <w:sz w:val="24"/>
      <w:szCs w:val="22"/>
      <w:lang w:val="en-US" w:eastAsia="zh-CN" w:bidi="ar-SA"/>
    </w:rPr>
  </w:style>
  <w:style w:type="character" w:customStyle="1" w:styleId="111">
    <w:name w:val="段 Char"/>
    <w:link w:val="112"/>
    <w:qFormat/>
    <w:locked/>
    <w:uiPriority w:val="0"/>
    <w:rPr>
      <w:rFonts w:ascii="Arial" w:hAnsi="Arial" w:cs="Arial"/>
      <w:spacing w:val="20"/>
      <w:sz w:val="24"/>
    </w:rPr>
  </w:style>
  <w:style w:type="paragraph" w:customStyle="1" w:styleId="112">
    <w:name w:val="段"/>
    <w:basedOn w:val="1"/>
    <w:link w:val="111"/>
    <w:qFormat/>
    <w:uiPriority w:val="0"/>
    <w:pPr>
      <w:widowControl w:val="0"/>
      <w:spacing w:after="120" w:line="360" w:lineRule="auto"/>
      <w:ind w:firstLine="480" w:firstLineChars="200"/>
      <w:jc w:val="both"/>
    </w:pPr>
    <w:rPr>
      <w:rFonts w:ascii="Arial" w:hAnsi="Arial"/>
      <w:spacing w:val="20"/>
      <w:sz w:val="24"/>
      <w:szCs w:val="20"/>
    </w:rPr>
  </w:style>
  <w:style w:type="character" w:customStyle="1" w:styleId="113">
    <w:name w:val="样式 段 + 黑色 Char"/>
    <w:link w:val="114"/>
    <w:qFormat/>
    <w:locked/>
    <w:uiPriority w:val="0"/>
    <w:rPr>
      <w:rFonts w:ascii="Arial" w:hAnsi="Arial" w:cs="Arial"/>
      <w:color w:val="000000"/>
      <w:spacing w:val="20"/>
      <w:sz w:val="24"/>
    </w:rPr>
  </w:style>
  <w:style w:type="paragraph" w:customStyle="1" w:styleId="114">
    <w:name w:val="样式 段 + 黑色"/>
    <w:basedOn w:val="112"/>
    <w:link w:val="113"/>
    <w:qFormat/>
    <w:uiPriority w:val="0"/>
    <w:pPr>
      <w:spacing w:after="0"/>
      <w:ind w:firstLine="200"/>
    </w:pPr>
    <w:rPr>
      <w:color w:val="000000"/>
    </w:rPr>
  </w:style>
  <w:style w:type="paragraph" w:customStyle="1" w:styleId="115">
    <w:name w:val="样式 段 + 首行缩进:  2 字符"/>
    <w:basedOn w:val="112"/>
    <w:qFormat/>
    <w:uiPriority w:val="0"/>
    <w:pPr>
      <w:spacing w:after="0"/>
      <w:ind w:firstLine="560"/>
    </w:pPr>
    <w:rPr>
      <w:rFonts w:cs="宋体"/>
    </w:rPr>
  </w:style>
  <w:style w:type="character" w:customStyle="1" w:styleId="116">
    <w:name w:val="科东_正文 Char"/>
    <w:link w:val="117"/>
    <w:qFormat/>
    <w:locked/>
    <w:uiPriority w:val="0"/>
    <w:rPr>
      <w:sz w:val="24"/>
      <w:szCs w:val="24"/>
    </w:rPr>
  </w:style>
  <w:style w:type="paragraph" w:customStyle="1" w:styleId="117">
    <w:name w:val="科东_正文"/>
    <w:basedOn w:val="1"/>
    <w:link w:val="116"/>
    <w:qFormat/>
    <w:uiPriority w:val="0"/>
    <w:pPr>
      <w:widowControl w:val="0"/>
      <w:spacing w:after="0" w:line="360" w:lineRule="auto"/>
      <w:ind w:firstLine="200" w:firstLineChars="200"/>
      <w:jc w:val="both"/>
    </w:pPr>
    <w:rPr>
      <w:sz w:val="24"/>
      <w:szCs w:val="24"/>
    </w:rPr>
  </w:style>
  <w:style w:type="character" w:customStyle="1" w:styleId="118">
    <w:name w:val="文字 Char"/>
    <w:link w:val="119"/>
    <w:qFormat/>
    <w:locked/>
    <w:uiPriority w:val="0"/>
    <w:rPr>
      <w:rFonts w:ascii="宋体" w:hAnsi="宋体"/>
      <w:sz w:val="28"/>
    </w:rPr>
  </w:style>
  <w:style w:type="paragraph" w:customStyle="1" w:styleId="119">
    <w:name w:val="文字"/>
    <w:basedOn w:val="1"/>
    <w:link w:val="118"/>
    <w:qFormat/>
    <w:uiPriority w:val="0"/>
    <w:pPr>
      <w:widowControl w:val="0"/>
      <w:tabs>
        <w:tab w:val="left" w:pos="8520"/>
      </w:tabs>
      <w:spacing w:after="0" w:line="312" w:lineRule="auto"/>
      <w:ind w:right="-210" w:firstLine="556"/>
      <w:jc w:val="both"/>
    </w:pPr>
    <w:rPr>
      <w:rFonts w:ascii="宋体" w:hAnsi="宋体"/>
      <w:sz w:val="28"/>
      <w:szCs w:val="20"/>
    </w:rPr>
  </w:style>
  <w:style w:type="character" w:customStyle="1" w:styleId="120">
    <w:name w:val="bb Char"/>
    <w:link w:val="121"/>
    <w:qFormat/>
    <w:locked/>
    <w:uiPriority w:val="0"/>
    <w:rPr>
      <w:rFonts w:ascii="宋体" w:hAnsi="宋体"/>
      <w:b/>
      <w:color w:val="000000"/>
      <w:szCs w:val="21"/>
    </w:rPr>
  </w:style>
  <w:style w:type="paragraph" w:customStyle="1" w:styleId="121">
    <w:name w:val="bb"/>
    <w:basedOn w:val="4"/>
    <w:link w:val="120"/>
    <w:qFormat/>
    <w:uiPriority w:val="0"/>
    <w:pPr>
      <w:keepLines/>
      <w:widowControl w:val="0"/>
      <w:spacing w:before="260" w:after="260" w:line="240" w:lineRule="auto"/>
      <w:jc w:val="both"/>
    </w:pPr>
    <w:rPr>
      <w:rFonts w:ascii="宋体" w:hAnsi="宋体"/>
      <w:bCs w:val="0"/>
      <w:color w:val="000000"/>
      <w:sz w:val="20"/>
      <w:szCs w:val="21"/>
    </w:rPr>
  </w:style>
  <w:style w:type="character" w:customStyle="1" w:styleId="122">
    <w:name w:val="文字 Char Char Char Char"/>
    <w:link w:val="123"/>
    <w:qFormat/>
    <w:locked/>
    <w:uiPriority w:val="0"/>
    <w:rPr>
      <w:rFonts w:ascii="宋体" w:hAnsi="宋体"/>
      <w:sz w:val="28"/>
    </w:rPr>
  </w:style>
  <w:style w:type="paragraph" w:customStyle="1" w:styleId="123">
    <w:name w:val="文字 Char Char Char"/>
    <w:basedOn w:val="1"/>
    <w:link w:val="122"/>
    <w:qFormat/>
    <w:uiPriority w:val="0"/>
    <w:pPr>
      <w:widowControl w:val="0"/>
      <w:tabs>
        <w:tab w:val="left" w:pos="8520"/>
      </w:tabs>
      <w:spacing w:after="0" w:line="312" w:lineRule="auto"/>
      <w:ind w:right="-210" w:firstLine="556"/>
      <w:jc w:val="both"/>
    </w:pPr>
    <w:rPr>
      <w:rFonts w:ascii="宋体" w:hAnsi="宋体"/>
      <w:sz w:val="28"/>
      <w:szCs w:val="20"/>
    </w:rPr>
  </w:style>
  <w:style w:type="character" w:customStyle="1" w:styleId="124">
    <w:name w:val="aaa Char"/>
    <w:link w:val="125"/>
    <w:qFormat/>
    <w:locked/>
    <w:uiPriority w:val="0"/>
    <w:rPr>
      <w:sz w:val="28"/>
      <w:szCs w:val="84"/>
    </w:rPr>
  </w:style>
  <w:style w:type="paragraph" w:customStyle="1" w:styleId="125">
    <w:name w:val="aaa"/>
    <w:basedOn w:val="1"/>
    <w:link w:val="124"/>
    <w:qFormat/>
    <w:uiPriority w:val="0"/>
    <w:pPr>
      <w:widowControl w:val="0"/>
      <w:spacing w:after="0" w:line="360" w:lineRule="auto"/>
      <w:jc w:val="both"/>
    </w:pPr>
    <w:rPr>
      <w:sz w:val="28"/>
      <w:szCs w:val="84"/>
    </w:rPr>
  </w:style>
  <w:style w:type="paragraph" w:customStyle="1" w:styleId="126">
    <w:name w:val="样式 行距: 1.5 倍行距"/>
    <w:basedOn w:val="1"/>
    <w:qFormat/>
    <w:uiPriority w:val="0"/>
    <w:pPr>
      <w:widowControl w:val="0"/>
      <w:spacing w:after="0" w:line="360" w:lineRule="auto"/>
      <w:ind w:firstLine="480" w:firstLineChars="200"/>
    </w:pPr>
    <w:rPr>
      <w:rFonts w:ascii="宋体" w:hAnsi="宋体" w:cs="宋体"/>
      <w:sz w:val="24"/>
      <w:szCs w:val="20"/>
      <w:lang w:val="en-US"/>
    </w:rPr>
  </w:style>
  <w:style w:type="paragraph" w:customStyle="1" w:styleId="127">
    <w:name w:val="Char1 Char Char Char Char Char1 Char Char Char Char"/>
    <w:basedOn w:val="1"/>
    <w:qFormat/>
    <w:uiPriority w:val="0"/>
    <w:pPr>
      <w:widowControl w:val="0"/>
      <w:spacing w:after="0" w:line="240" w:lineRule="auto"/>
      <w:jc w:val="both"/>
    </w:pPr>
    <w:rPr>
      <w:rFonts w:ascii="Times New Roman" w:hAnsi="Times New Roman"/>
      <w:kern w:val="2"/>
      <w:sz w:val="21"/>
      <w:szCs w:val="24"/>
      <w:lang w:val="en-US"/>
    </w:rPr>
  </w:style>
  <w:style w:type="paragraph" w:customStyle="1" w:styleId="128">
    <w:name w:val="样式1"/>
    <w:basedOn w:val="5"/>
    <w:next w:val="1"/>
    <w:qFormat/>
    <w:uiPriority w:val="0"/>
    <w:pPr>
      <w:keepLines/>
      <w:widowControl w:val="0"/>
      <w:spacing w:beforeLines="50" w:afterLines="50" w:line="360" w:lineRule="auto"/>
      <w:jc w:val="both"/>
    </w:pPr>
    <w:rPr>
      <w:rFonts w:ascii="Arial" w:hAnsi="Arial" w:eastAsia="黑体"/>
      <w:b w:val="0"/>
      <w:bCs w:val="0"/>
      <w:kern w:val="2"/>
      <w:sz w:val="24"/>
      <w:lang w:val="en-US"/>
    </w:rPr>
  </w:style>
  <w:style w:type="paragraph" w:customStyle="1" w:styleId="129">
    <w:name w:val="样式5"/>
    <w:basedOn w:val="1"/>
    <w:qFormat/>
    <w:uiPriority w:val="0"/>
    <w:pPr>
      <w:autoSpaceDE w:val="0"/>
      <w:autoSpaceDN w:val="0"/>
      <w:adjustRightInd w:val="0"/>
      <w:spacing w:before="120" w:after="120" w:line="240" w:lineRule="atLeast"/>
    </w:pPr>
    <w:rPr>
      <w:rFonts w:ascii="宋体" w:hAnsi="Times New Roman"/>
      <w:spacing w:val="14"/>
      <w:sz w:val="20"/>
      <w:szCs w:val="20"/>
      <w:lang w:val="en-US"/>
    </w:rPr>
  </w:style>
  <w:style w:type="paragraph" w:customStyle="1" w:styleId="130">
    <w:name w:val="Char Char Char"/>
    <w:basedOn w:val="1"/>
    <w:qFormat/>
    <w:uiPriority w:val="0"/>
    <w:pPr>
      <w:widowControl w:val="0"/>
      <w:spacing w:after="0" w:line="240" w:lineRule="auto"/>
      <w:jc w:val="both"/>
    </w:pPr>
    <w:rPr>
      <w:rFonts w:ascii="Times New Roman" w:hAnsi="Times New Roman"/>
      <w:kern w:val="2"/>
      <w:sz w:val="24"/>
      <w:szCs w:val="24"/>
      <w:lang w:val="en-US"/>
    </w:rPr>
  </w:style>
  <w:style w:type="paragraph" w:customStyle="1" w:styleId="131">
    <w:name w:val="样式3"/>
    <w:basedOn w:val="1"/>
    <w:qFormat/>
    <w:uiPriority w:val="0"/>
    <w:pPr>
      <w:autoSpaceDE w:val="0"/>
      <w:autoSpaceDN w:val="0"/>
      <w:adjustRightInd w:val="0"/>
      <w:spacing w:before="120" w:after="120" w:line="260" w:lineRule="exact"/>
    </w:pPr>
    <w:rPr>
      <w:rFonts w:ascii="宋体" w:hAnsi="Times New Roman"/>
      <w:spacing w:val="12"/>
      <w:sz w:val="20"/>
      <w:szCs w:val="20"/>
      <w:lang w:val="en-US"/>
    </w:rPr>
  </w:style>
  <w:style w:type="paragraph" w:customStyle="1" w:styleId="132">
    <w:name w:val="标准"/>
    <w:basedOn w:val="1"/>
    <w:qFormat/>
    <w:uiPriority w:val="0"/>
    <w:pPr>
      <w:widowControl w:val="0"/>
      <w:adjustRightInd w:val="0"/>
      <w:spacing w:after="0" w:line="312" w:lineRule="atLeast"/>
      <w:jc w:val="center"/>
    </w:pPr>
    <w:rPr>
      <w:rFonts w:ascii="Times New Roman" w:hAnsi="Times New Roman"/>
      <w:sz w:val="21"/>
      <w:szCs w:val="21"/>
      <w:lang w:val="en-US"/>
    </w:rPr>
  </w:style>
  <w:style w:type="character" w:customStyle="1" w:styleId="133">
    <w:name w:val="不明显强调1"/>
    <w:qFormat/>
    <w:uiPriority w:val="0"/>
    <w:rPr>
      <w:i/>
      <w:iCs/>
      <w:color w:val="808080"/>
    </w:rPr>
  </w:style>
  <w:style w:type="character" w:customStyle="1" w:styleId="134">
    <w:name w:val="明显强调1"/>
    <w:qFormat/>
    <w:uiPriority w:val="0"/>
    <w:rPr>
      <w:b/>
      <w:bCs/>
      <w:i/>
      <w:iCs/>
      <w:color w:val="4F81BD"/>
    </w:rPr>
  </w:style>
  <w:style w:type="character" w:customStyle="1" w:styleId="135">
    <w:name w:val="不明显参考1"/>
    <w:qFormat/>
    <w:uiPriority w:val="0"/>
    <w:rPr>
      <w:smallCaps/>
      <w:color w:val="C0504D"/>
      <w:u w:val="single"/>
    </w:rPr>
  </w:style>
  <w:style w:type="character" w:customStyle="1" w:styleId="136">
    <w:name w:val="明显参考1"/>
    <w:qFormat/>
    <w:uiPriority w:val="0"/>
    <w:rPr>
      <w:b/>
      <w:bCs/>
      <w:smallCaps/>
      <w:color w:val="C0504D"/>
      <w:spacing w:val="5"/>
      <w:u w:val="single"/>
    </w:rPr>
  </w:style>
  <w:style w:type="character" w:customStyle="1" w:styleId="137">
    <w:name w:val="书籍标题1"/>
    <w:qFormat/>
    <w:uiPriority w:val="0"/>
    <w:rPr>
      <w:b/>
      <w:bCs/>
      <w:smallCaps/>
      <w:spacing w:val="5"/>
    </w:rPr>
  </w:style>
  <w:style w:type="character" w:customStyle="1" w:styleId="138">
    <w:name w:val="Char Char17"/>
    <w:qFormat/>
    <w:uiPriority w:val="0"/>
    <w:rPr>
      <w:rFonts w:hint="default" w:ascii="Times New Roman" w:hAnsi="Times New Roman" w:eastAsia="宋体" w:cs="Times New Roman"/>
      <w:b/>
      <w:bCs/>
      <w:sz w:val="24"/>
      <w:szCs w:val="26"/>
    </w:rPr>
  </w:style>
  <w:style w:type="character" w:customStyle="1" w:styleId="139">
    <w:name w:val="Char Char16"/>
    <w:qFormat/>
    <w:uiPriority w:val="0"/>
    <w:rPr>
      <w:rFonts w:hint="default" w:ascii="Cambria" w:hAnsi="Cambria" w:eastAsia="宋体" w:cs="Times New Roman"/>
      <w:b/>
      <w:bCs/>
      <w:color w:val="000000"/>
    </w:rPr>
  </w:style>
  <w:style w:type="character" w:customStyle="1" w:styleId="140">
    <w:name w:val="Char Char15"/>
    <w:qFormat/>
    <w:uiPriority w:val="0"/>
    <w:rPr>
      <w:rFonts w:hint="default" w:ascii="Cambria" w:hAnsi="Cambria" w:eastAsia="宋体" w:cs="Times New Roman"/>
      <w:b/>
      <w:bCs/>
      <w:i/>
      <w:iCs/>
      <w:color w:val="4F81BD"/>
    </w:rPr>
  </w:style>
  <w:style w:type="character" w:customStyle="1" w:styleId="141">
    <w:name w:val="red12"/>
    <w:basedOn w:val="37"/>
    <w:qFormat/>
    <w:uiPriority w:val="0"/>
  </w:style>
  <w:style w:type="character" w:customStyle="1" w:styleId="142">
    <w:name w:val="z-窗体顶端 Char"/>
    <w:link w:val="143"/>
    <w:semiHidden/>
    <w:qFormat/>
    <w:uiPriority w:val="0"/>
    <w:rPr>
      <w:rFonts w:ascii="Arial" w:hAnsi="Arial" w:cs="Arial"/>
      <w:vanish/>
      <w:kern w:val="2"/>
      <w:sz w:val="16"/>
      <w:szCs w:val="16"/>
    </w:rPr>
  </w:style>
  <w:style w:type="paragraph" w:customStyle="1" w:styleId="143">
    <w:name w:val="z-窗体顶端1"/>
    <w:basedOn w:val="1"/>
    <w:next w:val="1"/>
    <w:link w:val="142"/>
    <w:semiHidden/>
    <w:unhideWhenUsed/>
    <w:qFormat/>
    <w:uiPriority w:val="0"/>
    <w:pPr>
      <w:widowControl w:val="0"/>
      <w:pBdr>
        <w:bottom w:val="single" w:color="auto" w:sz="6" w:space="1"/>
      </w:pBdr>
      <w:spacing w:after="0" w:line="240" w:lineRule="auto"/>
      <w:jc w:val="center"/>
    </w:pPr>
    <w:rPr>
      <w:rFonts w:ascii="Arial" w:hAnsi="Arial"/>
      <w:vanish/>
      <w:kern w:val="2"/>
      <w:sz w:val="16"/>
      <w:szCs w:val="16"/>
    </w:rPr>
  </w:style>
  <w:style w:type="character" w:customStyle="1" w:styleId="144">
    <w:name w:val="z-窗体底端 Char"/>
    <w:link w:val="145"/>
    <w:semiHidden/>
    <w:qFormat/>
    <w:uiPriority w:val="0"/>
    <w:rPr>
      <w:rFonts w:ascii="Arial" w:hAnsi="Arial" w:cs="Arial"/>
      <w:vanish/>
      <w:kern w:val="2"/>
      <w:sz w:val="16"/>
      <w:szCs w:val="16"/>
    </w:rPr>
  </w:style>
  <w:style w:type="paragraph" w:customStyle="1" w:styleId="145">
    <w:name w:val="z-窗体底端1"/>
    <w:basedOn w:val="1"/>
    <w:next w:val="1"/>
    <w:link w:val="144"/>
    <w:semiHidden/>
    <w:unhideWhenUsed/>
    <w:qFormat/>
    <w:uiPriority w:val="0"/>
    <w:pPr>
      <w:widowControl w:val="0"/>
      <w:pBdr>
        <w:top w:val="single" w:color="auto" w:sz="6" w:space="1"/>
      </w:pBdr>
      <w:spacing w:after="0" w:line="240" w:lineRule="auto"/>
      <w:jc w:val="center"/>
    </w:pPr>
    <w:rPr>
      <w:rFonts w:ascii="Arial" w:hAnsi="Arial"/>
      <w:vanish/>
      <w:kern w:val="2"/>
      <w:sz w:val="16"/>
      <w:szCs w:val="16"/>
    </w:rPr>
  </w:style>
  <w:style w:type="paragraph" w:customStyle="1" w:styleId="146">
    <w:name w:val="列表 a）"/>
    <w:basedOn w:val="112"/>
    <w:qFormat/>
    <w:uiPriority w:val="0"/>
    <w:pPr>
      <w:tabs>
        <w:tab w:val="left" w:pos="360"/>
        <w:tab w:val="left" w:pos="420"/>
      </w:tabs>
      <w:spacing w:line="240" w:lineRule="auto"/>
      <w:ind w:left="420" w:hanging="420" w:firstLineChars="0"/>
    </w:pPr>
    <w:rPr>
      <w:rFonts w:ascii="Times New Roman" w:hAnsi="Times New Roman"/>
      <w:sz w:val="18"/>
    </w:rPr>
  </w:style>
  <w:style w:type="paragraph" w:customStyle="1" w:styleId="14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p16"/>
    <w:basedOn w:val="1"/>
    <w:qFormat/>
    <w:uiPriority w:val="0"/>
    <w:pPr>
      <w:spacing w:before="156" w:after="0" w:line="240" w:lineRule="auto"/>
      <w:jc w:val="both"/>
    </w:pPr>
    <w:rPr>
      <w:rFonts w:cs="宋体"/>
      <w:sz w:val="21"/>
      <w:szCs w:val="21"/>
      <w:lang w:val="en-US"/>
    </w:rPr>
  </w:style>
  <w:style w:type="paragraph" w:customStyle="1" w:styleId="149">
    <w:name w:val="p17"/>
    <w:basedOn w:val="1"/>
    <w:qFormat/>
    <w:uiPriority w:val="0"/>
    <w:pPr>
      <w:spacing w:before="240" w:after="0" w:line="240" w:lineRule="auto"/>
      <w:ind w:left="851" w:right="850" w:hanging="851"/>
      <w:jc w:val="both"/>
    </w:pPr>
    <w:rPr>
      <w:rFonts w:ascii="Arial" w:hAnsi="Arial" w:cs="Arial"/>
      <w:caps/>
      <w:lang w:val="en-US"/>
    </w:rPr>
  </w:style>
  <w:style w:type="paragraph" w:customStyle="1" w:styleId="150">
    <w:name w:val="p20"/>
    <w:basedOn w:val="1"/>
    <w:qFormat/>
    <w:uiPriority w:val="0"/>
    <w:pPr>
      <w:spacing w:line="273" w:lineRule="auto"/>
      <w:ind w:left="720"/>
    </w:pPr>
    <w:rPr>
      <w:rFonts w:cs="宋体"/>
      <w:lang w:val="en-US"/>
    </w:rPr>
  </w:style>
  <w:style w:type="character" w:customStyle="1" w:styleId="151">
    <w:name w:val="脚注文本 字符"/>
    <w:basedOn w:val="37"/>
    <w:link w:val="27"/>
    <w:qFormat/>
    <w:uiPriority w:val="0"/>
    <w:rPr>
      <w:kern w:val="2"/>
    </w:rPr>
  </w:style>
  <w:style w:type="paragraph" w:customStyle="1" w:styleId="152">
    <w:name w:val="Revision"/>
    <w:hidden/>
    <w:unhideWhenUsed/>
    <w:qFormat/>
    <w:uiPriority w:val="99"/>
    <w:rPr>
      <w:rFonts w:ascii="Calibri" w:hAnsi="Calibri" w:eastAsia="宋体" w:cs="Times New Roman"/>
      <w:sz w:val="22"/>
      <w:szCs w:val="22"/>
      <w:lang w:val="en-IE"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chart" Target="charts/chart10.xml"/><Relationship Id="rId32" Type="http://schemas.openxmlformats.org/officeDocument/2006/relationships/chart" Target="charts/chart9.xml"/><Relationship Id="rId31" Type="http://schemas.openxmlformats.org/officeDocument/2006/relationships/chart" Target="charts/chart8.xml"/><Relationship Id="rId30" Type="http://schemas.openxmlformats.org/officeDocument/2006/relationships/chart" Target="charts/chart7.xml"/><Relationship Id="rId3" Type="http://schemas.openxmlformats.org/officeDocument/2006/relationships/footnotes" Target="footnotes.xml"/><Relationship Id="rId29" Type="http://schemas.openxmlformats.org/officeDocument/2006/relationships/chart" Target="charts/chart6.xml"/><Relationship Id="rId28" Type="http://schemas.openxmlformats.org/officeDocument/2006/relationships/chart" Target="charts/chart5.xml"/><Relationship Id="rId27" Type="http://schemas.openxmlformats.org/officeDocument/2006/relationships/chart" Target="charts/chart4.xml"/><Relationship Id="rId26" Type="http://schemas.openxmlformats.org/officeDocument/2006/relationships/chart" Target="charts/chart3.xml"/><Relationship Id="rId25" Type="http://schemas.openxmlformats.org/officeDocument/2006/relationships/chart" Target="charts/chart2.xml"/><Relationship Id="rId24" Type="http://schemas.openxmlformats.org/officeDocument/2006/relationships/chart" Target="charts/chart1.xml"/><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500</c:v>
                </c:pt>
                <c:pt idx="1">
                  <c:v>3000</c:v>
                </c:pt>
                <c:pt idx="2">
                  <c:v>3500</c:v>
                </c:pt>
                <c:pt idx="3">
                  <c:v>4500</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14297</c:v>
                </c:pt>
                <c:pt idx="1">
                  <c:v>13643</c:v>
                </c:pt>
                <c:pt idx="2">
                  <c:v>13500</c:v>
                </c:pt>
                <c:pt idx="3">
                  <c:v>13600</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14797</c:v>
                </c:pt>
                <c:pt idx="1">
                  <c:v>16643</c:v>
                </c:pt>
                <c:pt idx="2">
                  <c:v>17000</c:v>
                </c:pt>
                <c:pt idx="3">
                  <c:v>18100</c:v>
                </c:pt>
              </c:numCache>
            </c:numRef>
          </c:val>
          <c:smooth val="0"/>
        </c:ser>
        <c:dLbls>
          <c:showLegendKey val="0"/>
          <c:showVal val="0"/>
          <c:showCatName val="0"/>
          <c:showSerName val="0"/>
          <c:showPercent val="0"/>
          <c:showBubbleSize val="0"/>
        </c:dLbls>
        <c:marker val="0"/>
        <c:smooth val="0"/>
        <c:axId val="397797240"/>
        <c:axId val="397798808"/>
      </c:lineChart>
      <c:catAx>
        <c:axId val="39779724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8808"/>
        <c:crosses val="autoZero"/>
        <c:auto val="1"/>
        <c:lblAlgn val="ctr"/>
        <c:lblOffset val="100"/>
        <c:noMultiLvlLbl val="0"/>
      </c:catAx>
      <c:valAx>
        <c:axId val="397798808"/>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72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a6330592-dd1a-46c2-9796-490d91e0d785}"/>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3442.68</c:v>
                </c:pt>
                <c:pt idx="1">
                  <c:v>3522.33</c:v>
                </c:pt>
                <c:pt idx="2">
                  <c:v>3657.33</c:v>
                </c:pt>
                <c:pt idx="3">
                  <c:v>4306.14</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3824.26</c:v>
                </c:pt>
                <c:pt idx="1">
                  <c:v>4114.26</c:v>
                </c:pt>
                <c:pt idx="2">
                  <c:v>4404.26</c:v>
                </c:pt>
                <c:pt idx="3">
                  <c:v>5567.87</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7266.93</c:v>
                </c:pt>
                <c:pt idx="1">
                  <c:v>7636.58</c:v>
                </c:pt>
                <c:pt idx="2">
                  <c:v>8061.58</c:v>
                </c:pt>
                <c:pt idx="3">
                  <c:v>9874.01</c:v>
                </c:pt>
              </c:numCache>
            </c:numRef>
          </c:val>
          <c:smooth val="0"/>
        </c:ser>
        <c:dLbls>
          <c:showLegendKey val="0"/>
          <c:showVal val="0"/>
          <c:showCatName val="0"/>
          <c:showSerName val="0"/>
          <c:showPercent val="0"/>
          <c:showBubbleSize val="0"/>
        </c:dLbls>
        <c:marker val="0"/>
        <c:smooth val="0"/>
        <c:axId val="397593648"/>
        <c:axId val="397578752"/>
      </c:lineChart>
      <c:catAx>
        <c:axId val="39759364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78752"/>
        <c:crosses val="autoZero"/>
        <c:auto val="1"/>
        <c:lblAlgn val="ctr"/>
        <c:lblOffset val="100"/>
        <c:noMultiLvlLbl val="0"/>
      </c:catAx>
      <c:valAx>
        <c:axId val="39757875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936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8b6c0c6a-0139-42de-8114-84af28b65d93}"/>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229417.49</c:v>
                </c:pt>
                <c:pt idx="1">
                  <c:v>234417.49</c:v>
                </c:pt>
                <c:pt idx="2">
                  <c:v>244417.49</c:v>
                </c:pt>
                <c:pt idx="3">
                  <c:v>310424.18</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29003.31</c:v>
                </c:pt>
                <c:pt idx="1">
                  <c:v>30203.31</c:v>
                </c:pt>
                <c:pt idx="2">
                  <c:v>31003.31</c:v>
                </c:pt>
                <c:pt idx="3">
                  <c:v>36779.13</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0.00_ </c:formatCode>
                <c:ptCount val="4"/>
                <c:pt idx="0">
                  <c:v>258420.8</c:v>
                </c:pt>
                <c:pt idx="1">
                  <c:v>264620.8</c:v>
                </c:pt>
                <c:pt idx="2">
                  <c:v>275420.8</c:v>
                </c:pt>
                <c:pt idx="3" c:formatCode="General">
                  <c:v>347203.31</c:v>
                </c:pt>
              </c:numCache>
            </c:numRef>
          </c:val>
          <c:smooth val="0"/>
        </c:ser>
        <c:dLbls>
          <c:showLegendKey val="0"/>
          <c:showVal val="0"/>
          <c:showCatName val="0"/>
          <c:showSerName val="0"/>
          <c:showPercent val="0"/>
          <c:showBubbleSize val="0"/>
        </c:dLbls>
        <c:marker val="0"/>
        <c:smooth val="0"/>
        <c:axId val="397788224"/>
        <c:axId val="397796456"/>
      </c:lineChart>
      <c:catAx>
        <c:axId val="39778822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6456"/>
        <c:crosses val="autoZero"/>
        <c:auto val="1"/>
        <c:lblAlgn val="ctr"/>
        <c:lblOffset val="100"/>
        <c:noMultiLvlLbl val="0"/>
      </c:catAx>
      <c:valAx>
        <c:axId val="39779645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88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9b4818cd-8d7e-4495-9b4c-6058b3350005}"/>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1571714.26</c:v>
                </c:pt>
                <c:pt idx="1">
                  <c:v>1619714.26</c:v>
                </c:pt>
                <c:pt idx="2">
                  <c:v>2557554.58</c:v>
                </c:pt>
                <c:pt idx="3">
                  <c:v>2799714.26</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2688.38</c:v>
                </c:pt>
                <c:pt idx="1">
                  <c:v>2988.38</c:v>
                </c:pt>
                <c:pt idx="2">
                  <c:v>3388.38</c:v>
                </c:pt>
                <c:pt idx="3">
                  <c:v>3888.38</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1574402.64</c:v>
                </c:pt>
                <c:pt idx="1">
                  <c:v>1622702.64</c:v>
                </c:pt>
                <c:pt idx="2">
                  <c:v>2560942.96</c:v>
                </c:pt>
                <c:pt idx="3">
                  <c:v>2803602.64</c:v>
                </c:pt>
              </c:numCache>
            </c:numRef>
          </c:val>
          <c:smooth val="0"/>
        </c:ser>
        <c:dLbls>
          <c:showLegendKey val="0"/>
          <c:showVal val="0"/>
          <c:showCatName val="0"/>
          <c:showSerName val="0"/>
          <c:showPercent val="0"/>
          <c:showBubbleSize val="0"/>
        </c:dLbls>
        <c:marker val="0"/>
        <c:smooth val="0"/>
        <c:axId val="397792928"/>
        <c:axId val="397792144"/>
      </c:lineChart>
      <c:catAx>
        <c:axId val="39779292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2144"/>
        <c:crosses val="autoZero"/>
        <c:auto val="1"/>
        <c:lblAlgn val="ctr"/>
        <c:lblOffset val="100"/>
        <c:noMultiLvlLbl val="0"/>
      </c:catAx>
      <c:valAx>
        <c:axId val="397792144"/>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2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711627d5-dc7d-40bd-becc-11884412682e}"/>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1000</c:v>
                </c:pt>
                <c:pt idx="1">
                  <c:v>3000</c:v>
                </c:pt>
                <c:pt idx="2">
                  <c:v>3500</c:v>
                </c:pt>
                <c:pt idx="3">
                  <c:v>4500</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14000</c:v>
                </c:pt>
                <c:pt idx="1">
                  <c:v>13000</c:v>
                </c:pt>
                <c:pt idx="2">
                  <c:v>13500</c:v>
                </c:pt>
                <c:pt idx="3">
                  <c:v>13600</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15000</c:v>
                </c:pt>
                <c:pt idx="1">
                  <c:v>16000</c:v>
                </c:pt>
                <c:pt idx="2">
                  <c:v>17000</c:v>
                </c:pt>
                <c:pt idx="3">
                  <c:v>18100</c:v>
                </c:pt>
              </c:numCache>
            </c:numRef>
          </c:val>
          <c:smooth val="0"/>
        </c:ser>
        <c:dLbls>
          <c:showLegendKey val="0"/>
          <c:showVal val="0"/>
          <c:showCatName val="0"/>
          <c:showSerName val="0"/>
          <c:showPercent val="0"/>
          <c:showBubbleSize val="0"/>
        </c:dLbls>
        <c:marker val="0"/>
        <c:smooth val="0"/>
        <c:axId val="397799592"/>
        <c:axId val="397792536"/>
      </c:lineChart>
      <c:catAx>
        <c:axId val="397799592"/>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2536"/>
        <c:crosses val="autoZero"/>
        <c:auto val="1"/>
        <c:lblAlgn val="ctr"/>
        <c:lblOffset val="100"/>
        <c:noMultiLvlLbl val="0"/>
      </c:catAx>
      <c:valAx>
        <c:axId val="39779253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9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07e5e458-8148-415d-bba2-72593a98ce90}"/>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5000</c:v>
                </c:pt>
                <c:pt idx="1">
                  <c:v>3000</c:v>
                </c:pt>
                <c:pt idx="2">
                  <c:v>3500</c:v>
                </c:pt>
                <c:pt idx="3">
                  <c:v>2000</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14297</c:v>
                </c:pt>
                <c:pt idx="1">
                  <c:v>13643</c:v>
                </c:pt>
                <c:pt idx="2">
                  <c:v>13500</c:v>
                </c:pt>
                <c:pt idx="3">
                  <c:v>12000</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19297</c:v>
                </c:pt>
                <c:pt idx="1">
                  <c:v>16643</c:v>
                </c:pt>
                <c:pt idx="2">
                  <c:v>17000</c:v>
                </c:pt>
                <c:pt idx="3">
                  <c:v>14000</c:v>
                </c:pt>
              </c:numCache>
            </c:numRef>
          </c:val>
          <c:smooth val="0"/>
        </c:ser>
        <c:dLbls>
          <c:showLegendKey val="0"/>
          <c:showVal val="0"/>
          <c:showCatName val="0"/>
          <c:showSerName val="0"/>
          <c:showPercent val="0"/>
          <c:showBubbleSize val="0"/>
        </c:dLbls>
        <c:marker val="0"/>
        <c:smooth val="0"/>
        <c:axId val="397798416"/>
        <c:axId val="397795280"/>
      </c:lineChart>
      <c:catAx>
        <c:axId val="39779841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5280"/>
        <c:crosses val="autoZero"/>
        <c:auto val="1"/>
        <c:lblAlgn val="ctr"/>
        <c:lblOffset val="100"/>
        <c:noMultiLvlLbl val="0"/>
      </c:catAx>
      <c:valAx>
        <c:axId val="39779528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798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e023d7f3-423a-4e08-ac85-d6651b06d96d}"/>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工作表.xls]Sheet1'!$C$25</c:f>
              <c:strCache>
                <c:ptCount val="1"/>
                <c:pt idx="0">
                  <c:v>化石燃料燃烧排放量（tCO2）</c:v>
                </c:pt>
              </c:strCache>
            </c:strRef>
          </c:tx>
          <c:spPr>
            <a:ln w="28575" cap="rnd" cmpd="sng" algn="ctr">
              <a:solidFill>
                <a:srgbClr val="4F81BD"/>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工作表.xls]Sheet1'!$C$26:$C$29</c:f>
              <c:numCache>
                <c:formatCode>0.00_ </c:formatCode>
                <c:ptCount val="4"/>
                <c:pt idx="0">
                  <c:v>29000</c:v>
                </c:pt>
                <c:pt idx="1">
                  <c:v>29800</c:v>
                </c:pt>
                <c:pt idx="2">
                  <c:v>30200</c:v>
                </c:pt>
                <c:pt idx="3">
                  <c:v>34000</c:v>
                </c:pt>
              </c:numCache>
            </c:numRef>
          </c:val>
          <c:smooth val="0"/>
        </c:ser>
        <c:ser>
          <c:idx val="1"/>
          <c:order val="1"/>
          <c:tx>
            <c:strRef>
              <c:f>'[新建 XLS 工作表.xls]Sheet1'!$F$25</c:f>
              <c:strCache>
                <c:ptCount val="1"/>
                <c:pt idx="0">
                  <c:v> 过程排放量（tCO2）</c:v>
                </c:pt>
              </c:strCache>
            </c:strRef>
          </c:tx>
          <c:spPr>
            <a:ln w="28575" cap="rnd" cmpd="sng" algn="ctr">
              <a:solidFill>
                <a:srgbClr val="7030A0"/>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工作表.xls]Sheet1'!$F$26:$F$29</c:f>
              <c:numCache>
                <c:formatCode>0.00_ </c:formatCode>
                <c:ptCount val="4"/>
                <c:pt idx="0">
                  <c:v>4</c:v>
                </c:pt>
                <c:pt idx="1">
                  <c:v>5</c:v>
                </c:pt>
                <c:pt idx="2">
                  <c:v>12</c:v>
                </c:pt>
                <c:pt idx="3">
                  <c:v>20</c:v>
                </c:pt>
              </c:numCache>
            </c:numRef>
          </c:val>
          <c:smooth val="0"/>
        </c:ser>
        <c:ser>
          <c:idx val="2"/>
          <c:order val="2"/>
          <c:tx>
            <c:strRef>
              <c:f>'[新建 XLS 工作表.xls]Sheet1'!$D$25</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工作表.xls]Sheet1'!$D$26:$D$29</c:f>
              <c:numCache>
                <c:formatCode>General</c:formatCode>
                <c:ptCount val="4"/>
                <c:pt idx="0">
                  <c:v>900</c:v>
                </c:pt>
                <c:pt idx="1">
                  <c:v>1000</c:v>
                </c:pt>
                <c:pt idx="2">
                  <c:v>1100</c:v>
                </c:pt>
                <c:pt idx="3">
                  <c:v>1300</c:v>
                </c:pt>
              </c:numCache>
            </c:numRef>
          </c:val>
          <c:smooth val="0"/>
        </c:ser>
        <c:ser>
          <c:idx val="3"/>
          <c:order val="3"/>
          <c:tx>
            <c:strRef>
              <c:f>'[新建 XLS 工作表.xls]Sheet1'!$E$25</c:f>
              <c:strCache>
                <c:ptCount val="1"/>
                <c:pt idx="0">
                  <c:v> 排放总量（tCO2）</c:v>
                </c:pt>
              </c:strCache>
            </c:strRef>
          </c:tx>
          <c:spPr>
            <a:ln w="28575" cap="rnd" cmpd="sng" algn="ctr">
              <a:solidFill>
                <a:srgbClr val="9BBB59"/>
              </a:solidFill>
              <a:prstDash val="solid"/>
              <a:round/>
            </a:ln>
            <a:effectLst/>
          </c:spPr>
          <c:marker>
            <c:symbol val="none"/>
          </c:marker>
          <c:dLbls>
            <c:delete val="1"/>
          </c:dLbls>
          <c:cat>
            <c:numRef>
              <c:f>'[新建 XLS 工作表.xls]Sheet1'!$B$26:$B$29</c:f>
              <c:numCache>
                <c:formatCode>General</c:formatCode>
                <c:ptCount val="4"/>
                <c:pt idx="0">
                  <c:v>2016</c:v>
                </c:pt>
                <c:pt idx="1">
                  <c:v>2017</c:v>
                </c:pt>
                <c:pt idx="2">
                  <c:v>2018</c:v>
                </c:pt>
                <c:pt idx="3">
                  <c:v>2019</c:v>
                </c:pt>
              </c:numCache>
            </c:numRef>
          </c:cat>
          <c:val>
            <c:numRef>
              <c:f>'[新建 XLS 工作表.xls]Sheet1'!$E$26:$E$29</c:f>
              <c:numCache>
                <c:formatCode>0.00_ </c:formatCode>
                <c:ptCount val="4"/>
                <c:pt idx="0">
                  <c:v>29904</c:v>
                </c:pt>
                <c:pt idx="1">
                  <c:v>30805</c:v>
                </c:pt>
                <c:pt idx="2">
                  <c:v>31312</c:v>
                </c:pt>
                <c:pt idx="3">
                  <c:v>35320</c:v>
                </c:pt>
              </c:numCache>
            </c:numRef>
          </c:val>
          <c:smooth val="0"/>
        </c:ser>
        <c:dLbls>
          <c:showLegendKey val="0"/>
          <c:showVal val="0"/>
          <c:showCatName val="0"/>
          <c:showSerName val="0"/>
          <c:showPercent val="0"/>
          <c:showBubbleSize val="0"/>
        </c:dLbls>
        <c:marker val="0"/>
        <c:smooth val="0"/>
        <c:axId val="397592864"/>
        <c:axId val="397588552"/>
      </c:lineChart>
      <c:catAx>
        <c:axId val="39759286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88552"/>
        <c:crosses val="autoZero"/>
        <c:auto val="1"/>
        <c:lblAlgn val="ctr"/>
        <c:lblOffset val="100"/>
        <c:noMultiLvlLbl val="0"/>
      </c:catAx>
      <c:valAx>
        <c:axId val="39758855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92864"/>
        <c:crosses val="autoZero"/>
        <c:crossBetween val="between"/>
      </c:valAx>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95d487e-d6b0-4a4c-aeff-2e1a2a99374e}"/>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8100</c:v>
                </c:pt>
                <c:pt idx="1">
                  <c:v>10125</c:v>
                </c:pt>
                <c:pt idx="2">
                  <c:v>10952.42</c:v>
                </c:pt>
                <c:pt idx="3">
                  <c:v>10616.72</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1145500</c:v>
                </c:pt>
                <c:pt idx="1">
                  <c:v>1152750</c:v>
                </c:pt>
                <c:pt idx="2">
                  <c:v>1163737.64</c:v>
                </c:pt>
                <c:pt idx="3">
                  <c:v>1192094.66</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1153600</c:v>
                </c:pt>
                <c:pt idx="1">
                  <c:v>1162875</c:v>
                </c:pt>
                <c:pt idx="2">
                  <c:v>1174690.05</c:v>
                </c:pt>
                <c:pt idx="3">
                  <c:v>1202711.39</c:v>
                </c:pt>
              </c:numCache>
            </c:numRef>
          </c:val>
          <c:smooth val="0"/>
        </c:ser>
        <c:dLbls>
          <c:showLegendKey val="0"/>
          <c:showVal val="0"/>
          <c:showCatName val="0"/>
          <c:showSerName val="0"/>
          <c:showPercent val="0"/>
          <c:showBubbleSize val="0"/>
        </c:dLbls>
        <c:marker val="0"/>
        <c:smooth val="0"/>
        <c:axId val="397590120"/>
        <c:axId val="397585024"/>
      </c:lineChart>
      <c:catAx>
        <c:axId val="39759012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85024"/>
        <c:crosses val="autoZero"/>
        <c:auto val="1"/>
        <c:lblAlgn val="ctr"/>
        <c:lblOffset val="100"/>
        <c:noMultiLvlLbl val="0"/>
      </c:catAx>
      <c:valAx>
        <c:axId val="397585024"/>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90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03f115d9-732d-4120-994b-172999b91385}"/>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0</c:v>
                </c:pt>
                <c:pt idx="1">
                  <c:v>0</c:v>
                </c:pt>
                <c:pt idx="2">
                  <c:v>0</c:v>
                </c:pt>
                <c:pt idx="3">
                  <c:v>0</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8248.15</c:v>
                </c:pt>
                <c:pt idx="1">
                  <c:v>8683.15</c:v>
                </c:pt>
                <c:pt idx="2">
                  <c:v>10252.96</c:v>
                </c:pt>
                <c:pt idx="3">
                  <c:v>15256.41</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8248.15</c:v>
                </c:pt>
                <c:pt idx="1">
                  <c:v>8683.15</c:v>
                </c:pt>
                <c:pt idx="2">
                  <c:v>10252.96</c:v>
                </c:pt>
                <c:pt idx="3">
                  <c:v>15256.41</c:v>
                </c:pt>
              </c:numCache>
            </c:numRef>
          </c:val>
          <c:smooth val="0"/>
        </c:ser>
        <c:dLbls>
          <c:showLegendKey val="0"/>
          <c:showVal val="0"/>
          <c:showCatName val="0"/>
          <c:showSerName val="0"/>
          <c:showPercent val="0"/>
          <c:showBubbleSize val="0"/>
        </c:dLbls>
        <c:marker val="0"/>
        <c:smooth val="0"/>
        <c:axId val="397592472"/>
        <c:axId val="397585416"/>
      </c:lineChart>
      <c:catAx>
        <c:axId val="397592472"/>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85416"/>
        <c:crosses val="autoZero"/>
        <c:auto val="1"/>
        <c:lblAlgn val="ctr"/>
        <c:lblOffset val="100"/>
        <c:noMultiLvlLbl val="0"/>
      </c:catAx>
      <c:valAx>
        <c:axId val="39758541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924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5bd1b5ab-f8d0-462c-926d-fd6a4152b7f0}"/>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'[新建 XLS 工作表.xls]Sheet1'!$D$53</c:f>
              <c:strCache>
                <c:ptCount val="1"/>
                <c:pt idx="0">
                  <c:v>直接排放量（tCO2）</c:v>
                </c:pt>
              </c:strCache>
            </c:strRef>
          </c:tx>
          <c:spPr>
            <a:ln w="28575" cap="rnd" cmpd="sng" algn="ctr">
              <a:solidFill>
                <a:srgbClr val="4F81B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工作表.xls]Sheet1'!$D$54:$D$57</c:f>
              <c:numCache>
                <c:formatCode>General</c:formatCode>
                <c:ptCount val="4"/>
                <c:pt idx="0">
                  <c:v>810</c:v>
                </c:pt>
                <c:pt idx="1">
                  <c:v>830.25</c:v>
                </c:pt>
                <c:pt idx="2">
                  <c:v>983.349999999999</c:v>
                </c:pt>
                <c:pt idx="3">
                  <c:v>950.56</c:v>
                </c:pt>
              </c:numCache>
            </c:numRef>
          </c:val>
          <c:smooth val="0"/>
        </c:ser>
        <c:ser>
          <c:idx val="1"/>
          <c:order val="1"/>
          <c:tx>
            <c:strRef>
              <c:f>'[新建 XLS 工作表.xls]Sheet1'!$E$53</c:f>
              <c:strCache>
                <c:ptCount val="1"/>
                <c:pt idx="0">
                  <c:v>间接排放量（tCO2）</c:v>
                </c:pt>
              </c:strCache>
            </c:strRef>
          </c:tx>
          <c:spPr>
            <a:ln w="28575" cap="rnd" cmpd="sng" algn="ctr">
              <a:solidFill>
                <a:srgbClr val="C0504D"/>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工作表.xls]Sheet1'!$E$54:$E$57</c:f>
              <c:numCache>
                <c:formatCode>General</c:formatCode>
                <c:ptCount val="4"/>
                <c:pt idx="0">
                  <c:v>22067.8</c:v>
                </c:pt>
                <c:pt idx="1">
                  <c:v>22357.8</c:v>
                </c:pt>
                <c:pt idx="2">
                  <c:v>22647.8</c:v>
                </c:pt>
                <c:pt idx="3">
                  <c:v>24628.5</c:v>
                </c:pt>
              </c:numCache>
            </c:numRef>
          </c:val>
          <c:smooth val="0"/>
        </c:ser>
        <c:ser>
          <c:idx val="2"/>
          <c:order val="2"/>
          <c:tx>
            <c:strRef>
              <c:f>'[新建 XLS 工作表.xls]Sheet1'!$F$53</c:f>
              <c:strCache>
                <c:ptCount val="1"/>
                <c:pt idx="0">
                  <c:v>排放总量（tCO2）</c:v>
                </c:pt>
              </c:strCache>
            </c:strRef>
          </c:tx>
          <c:spPr>
            <a:ln w="28575" cap="rnd" cmpd="sng" algn="ctr">
              <a:solidFill>
                <a:srgbClr val="9BBB59"/>
              </a:solidFill>
              <a:prstDash val="solid"/>
              <a:round/>
            </a:ln>
            <a:effectLst/>
          </c:spPr>
          <c:marker>
            <c:symbol val="none"/>
          </c:marker>
          <c:dLbls>
            <c:delete val="1"/>
          </c:dLbls>
          <c:cat>
            <c:numRef>
              <c:f>'[新建 XLS 工作表.xls]Sheet1'!$C$54:$C$57</c:f>
              <c:numCache>
                <c:formatCode>General</c:formatCode>
                <c:ptCount val="4"/>
                <c:pt idx="0">
                  <c:v>2016</c:v>
                </c:pt>
                <c:pt idx="1">
                  <c:v>2017</c:v>
                </c:pt>
                <c:pt idx="2">
                  <c:v>2018</c:v>
                </c:pt>
                <c:pt idx="3">
                  <c:v>2019</c:v>
                </c:pt>
              </c:numCache>
            </c:numRef>
          </c:cat>
          <c:val>
            <c:numRef>
              <c:f>'[新建 XLS 工作表.xls]Sheet1'!$F$54:$F$57</c:f>
              <c:numCache>
                <c:formatCode>General</c:formatCode>
                <c:ptCount val="4"/>
                <c:pt idx="0">
                  <c:v>22877.8</c:v>
                </c:pt>
                <c:pt idx="1">
                  <c:v>23188.05</c:v>
                </c:pt>
                <c:pt idx="2">
                  <c:v>23631.15</c:v>
                </c:pt>
                <c:pt idx="3">
                  <c:v>25579.06</c:v>
                </c:pt>
              </c:numCache>
            </c:numRef>
          </c:val>
          <c:smooth val="0"/>
        </c:ser>
        <c:dLbls>
          <c:showLegendKey val="0"/>
          <c:showVal val="0"/>
          <c:showCatName val="0"/>
          <c:showSerName val="0"/>
          <c:showPercent val="0"/>
          <c:showBubbleSize val="0"/>
        </c:dLbls>
        <c:marker val="0"/>
        <c:smooth val="0"/>
        <c:axId val="397583456"/>
        <c:axId val="397579144"/>
      </c:lineChart>
      <c:catAx>
        <c:axId val="39758345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79144"/>
        <c:crosses val="autoZero"/>
        <c:auto val="1"/>
        <c:lblAlgn val="ctr"/>
        <c:lblOffset val="100"/>
        <c:noMultiLvlLbl val="0"/>
      </c:catAx>
      <c:valAx>
        <c:axId val="397579144"/>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75834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beb638dc-348d-47fe-9c75-cd460a68d8a7}"/>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3487</Words>
  <Characters>3655</Characters>
  <Lines>320</Lines>
  <Paragraphs>90</Paragraphs>
  <TotalTime>4</TotalTime>
  <ScaleCrop>false</ScaleCrop>
  <LinksUpToDate>false</LinksUpToDate>
  <CharactersWithSpaces>3674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2020-03-03T23:21:00Z</dcterms:created>
  <dc:creator>RW</dc:creator>
  <cp:lastModifiedBy>赵旭</cp:lastModifiedBy>
  <cp:lastPrinted>2015-12-27T00:13:00Z</cp:lastPrinted>
  <dcterms:modified xsi:type="dcterms:W3CDTF">2025-05-19T02:41:16Z</dcterms:modified>
  <dc:title>北京市碳排放权交易核查机构</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B57BEABEE5A14C22BC2045E1D8E072ED_13</vt:lpwstr>
  </property>
  <property fmtid="{D5CDD505-2E9C-101B-9397-08002B2CF9AE}" pid="4" name="KSOTemplateDocerSaveRecord">
    <vt:lpwstr>eyJoZGlkIjoiYjQ4NmM3ZGU0MzFkYTQzMTExZDdhYTk5MDczNzcxNmUiLCJ1c2VySWQiOiIxMDgyMzM2MzI3In0=</vt:lpwstr>
  </property>
</Properties>
</file>