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77261">
      <w:pPr>
        <w:spacing w:line="560" w:lineRule="exact"/>
        <w:ind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482D6FA4">
      <w:pPr>
        <w:spacing w:line="560" w:lineRule="exact"/>
        <w:ind w:firstLine="0" w:firstLineChars="0"/>
        <w:jc w:val="both"/>
        <w:rPr>
          <w:rFonts w:hint="eastAsia" w:ascii="仿宋_GB2312" w:eastAsia="仿宋_GB2312"/>
          <w:sz w:val="32"/>
          <w:szCs w:val="32"/>
          <w:lang w:val="en-US" w:eastAsia="zh-CN"/>
        </w:rPr>
      </w:pPr>
    </w:p>
    <w:p w14:paraId="4BB0D23B">
      <w:pPr>
        <w:pStyle w:val="6"/>
        <w:pageBreakBefore w:val="0"/>
        <w:widowControl w:val="0"/>
        <w:kinsoku/>
        <w:wordWrap/>
        <w:overflowPunct/>
        <w:autoSpaceDE/>
        <w:autoSpaceDN/>
        <w:bidi w:val="0"/>
        <w:snapToGrid/>
        <w:spacing w:before="0" w:beforeLines="0" w:afterLines="0"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北京市产品和服务碳足迹核算方法编制指南</w:t>
      </w:r>
    </w:p>
    <w:p w14:paraId="39A67D30">
      <w:pPr>
        <w:keepNext w:val="0"/>
        <w:keepLines w:val="0"/>
        <w:pageBreakBefore w:val="0"/>
        <w:widowControl w:val="0"/>
        <w:kinsoku/>
        <w:wordWrap/>
        <w:overflowPunct/>
        <w:topLinePunct/>
        <w:autoSpaceDE/>
        <w:autoSpaceDN/>
        <w:bidi w:val="0"/>
        <w:adjustRightInd w:val="0"/>
        <w:snapToGrid/>
        <w:spacing w:beforeLines="0" w:afterLines="0" w:line="560" w:lineRule="exact"/>
        <w:ind w:firstLine="420" w:firstLineChars="200"/>
        <w:textAlignment w:val="auto"/>
        <w:rPr>
          <w:rFonts w:hint="eastAsia" w:ascii="Times New Roman" w:hAnsi="Times New Roman" w:eastAsia="宋体" w:cs="Times New Roman"/>
          <w:b w:val="0"/>
          <w:bCs w:val="0"/>
          <w:kern w:val="21"/>
          <w:szCs w:val="20"/>
          <w:lang w:val="en-US" w:eastAsia="zh-CN" w:bidi="ar-SA"/>
        </w:rPr>
      </w:pPr>
    </w:p>
    <w:p w14:paraId="7E6E95F6">
      <w:pPr>
        <w:pStyle w:val="3"/>
        <w:spacing w:before="0" w:beforeLines="0" w:after="0" w:afterLines="0" w:line="560" w:lineRule="exact"/>
        <w:ind w:firstLine="640" w:firstLineChars="200"/>
        <w:jc w:val="left"/>
        <w:rPr>
          <w:rFonts w:hint="eastAsia" w:ascii="黑体" w:hAnsi="黑体" w:eastAsia="黑体" w:cs="黑体"/>
          <w:b w:val="0"/>
          <w:bCs w:val="0"/>
          <w:sz w:val="32"/>
          <w:szCs w:val="32"/>
          <w:lang w:val="en-US" w:eastAsia="zh-CN"/>
        </w:rPr>
      </w:pPr>
      <w:bookmarkStart w:id="0" w:name="_Toc14015"/>
      <w:bookmarkStart w:id="1" w:name="_Toc18300"/>
      <w:bookmarkStart w:id="2" w:name="_Toc1256"/>
      <w:bookmarkStart w:id="3" w:name="_Toc20670"/>
      <w:bookmarkStart w:id="4" w:name="_Toc1198"/>
      <w:bookmarkStart w:id="5" w:name="_Toc12129"/>
      <w:bookmarkStart w:id="6" w:name="_Toc14306"/>
      <w:bookmarkStart w:id="7" w:name="_Toc18193"/>
      <w:bookmarkStart w:id="8" w:name="_Toc13788"/>
      <w:bookmarkStart w:id="9" w:name="_Toc12866"/>
      <w:bookmarkStart w:id="10" w:name="heading_1"/>
      <w:bookmarkStart w:id="11" w:name="_Toc18711"/>
      <w:bookmarkStart w:id="12" w:name="_Toc2565"/>
      <w:bookmarkStart w:id="13" w:name="_Toc6041"/>
      <w:bookmarkStart w:id="14" w:name="_Toc20265"/>
      <w:bookmarkStart w:id="15" w:name="_Toc25341"/>
      <w:bookmarkStart w:id="16" w:name="_Toc22366"/>
      <w:bookmarkStart w:id="17" w:name="_Toc8194"/>
      <w:bookmarkStart w:id="18" w:name="_Toc2815"/>
      <w:bookmarkStart w:id="19" w:name="_Toc24741"/>
      <w:bookmarkStart w:id="20" w:name="_Toc8916"/>
      <w:bookmarkStart w:id="21" w:name="_Toc20804"/>
      <w:bookmarkStart w:id="22" w:name="_Toc1983260447"/>
      <w:bookmarkStart w:id="23" w:name="_Toc22240"/>
      <w:bookmarkStart w:id="24" w:name="_Toc992935742"/>
      <w:bookmarkStart w:id="25" w:name="_Toc17431"/>
      <w:bookmarkStart w:id="26" w:name="_Toc8580"/>
      <w:bookmarkStart w:id="27" w:name="_Toc29118"/>
      <w:bookmarkStart w:id="28" w:name="_Toc12492"/>
      <w:bookmarkStart w:id="29" w:name="_Toc27317"/>
      <w:r>
        <w:rPr>
          <w:rFonts w:hint="eastAsia" w:ascii="黑体" w:hAnsi="黑体" w:eastAsia="黑体" w:cs="黑体"/>
          <w:b w:val="0"/>
          <w:bCs w:val="0"/>
          <w:sz w:val="32"/>
          <w:szCs w:val="32"/>
          <w:lang w:val="en-US" w:eastAsia="zh-CN"/>
        </w:rPr>
        <w:t>一、编制范围与</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hint="eastAsia" w:ascii="黑体" w:hAnsi="黑体" w:eastAsia="黑体" w:cs="黑体"/>
          <w:b w:val="0"/>
          <w:bCs w:val="0"/>
          <w:sz w:val="32"/>
          <w:szCs w:val="32"/>
          <w:lang w:val="en-US" w:eastAsia="zh-CN"/>
        </w:rPr>
        <w:t>原则</w:t>
      </w:r>
      <w:bookmarkEnd w:id="18"/>
      <w:bookmarkEnd w:id="19"/>
      <w:bookmarkEnd w:id="20"/>
      <w:bookmarkEnd w:id="21"/>
      <w:bookmarkEnd w:id="22"/>
      <w:bookmarkEnd w:id="23"/>
      <w:bookmarkEnd w:id="24"/>
      <w:bookmarkEnd w:id="25"/>
      <w:bookmarkEnd w:id="26"/>
      <w:bookmarkEnd w:id="27"/>
      <w:bookmarkEnd w:id="28"/>
      <w:bookmarkEnd w:id="29"/>
      <w:bookmarkStart w:id="30" w:name="_Toc1048"/>
      <w:bookmarkStart w:id="31" w:name="_Toc21439"/>
      <w:bookmarkStart w:id="32" w:name="_Toc27412"/>
      <w:bookmarkStart w:id="33" w:name="_Toc26197"/>
      <w:bookmarkStart w:id="34" w:name="_Toc27552"/>
      <w:bookmarkStart w:id="35" w:name="_Toc4531"/>
      <w:bookmarkStart w:id="36" w:name="_Toc32222"/>
      <w:bookmarkStart w:id="37" w:name="_Toc9991"/>
      <w:bookmarkStart w:id="38" w:name="_Toc6367"/>
    </w:p>
    <w:p w14:paraId="49BBFE95">
      <w:pPr>
        <w:pStyle w:val="3"/>
        <w:spacing w:before="0" w:beforeLines="0" w:after="0" w:afterLines="0" w:line="560" w:lineRule="exact"/>
        <w:ind w:firstLine="640" w:firstLineChars="200"/>
        <w:jc w:val="left"/>
        <w:rPr>
          <w:rFonts w:hint="eastAsia" w:ascii="楷体_GB2312" w:hAnsi="楷体_GB2312" w:eastAsia="楷体_GB2312" w:cs="楷体_GB2312"/>
          <w:b w:val="0"/>
          <w:bCs w:val="0"/>
          <w:sz w:val="32"/>
          <w:szCs w:val="32"/>
          <w:lang w:val="en-US" w:eastAsia="zh-CN"/>
        </w:rPr>
      </w:pPr>
      <w:bookmarkStart w:id="39" w:name="_Toc662609284"/>
      <w:bookmarkStart w:id="40" w:name="_Toc2038847530"/>
      <w:r>
        <w:rPr>
          <w:rFonts w:hint="eastAsia" w:ascii="楷体_GB2312" w:hAnsi="楷体_GB2312" w:eastAsia="楷体_GB2312" w:cs="楷体_GB2312"/>
          <w:b w:val="0"/>
          <w:bCs w:val="0"/>
          <w:sz w:val="32"/>
          <w:szCs w:val="32"/>
          <w:lang w:val="en-US" w:eastAsia="zh-CN"/>
        </w:rPr>
        <w:t>（一）范围</w:t>
      </w:r>
      <w:bookmarkEnd w:id="30"/>
      <w:bookmarkEnd w:id="31"/>
      <w:bookmarkEnd w:id="32"/>
      <w:bookmarkEnd w:id="33"/>
      <w:bookmarkEnd w:id="34"/>
      <w:bookmarkEnd w:id="35"/>
      <w:bookmarkEnd w:id="36"/>
      <w:bookmarkEnd w:id="37"/>
      <w:bookmarkEnd w:id="38"/>
      <w:bookmarkEnd w:id="39"/>
      <w:bookmarkEnd w:id="40"/>
    </w:p>
    <w:p w14:paraId="4C8616E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w:t>
      </w:r>
      <w:r>
        <w:rPr>
          <w:rFonts w:hint="eastAsia" w:ascii="仿宋_GB2312" w:hAnsi="仿宋_GB2312" w:eastAsia="仿宋_GB2312" w:cs="仿宋_GB2312"/>
          <w:b w:val="0"/>
          <w:bCs w:val="0"/>
          <w:sz w:val="32"/>
          <w:szCs w:val="32"/>
          <w:lang w:val="en-US"/>
        </w:rPr>
        <w:t>文件规定</w:t>
      </w:r>
      <w:r>
        <w:rPr>
          <w:rFonts w:hint="eastAsia" w:ascii="仿宋_GB2312" w:hAnsi="仿宋_GB2312" w:eastAsia="仿宋_GB2312" w:cs="仿宋_GB2312"/>
          <w:b w:val="0"/>
          <w:bCs w:val="0"/>
          <w:sz w:val="32"/>
          <w:szCs w:val="32"/>
        </w:rPr>
        <w:t>了</w:t>
      </w:r>
      <w:r>
        <w:rPr>
          <w:rFonts w:hint="eastAsia" w:ascii="仿宋_GB2312" w:hAnsi="仿宋_GB2312" w:eastAsia="仿宋_GB2312" w:cs="仿宋_GB2312"/>
          <w:b w:val="0"/>
          <w:bCs w:val="0"/>
          <w:sz w:val="32"/>
          <w:szCs w:val="32"/>
          <w:lang w:eastAsia="zh-CN"/>
        </w:rPr>
        <w:t>北京市产品和服务</w:t>
      </w:r>
      <w:r>
        <w:rPr>
          <w:rFonts w:hint="eastAsia" w:ascii="仿宋_GB2312" w:hAnsi="仿宋_GB2312" w:eastAsia="仿宋_GB2312" w:cs="仿宋_GB2312"/>
          <w:b w:val="0"/>
          <w:bCs w:val="0"/>
          <w:sz w:val="32"/>
          <w:szCs w:val="32"/>
        </w:rPr>
        <w:t>碳足迹核算</w:t>
      </w:r>
      <w:r>
        <w:rPr>
          <w:rFonts w:hint="eastAsia" w:ascii="仿宋_GB2312" w:hAnsi="仿宋_GB2312" w:eastAsia="仿宋_GB2312" w:cs="仿宋_GB2312"/>
          <w:b w:val="0"/>
          <w:bCs w:val="0"/>
          <w:sz w:val="32"/>
          <w:szCs w:val="32"/>
          <w:lang w:eastAsia="zh-CN"/>
        </w:rPr>
        <w:t>方法</w:t>
      </w:r>
      <w:r>
        <w:rPr>
          <w:rFonts w:hint="eastAsia" w:ascii="仿宋_GB2312" w:hAnsi="仿宋_GB2312" w:eastAsia="仿宋_GB2312" w:cs="仿宋_GB2312"/>
          <w:b w:val="0"/>
          <w:bCs w:val="0"/>
          <w:sz w:val="32"/>
          <w:szCs w:val="32"/>
        </w:rPr>
        <w:t>编制的</w:t>
      </w:r>
      <w:r>
        <w:rPr>
          <w:rFonts w:hint="eastAsia" w:ascii="仿宋_GB2312" w:hAnsi="仿宋_GB2312" w:eastAsia="仿宋_GB2312" w:cs="仿宋_GB2312"/>
          <w:b w:val="0"/>
          <w:bCs w:val="0"/>
          <w:kern w:val="21"/>
          <w:sz w:val="32"/>
          <w:szCs w:val="32"/>
          <w:lang w:val="en-US" w:eastAsia="zh-CN" w:bidi="ar-SA"/>
        </w:rPr>
        <w:t>基本原则、</w:t>
      </w:r>
      <w:r>
        <w:rPr>
          <w:rFonts w:hint="eastAsia" w:ascii="仿宋_GB2312" w:hAnsi="仿宋_GB2312" w:eastAsia="仿宋_GB2312" w:cs="仿宋_GB2312"/>
          <w:b w:val="0"/>
          <w:bCs w:val="0"/>
          <w:sz w:val="32"/>
          <w:szCs w:val="32"/>
          <w:lang w:val="en-US" w:eastAsia="zh-CN"/>
        </w:rPr>
        <w:t>文本结构与</w:t>
      </w:r>
      <w:r>
        <w:rPr>
          <w:rFonts w:hint="eastAsia" w:ascii="仿宋_GB2312" w:hAnsi="仿宋_GB2312" w:eastAsia="仿宋_GB2312" w:cs="仿宋_GB2312"/>
          <w:b w:val="0"/>
          <w:bCs w:val="0"/>
          <w:kern w:val="21"/>
          <w:sz w:val="32"/>
          <w:szCs w:val="32"/>
          <w:lang w:val="en-US" w:eastAsia="zh-CN" w:bidi="ar-SA"/>
        </w:rPr>
        <w:t>编制说明、主要内容编制要求</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lang w:val="en-US" w:eastAsia="zh-CN"/>
        </w:rPr>
        <w:t>内容</w:t>
      </w:r>
      <w:r>
        <w:rPr>
          <w:rFonts w:hint="eastAsia" w:ascii="仿宋_GB2312" w:hAnsi="仿宋_GB2312" w:eastAsia="仿宋_GB2312" w:cs="仿宋_GB2312"/>
          <w:b w:val="0"/>
          <w:bCs w:val="0"/>
          <w:sz w:val="32"/>
          <w:szCs w:val="32"/>
        </w:rPr>
        <w:t>。</w:t>
      </w:r>
    </w:p>
    <w:p w14:paraId="4EFFF6A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本文件适用于</w:t>
      </w:r>
      <w:r>
        <w:rPr>
          <w:rFonts w:hint="eastAsia" w:ascii="仿宋_GB2312" w:hAnsi="仿宋_GB2312" w:eastAsia="仿宋_GB2312" w:cs="仿宋_GB2312"/>
          <w:b w:val="0"/>
          <w:bCs w:val="0"/>
          <w:sz w:val="32"/>
          <w:szCs w:val="32"/>
          <w:lang w:eastAsia="zh-CN"/>
        </w:rPr>
        <w:t>北京市</w:t>
      </w:r>
      <w:r>
        <w:rPr>
          <w:rFonts w:hint="eastAsia" w:ascii="仿宋_GB2312" w:hAnsi="仿宋_GB2312" w:eastAsia="仿宋_GB2312" w:cs="仿宋_GB2312"/>
          <w:b w:val="0"/>
          <w:bCs w:val="0"/>
          <w:sz w:val="32"/>
          <w:szCs w:val="32"/>
        </w:rPr>
        <w:t>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碳足迹核算</w:t>
      </w:r>
      <w:r>
        <w:rPr>
          <w:rFonts w:hint="eastAsia" w:ascii="仿宋_GB2312" w:hAnsi="仿宋_GB2312" w:eastAsia="仿宋_GB2312" w:cs="仿宋_GB2312"/>
          <w:b w:val="0"/>
          <w:bCs w:val="0"/>
          <w:sz w:val="32"/>
          <w:szCs w:val="32"/>
          <w:lang w:eastAsia="zh-CN"/>
        </w:rPr>
        <w:t>方法</w:t>
      </w:r>
      <w:r>
        <w:rPr>
          <w:rFonts w:hint="eastAsia" w:ascii="仿宋_GB2312" w:hAnsi="仿宋_GB2312" w:eastAsia="仿宋_GB2312" w:cs="仿宋_GB2312"/>
          <w:b w:val="0"/>
          <w:bCs w:val="0"/>
          <w:sz w:val="32"/>
          <w:szCs w:val="32"/>
        </w:rPr>
        <w:t>的</w:t>
      </w:r>
      <w:r>
        <w:rPr>
          <w:rFonts w:hint="eastAsia" w:ascii="仿宋_GB2312" w:hAnsi="仿宋_GB2312" w:eastAsia="仿宋_GB2312" w:cs="仿宋_GB2312"/>
          <w:b w:val="0"/>
          <w:bCs w:val="0"/>
          <w:sz w:val="32"/>
          <w:szCs w:val="32"/>
          <w:lang w:eastAsia="zh-CN"/>
        </w:rPr>
        <w:t>编制</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本文件所指方法是指碳足迹核算标准或技术规范。</w:t>
      </w:r>
    </w:p>
    <w:p w14:paraId="15D25174">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default" w:ascii="黑体" w:hAnsi="黑体" w:eastAsia="黑体" w:cs="Times New Roman"/>
          <w:b w:val="0"/>
          <w:bCs w:val="0"/>
          <w:kern w:val="44"/>
          <w:sz w:val="32"/>
          <w:szCs w:val="32"/>
          <w:lang w:val="en-US" w:eastAsia="zh-CN" w:bidi="ar-SA"/>
        </w:rPr>
      </w:pPr>
      <w:bookmarkStart w:id="41" w:name="_Toc30599"/>
      <w:bookmarkStart w:id="42" w:name="_Toc25650"/>
      <w:bookmarkStart w:id="43" w:name="_Toc1106"/>
      <w:bookmarkStart w:id="44" w:name="_Toc8278"/>
      <w:bookmarkStart w:id="45" w:name="_Toc8736"/>
      <w:bookmarkStart w:id="46" w:name="_Toc1394630604"/>
      <w:bookmarkStart w:id="47" w:name="_Toc7846"/>
      <w:bookmarkStart w:id="48" w:name="_Toc32120"/>
      <w:bookmarkStart w:id="49" w:name="_Toc25236"/>
      <w:bookmarkStart w:id="50" w:name="_Toc1504622228"/>
      <w:r>
        <w:rPr>
          <w:rFonts w:hint="eastAsia" w:ascii="楷体_GB2312" w:hAnsi="楷体_GB2312" w:eastAsia="楷体_GB2312" w:cs="楷体_GB2312"/>
          <w:b w:val="0"/>
          <w:bCs w:val="0"/>
          <w:kern w:val="44"/>
          <w:sz w:val="32"/>
          <w:szCs w:val="32"/>
          <w:lang w:val="en-US" w:eastAsia="zh-CN" w:bidi="ar-SA"/>
        </w:rPr>
        <w:t>（二）编制</w:t>
      </w:r>
      <w:bookmarkEnd w:id="41"/>
      <w:bookmarkEnd w:id="42"/>
      <w:bookmarkEnd w:id="43"/>
      <w:bookmarkEnd w:id="44"/>
      <w:r>
        <w:rPr>
          <w:rFonts w:hint="eastAsia" w:ascii="楷体_GB2312" w:hAnsi="楷体_GB2312" w:eastAsia="楷体_GB2312" w:cs="楷体_GB2312"/>
          <w:b w:val="0"/>
          <w:bCs w:val="0"/>
          <w:kern w:val="44"/>
          <w:sz w:val="32"/>
          <w:szCs w:val="32"/>
          <w:lang w:val="en-US" w:eastAsia="zh-CN" w:bidi="ar-SA"/>
        </w:rPr>
        <w:t>原则</w:t>
      </w:r>
      <w:bookmarkEnd w:id="45"/>
      <w:bookmarkEnd w:id="46"/>
      <w:bookmarkEnd w:id="47"/>
      <w:bookmarkEnd w:id="48"/>
      <w:bookmarkEnd w:id="49"/>
      <w:bookmarkEnd w:id="50"/>
      <w:r>
        <w:rPr>
          <w:rFonts w:hint="eastAsia" w:ascii="楷体_GB2312" w:hAnsi="楷体_GB2312" w:eastAsia="楷体_GB2312" w:cs="楷体_GB2312"/>
          <w:b w:val="0"/>
          <w:bCs w:val="0"/>
          <w:kern w:val="44"/>
          <w:sz w:val="32"/>
          <w:szCs w:val="32"/>
          <w:lang w:val="en-US" w:eastAsia="zh-CN" w:bidi="ar-SA"/>
        </w:rPr>
        <w:t xml:space="preserve">  </w:t>
      </w:r>
      <w:r>
        <w:rPr>
          <w:rFonts w:hint="eastAsia" w:ascii="Arial" w:hAnsi="Arial" w:eastAsia="黑体" w:cs="Times New Roman"/>
          <w:b w:val="0"/>
          <w:bCs w:val="0"/>
          <w:kern w:val="0"/>
          <w:sz w:val="32"/>
          <w:szCs w:val="32"/>
          <w:lang w:val="en-US" w:eastAsia="zh-CN" w:bidi="ar-SA"/>
        </w:rPr>
        <w:t xml:space="preserve"> </w:t>
      </w:r>
      <w:r>
        <w:rPr>
          <w:rFonts w:hint="eastAsia" w:ascii="黑体" w:hAnsi="黑体" w:eastAsia="黑体" w:cs="Times New Roman"/>
          <w:b w:val="0"/>
          <w:bCs w:val="0"/>
          <w:kern w:val="44"/>
          <w:sz w:val="32"/>
          <w:szCs w:val="32"/>
          <w:lang w:val="en-US" w:eastAsia="zh-CN" w:bidi="ar-SA"/>
        </w:rPr>
        <w:t xml:space="preserve">                 </w:t>
      </w:r>
    </w:p>
    <w:p w14:paraId="7C36F7C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9"/>
        <w:rPr>
          <w:rFonts w:hint="eastAsia" w:ascii="仿宋_GB2312" w:hAnsi="仿宋_GB2312" w:eastAsia="仿宋_GB2312" w:cs="仿宋_GB2312"/>
          <w:b w:val="0"/>
          <w:bCs w:val="0"/>
          <w:kern w:val="0"/>
          <w:sz w:val="32"/>
          <w:szCs w:val="32"/>
          <w:lang w:val="en-US" w:eastAsia="zh-CN" w:bidi="ar-SA"/>
        </w:rPr>
      </w:pPr>
      <w:bookmarkStart w:id="51" w:name="_Toc25147"/>
      <w:bookmarkStart w:id="52" w:name="_Toc25220"/>
      <w:bookmarkStart w:id="53" w:name="_Toc25326"/>
      <w:bookmarkStart w:id="54" w:name="_Toc20352"/>
      <w:r>
        <w:rPr>
          <w:rFonts w:hint="eastAsia" w:ascii="仿宋_GB2312" w:hAnsi="仿宋_GB2312" w:eastAsia="仿宋_GB2312" w:cs="仿宋_GB2312"/>
          <w:b w:val="0"/>
          <w:bCs w:val="0"/>
          <w:kern w:val="0"/>
          <w:sz w:val="32"/>
          <w:szCs w:val="32"/>
          <w:lang w:val="en-US" w:eastAsia="zh-CN" w:bidi="ar-SA"/>
        </w:rPr>
        <w:t>1.适配与兼容原则</w:t>
      </w:r>
      <w:bookmarkEnd w:id="51"/>
      <w:bookmarkEnd w:id="52"/>
      <w:bookmarkEnd w:id="53"/>
      <w:bookmarkEnd w:id="54"/>
    </w:p>
    <w:p w14:paraId="5E87315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核算方法的技术框架、核算边界、数据质量、清单分析与报告格式等内容，应符合</w:t>
      </w:r>
      <w:r>
        <w:rPr>
          <w:rFonts w:hint="eastAsia" w:ascii="仿宋_GB2312" w:hAnsi="仿宋_GB2312" w:eastAsia="仿宋_GB2312" w:cs="仿宋_GB2312"/>
          <w:b w:val="0"/>
          <w:bCs w:val="0"/>
          <w:kern w:val="0"/>
          <w:sz w:val="32"/>
          <w:szCs w:val="32"/>
          <w:lang w:val="en-US" w:eastAsia="zh-CN" w:bidi="ar-SA"/>
        </w:rPr>
        <w:t>GB/T 24067-2024《温室气体 产品碳足迹 量化要求和指南》基本要求</w:t>
      </w:r>
      <w:r>
        <w:rPr>
          <w:rFonts w:hint="eastAsia" w:ascii="仿宋_GB2312" w:hAnsi="仿宋_GB2312" w:eastAsia="仿宋_GB2312" w:cs="仿宋_GB2312"/>
          <w:b w:val="0"/>
          <w:bCs w:val="0"/>
          <w:sz w:val="32"/>
          <w:szCs w:val="32"/>
          <w:lang w:val="en-US" w:eastAsia="zh-CN"/>
        </w:rPr>
        <w:t>，兼顾与国际相关标准衔接。</w:t>
      </w:r>
    </w:p>
    <w:p w14:paraId="0C8778FD">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lang w:val="en-US" w:eastAsia="zh-CN" w:bidi="ar-SA"/>
        </w:rPr>
      </w:pPr>
      <w:bookmarkStart w:id="55" w:name="_Toc5733"/>
      <w:bookmarkStart w:id="56" w:name="_Toc31041"/>
      <w:bookmarkStart w:id="57" w:name="_Toc28830"/>
      <w:bookmarkStart w:id="58" w:name="_Toc2101245367"/>
      <w:bookmarkStart w:id="59" w:name="_Toc760105657"/>
      <w:bookmarkStart w:id="60" w:name="_Toc31551"/>
      <w:r>
        <w:rPr>
          <w:rFonts w:hint="eastAsia" w:ascii="仿宋_GB2312" w:hAnsi="仿宋_GB2312" w:eastAsia="仿宋_GB2312" w:cs="仿宋_GB2312"/>
          <w:b w:val="0"/>
          <w:bCs w:val="0"/>
          <w:kern w:val="44"/>
          <w:sz w:val="32"/>
          <w:szCs w:val="32"/>
          <w:lang w:val="en-US" w:eastAsia="zh-CN" w:bidi="ar-SA"/>
        </w:rPr>
        <w:t>2.科学与实用原则</w:t>
      </w:r>
      <w:bookmarkEnd w:id="55"/>
      <w:bookmarkEnd w:id="56"/>
      <w:bookmarkEnd w:id="57"/>
      <w:bookmarkEnd w:id="58"/>
      <w:bookmarkEnd w:id="59"/>
      <w:bookmarkEnd w:id="60"/>
    </w:p>
    <w:p w14:paraId="31AFD9D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核算方法的编制应</w:t>
      </w:r>
      <w:r>
        <w:rPr>
          <w:rFonts w:hint="eastAsia" w:ascii="仿宋_GB2312" w:hAnsi="仿宋_GB2312" w:eastAsia="仿宋_GB2312" w:cs="仿宋_GB2312"/>
          <w:b w:val="0"/>
          <w:bCs w:val="0"/>
          <w:sz w:val="32"/>
          <w:szCs w:val="32"/>
        </w:rPr>
        <w:t>基于科学严谨的方法学和真实可靠的数据支撑，数据收集应确保样本的广泛性和数据的真实性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可获取性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核算</w:t>
      </w:r>
      <w:r>
        <w:rPr>
          <w:rFonts w:hint="eastAsia" w:ascii="仿宋_GB2312" w:hAnsi="仿宋_GB2312" w:eastAsia="仿宋_GB2312" w:cs="仿宋_GB2312"/>
          <w:b w:val="0"/>
          <w:bCs w:val="0"/>
          <w:sz w:val="32"/>
          <w:szCs w:val="32"/>
          <w:lang w:val="en-US" w:eastAsia="zh-CN"/>
        </w:rPr>
        <w:t>验证需</w:t>
      </w:r>
      <w:r>
        <w:rPr>
          <w:rFonts w:hint="eastAsia" w:ascii="仿宋_GB2312" w:hAnsi="仿宋_GB2312" w:eastAsia="仿宋_GB2312" w:cs="仿宋_GB2312"/>
          <w:b w:val="0"/>
          <w:bCs w:val="0"/>
          <w:sz w:val="32"/>
          <w:szCs w:val="32"/>
        </w:rPr>
        <w:t>准确可靠、无重复计算、偏差可控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确保核算方法实施后</w:t>
      </w:r>
      <w:r>
        <w:rPr>
          <w:rFonts w:hint="eastAsia" w:ascii="仿宋_GB2312" w:hAnsi="仿宋_GB2312" w:eastAsia="仿宋_GB2312" w:cs="仿宋_GB2312"/>
          <w:b w:val="0"/>
          <w:bCs w:val="0"/>
          <w:sz w:val="32"/>
          <w:szCs w:val="32"/>
        </w:rPr>
        <w:t>应用</w:t>
      </w:r>
      <w:r>
        <w:rPr>
          <w:rFonts w:hint="eastAsia" w:ascii="仿宋_GB2312" w:hAnsi="仿宋_GB2312" w:eastAsia="仿宋_GB2312" w:cs="仿宋_GB2312"/>
          <w:b w:val="0"/>
          <w:bCs w:val="0"/>
          <w:sz w:val="32"/>
          <w:szCs w:val="32"/>
          <w:lang w:val="en-US" w:eastAsia="zh-CN"/>
        </w:rPr>
        <w:t>可操作性</w:t>
      </w:r>
      <w:r>
        <w:rPr>
          <w:rFonts w:hint="eastAsia" w:ascii="仿宋_GB2312" w:hAnsi="仿宋_GB2312" w:eastAsia="仿宋_GB2312" w:cs="仿宋_GB2312"/>
          <w:b w:val="0"/>
          <w:bCs w:val="0"/>
          <w:sz w:val="32"/>
          <w:szCs w:val="32"/>
        </w:rPr>
        <w:t>和碳足迹核算结果可比性。</w:t>
      </w:r>
    </w:p>
    <w:p w14:paraId="49E16037">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61" w:name="_Toc15453"/>
      <w:bookmarkStart w:id="62" w:name="_Toc4754"/>
      <w:bookmarkStart w:id="63" w:name="_Toc137868012"/>
      <w:bookmarkStart w:id="64" w:name="_Toc15681"/>
      <w:bookmarkStart w:id="65" w:name="_Toc2093818509"/>
      <w:bookmarkStart w:id="66" w:name="_Toc11614"/>
      <w:r>
        <w:rPr>
          <w:rFonts w:hint="eastAsia" w:ascii="仿宋_GB2312" w:hAnsi="仿宋_GB2312" w:eastAsia="仿宋_GB2312" w:cs="仿宋_GB2312"/>
          <w:b w:val="0"/>
          <w:bCs w:val="0"/>
          <w:kern w:val="44"/>
          <w:sz w:val="32"/>
          <w:szCs w:val="32"/>
          <w:highlight w:val="none"/>
          <w:lang w:val="en-US" w:eastAsia="zh-CN" w:bidi="ar-SA"/>
        </w:rPr>
        <w:t>3.统一与规范原则</w:t>
      </w:r>
      <w:bookmarkEnd w:id="61"/>
      <w:bookmarkEnd w:id="62"/>
      <w:bookmarkEnd w:id="63"/>
      <w:bookmarkEnd w:id="64"/>
      <w:bookmarkEnd w:id="65"/>
      <w:bookmarkEnd w:id="66"/>
    </w:p>
    <w:p w14:paraId="6E3E35B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核算方法名称宜统一命名为《温室气体 产品碳足迹量化方法与要求 XX产品》或《温室气体 服务碳足迹量化方法与要求 XX服务》；文本结构需按GB/T 1.1-2020《标准化工作导则  第1部分：标准化文件的结构和起草规则》相关规定起草。</w:t>
      </w:r>
    </w:p>
    <w:p w14:paraId="51E31904">
      <w:pPr>
        <w:pStyle w:val="3"/>
        <w:spacing w:before="0" w:beforeLines="0" w:after="0" w:afterLines="0" w:line="560" w:lineRule="exact"/>
        <w:ind w:firstLine="640" w:firstLineChars="200"/>
        <w:jc w:val="left"/>
        <w:rPr>
          <w:rFonts w:hint="eastAsia" w:ascii="黑体" w:hAnsi="黑体" w:eastAsia="黑体" w:cs="黑体"/>
          <w:b w:val="0"/>
          <w:bCs w:val="0"/>
          <w:sz w:val="32"/>
          <w:szCs w:val="32"/>
          <w:lang w:val="en-US" w:eastAsia="zh-CN"/>
        </w:rPr>
      </w:pPr>
      <w:bookmarkStart w:id="67" w:name="_Toc26958"/>
      <w:bookmarkStart w:id="68" w:name="_Toc26603"/>
      <w:bookmarkStart w:id="69" w:name="_Toc1932650239"/>
      <w:bookmarkStart w:id="70" w:name="_Toc29547"/>
      <w:bookmarkStart w:id="71" w:name="_Toc31740"/>
      <w:bookmarkStart w:id="72" w:name="_Toc30479"/>
      <w:bookmarkStart w:id="73" w:name="_Toc6208"/>
      <w:bookmarkStart w:id="74" w:name="_Toc5418"/>
      <w:bookmarkStart w:id="75" w:name="_Toc29603"/>
      <w:bookmarkStart w:id="76" w:name="_Toc32357"/>
      <w:bookmarkStart w:id="77" w:name="_Toc797669670"/>
      <w:bookmarkStart w:id="78" w:name="_Toc27501"/>
      <w:r>
        <w:rPr>
          <w:rFonts w:hint="eastAsia" w:ascii="黑体" w:hAnsi="黑体" w:eastAsia="黑体" w:cs="黑体"/>
          <w:b w:val="0"/>
          <w:bCs w:val="0"/>
          <w:kern w:val="44"/>
          <w:sz w:val="32"/>
          <w:szCs w:val="32"/>
          <w:lang w:val="en-US" w:eastAsia="zh-CN" w:bidi="ar-SA"/>
        </w:rPr>
        <w:t>二、文本结构及编制说明的主要内容</w:t>
      </w:r>
      <w:bookmarkEnd w:id="67"/>
      <w:bookmarkEnd w:id="68"/>
      <w:bookmarkEnd w:id="69"/>
      <w:bookmarkEnd w:id="70"/>
      <w:bookmarkEnd w:id="71"/>
      <w:bookmarkEnd w:id="72"/>
      <w:bookmarkEnd w:id="73"/>
      <w:bookmarkEnd w:id="74"/>
      <w:bookmarkEnd w:id="75"/>
      <w:bookmarkEnd w:id="76"/>
      <w:bookmarkEnd w:id="77"/>
      <w:bookmarkEnd w:id="78"/>
    </w:p>
    <w:p w14:paraId="3904D0F1">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eastAsia" w:ascii="楷体_GB2312" w:hAnsi="楷体_GB2312" w:eastAsia="楷体_GB2312" w:cs="楷体_GB2312"/>
          <w:b w:val="0"/>
          <w:bCs w:val="0"/>
          <w:kern w:val="0"/>
          <w:sz w:val="32"/>
          <w:szCs w:val="32"/>
          <w:lang w:val="en-US" w:eastAsia="zh-CN" w:bidi="ar-SA"/>
        </w:rPr>
      </w:pPr>
      <w:bookmarkStart w:id="79" w:name="_Toc1487520791"/>
      <w:bookmarkStart w:id="80" w:name="_Toc25156"/>
      <w:bookmarkStart w:id="81" w:name="_Toc11329"/>
      <w:bookmarkStart w:id="82" w:name="_Toc1259216261"/>
      <w:bookmarkStart w:id="83" w:name="_Toc29789"/>
      <w:bookmarkStart w:id="84" w:name="_Toc11918"/>
      <w:r>
        <w:rPr>
          <w:rFonts w:hint="eastAsia" w:ascii="楷体_GB2312" w:hAnsi="楷体_GB2312" w:eastAsia="楷体_GB2312" w:cs="楷体_GB2312"/>
          <w:b w:val="0"/>
          <w:bCs w:val="0"/>
          <w:kern w:val="0"/>
          <w:sz w:val="32"/>
          <w:szCs w:val="32"/>
          <w:lang w:val="en-US" w:eastAsia="zh-CN" w:bidi="ar-SA"/>
        </w:rPr>
        <w:t>（一）文本结构</w:t>
      </w:r>
      <w:bookmarkEnd w:id="79"/>
      <w:bookmarkEnd w:id="80"/>
      <w:bookmarkEnd w:id="81"/>
      <w:bookmarkEnd w:id="82"/>
      <w:bookmarkEnd w:id="83"/>
      <w:bookmarkEnd w:id="84"/>
    </w:p>
    <w:p w14:paraId="040C2FA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eastAsia="zh-CN"/>
        </w:rPr>
        <w:t>核算方法</w:t>
      </w:r>
      <w:r>
        <w:rPr>
          <w:rFonts w:hint="eastAsia" w:ascii="仿宋_GB2312" w:hAnsi="仿宋_GB2312" w:eastAsia="仿宋_GB2312" w:cs="仿宋_GB2312"/>
          <w:b w:val="0"/>
          <w:bCs w:val="0"/>
          <w:sz w:val="32"/>
          <w:szCs w:val="32"/>
          <w:highlight w:val="none"/>
        </w:rPr>
        <w:t>的文本结构主要包括</w:t>
      </w:r>
      <w:r>
        <w:rPr>
          <w:rFonts w:hint="eastAsia" w:ascii="仿宋_GB2312" w:hAnsi="仿宋_GB2312" w:eastAsia="仿宋_GB2312" w:cs="仿宋_GB2312"/>
          <w:b w:val="0"/>
          <w:bCs w:val="0"/>
          <w:sz w:val="32"/>
          <w:szCs w:val="32"/>
          <w:highlight w:val="none"/>
          <w:lang w:val="en-US" w:eastAsia="zh-CN"/>
        </w:rPr>
        <w:t>封面、目次、</w:t>
      </w:r>
      <w:r>
        <w:rPr>
          <w:rFonts w:hint="eastAsia" w:ascii="仿宋_GB2312" w:hAnsi="仿宋_GB2312" w:eastAsia="仿宋_GB2312" w:cs="仿宋_GB2312"/>
          <w:b w:val="0"/>
          <w:bCs w:val="0"/>
          <w:sz w:val="32"/>
          <w:szCs w:val="32"/>
          <w:highlight w:val="none"/>
        </w:rPr>
        <w:t>前言、范围、规范性引用文件、术语和定义、量化目的和范围、清单分析、影响评价、结果解释、产品碳足迹报告、附录等要素，</w:t>
      </w:r>
      <w:r>
        <w:rPr>
          <w:rFonts w:hint="eastAsia" w:ascii="仿宋_GB2312" w:hAnsi="仿宋_GB2312" w:eastAsia="仿宋_GB2312" w:cs="仿宋_GB2312"/>
          <w:b w:val="0"/>
          <w:bCs w:val="0"/>
          <w:sz w:val="32"/>
          <w:szCs w:val="32"/>
          <w:highlight w:val="none"/>
          <w:lang w:val="en-US" w:eastAsia="zh-CN"/>
        </w:rPr>
        <w:t>框架及</w:t>
      </w:r>
      <w:r>
        <w:rPr>
          <w:rFonts w:hint="eastAsia" w:ascii="仿宋_GB2312" w:hAnsi="仿宋_GB2312" w:eastAsia="仿宋_GB2312" w:cs="仿宋_GB2312"/>
          <w:b w:val="0"/>
          <w:bCs w:val="0"/>
          <w:sz w:val="32"/>
          <w:szCs w:val="32"/>
          <w:highlight w:val="none"/>
        </w:rPr>
        <w:t>各要素的组成和编排顺序</w:t>
      </w:r>
      <w:r>
        <w:rPr>
          <w:rFonts w:hint="eastAsia" w:ascii="仿宋_GB2312" w:hAnsi="仿宋_GB2312" w:eastAsia="仿宋_GB2312" w:cs="仿宋_GB2312"/>
          <w:b w:val="0"/>
          <w:bCs w:val="0"/>
          <w:sz w:val="32"/>
          <w:szCs w:val="32"/>
          <w:highlight w:val="none"/>
          <w:lang w:val="en-US" w:eastAsia="zh-CN"/>
        </w:rPr>
        <w:t>详</w:t>
      </w:r>
      <w:r>
        <w:rPr>
          <w:rFonts w:hint="eastAsia" w:ascii="仿宋_GB2312" w:hAnsi="仿宋_GB2312" w:eastAsia="仿宋_GB2312" w:cs="仿宋_GB2312"/>
          <w:b w:val="0"/>
          <w:bCs w:val="0"/>
          <w:sz w:val="32"/>
          <w:szCs w:val="32"/>
          <w:highlight w:val="none"/>
        </w:rPr>
        <w:t>见</w:t>
      </w:r>
      <w:r>
        <w:rPr>
          <w:rFonts w:hint="eastAsia" w:ascii="仿宋_GB2312" w:hAnsi="仿宋_GB2312" w:eastAsia="仿宋_GB2312" w:cs="仿宋_GB2312"/>
          <w:b w:val="0"/>
          <w:bCs w:val="0"/>
          <w:sz w:val="32"/>
          <w:szCs w:val="32"/>
          <w:highlight w:val="none"/>
          <w:lang w:val="en-US" w:eastAsia="zh-CN"/>
        </w:rPr>
        <w:t>附件1</w:t>
      </w:r>
      <w:r>
        <w:rPr>
          <w:rFonts w:hint="eastAsia" w:ascii="仿宋_GB2312" w:hAnsi="仿宋_GB2312" w:eastAsia="仿宋_GB2312" w:cs="仿宋_GB2312"/>
          <w:b w:val="0"/>
          <w:bCs w:val="0"/>
          <w:sz w:val="32"/>
          <w:szCs w:val="32"/>
          <w:highlight w:val="none"/>
        </w:rPr>
        <w:t>。</w:t>
      </w:r>
    </w:p>
    <w:p w14:paraId="0B3EB4D9">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eastAsia" w:ascii="楷体_GB2312" w:hAnsi="楷体_GB2312" w:eastAsia="楷体_GB2312" w:cs="楷体_GB2312"/>
          <w:b w:val="0"/>
          <w:bCs w:val="0"/>
          <w:kern w:val="0"/>
          <w:sz w:val="32"/>
          <w:szCs w:val="32"/>
          <w:lang w:val="en-US" w:eastAsia="zh-CN" w:bidi="ar-SA"/>
        </w:rPr>
      </w:pPr>
      <w:bookmarkStart w:id="85" w:name="_Toc10104"/>
      <w:bookmarkStart w:id="86" w:name="_Toc5813"/>
      <w:bookmarkStart w:id="87" w:name="_Toc1247175222"/>
      <w:bookmarkStart w:id="88" w:name="_Toc17935"/>
      <w:bookmarkStart w:id="89" w:name="_Toc22842"/>
      <w:bookmarkStart w:id="90" w:name="_Toc1892392033"/>
      <w:r>
        <w:rPr>
          <w:rFonts w:hint="eastAsia" w:ascii="楷体_GB2312" w:hAnsi="楷体_GB2312" w:eastAsia="楷体_GB2312" w:cs="楷体_GB2312"/>
          <w:b w:val="0"/>
          <w:bCs w:val="0"/>
          <w:kern w:val="0"/>
          <w:sz w:val="32"/>
          <w:szCs w:val="32"/>
          <w:lang w:val="en-US" w:eastAsia="zh-CN" w:bidi="ar-SA"/>
        </w:rPr>
        <w:t>（二）编制说明</w:t>
      </w:r>
      <w:bookmarkEnd w:id="85"/>
      <w:bookmarkEnd w:id="86"/>
      <w:bookmarkEnd w:id="87"/>
      <w:bookmarkEnd w:id="88"/>
      <w:bookmarkEnd w:id="89"/>
      <w:bookmarkEnd w:id="90"/>
    </w:p>
    <w:p w14:paraId="66291EE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rPr>
        <w:t>编制说明是</w:t>
      </w:r>
      <w:r>
        <w:rPr>
          <w:rFonts w:hint="eastAsia" w:ascii="仿宋_GB2312" w:hAnsi="仿宋_GB2312" w:eastAsia="仿宋_GB2312" w:cs="仿宋_GB2312"/>
          <w:b w:val="0"/>
          <w:bCs w:val="0"/>
          <w:sz w:val="32"/>
          <w:szCs w:val="32"/>
          <w:highlight w:val="none"/>
          <w:lang w:eastAsia="zh-CN"/>
        </w:rPr>
        <w:t>核算方法编制</w:t>
      </w:r>
      <w:r>
        <w:rPr>
          <w:rFonts w:hint="eastAsia" w:ascii="仿宋_GB2312" w:hAnsi="仿宋_GB2312" w:eastAsia="仿宋_GB2312" w:cs="仿宋_GB2312"/>
          <w:b w:val="0"/>
          <w:bCs w:val="0"/>
          <w:sz w:val="32"/>
          <w:szCs w:val="32"/>
          <w:highlight w:val="none"/>
        </w:rPr>
        <w:t>过程的详细记录，应全面、系统地阐述</w:t>
      </w:r>
      <w:r>
        <w:rPr>
          <w:rFonts w:hint="eastAsia" w:ascii="仿宋_GB2312" w:hAnsi="仿宋_GB2312" w:eastAsia="仿宋_GB2312" w:cs="仿宋_GB2312"/>
          <w:b w:val="0"/>
          <w:bCs w:val="0"/>
          <w:sz w:val="32"/>
          <w:szCs w:val="32"/>
          <w:highlight w:val="none"/>
          <w:lang w:eastAsia="zh-CN"/>
        </w:rPr>
        <w:t>编制背景、过程、主要内容和</w:t>
      </w:r>
      <w:r>
        <w:rPr>
          <w:rFonts w:hint="eastAsia" w:ascii="仿宋_GB2312" w:hAnsi="仿宋_GB2312" w:eastAsia="仿宋_GB2312" w:cs="仿宋_GB2312"/>
          <w:b w:val="0"/>
          <w:bCs w:val="0"/>
          <w:sz w:val="32"/>
          <w:szCs w:val="32"/>
          <w:highlight w:val="none"/>
        </w:rPr>
        <w:t>相关情况，为</w:t>
      </w:r>
      <w:r>
        <w:rPr>
          <w:rFonts w:hint="eastAsia" w:ascii="仿宋_GB2312" w:hAnsi="仿宋_GB2312" w:eastAsia="仿宋_GB2312" w:cs="仿宋_GB2312"/>
          <w:b w:val="0"/>
          <w:bCs w:val="0"/>
          <w:sz w:val="32"/>
          <w:szCs w:val="32"/>
          <w:highlight w:val="none"/>
          <w:lang w:eastAsia="zh-CN"/>
        </w:rPr>
        <w:t>核算方法</w:t>
      </w:r>
      <w:r>
        <w:rPr>
          <w:rFonts w:hint="eastAsia" w:ascii="仿宋_GB2312" w:hAnsi="仿宋_GB2312" w:eastAsia="仿宋_GB2312" w:cs="仿宋_GB2312"/>
          <w:b w:val="0"/>
          <w:bCs w:val="0"/>
          <w:sz w:val="32"/>
          <w:szCs w:val="32"/>
          <w:highlight w:val="none"/>
        </w:rPr>
        <w:t>审查和实施提供依据</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编制</w:t>
      </w:r>
      <w:r>
        <w:rPr>
          <w:rFonts w:hint="eastAsia" w:ascii="仿宋_GB2312" w:hAnsi="仿宋_GB2312" w:eastAsia="仿宋_GB2312" w:cs="仿宋_GB2312"/>
          <w:b w:val="0"/>
          <w:bCs w:val="0"/>
          <w:sz w:val="32"/>
          <w:szCs w:val="32"/>
          <w:highlight w:val="none"/>
          <w:lang w:eastAsia="zh-CN"/>
        </w:rPr>
        <w:t>说明</w:t>
      </w:r>
      <w:r>
        <w:rPr>
          <w:rFonts w:hint="eastAsia" w:ascii="仿宋_GB2312" w:hAnsi="仿宋_GB2312" w:eastAsia="仿宋_GB2312" w:cs="仿宋_GB2312"/>
          <w:b w:val="0"/>
          <w:bCs w:val="0"/>
          <w:sz w:val="32"/>
          <w:szCs w:val="32"/>
          <w:highlight w:val="none"/>
          <w:lang w:val="en-US" w:eastAsia="zh-CN"/>
        </w:rPr>
        <w:t>的框架及</w:t>
      </w:r>
      <w:r>
        <w:rPr>
          <w:rFonts w:hint="eastAsia" w:ascii="仿宋_GB2312" w:hAnsi="仿宋_GB2312" w:eastAsia="仿宋_GB2312" w:cs="仿宋_GB2312"/>
          <w:b w:val="0"/>
          <w:bCs w:val="0"/>
          <w:sz w:val="32"/>
          <w:szCs w:val="32"/>
          <w:highlight w:val="none"/>
        </w:rPr>
        <w:t>各要素的组成和编排顺序</w:t>
      </w:r>
      <w:r>
        <w:rPr>
          <w:rFonts w:hint="eastAsia" w:ascii="仿宋_GB2312" w:hAnsi="仿宋_GB2312" w:eastAsia="仿宋_GB2312" w:cs="仿宋_GB2312"/>
          <w:b w:val="0"/>
          <w:bCs w:val="0"/>
          <w:sz w:val="32"/>
          <w:szCs w:val="32"/>
          <w:highlight w:val="none"/>
          <w:lang w:val="en-US" w:eastAsia="zh-CN"/>
        </w:rPr>
        <w:t>详</w:t>
      </w:r>
      <w:r>
        <w:rPr>
          <w:rFonts w:hint="eastAsia" w:ascii="仿宋_GB2312" w:hAnsi="仿宋_GB2312" w:eastAsia="仿宋_GB2312" w:cs="仿宋_GB2312"/>
          <w:b w:val="0"/>
          <w:bCs w:val="0"/>
          <w:sz w:val="32"/>
          <w:szCs w:val="32"/>
          <w:highlight w:val="none"/>
          <w:lang w:eastAsia="zh-CN"/>
        </w:rPr>
        <w:t>见附件</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lang w:eastAsia="zh-CN"/>
        </w:rPr>
        <w:t>。</w:t>
      </w:r>
    </w:p>
    <w:p w14:paraId="7303A876">
      <w:pPr>
        <w:pStyle w:val="3"/>
        <w:spacing w:before="0" w:beforeLines="0" w:after="0" w:afterLines="0" w:line="560" w:lineRule="exact"/>
        <w:ind w:firstLine="640" w:firstLineChars="200"/>
        <w:jc w:val="left"/>
        <w:rPr>
          <w:rFonts w:hint="eastAsia" w:ascii="黑体" w:hAnsi="黑体" w:eastAsia="黑体" w:cs="黑体"/>
          <w:b w:val="0"/>
          <w:bCs w:val="0"/>
          <w:kern w:val="44"/>
          <w:sz w:val="32"/>
          <w:szCs w:val="32"/>
          <w:lang w:val="en-US" w:eastAsia="zh-CN" w:bidi="ar-SA"/>
        </w:rPr>
      </w:pPr>
      <w:bookmarkStart w:id="91" w:name="_Toc22122"/>
      <w:bookmarkStart w:id="92" w:name="_Toc27777"/>
      <w:bookmarkStart w:id="93" w:name="_Toc8769"/>
      <w:bookmarkStart w:id="94" w:name="_Toc185172306"/>
      <w:bookmarkStart w:id="95" w:name="_Toc19844"/>
      <w:bookmarkStart w:id="96" w:name="_Toc8851"/>
      <w:bookmarkStart w:id="97" w:name="_Toc4436"/>
      <w:bookmarkStart w:id="98" w:name="_Toc14821"/>
      <w:bookmarkStart w:id="99" w:name="_Toc100393384"/>
      <w:bookmarkStart w:id="100" w:name="_Toc25399"/>
      <w:bookmarkStart w:id="101" w:name="_Toc18203"/>
      <w:bookmarkStart w:id="102" w:name="_Toc17042"/>
      <w:r>
        <w:rPr>
          <w:rFonts w:hint="eastAsia" w:ascii="黑体" w:hAnsi="黑体" w:eastAsia="黑体" w:cs="黑体"/>
          <w:b w:val="0"/>
          <w:bCs w:val="0"/>
          <w:kern w:val="44"/>
          <w:sz w:val="32"/>
          <w:szCs w:val="32"/>
          <w:lang w:val="en-US" w:eastAsia="zh-CN" w:bidi="ar-SA"/>
        </w:rPr>
        <w:t>三、主要内容编制要求</w:t>
      </w:r>
      <w:bookmarkEnd w:id="91"/>
      <w:bookmarkEnd w:id="92"/>
      <w:bookmarkEnd w:id="93"/>
      <w:bookmarkEnd w:id="94"/>
      <w:bookmarkEnd w:id="95"/>
      <w:bookmarkEnd w:id="96"/>
      <w:bookmarkEnd w:id="97"/>
      <w:bookmarkEnd w:id="98"/>
      <w:bookmarkEnd w:id="99"/>
      <w:bookmarkEnd w:id="100"/>
      <w:bookmarkEnd w:id="101"/>
      <w:bookmarkEnd w:id="102"/>
    </w:p>
    <w:p w14:paraId="6AAD19C9">
      <w:pPr>
        <w:keepNext/>
        <w:keepLines/>
        <w:pageBreakBefore w:val="0"/>
        <w:widowControl/>
        <w:numPr>
          <w:ilvl w:val="0"/>
          <w:numId w:val="0"/>
        </w:numPr>
        <w:kinsoku/>
        <w:wordWrap/>
        <w:overflowPunct/>
        <w:topLinePunct/>
        <w:autoSpaceDE/>
        <w:autoSpaceDN/>
        <w:bidi w:val="0"/>
        <w:adjustRightInd w:val="0"/>
        <w:snapToGrid/>
        <w:spacing w:before="0" w:beforeLines="0" w:after="0" w:afterLines="0" w:line="560" w:lineRule="exact"/>
        <w:ind w:firstLine="640" w:firstLineChars="200"/>
        <w:textAlignment w:val="auto"/>
        <w:outlineLvl w:val="1"/>
        <w:rPr>
          <w:rFonts w:hint="eastAsia" w:ascii="楷体_GB2312" w:hAnsi="楷体_GB2312" w:eastAsia="楷体_GB2312" w:cs="楷体_GB2312"/>
          <w:b w:val="0"/>
          <w:bCs w:val="0"/>
          <w:kern w:val="0"/>
          <w:sz w:val="32"/>
          <w:szCs w:val="32"/>
          <w:lang w:val="en-US" w:eastAsia="zh-CN" w:bidi="ar-SA"/>
        </w:rPr>
      </w:pPr>
      <w:bookmarkStart w:id="103" w:name="_Toc18694"/>
      <w:bookmarkStart w:id="104" w:name="_Toc21504"/>
      <w:bookmarkStart w:id="105" w:name="_Toc17285"/>
      <w:bookmarkStart w:id="106" w:name="_Toc9224"/>
      <w:bookmarkStart w:id="107" w:name="_Toc26892"/>
      <w:bookmarkStart w:id="108" w:name="_Toc27113"/>
      <w:bookmarkStart w:id="109" w:name="_Toc20141"/>
      <w:bookmarkStart w:id="110" w:name="_Toc30901"/>
      <w:bookmarkStart w:id="111" w:name="_Toc29421"/>
      <w:bookmarkStart w:id="112" w:name="_Toc15360"/>
      <w:bookmarkStart w:id="113" w:name="_Toc20042"/>
      <w:bookmarkStart w:id="114" w:name="_Toc31023"/>
      <w:bookmarkStart w:id="115" w:name="_Toc1762626481"/>
      <w:bookmarkStart w:id="116" w:name="_Toc2902"/>
      <w:bookmarkStart w:id="117" w:name="_Toc14634"/>
      <w:bookmarkStart w:id="118" w:name="_Toc9829"/>
      <w:bookmarkStart w:id="119" w:name="_Toc20506"/>
      <w:bookmarkStart w:id="120" w:name="_Toc10963"/>
      <w:bookmarkStart w:id="121" w:name="_Toc141138021"/>
      <w:bookmarkStart w:id="122" w:name="_Toc10564"/>
      <w:bookmarkStart w:id="123" w:name="_Toc23344"/>
      <w:bookmarkStart w:id="124" w:name="_Toc22674"/>
      <w:bookmarkStart w:id="125" w:name="_Toc28251"/>
      <w:bookmarkStart w:id="126" w:name="_Toc12330"/>
      <w:bookmarkStart w:id="127" w:name="_Toc6011"/>
      <w:bookmarkStart w:id="128" w:name="_Toc5774"/>
      <w:bookmarkStart w:id="129" w:name="_Toc13107"/>
      <w:bookmarkStart w:id="130" w:name="heading_2"/>
      <w:bookmarkStart w:id="131" w:name="_Toc16925"/>
      <w:r>
        <w:rPr>
          <w:rFonts w:hint="eastAsia" w:ascii="楷体_GB2312" w:hAnsi="楷体_GB2312" w:eastAsia="楷体_GB2312" w:cs="楷体_GB2312"/>
          <w:b w:val="0"/>
          <w:bCs w:val="0"/>
          <w:kern w:val="0"/>
          <w:sz w:val="32"/>
          <w:szCs w:val="32"/>
          <w:lang w:val="en-US" w:eastAsia="zh-CN" w:bidi="ar-SA"/>
        </w:rPr>
        <w:t>（一）规范性引用文件</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6F2608B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32" w:name="_Toc27985"/>
      <w:bookmarkStart w:id="133" w:name="_Toc8975"/>
      <w:r>
        <w:rPr>
          <w:rFonts w:hint="eastAsia" w:ascii="仿宋_GB2312" w:hAnsi="仿宋_GB2312" w:eastAsia="仿宋_GB2312" w:cs="仿宋_GB2312"/>
          <w:b w:val="0"/>
          <w:bCs w:val="0"/>
          <w:kern w:val="0"/>
          <w:sz w:val="32"/>
          <w:szCs w:val="32"/>
          <w:highlight w:val="none"/>
          <w:lang w:val="en-US" w:eastAsia="zh-CN" w:bidi="ar-SA"/>
        </w:rPr>
        <w:t>核算方法编制所引用的规范性文件宜涵盖以下几种：</w:t>
      </w:r>
      <w:bookmarkEnd w:id="132"/>
      <w:bookmarkEnd w:id="133"/>
    </w:p>
    <w:p w14:paraId="177E220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1.应涵盖</w:t>
      </w:r>
      <w:r>
        <w:rPr>
          <w:rFonts w:hint="eastAsia" w:ascii="仿宋_GB2312" w:hAnsi="仿宋_GB2312" w:eastAsia="仿宋_GB2312" w:cs="仿宋_GB2312"/>
          <w:b w:val="0"/>
          <w:bCs w:val="0"/>
          <w:kern w:val="0"/>
          <w:sz w:val="32"/>
          <w:szCs w:val="32"/>
          <w:highlight w:val="none"/>
          <w:lang w:val="en-US" w:eastAsia="zh-CN" w:bidi="ar-SA"/>
        </w:rPr>
        <w:t>GB/T 24067-2024《温室气体 产品碳足迹 量化要求和指南》</w:t>
      </w:r>
      <w:r>
        <w:rPr>
          <w:rFonts w:hint="eastAsia" w:ascii="仿宋_GB2312" w:hAnsi="仿宋_GB2312" w:eastAsia="仿宋_GB2312" w:cs="仿宋_GB2312"/>
          <w:b w:val="0"/>
          <w:bCs w:val="0"/>
          <w:sz w:val="32"/>
          <w:szCs w:val="32"/>
          <w:highlight w:val="none"/>
          <w:lang w:val="en-US" w:eastAsia="zh-CN"/>
        </w:rPr>
        <w:t>及相关产品/服务的生命周期评价标准。</w:t>
      </w:r>
    </w:p>
    <w:p w14:paraId="624D1E6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2.宜包含的其他环境声明相关标准。</w:t>
      </w:r>
    </w:p>
    <w:p w14:paraId="7FFC06A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3.宜包含量化产品或服务的专业标准。</w:t>
      </w:r>
    </w:p>
    <w:p w14:paraId="662817D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4.如有特殊排放源需要开展实时监测和计量，应包含数据计量的相关标准。</w:t>
      </w:r>
      <w:bookmarkStart w:id="276" w:name="_GoBack"/>
      <w:bookmarkEnd w:id="276"/>
    </w:p>
    <w:p w14:paraId="2558A156">
      <w:pPr>
        <w:keepNext/>
        <w:keepLines/>
        <w:pageBreakBefore w:val="0"/>
        <w:widowControl/>
        <w:numPr>
          <w:ilvl w:val="0"/>
          <w:numId w:val="0"/>
        </w:numPr>
        <w:kinsoku/>
        <w:wordWrap/>
        <w:overflowPunct/>
        <w:topLinePunct/>
        <w:autoSpaceDE/>
        <w:autoSpaceDN/>
        <w:bidi w:val="0"/>
        <w:adjustRightInd w:val="0"/>
        <w:snapToGrid/>
        <w:spacing w:before="0" w:beforeLines="0" w:after="0" w:afterLines="0" w:line="560" w:lineRule="exact"/>
        <w:ind w:firstLine="640" w:firstLineChars="200"/>
        <w:textAlignment w:val="auto"/>
        <w:outlineLvl w:val="1"/>
        <w:rPr>
          <w:rFonts w:hint="eastAsia" w:ascii="楷体_GB2312" w:hAnsi="楷体_GB2312" w:eastAsia="楷体_GB2312" w:cs="楷体_GB2312"/>
          <w:b w:val="0"/>
          <w:bCs w:val="0"/>
          <w:kern w:val="0"/>
          <w:sz w:val="32"/>
          <w:szCs w:val="32"/>
          <w:lang w:val="en-US" w:eastAsia="zh-CN" w:bidi="ar-SA"/>
        </w:rPr>
      </w:pPr>
      <w:bookmarkStart w:id="134" w:name="heading_3"/>
      <w:bookmarkStart w:id="135" w:name="_Toc16745"/>
      <w:bookmarkStart w:id="136" w:name="_Toc24445"/>
      <w:bookmarkStart w:id="137" w:name="_Toc18615"/>
      <w:bookmarkStart w:id="138" w:name="_Toc16151"/>
      <w:bookmarkStart w:id="139" w:name="_Toc22712"/>
      <w:bookmarkStart w:id="140" w:name="_Toc1961662393"/>
      <w:bookmarkStart w:id="141" w:name="_Toc27479"/>
      <w:bookmarkStart w:id="142" w:name="_Toc3750"/>
      <w:bookmarkStart w:id="143" w:name="_Toc8692"/>
      <w:bookmarkStart w:id="144" w:name="_Toc3849"/>
      <w:bookmarkStart w:id="145" w:name="_Toc12961"/>
      <w:bookmarkStart w:id="146" w:name="_Toc13251"/>
      <w:bookmarkStart w:id="147" w:name="_Toc10045"/>
      <w:bookmarkStart w:id="148" w:name="_Toc12832"/>
      <w:bookmarkStart w:id="149" w:name="_Toc13957"/>
      <w:bookmarkStart w:id="150" w:name="_Toc25679"/>
      <w:bookmarkStart w:id="151" w:name="_Toc8224"/>
      <w:bookmarkStart w:id="152" w:name="_Toc11165"/>
      <w:bookmarkStart w:id="153" w:name="_Toc28728"/>
      <w:bookmarkStart w:id="154" w:name="_Toc25617"/>
      <w:bookmarkStart w:id="155" w:name="_Toc18709"/>
      <w:bookmarkStart w:id="156" w:name="_Toc21541"/>
      <w:bookmarkStart w:id="157" w:name="_Toc2050"/>
      <w:bookmarkStart w:id="158" w:name="_Toc23031"/>
      <w:bookmarkStart w:id="159" w:name="_Toc20485"/>
      <w:bookmarkStart w:id="160" w:name="_Toc1194487270"/>
      <w:bookmarkStart w:id="161" w:name="_Toc10841"/>
      <w:bookmarkStart w:id="162" w:name="_Toc11840"/>
      <w:r>
        <w:rPr>
          <w:rFonts w:hint="eastAsia" w:ascii="楷体_GB2312" w:hAnsi="楷体_GB2312" w:eastAsia="楷体_GB2312" w:cs="楷体_GB2312"/>
          <w:b w:val="0"/>
          <w:bCs w:val="0"/>
          <w:kern w:val="0"/>
          <w:sz w:val="32"/>
          <w:szCs w:val="32"/>
          <w:lang w:val="en-US" w:eastAsia="zh-CN" w:bidi="ar-SA"/>
        </w:rPr>
        <w:t>（二）术语和定义</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667B333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63" w:name="_Toc7042"/>
      <w:bookmarkStart w:id="164" w:name="_Toc13445"/>
      <w:bookmarkStart w:id="165" w:name="_Toc17466"/>
      <w:bookmarkStart w:id="166" w:name="_Toc25004"/>
      <w:r>
        <w:rPr>
          <w:rFonts w:hint="eastAsia" w:ascii="仿宋_GB2312" w:hAnsi="仿宋_GB2312" w:eastAsia="仿宋_GB2312" w:cs="仿宋_GB2312"/>
          <w:b w:val="0"/>
          <w:bCs w:val="0"/>
          <w:kern w:val="0"/>
          <w:sz w:val="32"/>
          <w:szCs w:val="32"/>
          <w:highlight w:val="none"/>
          <w:lang w:val="en-US" w:eastAsia="zh-CN" w:bidi="ar-SA"/>
        </w:rPr>
        <w:t>1.基本要求</w:t>
      </w:r>
      <w:bookmarkEnd w:id="163"/>
      <w:bookmarkEnd w:id="164"/>
      <w:bookmarkEnd w:id="165"/>
      <w:bookmarkEnd w:id="166"/>
    </w:p>
    <w:p w14:paraId="5958163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核算方法编制所引用的术语与定义宜涵盖以下几种：</w:t>
      </w:r>
    </w:p>
    <w:p w14:paraId="4A06AD4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（1）相关的共性术语，应与</w:t>
      </w:r>
      <w:r>
        <w:rPr>
          <w:rFonts w:hint="eastAsia" w:ascii="仿宋_GB2312" w:hAnsi="仿宋_GB2312" w:eastAsia="仿宋_GB2312" w:cs="仿宋_GB2312"/>
          <w:b w:val="0"/>
          <w:bCs w:val="0"/>
          <w:kern w:val="0"/>
          <w:sz w:val="32"/>
          <w:szCs w:val="32"/>
          <w:highlight w:val="none"/>
          <w:lang w:val="en-US" w:eastAsia="zh-CN" w:bidi="ar-SA"/>
        </w:rPr>
        <w:t>GB/T 24067-2024《温室气体 产品碳足迹 量化要求和指南》</w:t>
      </w:r>
      <w:r>
        <w:rPr>
          <w:rFonts w:hint="eastAsia" w:ascii="仿宋_GB2312" w:hAnsi="仿宋_GB2312" w:eastAsia="仿宋_GB2312" w:cs="仿宋_GB2312"/>
          <w:b w:val="0"/>
          <w:bCs w:val="0"/>
          <w:sz w:val="32"/>
          <w:szCs w:val="32"/>
          <w:highlight w:val="none"/>
          <w:lang w:val="en-US" w:eastAsia="zh-CN"/>
        </w:rPr>
        <w:t>保持一致。</w:t>
      </w:r>
    </w:p>
    <w:p w14:paraId="01431B9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（2）具体产品或服务术语定义，应来源于相关标准或文件。</w:t>
      </w:r>
    </w:p>
    <w:p w14:paraId="7903EFF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rPr>
        <w:t>术语条目应按照概念层级分类和编排，如果无法或无须分类可按术语的拼音字母顺序编排。</w:t>
      </w:r>
    </w:p>
    <w:p w14:paraId="0A5DF34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67" w:name="_Toc1051"/>
      <w:bookmarkStart w:id="168" w:name="_Toc25351"/>
      <w:bookmarkStart w:id="169" w:name="_Toc32373"/>
      <w:bookmarkStart w:id="170" w:name="_Toc16010"/>
      <w:r>
        <w:rPr>
          <w:rFonts w:hint="eastAsia" w:ascii="仿宋_GB2312" w:hAnsi="仿宋_GB2312" w:eastAsia="仿宋_GB2312" w:cs="仿宋_GB2312"/>
          <w:b w:val="0"/>
          <w:bCs w:val="0"/>
          <w:kern w:val="0"/>
          <w:sz w:val="32"/>
          <w:szCs w:val="32"/>
          <w:highlight w:val="none"/>
          <w:lang w:val="en-US" w:eastAsia="zh-CN" w:bidi="ar-SA"/>
        </w:rPr>
        <w:t>2.基本原则</w:t>
      </w:r>
      <w:bookmarkEnd w:id="167"/>
      <w:bookmarkEnd w:id="168"/>
      <w:bookmarkEnd w:id="169"/>
      <w:bookmarkEnd w:id="170"/>
    </w:p>
    <w:p w14:paraId="2F89401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71" w:name="_Toc22836"/>
      <w:r>
        <w:rPr>
          <w:rFonts w:hint="eastAsia" w:ascii="仿宋_GB2312" w:hAnsi="仿宋_GB2312" w:eastAsia="仿宋_GB2312" w:cs="仿宋_GB2312"/>
          <w:b w:val="0"/>
          <w:bCs w:val="0"/>
          <w:kern w:val="0"/>
          <w:sz w:val="32"/>
          <w:szCs w:val="32"/>
          <w:highlight w:val="none"/>
          <w:lang w:val="en-US" w:eastAsia="zh-CN" w:bidi="ar-SA"/>
        </w:rPr>
        <w:t>核算方法所引用的术语与定义宜遵循以下原则：</w:t>
      </w:r>
      <w:bookmarkEnd w:id="171"/>
    </w:p>
    <w:p w14:paraId="1A70C3FC">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必要性原则</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仅选取理解</w:t>
      </w:r>
      <w:r>
        <w:rPr>
          <w:rFonts w:hint="eastAsia" w:ascii="仿宋_GB2312" w:hAnsi="仿宋_GB2312" w:eastAsia="仿宋_GB2312" w:cs="仿宋_GB2312"/>
          <w:b w:val="0"/>
          <w:bCs w:val="0"/>
          <w:sz w:val="32"/>
          <w:szCs w:val="32"/>
          <w:highlight w:val="none"/>
          <w:lang w:eastAsia="zh-CN"/>
        </w:rPr>
        <w:t>核算方法</w:t>
      </w:r>
      <w:r>
        <w:rPr>
          <w:rFonts w:hint="eastAsia" w:ascii="仿宋_GB2312" w:hAnsi="仿宋_GB2312" w:eastAsia="仿宋_GB2312" w:cs="仿宋_GB2312"/>
          <w:b w:val="0"/>
          <w:bCs w:val="0"/>
          <w:sz w:val="32"/>
          <w:szCs w:val="32"/>
          <w:highlight w:val="none"/>
        </w:rPr>
        <w:t>内容所必需的术语，避免冗余</w:t>
      </w:r>
      <w:r>
        <w:rPr>
          <w:rFonts w:hint="eastAsia" w:ascii="仿宋_GB2312" w:hAnsi="仿宋_GB2312" w:eastAsia="仿宋_GB2312" w:cs="仿宋_GB2312"/>
          <w:b w:val="0"/>
          <w:bCs w:val="0"/>
          <w:sz w:val="32"/>
          <w:szCs w:val="32"/>
          <w:highlight w:val="none"/>
          <w:lang w:val="en-US" w:eastAsia="zh-CN"/>
        </w:rPr>
        <w:t>。</w:t>
      </w:r>
    </w:p>
    <w:p w14:paraId="08CBFD82">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准确性原则</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术语定义应科学准确，无歧义，符合相关学科规范和行业惯例</w:t>
      </w:r>
      <w:r>
        <w:rPr>
          <w:rFonts w:hint="eastAsia" w:ascii="仿宋_GB2312" w:hAnsi="仿宋_GB2312" w:eastAsia="仿宋_GB2312" w:cs="仿宋_GB2312"/>
          <w:b w:val="0"/>
          <w:bCs w:val="0"/>
          <w:sz w:val="32"/>
          <w:szCs w:val="32"/>
          <w:highlight w:val="none"/>
          <w:lang w:val="en-US" w:eastAsia="zh-CN"/>
        </w:rPr>
        <w:t>。</w:t>
      </w:r>
    </w:p>
    <w:p w14:paraId="37BBF9EE">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一致性原则</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优先采用现行有效的国家及国际标准给出的术语和定义，若需对现有术语进行调整或新增，应充分论证并注明理由</w:t>
      </w:r>
      <w:r>
        <w:rPr>
          <w:rFonts w:hint="eastAsia" w:ascii="仿宋_GB2312" w:hAnsi="仿宋_GB2312" w:eastAsia="仿宋_GB2312" w:cs="仿宋_GB2312"/>
          <w:b w:val="0"/>
          <w:bCs w:val="0"/>
          <w:sz w:val="32"/>
          <w:szCs w:val="32"/>
          <w:highlight w:val="none"/>
          <w:lang w:eastAsia="zh-CN"/>
        </w:rPr>
        <w:t>。</w:t>
      </w:r>
    </w:p>
    <w:p w14:paraId="7807A4F9">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4</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简洁性原则</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术语定义应简洁明了，易于理解和使用，避免过于复杂的表述。</w:t>
      </w:r>
    </w:p>
    <w:p w14:paraId="7C855A01">
      <w:pPr>
        <w:keepNext/>
        <w:keepLines/>
        <w:pageBreakBefore w:val="0"/>
        <w:widowControl/>
        <w:numPr>
          <w:ilvl w:val="0"/>
          <w:numId w:val="0"/>
        </w:numPr>
        <w:kinsoku/>
        <w:wordWrap/>
        <w:overflowPunct/>
        <w:topLinePunct/>
        <w:autoSpaceDE/>
        <w:autoSpaceDN/>
        <w:bidi w:val="0"/>
        <w:adjustRightInd w:val="0"/>
        <w:snapToGrid/>
        <w:spacing w:before="0" w:beforeLines="0" w:after="0" w:afterLines="0" w:line="560" w:lineRule="exact"/>
        <w:ind w:firstLine="640" w:firstLineChars="200"/>
        <w:textAlignment w:val="auto"/>
        <w:outlineLvl w:val="1"/>
        <w:rPr>
          <w:rFonts w:hint="eastAsia" w:ascii="楷体_GB2312" w:hAnsi="楷体_GB2312" w:eastAsia="楷体_GB2312" w:cs="楷体_GB2312"/>
          <w:b w:val="0"/>
          <w:bCs w:val="0"/>
          <w:kern w:val="0"/>
          <w:sz w:val="32"/>
          <w:szCs w:val="32"/>
          <w:lang w:val="en-US" w:eastAsia="zh-CN" w:bidi="ar-SA"/>
        </w:rPr>
      </w:pPr>
      <w:bookmarkStart w:id="172" w:name="_Toc4013"/>
      <w:bookmarkStart w:id="173" w:name="_Toc21039"/>
      <w:bookmarkStart w:id="174" w:name="_Toc4439"/>
      <w:bookmarkStart w:id="175" w:name="_Toc5669"/>
      <w:bookmarkStart w:id="176" w:name="_Toc20657"/>
      <w:bookmarkStart w:id="177" w:name="_Toc23926"/>
      <w:bookmarkStart w:id="178" w:name="_Toc1344759244"/>
      <w:bookmarkStart w:id="179" w:name="_Toc9884"/>
      <w:bookmarkStart w:id="180" w:name="_Toc15371"/>
      <w:bookmarkStart w:id="181" w:name="_Toc25529"/>
      <w:bookmarkStart w:id="182" w:name="_Toc22052"/>
      <w:bookmarkStart w:id="183" w:name="_Toc12894"/>
      <w:bookmarkStart w:id="184" w:name="_Toc26288"/>
      <w:bookmarkStart w:id="185" w:name="_Toc13402"/>
      <w:bookmarkStart w:id="186" w:name="_Toc21195"/>
      <w:bookmarkStart w:id="187" w:name="_Toc26688"/>
      <w:bookmarkStart w:id="188" w:name="_Toc22531"/>
      <w:bookmarkStart w:id="189" w:name="_Toc13961"/>
      <w:bookmarkStart w:id="190" w:name="_Toc18850"/>
      <w:bookmarkStart w:id="191" w:name="_Toc17589"/>
      <w:bookmarkStart w:id="192" w:name="_Toc1178108048"/>
      <w:bookmarkStart w:id="193" w:name="_Toc10583"/>
      <w:bookmarkStart w:id="194" w:name="heading_30"/>
      <w:bookmarkStart w:id="195" w:name="_Toc26819"/>
      <w:bookmarkStart w:id="196" w:name="_Toc32125"/>
      <w:bookmarkStart w:id="197" w:name="_Toc11134"/>
      <w:bookmarkStart w:id="198" w:name="_Toc27788"/>
      <w:bookmarkStart w:id="199" w:name="_Toc23030"/>
      <w:bookmarkStart w:id="200" w:name="_Toc2389"/>
      <w:r>
        <w:rPr>
          <w:rFonts w:hint="eastAsia" w:ascii="楷体_GB2312" w:hAnsi="楷体_GB2312" w:eastAsia="楷体_GB2312" w:cs="楷体_GB2312"/>
          <w:b w:val="0"/>
          <w:bCs w:val="0"/>
          <w:kern w:val="0"/>
          <w:sz w:val="32"/>
          <w:szCs w:val="32"/>
          <w:lang w:val="en-US" w:eastAsia="zh-CN" w:bidi="ar-SA"/>
        </w:rPr>
        <w:t>（三）产品碳足迹量化及方法的要求</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486B25F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201" w:name="_Toc29425"/>
      <w:bookmarkStart w:id="202" w:name="_Toc14488"/>
      <w:bookmarkStart w:id="203" w:name="_Toc24839"/>
      <w:bookmarkStart w:id="204" w:name="_Toc5313"/>
      <w:bookmarkStart w:id="205" w:name="_Toc428"/>
      <w:bookmarkStart w:id="206" w:name="heading_36"/>
      <w:bookmarkStart w:id="207" w:name="_Toc25626"/>
      <w:r>
        <w:rPr>
          <w:rFonts w:hint="eastAsia" w:ascii="仿宋_GB2312" w:hAnsi="仿宋_GB2312" w:eastAsia="仿宋_GB2312" w:cs="仿宋_GB2312"/>
          <w:b w:val="0"/>
          <w:bCs w:val="0"/>
          <w:kern w:val="0"/>
          <w:sz w:val="32"/>
          <w:szCs w:val="32"/>
          <w:highlight w:val="none"/>
          <w:lang w:val="en-US" w:eastAsia="zh-CN" w:bidi="ar-SA"/>
        </w:rPr>
        <w:t>1.量化目的</w:t>
      </w:r>
      <w:bookmarkEnd w:id="201"/>
      <w:bookmarkEnd w:id="202"/>
      <w:bookmarkEnd w:id="203"/>
      <w:bookmarkEnd w:id="204"/>
      <w:bookmarkEnd w:id="205"/>
      <w:bookmarkEnd w:id="206"/>
      <w:bookmarkEnd w:id="207"/>
    </w:p>
    <w:p w14:paraId="1252B98C">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应明确陈述</w:t>
      </w:r>
      <w:r>
        <w:rPr>
          <w:rFonts w:hint="eastAsia" w:ascii="仿宋_GB2312" w:hAnsi="仿宋_GB2312" w:eastAsia="仿宋_GB2312" w:cs="仿宋_GB2312"/>
          <w:b w:val="0"/>
          <w:bCs w:val="0"/>
          <w:sz w:val="32"/>
          <w:szCs w:val="32"/>
          <w:highlight w:val="none"/>
          <w:lang w:eastAsia="zh-CN"/>
        </w:rPr>
        <w:t>核算方法</w:t>
      </w:r>
      <w:r>
        <w:rPr>
          <w:rFonts w:hint="eastAsia" w:ascii="仿宋_GB2312" w:hAnsi="仿宋_GB2312" w:eastAsia="仿宋_GB2312" w:cs="仿宋_GB2312"/>
          <w:b w:val="0"/>
          <w:bCs w:val="0"/>
          <w:sz w:val="32"/>
          <w:szCs w:val="32"/>
          <w:highlight w:val="none"/>
        </w:rPr>
        <w:t>的</w:t>
      </w:r>
      <w:r>
        <w:rPr>
          <w:rFonts w:hint="eastAsia" w:ascii="仿宋_GB2312" w:hAnsi="仿宋_GB2312" w:eastAsia="仿宋_GB2312" w:cs="仿宋_GB2312"/>
          <w:b w:val="0"/>
          <w:bCs w:val="0"/>
          <w:sz w:val="32"/>
          <w:szCs w:val="32"/>
          <w:highlight w:val="none"/>
          <w:lang w:val="en-US" w:eastAsia="zh-CN"/>
        </w:rPr>
        <w:t>适用范围</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开展量化的</w:t>
      </w:r>
      <w:r>
        <w:rPr>
          <w:rFonts w:hint="eastAsia" w:ascii="仿宋_GB2312" w:hAnsi="仿宋_GB2312" w:eastAsia="仿宋_GB2312" w:cs="仿宋_GB2312"/>
          <w:b w:val="0"/>
          <w:bCs w:val="0"/>
          <w:sz w:val="32"/>
          <w:szCs w:val="32"/>
          <w:highlight w:val="none"/>
          <w:lang w:eastAsia="zh-CN"/>
        </w:rPr>
        <w:t>必要性、</w:t>
      </w:r>
      <w:r>
        <w:rPr>
          <w:rFonts w:hint="eastAsia" w:ascii="仿宋_GB2312" w:hAnsi="仿宋_GB2312" w:eastAsia="仿宋_GB2312" w:cs="仿宋_GB2312"/>
          <w:b w:val="0"/>
          <w:bCs w:val="0"/>
          <w:sz w:val="32"/>
          <w:szCs w:val="32"/>
          <w:highlight w:val="none"/>
        </w:rPr>
        <w:t>量化结果的预期应用场景和使用者</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量化工作要实现的管理目标</w:t>
      </w:r>
      <w:r>
        <w:rPr>
          <w:rFonts w:hint="eastAsia" w:ascii="仿宋_GB2312" w:hAnsi="仿宋_GB2312" w:eastAsia="仿宋_GB2312" w:cs="仿宋_GB2312"/>
          <w:b w:val="0"/>
          <w:bCs w:val="0"/>
          <w:sz w:val="32"/>
          <w:szCs w:val="32"/>
          <w:highlight w:val="none"/>
          <w:lang w:val="en-US" w:eastAsia="zh-CN"/>
        </w:rPr>
        <w:t>等</w:t>
      </w:r>
      <w:r>
        <w:rPr>
          <w:rFonts w:hint="eastAsia" w:ascii="仿宋_GB2312" w:hAnsi="仿宋_GB2312" w:eastAsia="仿宋_GB2312" w:cs="仿宋_GB2312"/>
          <w:b w:val="0"/>
          <w:bCs w:val="0"/>
          <w:sz w:val="32"/>
          <w:szCs w:val="32"/>
          <w:highlight w:val="none"/>
        </w:rPr>
        <w:t>。</w:t>
      </w:r>
    </w:p>
    <w:p w14:paraId="24D636B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208" w:name="_Toc10004"/>
      <w:bookmarkStart w:id="209" w:name="_Toc11359"/>
      <w:bookmarkStart w:id="210" w:name="_Toc14440"/>
      <w:bookmarkStart w:id="211" w:name="_Toc27308"/>
      <w:r>
        <w:rPr>
          <w:rFonts w:hint="eastAsia" w:ascii="仿宋_GB2312" w:hAnsi="仿宋_GB2312" w:eastAsia="仿宋_GB2312" w:cs="仿宋_GB2312"/>
          <w:b w:val="0"/>
          <w:bCs w:val="0"/>
          <w:kern w:val="0"/>
          <w:sz w:val="32"/>
          <w:szCs w:val="32"/>
          <w:highlight w:val="none"/>
          <w:lang w:val="en-US" w:eastAsia="zh-CN" w:bidi="ar-SA"/>
        </w:rPr>
        <w:t>2.功能单位/声明单位</w:t>
      </w:r>
      <w:bookmarkEnd w:id="208"/>
      <w:bookmarkEnd w:id="209"/>
      <w:bookmarkEnd w:id="210"/>
      <w:bookmarkEnd w:id="211"/>
    </w:p>
    <w:p w14:paraId="315FBC0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212" w:name="_Toc23403"/>
      <w:r>
        <w:rPr>
          <w:rFonts w:hint="eastAsia" w:ascii="仿宋_GB2312" w:hAnsi="仿宋_GB2312" w:eastAsia="仿宋_GB2312" w:cs="仿宋_GB2312"/>
          <w:b w:val="0"/>
          <w:bCs w:val="0"/>
          <w:kern w:val="0"/>
          <w:sz w:val="32"/>
          <w:szCs w:val="32"/>
          <w:highlight w:val="none"/>
          <w:lang w:val="en-US" w:eastAsia="zh-CN" w:bidi="ar-SA"/>
        </w:rPr>
        <w:t>核算方法应明确产品或服务的碳足迹量化的功能单位或声明单位。功能单位或声明单位应与量化目的和范围相一致。</w:t>
      </w:r>
      <w:bookmarkEnd w:id="212"/>
    </w:p>
    <w:p w14:paraId="232518FD">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产品功能单位：对于产品使用阶段功能明确、可准确定义的产品，应优先采用功能单位，功能单位的定义应清晰、可测量、与产品核心功能一致，例如“可承装200ml牛奶的包装纸盒”等。</w:t>
      </w:r>
    </w:p>
    <w:p w14:paraId="394003B7">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声明单位</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对于</w:t>
      </w:r>
      <w:r>
        <w:rPr>
          <w:rFonts w:hint="eastAsia" w:ascii="仿宋_GB2312" w:hAnsi="仿宋_GB2312" w:eastAsia="仿宋_GB2312" w:cs="仿宋_GB2312"/>
          <w:b w:val="0"/>
          <w:bCs w:val="0"/>
          <w:sz w:val="32"/>
          <w:szCs w:val="32"/>
          <w:highlight w:val="none"/>
          <w:lang w:val="en-US" w:eastAsia="zh-CN"/>
        </w:rPr>
        <w:t>产品</w:t>
      </w:r>
      <w:r>
        <w:rPr>
          <w:rFonts w:hint="eastAsia" w:ascii="仿宋_GB2312" w:hAnsi="仿宋_GB2312" w:eastAsia="仿宋_GB2312" w:cs="仿宋_GB2312"/>
          <w:b w:val="0"/>
          <w:bCs w:val="0"/>
          <w:sz w:val="32"/>
          <w:szCs w:val="32"/>
          <w:highlight w:val="none"/>
        </w:rPr>
        <w:t>使用阶段功能不明确、具有多种功能或功能单位难以界定的产品，可采用声明单位，声明单位应明确、统一，便于数据收集和核算，例如“</w:t>
      </w:r>
      <w:r>
        <w:rPr>
          <w:rFonts w:hint="eastAsia" w:ascii="仿宋_GB2312" w:hAnsi="仿宋_GB2312" w:eastAsia="仿宋_GB2312" w:cs="仿宋_GB2312"/>
          <w:b w:val="0"/>
          <w:bCs w:val="0"/>
          <w:sz w:val="32"/>
          <w:szCs w:val="32"/>
          <w:highlight w:val="none"/>
          <w:lang w:val="en-US" w:eastAsia="zh-CN"/>
        </w:rPr>
        <w:t>1件17英寸汽车铝合金轮毂”等。</w:t>
      </w:r>
    </w:p>
    <w:p w14:paraId="2DD7D47A">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服务功能单位：</w:t>
      </w:r>
      <w:r>
        <w:rPr>
          <w:rFonts w:hint="eastAsia" w:ascii="仿宋_GB2312" w:hAnsi="仿宋_GB2312" w:eastAsia="仿宋_GB2312" w:cs="仿宋_GB2312"/>
          <w:b w:val="0"/>
          <w:bCs w:val="0"/>
          <w:kern w:val="0"/>
          <w:sz w:val="32"/>
          <w:szCs w:val="32"/>
          <w:highlight w:val="none"/>
          <w:lang w:val="en-US" w:eastAsia="zh-CN" w:bidi="ar-SA"/>
        </w:rPr>
        <w:t>服务作为无形的产品系统，所提供的服务自带功能属性，因此宜采用功能单位作为量化基准</w:t>
      </w:r>
      <w:r>
        <w:rPr>
          <w:rFonts w:hint="eastAsia" w:ascii="仿宋_GB2312" w:hAnsi="仿宋_GB2312" w:eastAsia="仿宋_GB2312" w:cs="仿宋_GB2312"/>
          <w:b w:val="0"/>
          <w:bCs w:val="0"/>
          <w:sz w:val="32"/>
          <w:szCs w:val="32"/>
          <w:highlight w:val="none"/>
          <w:lang w:val="en-US" w:eastAsia="zh-CN"/>
        </w:rPr>
        <w:t>，功能单位的定义应清晰、可测量、与服务提供的核心功能一致；功能单位宜</w:t>
      </w:r>
      <w:r>
        <w:rPr>
          <w:rFonts w:hint="eastAsia" w:ascii="仿宋_GB2312" w:hAnsi="仿宋_GB2312" w:eastAsia="仿宋_GB2312" w:cs="仿宋_GB2312"/>
          <w:b w:val="0"/>
          <w:bCs w:val="0"/>
          <w:sz w:val="32"/>
          <w:szCs w:val="32"/>
          <w:highlight w:val="none"/>
          <w:lang w:eastAsia="zh-CN"/>
        </w:rPr>
        <w:t>明确服务范围、时长、服务对象等边界</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例如“1位宾客在酒店住宿1晚所享受的住宿服务”等</w:t>
      </w:r>
      <w:r>
        <w:rPr>
          <w:rFonts w:hint="eastAsia" w:ascii="仿宋_GB2312" w:hAnsi="仿宋_GB2312" w:eastAsia="仿宋_GB2312" w:cs="仿宋_GB2312"/>
          <w:b w:val="0"/>
          <w:bCs w:val="0"/>
          <w:sz w:val="32"/>
          <w:szCs w:val="32"/>
          <w:highlight w:val="none"/>
          <w:lang w:eastAsia="zh-CN"/>
        </w:rPr>
        <w:t>。</w:t>
      </w:r>
    </w:p>
    <w:p w14:paraId="38BD25F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44"/>
          <w:sz w:val="32"/>
          <w:szCs w:val="32"/>
          <w:lang w:val="en-US" w:eastAsia="zh-CN" w:bidi="ar-SA"/>
        </w:rPr>
        <w:t>3.系统边界</w:t>
      </w:r>
    </w:p>
    <w:p w14:paraId="511ED4FB">
      <w:pPr>
        <w:pageBreakBefore w:val="0"/>
        <w:widowControl w:val="0"/>
        <w:numPr>
          <w:ilvl w:val="0"/>
          <w:numId w:val="1"/>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产品</w:t>
      </w:r>
      <w:r>
        <w:rPr>
          <w:rFonts w:hint="eastAsia" w:ascii="仿宋_GB2312" w:hAnsi="仿宋_GB2312" w:eastAsia="仿宋_GB2312" w:cs="仿宋_GB2312"/>
          <w:b w:val="0"/>
          <w:bCs w:val="0"/>
          <w:sz w:val="32"/>
          <w:szCs w:val="32"/>
          <w:highlight w:val="none"/>
          <w:lang w:val="en-US" w:eastAsia="zh-CN"/>
        </w:rPr>
        <w:t>：针对</w:t>
      </w:r>
      <w:r>
        <w:rPr>
          <w:rFonts w:hint="eastAsia" w:ascii="仿宋_GB2312" w:hAnsi="仿宋_GB2312" w:eastAsia="仿宋_GB2312" w:cs="仿宋_GB2312"/>
          <w:b w:val="0"/>
          <w:bCs w:val="0"/>
          <w:sz w:val="32"/>
          <w:szCs w:val="32"/>
        </w:rPr>
        <w:t>终端消费品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宜采用</w:t>
      </w:r>
      <w:r>
        <w:rPr>
          <w:rFonts w:hint="eastAsia" w:ascii="仿宋_GB2312" w:hAnsi="仿宋_GB2312" w:eastAsia="仿宋_GB2312" w:cs="仿宋_GB2312"/>
          <w:b w:val="0"/>
          <w:bCs w:val="0"/>
          <w:sz w:val="32"/>
          <w:szCs w:val="32"/>
        </w:rPr>
        <w:t>“摇篮到坟墓”</w:t>
      </w:r>
      <w:r>
        <w:rPr>
          <w:rFonts w:hint="eastAsia" w:ascii="仿宋_GB2312" w:hAnsi="仿宋_GB2312" w:eastAsia="仿宋_GB2312" w:cs="仿宋_GB2312"/>
          <w:b w:val="0"/>
          <w:bCs w:val="0"/>
          <w:sz w:val="32"/>
          <w:szCs w:val="32"/>
          <w:lang w:val="en-US" w:eastAsia="zh-CN"/>
        </w:rPr>
        <w:t>系统边界，原则上</w:t>
      </w:r>
      <w:r>
        <w:rPr>
          <w:rFonts w:hint="eastAsia" w:ascii="仿宋_GB2312" w:hAnsi="仿宋_GB2312" w:eastAsia="仿宋_GB2312" w:cs="仿宋_GB2312"/>
          <w:b w:val="0"/>
          <w:bCs w:val="0"/>
          <w:sz w:val="32"/>
          <w:szCs w:val="32"/>
        </w:rPr>
        <w:t>覆盖</w:t>
      </w:r>
      <w:r>
        <w:rPr>
          <w:rFonts w:hint="eastAsia" w:ascii="仿宋_GB2312" w:hAnsi="仿宋_GB2312" w:eastAsia="仿宋_GB2312" w:cs="仿宋_GB2312"/>
          <w:b w:val="0"/>
          <w:bCs w:val="0"/>
          <w:sz w:val="32"/>
          <w:szCs w:val="32"/>
          <w:lang w:val="en-US" w:eastAsia="zh-CN"/>
        </w:rPr>
        <w:t>产品的</w:t>
      </w:r>
      <w:r>
        <w:rPr>
          <w:rFonts w:hint="eastAsia" w:ascii="仿宋_GB2312" w:hAnsi="仿宋_GB2312" w:eastAsia="仿宋_GB2312" w:cs="仿宋_GB2312"/>
          <w:b w:val="0"/>
          <w:bCs w:val="0"/>
          <w:sz w:val="32"/>
          <w:szCs w:val="32"/>
        </w:rPr>
        <w:t>全生命周期，即从原材料</w:t>
      </w:r>
      <w:r>
        <w:rPr>
          <w:rFonts w:hint="eastAsia" w:ascii="仿宋_GB2312" w:hAnsi="仿宋_GB2312" w:eastAsia="仿宋_GB2312" w:cs="仿宋_GB2312"/>
          <w:b w:val="0"/>
          <w:bCs w:val="0"/>
          <w:sz w:val="32"/>
          <w:szCs w:val="32"/>
          <w:lang w:val="en-US" w:eastAsia="zh-CN"/>
        </w:rPr>
        <w:t>获取</w:t>
      </w:r>
      <w:r>
        <w:rPr>
          <w:rFonts w:hint="eastAsia" w:ascii="仿宋_GB2312" w:hAnsi="仿宋_GB2312" w:eastAsia="仿宋_GB2312" w:cs="仿宋_GB2312"/>
          <w:b w:val="0"/>
          <w:bCs w:val="0"/>
          <w:sz w:val="32"/>
          <w:szCs w:val="32"/>
        </w:rPr>
        <w:t>、生产制造、分销运输、使用直至废弃处置的完整过程</w:t>
      </w:r>
      <w:r>
        <w:rPr>
          <w:rFonts w:hint="eastAsia" w:ascii="仿宋_GB2312" w:hAnsi="仿宋_GB2312" w:eastAsia="仿宋_GB2312" w:cs="仿宋_GB2312"/>
          <w:b w:val="0"/>
          <w:bCs w:val="0"/>
          <w:sz w:val="32"/>
          <w:szCs w:val="32"/>
          <w:lang w:val="en-US" w:eastAsia="zh-CN"/>
        </w:rPr>
        <w:t>的温室气体排放源与清除；</w:t>
      </w:r>
      <w:r>
        <w:rPr>
          <w:rFonts w:hint="eastAsia" w:ascii="仿宋_GB2312" w:hAnsi="仿宋_GB2312" w:eastAsia="仿宋_GB2312" w:cs="仿宋_GB2312"/>
          <w:b w:val="0"/>
          <w:bCs w:val="0"/>
          <w:sz w:val="32"/>
          <w:szCs w:val="32"/>
          <w:highlight w:val="none"/>
          <w:lang w:val="en-US" w:eastAsia="zh-CN"/>
        </w:rPr>
        <w:t>针对非</w:t>
      </w:r>
      <w:r>
        <w:rPr>
          <w:rFonts w:hint="eastAsia" w:ascii="仿宋_GB2312" w:hAnsi="仿宋_GB2312" w:eastAsia="仿宋_GB2312" w:cs="仿宋_GB2312"/>
          <w:b w:val="0"/>
          <w:bCs w:val="0"/>
          <w:sz w:val="32"/>
          <w:szCs w:val="32"/>
        </w:rPr>
        <w:t>终端消费品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宜采用</w:t>
      </w:r>
      <w:r>
        <w:rPr>
          <w:rFonts w:hint="eastAsia" w:ascii="仿宋_GB2312" w:hAnsi="仿宋_GB2312" w:eastAsia="仿宋_GB2312" w:cs="仿宋_GB2312"/>
          <w:b w:val="0"/>
          <w:bCs w:val="0"/>
          <w:sz w:val="32"/>
          <w:szCs w:val="32"/>
        </w:rPr>
        <w:t>“摇篮到大门”</w:t>
      </w:r>
      <w:r>
        <w:rPr>
          <w:rFonts w:hint="eastAsia" w:ascii="仿宋_GB2312" w:hAnsi="仿宋_GB2312" w:eastAsia="仿宋_GB2312" w:cs="仿宋_GB2312"/>
          <w:b w:val="0"/>
          <w:bCs w:val="0"/>
          <w:sz w:val="32"/>
          <w:szCs w:val="32"/>
          <w:lang w:val="en-US" w:eastAsia="zh-CN"/>
        </w:rPr>
        <w:t>系统边界，</w:t>
      </w:r>
      <w:r>
        <w:rPr>
          <w:rFonts w:hint="eastAsia" w:ascii="仿宋_GB2312" w:hAnsi="仿宋_GB2312" w:eastAsia="仿宋_GB2312" w:cs="仿宋_GB2312"/>
          <w:b w:val="0"/>
          <w:bCs w:val="0"/>
          <w:sz w:val="32"/>
          <w:szCs w:val="32"/>
        </w:rPr>
        <w:t>一般</w:t>
      </w:r>
      <w:r>
        <w:rPr>
          <w:rFonts w:hint="eastAsia" w:ascii="仿宋_GB2312" w:hAnsi="仿宋_GB2312" w:eastAsia="仿宋_GB2312" w:cs="仿宋_GB2312"/>
          <w:b w:val="0"/>
          <w:bCs w:val="0"/>
          <w:sz w:val="32"/>
          <w:szCs w:val="32"/>
          <w:lang w:val="en-US" w:eastAsia="zh-CN"/>
        </w:rPr>
        <w:t>指产品的部分生命周期，即从</w:t>
      </w:r>
      <w:r>
        <w:rPr>
          <w:rFonts w:hint="eastAsia" w:ascii="仿宋_GB2312" w:hAnsi="仿宋_GB2312" w:eastAsia="仿宋_GB2312" w:cs="仿宋_GB2312"/>
          <w:b w:val="0"/>
          <w:bCs w:val="0"/>
          <w:sz w:val="32"/>
          <w:szCs w:val="32"/>
        </w:rPr>
        <w:t>原料获取</w:t>
      </w:r>
      <w:r>
        <w:rPr>
          <w:rFonts w:hint="eastAsia" w:ascii="仿宋_GB2312" w:hAnsi="仿宋_GB2312" w:eastAsia="仿宋_GB2312" w:cs="仿宋_GB2312"/>
          <w:b w:val="0"/>
          <w:bCs w:val="0"/>
          <w:sz w:val="32"/>
          <w:szCs w:val="32"/>
          <w:lang w:val="en-US" w:eastAsia="zh-CN"/>
        </w:rPr>
        <w:t>到产品</w:t>
      </w:r>
      <w:r>
        <w:rPr>
          <w:rFonts w:hint="eastAsia" w:ascii="仿宋_GB2312" w:hAnsi="仿宋_GB2312" w:eastAsia="仿宋_GB2312" w:cs="仿宋_GB2312"/>
          <w:b w:val="0"/>
          <w:bCs w:val="0"/>
          <w:sz w:val="32"/>
          <w:szCs w:val="32"/>
        </w:rPr>
        <w:t>生产</w:t>
      </w:r>
      <w:r>
        <w:rPr>
          <w:rFonts w:hint="eastAsia" w:ascii="仿宋_GB2312" w:hAnsi="仿宋_GB2312" w:eastAsia="仿宋_GB2312" w:cs="仿宋_GB2312"/>
          <w:b w:val="0"/>
          <w:bCs w:val="0"/>
          <w:sz w:val="32"/>
          <w:szCs w:val="32"/>
          <w:lang w:val="en-US" w:eastAsia="zh-CN"/>
        </w:rPr>
        <w:t>制造为止的温室气体排放源与清除</w:t>
      </w:r>
      <w:r>
        <w:rPr>
          <w:rFonts w:hint="eastAsia" w:ascii="仿宋_GB2312" w:hAnsi="仿宋_GB2312" w:eastAsia="仿宋_GB2312" w:cs="仿宋_GB2312"/>
          <w:b w:val="0"/>
          <w:bCs w:val="0"/>
          <w:sz w:val="32"/>
          <w:szCs w:val="32"/>
        </w:rPr>
        <w:t>。</w:t>
      </w:r>
    </w:p>
    <w:p w14:paraId="1A5CF90D">
      <w:pPr>
        <w:pageBreakBefore w:val="0"/>
        <w:widowControl w:val="0"/>
        <w:numPr>
          <w:ilvl w:val="0"/>
          <w:numId w:val="1"/>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服务</w:t>
      </w:r>
      <w:r>
        <w:rPr>
          <w:rFonts w:hint="eastAsia" w:ascii="仿宋_GB2312" w:hAnsi="仿宋_GB2312" w:eastAsia="仿宋_GB2312" w:cs="仿宋_GB2312"/>
          <w:b w:val="0"/>
          <w:bCs w:val="0"/>
          <w:sz w:val="32"/>
          <w:szCs w:val="32"/>
          <w:highlight w:val="none"/>
          <w:lang w:val="en-US" w:eastAsia="zh-CN"/>
        </w:rPr>
        <w:t>：针对</w:t>
      </w:r>
      <w:r>
        <w:rPr>
          <w:rFonts w:hint="eastAsia" w:ascii="仿宋_GB2312" w:hAnsi="仿宋_GB2312" w:eastAsia="仿宋_GB2312" w:cs="仿宋_GB2312"/>
          <w:b w:val="0"/>
          <w:bCs w:val="0"/>
          <w:sz w:val="32"/>
          <w:szCs w:val="32"/>
        </w:rPr>
        <w:t>典型服务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由于不同服务的流程差异较大，原</w:t>
      </w:r>
      <w:r>
        <w:rPr>
          <w:rFonts w:hint="eastAsia" w:ascii="仿宋_GB2312" w:hAnsi="仿宋_GB2312" w:eastAsia="仿宋_GB2312" w:cs="仿宋_GB2312"/>
          <w:b w:val="0"/>
          <w:bCs w:val="0"/>
          <w:color w:val="auto"/>
          <w:kern w:val="0"/>
          <w:sz w:val="32"/>
          <w:szCs w:val="32"/>
          <w:lang w:val="en-US" w:eastAsia="zh-CN" w:bidi="ar"/>
        </w:rPr>
        <w:t>则上应覆盖服务全过程</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明确界定服务实现的完整流程，涵盖服务</w:t>
      </w:r>
      <w:r>
        <w:rPr>
          <w:rFonts w:hint="eastAsia" w:ascii="仿宋_GB2312" w:hAnsi="仿宋_GB2312" w:eastAsia="仿宋_GB2312" w:cs="仿宋_GB2312"/>
          <w:b w:val="0"/>
          <w:bCs w:val="0"/>
          <w:sz w:val="32"/>
          <w:szCs w:val="32"/>
          <w:lang w:val="en-US" w:eastAsia="zh-CN"/>
        </w:rPr>
        <w:t>准备、服务提供和服务后管理</w:t>
      </w:r>
      <w:r>
        <w:rPr>
          <w:rFonts w:hint="eastAsia" w:ascii="仿宋_GB2312" w:hAnsi="仿宋_GB2312" w:eastAsia="仿宋_GB2312" w:cs="仿宋_GB2312"/>
          <w:b w:val="0"/>
          <w:bCs w:val="0"/>
          <w:sz w:val="32"/>
          <w:szCs w:val="32"/>
        </w:rPr>
        <w:t>提供过程中</w:t>
      </w:r>
      <w:r>
        <w:rPr>
          <w:rFonts w:hint="eastAsia" w:ascii="仿宋_GB2312" w:hAnsi="仿宋_GB2312" w:eastAsia="仿宋_GB2312" w:cs="仿宋_GB2312"/>
          <w:b w:val="0"/>
          <w:bCs w:val="0"/>
          <w:sz w:val="32"/>
          <w:szCs w:val="32"/>
          <w:lang w:val="en-US" w:eastAsia="zh-CN"/>
        </w:rPr>
        <w:t>的温室气体排放源与清除</w:t>
      </w:r>
      <w:r>
        <w:rPr>
          <w:rFonts w:hint="eastAsia" w:ascii="仿宋_GB2312" w:hAnsi="仿宋_GB2312" w:eastAsia="仿宋_GB2312" w:cs="仿宋_GB2312"/>
          <w:b w:val="0"/>
          <w:bCs w:val="0"/>
          <w:strike w:val="0"/>
          <w:color w:val="auto"/>
          <w:sz w:val="32"/>
          <w:szCs w:val="32"/>
          <w:lang w:eastAsia="zh-CN"/>
        </w:rPr>
        <w:t>。采用部分</w:t>
      </w:r>
      <w:r>
        <w:rPr>
          <w:rFonts w:hint="eastAsia" w:ascii="仿宋_GB2312" w:hAnsi="仿宋_GB2312" w:eastAsia="仿宋_GB2312" w:cs="仿宋_GB2312"/>
          <w:b w:val="0"/>
          <w:bCs w:val="0"/>
          <w:strike w:val="0"/>
          <w:color w:val="auto"/>
          <w:sz w:val="32"/>
          <w:szCs w:val="32"/>
          <w:lang w:val="en-US" w:eastAsia="zh-CN"/>
        </w:rPr>
        <w:t>服务</w:t>
      </w:r>
      <w:r>
        <w:rPr>
          <w:rFonts w:hint="eastAsia" w:ascii="仿宋_GB2312" w:hAnsi="仿宋_GB2312" w:eastAsia="仿宋_GB2312" w:cs="仿宋_GB2312"/>
          <w:b w:val="0"/>
          <w:bCs w:val="0"/>
          <w:strike w:val="0"/>
          <w:color w:val="auto"/>
          <w:sz w:val="32"/>
          <w:szCs w:val="32"/>
          <w:lang w:eastAsia="zh-CN"/>
        </w:rPr>
        <w:t>生命周期边界时，应</w:t>
      </w:r>
      <w:r>
        <w:rPr>
          <w:rFonts w:hint="eastAsia" w:ascii="仿宋_GB2312" w:hAnsi="仿宋_GB2312" w:eastAsia="仿宋_GB2312" w:cs="仿宋_GB2312"/>
          <w:b w:val="0"/>
          <w:bCs w:val="0"/>
          <w:strike w:val="0"/>
          <w:color w:val="auto"/>
          <w:sz w:val="32"/>
          <w:szCs w:val="32"/>
          <w:lang w:val="en-US" w:eastAsia="zh-CN"/>
        </w:rPr>
        <w:t>说明原因，并</w:t>
      </w:r>
      <w:r>
        <w:rPr>
          <w:rFonts w:hint="eastAsia" w:ascii="仿宋_GB2312" w:hAnsi="仿宋_GB2312" w:eastAsia="仿宋_GB2312" w:cs="仿宋_GB2312"/>
          <w:b w:val="0"/>
          <w:bCs w:val="0"/>
          <w:strike w:val="0"/>
          <w:color w:val="auto"/>
          <w:sz w:val="32"/>
          <w:szCs w:val="32"/>
          <w:lang w:eastAsia="zh-CN"/>
        </w:rPr>
        <w:t>在核算结果和报告中标注。</w:t>
      </w:r>
    </w:p>
    <w:p w14:paraId="22E9139B">
      <w:pPr>
        <w:keepNext w:val="0"/>
        <w:keepLines w:val="0"/>
        <w:pageBreakBefore w:val="0"/>
        <w:widowControl w:val="0"/>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eastAsia" w:ascii="仿宋_GB2312" w:hAnsi="仿宋_GB2312" w:eastAsia="仿宋_GB2312" w:cs="仿宋_GB2312"/>
          <w:b w:val="0"/>
          <w:bCs w:val="0"/>
          <w:kern w:val="0"/>
          <w:sz w:val="32"/>
          <w:szCs w:val="32"/>
          <w:lang w:val="en-US" w:eastAsia="zh-CN" w:bidi="ar-SA"/>
        </w:rPr>
      </w:pPr>
      <w:bookmarkStart w:id="213" w:name="_Toc32501904"/>
      <w:bookmarkStart w:id="214" w:name="_Toc409008433"/>
      <w:r>
        <w:rPr>
          <w:rFonts w:hint="eastAsia" w:ascii="仿宋_GB2312" w:hAnsi="仿宋_GB2312" w:eastAsia="仿宋_GB2312" w:cs="仿宋_GB2312"/>
          <w:b w:val="0"/>
          <w:bCs w:val="0"/>
          <w:kern w:val="0"/>
          <w:sz w:val="32"/>
          <w:szCs w:val="32"/>
          <w:lang w:val="en-US" w:eastAsia="zh-CN" w:bidi="ar-SA"/>
        </w:rPr>
        <w:t>4.取舍准则</w:t>
      </w:r>
      <w:bookmarkEnd w:id="213"/>
      <w:bookmarkEnd w:id="214"/>
    </w:p>
    <w:p w14:paraId="7DBCBBCB">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eastAsia="zh-CN"/>
        </w:rPr>
        <w:t>核算方法应明确碳足迹量化取舍的原则，并</w:t>
      </w:r>
      <w:r>
        <w:rPr>
          <w:rFonts w:hint="eastAsia" w:ascii="仿宋_GB2312" w:hAnsi="仿宋_GB2312" w:eastAsia="仿宋_GB2312" w:cs="仿宋_GB2312"/>
          <w:b w:val="0"/>
          <w:bCs w:val="0"/>
          <w:sz w:val="32"/>
          <w:szCs w:val="32"/>
          <w:highlight w:val="none"/>
          <w:lang w:val="en-US" w:eastAsia="zh-CN"/>
        </w:rPr>
        <w:t>书面记录舍去的碳排放源或过程以及舍去的原因或理由。</w:t>
      </w:r>
    </w:p>
    <w:p w14:paraId="3A0CC159">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（1）产品或服务碳足迹量化过程，应纳入所有对产品和服务有显著贡献碳排放排放与清除量。</w:t>
      </w:r>
    </w:p>
    <w:p w14:paraId="31A8A664">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（2）显著贡献的一般原则宜按照碳排放的贡献程度确定，即在产品或服务碳足迹量化过程中，可舍弃产品或服务碳足迹影响小于1%的环节，但舍去环节总的影响不应超过产品或服务碳足迹总量的5%。</w:t>
      </w:r>
    </w:p>
    <w:p w14:paraId="5251486B">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（3）当部分原辅材料种类及用量难以获取时，可在满足总占比要求的前提下予以忽略，但必须对舍去的碳排放源或过程形成完整书面记录，明确舍弃依据、测算占比、舍弃原因。</w:t>
      </w:r>
    </w:p>
    <w:p w14:paraId="7EFAE4CB">
      <w:pPr>
        <w:keepNext w:val="0"/>
        <w:keepLines w:val="0"/>
        <w:pageBreakBefore w:val="0"/>
        <w:widowControl w:val="0"/>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215" w:name="_Toc11724"/>
      <w:bookmarkStart w:id="216" w:name="_Toc5444"/>
      <w:bookmarkStart w:id="217" w:name="_Toc12287"/>
      <w:bookmarkStart w:id="218" w:name="_Toc2818"/>
      <w:bookmarkStart w:id="219" w:name="_Toc30081"/>
      <w:bookmarkStart w:id="220" w:name="_Toc551625850"/>
      <w:bookmarkStart w:id="221" w:name="_Toc24999"/>
      <w:bookmarkStart w:id="222" w:name="heading_37"/>
      <w:bookmarkStart w:id="223" w:name="_Toc682983278"/>
      <w:r>
        <w:rPr>
          <w:rFonts w:hint="eastAsia" w:ascii="仿宋_GB2312" w:hAnsi="仿宋_GB2312" w:eastAsia="仿宋_GB2312" w:cs="仿宋_GB2312"/>
          <w:b w:val="0"/>
          <w:bCs w:val="0"/>
          <w:kern w:val="44"/>
          <w:sz w:val="32"/>
          <w:szCs w:val="32"/>
          <w:highlight w:val="none"/>
          <w:lang w:val="en-US" w:eastAsia="zh-CN" w:bidi="ar-SA"/>
        </w:rPr>
        <w:t>5.清单分析</w:t>
      </w:r>
      <w:bookmarkEnd w:id="215"/>
      <w:bookmarkEnd w:id="216"/>
      <w:bookmarkEnd w:id="217"/>
      <w:bookmarkEnd w:id="218"/>
      <w:bookmarkEnd w:id="219"/>
      <w:bookmarkEnd w:id="220"/>
      <w:bookmarkEnd w:id="221"/>
      <w:bookmarkEnd w:id="222"/>
      <w:bookmarkEnd w:id="223"/>
    </w:p>
    <w:p w14:paraId="3BDDCE8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碳足迹生命周期清单分析</w:t>
      </w:r>
      <w:r>
        <w:rPr>
          <w:rFonts w:hint="eastAsia" w:ascii="仿宋_GB2312" w:hAnsi="仿宋_GB2312" w:eastAsia="仿宋_GB2312" w:cs="仿宋_GB2312"/>
          <w:b w:val="0"/>
          <w:bCs w:val="0"/>
          <w:sz w:val="32"/>
          <w:szCs w:val="32"/>
          <w:lang w:val="en-US" w:eastAsia="zh-CN"/>
        </w:rPr>
        <w:t>的内容宜</w:t>
      </w:r>
      <w:r>
        <w:rPr>
          <w:rFonts w:hint="eastAsia" w:ascii="仿宋_GB2312" w:hAnsi="仿宋_GB2312" w:eastAsia="仿宋_GB2312" w:cs="仿宋_GB2312"/>
          <w:b w:val="0"/>
          <w:bCs w:val="0"/>
          <w:sz w:val="32"/>
          <w:szCs w:val="32"/>
        </w:rPr>
        <w:t>包括数据收集、</w:t>
      </w:r>
      <w:r>
        <w:rPr>
          <w:rFonts w:hint="eastAsia" w:ascii="仿宋_GB2312" w:hAnsi="仿宋_GB2312" w:eastAsia="仿宋_GB2312" w:cs="仿宋_GB2312"/>
          <w:b w:val="0"/>
          <w:bCs w:val="0"/>
          <w:sz w:val="32"/>
          <w:szCs w:val="32"/>
          <w:lang w:val="en-US" w:eastAsia="zh-CN"/>
        </w:rPr>
        <w:t>数据质量评估、</w:t>
      </w:r>
      <w:r>
        <w:rPr>
          <w:rFonts w:hint="eastAsia" w:ascii="仿宋_GB2312" w:hAnsi="仿宋_GB2312" w:eastAsia="仿宋_GB2312" w:cs="仿宋_GB2312"/>
          <w:b w:val="0"/>
          <w:bCs w:val="0"/>
          <w:sz w:val="32"/>
          <w:szCs w:val="32"/>
        </w:rPr>
        <w:t>数据审定、分配等关键环节，每个环节应制定明确的操作流程和技术要求，确保清单数据的准确性、完整性和一致性。</w:t>
      </w:r>
    </w:p>
    <w:p w14:paraId="048C1FE8">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数据收集</w:t>
      </w:r>
    </w:p>
    <w:p w14:paraId="7E136EA2">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a）时间范围</w:t>
      </w:r>
    </w:p>
    <w:p w14:paraId="119E15F0">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产品：一般情况下，数据收集应明确时间范围，宜选择一个完整的年度，确保数据能够反映产品正常生产状态下的碳排放水平；特殊情况可根据产品实际生产情况确定时间范围，并说明理由。</w:t>
      </w:r>
    </w:p>
    <w:p w14:paraId="300E7433">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服务：一般情况下，数据收集应该涵盖一个服务实现的完整流程，并对样本数量做出规定，以提高样本数据代表性；存在季节性、产能波动、车型/路线/服务等级差异的，应给出分层抽样和代表性要求建议，并给出样本覆盖量、覆盖比例建议。</w:t>
      </w:r>
    </w:p>
    <w:p w14:paraId="6446951B">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b）初级数据</w:t>
      </w:r>
    </w:p>
    <w:p w14:paraId="04288687">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排放源</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核算方法应明确</w:t>
      </w:r>
      <w:r>
        <w:rPr>
          <w:rFonts w:hint="eastAsia" w:ascii="仿宋_GB2312" w:hAnsi="仿宋_GB2312" w:eastAsia="仿宋_GB2312" w:cs="仿宋_GB2312"/>
          <w:b w:val="0"/>
          <w:bCs w:val="0"/>
          <w:sz w:val="32"/>
          <w:szCs w:val="32"/>
        </w:rPr>
        <w:t>原材料获取、生产、运输、使用、</w:t>
      </w:r>
      <w:r>
        <w:rPr>
          <w:rFonts w:hint="eastAsia" w:ascii="仿宋_GB2312" w:hAnsi="仿宋_GB2312" w:eastAsia="仿宋_GB2312" w:cs="仿宋_GB2312"/>
          <w:b w:val="0"/>
          <w:bCs w:val="0"/>
          <w:sz w:val="32"/>
          <w:szCs w:val="32"/>
          <w:lang w:val="en-US" w:eastAsia="zh-CN"/>
        </w:rPr>
        <w:t>废弃处理处置</w:t>
      </w:r>
      <w:r>
        <w:rPr>
          <w:rFonts w:hint="eastAsia" w:ascii="仿宋_GB2312" w:hAnsi="仿宋_GB2312" w:eastAsia="仿宋_GB2312" w:cs="仿宋_GB2312"/>
          <w:b w:val="0"/>
          <w:bCs w:val="0"/>
          <w:sz w:val="32"/>
          <w:szCs w:val="32"/>
        </w:rPr>
        <w:t>等各阶段的初级数据，包括原辅材料消耗、能源消耗、废弃物产生及处理、温室气体排放监测等；</w:t>
      </w:r>
    </w:p>
    <w:p w14:paraId="086AAFA3">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数据类型</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核算方法应明确初级数据收集的渠道，包括但不限于</w:t>
      </w:r>
      <w:r>
        <w:rPr>
          <w:rFonts w:hint="eastAsia" w:ascii="仿宋_GB2312" w:hAnsi="仿宋_GB2312" w:eastAsia="仿宋_GB2312" w:cs="仿宋_GB2312"/>
          <w:b w:val="0"/>
          <w:bCs w:val="0"/>
          <w:sz w:val="32"/>
          <w:szCs w:val="32"/>
        </w:rPr>
        <w:t>企业生产记录、能源消耗台账、原料采购合同、监测报告、第三方核查数据等</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对于关键排放源，</w:t>
      </w:r>
      <w:r>
        <w:rPr>
          <w:rFonts w:hint="eastAsia" w:ascii="仿宋_GB2312" w:hAnsi="仿宋_GB2312" w:eastAsia="仿宋_GB2312" w:cs="仿宋_GB2312"/>
          <w:b w:val="0"/>
          <w:bCs w:val="0"/>
          <w:sz w:val="32"/>
          <w:szCs w:val="32"/>
          <w:lang w:val="en-US" w:eastAsia="zh-CN"/>
        </w:rPr>
        <w:t>可</w:t>
      </w:r>
      <w:r>
        <w:rPr>
          <w:rFonts w:hint="eastAsia" w:ascii="仿宋_GB2312" w:hAnsi="仿宋_GB2312" w:eastAsia="仿宋_GB2312" w:cs="仿宋_GB2312"/>
          <w:b w:val="0"/>
          <w:bCs w:val="0"/>
          <w:sz w:val="32"/>
          <w:szCs w:val="32"/>
        </w:rPr>
        <w:t>要求企业进行现场实测，实测方法需符合相关监测标准</w:t>
      </w:r>
      <w:r>
        <w:rPr>
          <w:rFonts w:hint="eastAsia" w:ascii="仿宋_GB2312" w:hAnsi="仿宋_GB2312" w:eastAsia="仿宋_GB2312" w:cs="仿宋_GB2312"/>
          <w:b w:val="0"/>
          <w:bCs w:val="0"/>
          <w:sz w:val="32"/>
          <w:szCs w:val="32"/>
          <w:lang w:eastAsia="zh-CN"/>
        </w:rPr>
        <w:t>；不能获取时，应说明原因、替代方法和不确定性影响。</w:t>
      </w:r>
      <w:r>
        <w:rPr>
          <w:rFonts w:hint="eastAsia" w:ascii="仿宋_GB2312" w:hAnsi="仿宋_GB2312" w:eastAsia="仿宋_GB2312" w:cs="仿宋_GB2312"/>
          <w:b w:val="0"/>
          <w:bCs w:val="0"/>
          <w:sz w:val="32"/>
          <w:szCs w:val="32"/>
          <w:lang w:val="en-US" w:eastAsia="zh-CN"/>
        </w:rPr>
        <w:t>宜在附录中给出数据收集表。</w:t>
      </w:r>
    </w:p>
    <w:p w14:paraId="68D6AFA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c）</w:t>
      </w:r>
      <w:r>
        <w:rPr>
          <w:rFonts w:hint="eastAsia" w:ascii="仿宋_GB2312" w:hAnsi="仿宋_GB2312" w:eastAsia="仿宋_GB2312" w:cs="仿宋_GB2312"/>
          <w:b w:val="0"/>
          <w:bCs w:val="0"/>
          <w:sz w:val="32"/>
          <w:szCs w:val="32"/>
          <w:highlight w:val="none"/>
        </w:rPr>
        <w:t>次级数据</w:t>
      </w:r>
    </w:p>
    <w:p w14:paraId="1FAE53E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核算方法应对次级数据的优先级提出要求，应优先选择在技术、地理、时间代表性方面最匹配且来源可追溯的数据，在满足质量要求的前提下，一般可按照北京市相关部门发布数据、国家相关部门发布数据、国内公认专业机构及数据库、国际公认专业机构及数据库数据、公开文献与行业报告中数据等进行优先排序，并宜在附录中给出部分公开发布的相关因子数据。</w:t>
      </w:r>
    </w:p>
    <w:p w14:paraId="3BC34C21">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数据质量评估</w:t>
      </w:r>
    </w:p>
    <w:p w14:paraId="504DA728">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核算方法应给出适当的数据质量评估指标和评估方法，其中评估指标宜包括</w:t>
      </w:r>
      <w:r>
        <w:rPr>
          <w:rFonts w:hint="eastAsia" w:ascii="仿宋_GB2312" w:hAnsi="仿宋_GB2312" w:eastAsia="仿宋_GB2312" w:cs="仿宋_GB2312"/>
          <w:b w:val="0"/>
          <w:bCs w:val="0"/>
          <w:sz w:val="32"/>
          <w:szCs w:val="32"/>
        </w:rPr>
        <w:t>时间、地理、技术、精确性、完整性、代表性、一致性、</w:t>
      </w:r>
      <w:r>
        <w:rPr>
          <w:rFonts w:hint="eastAsia" w:ascii="仿宋_GB2312" w:hAnsi="仿宋_GB2312" w:eastAsia="仿宋_GB2312" w:cs="仿宋_GB2312"/>
          <w:b w:val="0"/>
          <w:bCs w:val="0"/>
          <w:sz w:val="32"/>
          <w:szCs w:val="32"/>
          <w:lang w:val="en-US" w:eastAsia="zh-CN"/>
        </w:rPr>
        <w:t>可再现性</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lang w:val="en-US" w:eastAsia="zh-CN"/>
        </w:rPr>
        <w:t>具体应根据评估方法确定</w:t>
      </w:r>
      <w:r>
        <w:rPr>
          <w:rFonts w:hint="eastAsia" w:ascii="仿宋_GB2312" w:hAnsi="仿宋_GB2312" w:eastAsia="仿宋_GB2312" w:cs="仿宋_GB2312"/>
          <w:b w:val="0"/>
          <w:bCs w:val="0"/>
          <w:sz w:val="32"/>
          <w:szCs w:val="32"/>
          <w:lang w:eastAsia="zh-CN"/>
        </w:rPr>
        <w:t>。在编制过程中，可选取所列部分指标作为质量评估依据。</w:t>
      </w:r>
    </w:p>
    <w:p w14:paraId="055A2D5F">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（3）数据审定要求</w:t>
      </w:r>
    </w:p>
    <w:p w14:paraId="2A1C0AD4">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核算方法应给出适当的数据审定内容和方法，可对</w:t>
      </w:r>
      <w:r>
        <w:rPr>
          <w:rFonts w:hint="eastAsia" w:ascii="仿宋_GB2312" w:hAnsi="仿宋_GB2312" w:eastAsia="仿宋_GB2312" w:cs="仿宋_GB2312"/>
          <w:b w:val="0"/>
          <w:bCs w:val="0"/>
          <w:sz w:val="32"/>
          <w:szCs w:val="32"/>
        </w:rPr>
        <w:t>数据来源真实性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完整性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准确性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合规性</w:t>
      </w:r>
      <w:r>
        <w:rPr>
          <w:rFonts w:hint="eastAsia" w:ascii="仿宋_GB2312" w:hAnsi="仿宋_GB2312" w:eastAsia="仿宋_GB2312" w:cs="仿宋_GB2312"/>
          <w:b w:val="0"/>
          <w:bCs w:val="0"/>
          <w:sz w:val="32"/>
          <w:szCs w:val="32"/>
          <w:lang w:val="en-US" w:eastAsia="zh-CN"/>
        </w:rPr>
        <w:t>等制定审定方法。</w:t>
      </w:r>
    </w:p>
    <w:p w14:paraId="0234EB23">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（4）分配规则</w:t>
      </w:r>
    </w:p>
    <w:p w14:paraId="71A1B18E">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核算方法规定的</w:t>
      </w:r>
      <w:r>
        <w:rPr>
          <w:rFonts w:hint="eastAsia" w:ascii="仿宋_GB2312" w:hAnsi="仿宋_GB2312" w:eastAsia="仿宋_GB2312" w:cs="仿宋_GB2312"/>
          <w:b w:val="0"/>
          <w:bCs w:val="0"/>
          <w:sz w:val="32"/>
          <w:szCs w:val="32"/>
          <w:highlight w:val="none"/>
        </w:rPr>
        <w:t>分配方法应科学合理、透明一致，避免主观偏倚，确保分配结果能够真实反映各产品或过程的碳排放贡献</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基本要求应遵循</w:t>
      </w:r>
      <w:bookmarkStart w:id="224" w:name="OLE_LINK1"/>
      <w:r>
        <w:rPr>
          <w:rFonts w:hint="eastAsia" w:ascii="仿宋_GB2312" w:hAnsi="仿宋_GB2312" w:eastAsia="仿宋_GB2312" w:cs="仿宋_GB2312"/>
          <w:b w:val="0"/>
          <w:bCs w:val="0"/>
          <w:kern w:val="21"/>
          <w:sz w:val="32"/>
          <w:szCs w:val="32"/>
          <w:lang w:val="en-US" w:eastAsia="zh-CN" w:bidi="ar-SA"/>
        </w:rPr>
        <w:t>GB/T 24067—2024</w:t>
      </w:r>
      <w:bookmarkEnd w:id="224"/>
      <w:r>
        <w:rPr>
          <w:rFonts w:hint="eastAsia" w:ascii="仿宋_GB2312" w:hAnsi="仿宋_GB2312" w:eastAsia="仿宋_GB2312" w:cs="仿宋_GB2312"/>
          <w:b w:val="0"/>
          <w:bCs w:val="0"/>
          <w:kern w:val="21"/>
          <w:sz w:val="32"/>
          <w:szCs w:val="32"/>
          <w:lang w:val="en-US" w:eastAsia="zh-CN" w:bidi="ar-SA"/>
        </w:rPr>
        <w:t>中6.4.6有关规定</w:t>
      </w:r>
      <w:r>
        <w:rPr>
          <w:rFonts w:hint="eastAsia" w:ascii="仿宋_GB2312" w:hAnsi="仿宋_GB2312" w:eastAsia="仿宋_GB2312" w:cs="仿宋_GB2312"/>
          <w:b w:val="0"/>
          <w:bCs w:val="0"/>
          <w:sz w:val="32"/>
          <w:szCs w:val="32"/>
          <w:highlight w:val="none"/>
          <w:lang w:eastAsia="zh-CN"/>
        </w:rPr>
        <w:t>。如有个性化分配要求，应在</w:t>
      </w:r>
      <w:r>
        <w:rPr>
          <w:rFonts w:hint="eastAsia" w:ascii="仿宋_GB2312" w:hAnsi="仿宋_GB2312" w:eastAsia="仿宋_GB2312" w:cs="仿宋_GB2312"/>
          <w:b w:val="0"/>
          <w:bCs w:val="0"/>
          <w:sz w:val="32"/>
          <w:szCs w:val="32"/>
          <w:lang w:val="en-US" w:eastAsia="zh-CN"/>
        </w:rPr>
        <w:t>核算方法</w:t>
      </w:r>
      <w:r>
        <w:rPr>
          <w:rFonts w:hint="eastAsia" w:ascii="仿宋_GB2312" w:hAnsi="仿宋_GB2312" w:eastAsia="仿宋_GB2312" w:cs="仿宋_GB2312"/>
          <w:b w:val="0"/>
          <w:bCs w:val="0"/>
          <w:sz w:val="32"/>
          <w:szCs w:val="32"/>
          <w:highlight w:val="none"/>
          <w:lang w:eastAsia="zh-CN"/>
        </w:rPr>
        <w:t>中予以明确，</w:t>
      </w:r>
      <w:r>
        <w:rPr>
          <w:rFonts w:hint="eastAsia" w:ascii="仿宋_GB2312" w:hAnsi="仿宋_GB2312" w:eastAsia="仿宋_GB2312" w:cs="仿宋_GB2312"/>
          <w:b w:val="0"/>
          <w:bCs w:val="0"/>
          <w:sz w:val="32"/>
          <w:szCs w:val="32"/>
          <w:highlight w:val="none"/>
          <w:lang w:val="en-US" w:eastAsia="zh-CN"/>
        </w:rPr>
        <w:t>如服务过程应明确共享设施、公共能耗的分摊原则</w:t>
      </w:r>
      <w:r>
        <w:rPr>
          <w:rFonts w:hint="eastAsia" w:ascii="仿宋_GB2312" w:hAnsi="仿宋_GB2312" w:eastAsia="仿宋_GB2312" w:cs="仿宋_GB2312"/>
          <w:b w:val="0"/>
          <w:bCs w:val="0"/>
          <w:sz w:val="32"/>
          <w:szCs w:val="32"/>
          <w:highlight w:val="none"/>
          <w:lang w:eastAsia="zh-CN"/>
        </w:rPr>
        <w:t>。</w:t>
      </w:r>
    </w:p>
    <w:p w14:paraId="228579F0">
      <w:pPr>
        <w:keepNext/>
        <w:keepLines/>
        <w:pageBreakBefore w:val="0"/>
        <w:widowControl w:val="0"/>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225" w:name="_Toc29407"/>
      <w:bookmarkStart w:id="226" w:name="_Toc1188"/>
      <w:bookmarkStart w:id="227" w:name="_Toc526909709"/>
      <w:bookmarkStart w:id="228" w:name="_Toc19404"/>
      <w:bookmarkStart w:id="229" w:name="_Toc16199"/>
      <w:bookmarkStart w:id="230" w:name="_Toc1938213705"/>
      <w:r>
        <w:rPr>
          <w:rFonts w:hint="eastAsia" w:ascii="仿宋_GB2312" w:hAnsi="仿宋_GB2312" w:eastAsia="仿宋_GB2312" w:cs="仿宋_GB2312"/>
          <w:b w:val="0"/>
          <w:bCs w:val="0"/>
          <w:kern w:val="44"/>
          <w:sz w:val="32"/>
          <w:szCs w:val="32"/>
          <w:highlight w:val="none"/>
          <w:lang w:val="en-US" w:eastAsia="zh-CN" w:bidi="ar-SA"/>
        </w:rPr>
        <w:t>6.碳足迹影响评价</w:t>
      </w:r>
      <w:bookmarkEnd w:id="225"/>
      <w:bookmarkEnd w:id="226"/>
      <w:bookmarkEnd w:id="227"/>
      <w:bookmarkEnd w:id="228"/>
      <w:bookmarkEnd w:id="229"/>
      <w:bookmarkEnd w:id="230"/>
    </w:p>
    <w:p w14:paraId="2873D7DA">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（1）建模方法</w:t>
      </w:r>
    </w:p>
    <w:p w14:paraId="32B4429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核算方法需</w:t>
      </w:r>
      <w:r>
        <w:rPr>
          <w:rFonts w:hint="eastAsia" w:ascii="仿宋_GB2312" w:hAnsi="仿宋_GB2312" w:eastAsia="仿宋_GB2312" w:cs="仿宋_GB2312"/>
          <w:b w:val="0"/>
          <w:bCs w:val="0"/>
          <w:sz w:val="32"/>
          <w:szCs w:val="32"/>
        </w:rPr>
        <w:t>采用生命周期评价</w:t>
      </w:r>
      <w:r>
        <w:rPr>
          <w:rFonts w:hint="eastAsia" w:ascii="仿宋_GB2312" w:hAnsi="仿宋_GB2312" w:eastAsia="仿宋_GB2312" w:cs="仿宋_GB2312"/>
          <w:b w:val="0"/>
          <w:bCs w:val="0"/>
          <w:sz w:val="32"/>
          <w:szCs w:val="32"/>
          <w:lang w:val="en-US" w:eastAsia="zh-CN"/>
        </w:rPr>
        <w:t>方法建模</w:t>
      </w:r>
      <w:r>
        <w:rPr>
          <w:rFonts w:hint="eastAsia" w:ascii="仿宋_GB2312" w:hAnsi="仿宋_GB2312" w:eastAsia="仿宋_GB2312" w:cs="仿宋_GB2312"/>
          <w:b w:val="0"/>
          <w:bCs w:val="0"/>
          <w:sz w:val="32"/>
          <w:szCs w:val="32"/>
        </w:rPr>
        <w:t>，以二氧化碳当量（CO</w:t>
      </w:r>
      <w:r>
        <w:rPr>
          <w:rFonts w:hint="eastAsia" w:ascii="仿宋_GB2312" w:hAnsi="仿宋_GB2312" w:eastAsia="仿宋_GB2312" w:cs="仿宋_GB2312"/>
          <w:b w:val="0"/>
          <w:bCs w:val="0"/>
          <w:sz w:val="32"/>
          <w:szCs w:val="32"/>
          <w:vertAlign w:val="subscript"/>
          <w:lang w:val="en-US" w:eastAsia="zh-CN"/>
        </w:rPr>
        <w:t>2</w:t>
      </w:r>
      <w:r>
        <w:rPr>
          <w:rFonts w:hint="eastAsia" w:ascii="仿宋_GB2312" w:hAnsi="仿宋_GB2312" w:eastAsia="仿宋_GB2312" w:cs="仿宋_GB2312"/>
          <w:b w:val="0"/>
          <w:bCs w:val="0"/>
          <w:sz w:val="32"/>
          <w:szCs w:val="32"/>
        </w:rPr>
        <w:t>e）为单位，计算量化目标与范围所涵盖</w:t>
      </w:r>
      <w:r>
        <w:rPr>
          <w:rFonts w:hint="eastAsia" w:ascii="仿宋_GB2312" w:hAnsi="仿宋_GB2312" w:eastAsia="仿宋_GB2312" w:cs="仿宋_GB2312"/>
          <w:b w:val="0"/>
          <w:bCs w:val="0"/>
          <w:sz w:val="32"/>
          <w:szCs w:val="32"/>
          <w:lang w:val="en-US" w:eastAsia="zh-CN"/>
        </w:rPr>
        <w:t>产品</w:t>
      </w:r>
      <w:r>
        <w:rPr>
          <w:rFonts w:hint="eastAsia" w:ascii="仿宋_GB2312" w:hAnsi="仿宋_GB2312" w:eastAsia="仿宋_GB2312" w:cs="仿宋_GB2312"/>
          <w:b w:val="0"/>
          <w:bCs w:val="0"/>
          <w:sz w:val="32"/>
          <w:szCs w:val="32"/>
        </w:rPr>
        <w:t>生命周期阶段所有单元过程</w:t>
      </w:r>
      <w:r>
        <w:rPr>
          <w:rFonts w:hint="eastAsia" w:ascii="仿宋_GB2312" w:hAnsi="仿宋_GB2312" w:eastAsia="仿宋_GB2312" w:cs="仿宋_GB2312"/>
          <w:b w:val="0"/>
          <w:bCs w:val="0"/>
          <w:sz w:val="32"/>
          <w:szCs w:val="32"/>
          <w:lang w:val="en-US" w:eastAsia="zh-CN"/>
        </w:rPr>
        <w:t>或服务所含所有阶段</w:t>
      </w:r>
      <w:r>
        <w:rPr>
          <w:rFonts w:hint="eastAsia" w:ascii="仿宋_GB2312" w:hAnsi="仿宋_GB2312" w:eastAsia="仿宋_GB2312" w:cs="仿宋_GB2312"/>
          <w:b w:val="0"/>
          <w:bCs w:val="0"/>
          <w:sz w:val="32"/>
          <w:szCs w:val="32"/>
        </w:rPr>
        <w:t>的温室气体排放与清除，获得全生命周期或部分生命周期的产品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碳足迹。</w:t>
      </w:r>
    </w:p>
    <w:p w14:paraId="44F164F0">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（2）排放源计算</w:t>
      </w:r>
    </w:p>
    <w:p w14:paraId="6999C518">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需对每个生命周期阶段的碳排放建立计算公式，且所有阶段涉及的排放源一般包括原材料获取、固定源、移动源、无组织过程、外购能源等，各排放源涉及的碳排放应明确计算方法，一般包括物料平衡法、因子法或实测法等。</w:t>
      </w:r>
    </w:p>
    <w:p w14:paraId="38372C58">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（3）清除计算</w:t>
      </w:r>
    </w:p>
    <w:p w14:paraId="06BC4BA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rPr>
        <w:t>对于涉及碳</w:t>
      </w:r>
      <w:r>
        <w:rPr>
          <w:rFonts w:hint="eastAsia" w:ascii="仿宋_GB2312" w:hAnsi="仿宋_GB2312" w:eastAsia="仿宋_GB2312" w:cs="仿宋_GB2312"/>
          <w:b w:val="0"/>
          <w:bCs w:val="0"/>
          <w:sz w:val="32"/>
          <w:szCs w:val="32"/>
          <w:highlight w:val="none"/>
          <w:lang w:val="en-US" w:eastAsia="zh-CN"/>
        </w:rPr>
        <w:t>清除量</w:t>
      </w:r>
      <w:r>
        <w:rPr>
          <w:rFonts w:hint="eastAsia" w:ascii="仿宋_GB2312" w:hAnsi="仿宋_GB2312" w:eastAsia="仿宋_GB2312" w:cs="仿宋_GB2312"/>
          <w:b w:val="0"/>
          <w:bCs w:val="0"/>
          <w:sz w:val="32"/>
          <w:szCs w:val="32"/>
          <w:highlight w:val="none"/>
        </w:rPr>
        <w:t>的产品</w:t>
      </w:r>
      <w:r>
        <w:rPr>
          <w:rFonts w:hint="eastAsia" w:ascii="仿宋_GB2312" w:hAnsi="仿宋_GB2312" w:eastAsia="仿宋_GB2312" w:cs="仿宋_GB2312"/>
          <w:b w:val="0"/>
          <w:bCs w:val="0"/>
          <w:sz w:val="32"/>
          <w:szCs w:val="32"/>
          <w:highlight w:val="none"/>
          <w:lang w:val="en-US" w:eastAsia="zh-CN"/>
        </w:rPr>
        <w:t>或服务，宜按照</w:t>
      </w:r>
      <w:r>
        <w:rPr>
          <w:rFonts w:hint="eastAsia" w:ascii="仿宋_GB2312" w:hAnsi="仿宋_GB2312" w:eastAsia="仿宋_GB2312" w:cs="仿宋_GB2312"/>
          <w:b w:val="0"/>
          <w:bCs w:val="0"/>
          <w:kern w:val="21"/>
          <w:sz w:val="32"/>
          <w:szCs w:val="32"/>
          <w:highlight w:val="none"/>
          <w:lang w:val="en-US" w:eastAsia="zh-CN" w:bidi="ar-SA"/>
        </w:rPr>
        <w:t>GB/T 24067—2024中6.4.9与附录E，</w:t>
      </w:r>
      <w:r>
        <w:rPr>
          <w:rFonts w:hint="eastAsia" w:ascii="仿宋_GB2312" w:hAnsi="仿宋_GB2312" w:eastAsia="仿宋_GB2312" w:cs="仿宋_GB2312"/>
          <w:b w:val="0"/>
          <w:bCs w:val="0"/>
          <w:sz w:val="32"/>
          <w:szCs w:val="32"/>
          <w:highlight w:val="none"/>
          <w:lang w:val="en-US" w:eastAsia="zh-CN"/>
        </w:rPr>
        <w:t>明确</w:t>
      </w:r>
      <w:r>
        <w:rPr>
          <w:rFonts w:hint="eastAsia" w:ascii="仿宋_GB2312" w:hAnsi="仿宋_GB2312" w:eastAsia="仿宋_GB2312" w:cs="仿宋_GB2312"/>
          <w:b w:val="0"/>
          <w:bCs w:val="0"/>
          <w:sz w:val="32"/>
          <w:szCs w:val="32"/>
          <w:highlight w:val="none"/>
        </w:rPr>
        <w:t>碳清除量</w:t>
      </w:r>
      <w:r>
        <w:rPr>
          <w:rFonts w:hint="eastAsia" w:ascii="仿宋_GB2312" w:hAnsi="仿宋_GB2312" w:eastAsia="仿宋_GB2312" w:cs="仿宋_GB2312"/>
          <w:b w:val="0"/>
          <w:bCs w:val="0"/>
          <w:sz w:val="32"/>
          <w:szCs w:val="32"/>
          <w:highlight w:val="none"/>
          <w:lang w:eastAsia="zh-CN"/>
        </w:rPr>
        <w:t>计算方法，</w:t>
      </w:r>
      <w:r>
        <w:rPr>
          <w:rFonts w:hint="eastAsia" w:ascii="仿宋_GB2312" w:hAnsi="仿宋_GB2312" w:eastAsia="仿宋_GB2312" w:cs="仿宋_GB2312"/>
          <w:b w:val="0"/>
          <w:bCs w:val="0"/>
          <w:sz w:val="32"/>
          <w:szCs w:val="32"/>
          <w:highlight w:val="none"/>
          <w:lang w:val="en-US" w:eastAsia="zh-CN"/>
        </w:rPr>
        <w:t>并要求在碳足迹报告中予以单独报告</w:t>
      </w:r>
      <w:r>
        <w:rPr>
          <w:rFonts w:hint="eastAsia" w:ascii="仿宋_GB2312" w:hAnsi="仿宋_GB2312" w:eastAsia="仿宋_GB2312" w:cs="仿宋_GB2312"/>
          <w:b w:val="0"/>
          <w:bCs w:val="0"/>
          <w:sz w:val="32"/>
          <w:szCs w:val="32"/>
          <w:highlight w:val="none"/>
          <w:lang w:eastAsia="zh-CN"/>
        </w:rPr>
        <w:t>。</w:t>
      </w:r>
    </w:p>
    <w:p w14:paraId="24404F1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应对可再生能源绿色电力在碳足迹量化中的核算做出规定，一般应符合</w:t>
      </w:r>
      <w:r>
        <w:rPr>
          <w:rFonts w:hint="eastAsia" w:ascii="仿宋_GB2312" w:hAnsi="仿宋_GB2312" w:eastAsia="仿宋_GB2312" w:cs="仿宋_GB2312"/>
          <w:b w:val="0"/>
          <w:bCs w:val="0"/>
          <w:kern w:val="21"/>
          <w:sz w:val="32"/>
          <w:szCs w:val="32"/>
          <w:highlight w:val="none"/>
          <w:lang w:val="en-US" w:eastAsia="zh-CN" w:bidi="ar-SA"/>
        </w:rPr>
        <w:t>北京市最新发布的相关政策；如果涉及绿电减扣，应满足唯一性凭证、核销闭环要求，不得重复计算。</w:t>
      </w:r>
    </w:p>
    <w:p w14:paraId="277F4D2E">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（4）计算参数</w:t>
      </w:r>
    </w:p>
    <w:p w14:paraId="5ED73DF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需</w:t>
      </w:r>
      <w:r>
        <w:rPr>
          <w:rFonts w:hint="eastAsia" w:ascii="仿宋_GB2312" w:hAnsi="仿宋_GB2312" w:eastAsia="仿宋_GB2312" w:cs="仿宋_GB2312"/>
          <w:b w:val="0"/>
          <w:bCs w:val="0"/>
          <w:sz w:val="32"/>
          <w:szCs w:val="32"/>
          <w:highlight w:val="none"/>
        </w:rPr>
        <w:t>明确各项计算参数的取值标准和来源，如</w:t>
      </w:r>
      <w:r>
        <w:rPr>
          <w:rFonts w:hint="eastAsia" w:ascii="仿宋_GB2312" w:hAnsi="仿宋_GB2312" w:eastAsia="仿宋_GB2312" w:cs="仿宋_GB2312"/>
          <w:b w:val="0"/>
          <w:bCs w:val="0"/>
          <w:sz w:val="32"/>
          <w:szCs w:val="32"/>
          <w:highlight w:val="none"/>
          <w:lang w:val="en-US" w:eastAsia="zh-CN"/>
        </w:rPr>
        <w:t>制冷剂的泄露率等</w:t>
      </w:r>
      <w:r>
        <w:rPr>
          <w:rFonts w:hint="eastAsia" w:ascii="仿宋_GB2312" w:hAnsi="仿宋_GB2312" w:eastAsia="仿宋_GB2312" w:cs="仿宋_GB2312"/>
          <w:b w:val="0"/>
          <w:bCs w:val="0"/>
          <w:sz w:val="32"/>
          <w:szCs w:val="32"/>
          <w:highlight w:val="none"/>
        </w:rPr>
        <w:t>，应给出取值范围和默认值，说明参数选择对计算结果的影响。</w:t>
      </w:r>
    </w:p>
    <w:p w14:paraId="09671963">
      <w:pPr>
        <w:keepNext/>
        <w:keepLines/>
        <w:pageBreakBefore w:val="0"/>
        <w:widowControl w:val="0"/>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231" w:name="_Toc25526"/>
      <w:bookmarkStart w:id="232" w:name="_Toc29739"/>
      <w:bookmarkStart w:id="233" w:name="_Toc170369916"/>
      <w:bookmarkStart w:id="234" w:name="_Toc4091"/>
      <w:bookmarkStart w:id="235" w:name="_Toc24608"/>
      <w:bookmarkStart w:id="236" w:name="_Toc240833066"/>
      <w:r>
        <w:rPr>
          <w:rFonts w:hint="eastAsia" w:ascii="仿宋_GB2312" w:hAnsi="仿宋_GB2312" w:eastAsia="仿宋_GB2312" w:cs="仿宋_GB2312"/>
          <w:b w:val="0"/>
          <w:bCs w:val="0"/>
          <w:kern w:val="44"/>
          <w:sz w:val="32"/>
          <w:szCs w:val="32"/>
          <w:highlight w:val="none"/>
          <w:lang w:val="en-US" w:eastAsia="zh-CN" w:bidi="ar-SA"/>
        </w:rPr>
        <w:t>7.结果解释</w:t>
      </w:r>
      <w:bookmarkEnd w:id="231"/>
      <w:bookmarkEnd w:id="232"/>
      <w:bookmarkEnd w:id="233"/>
      <w:bookmarkEnd w:id="234"/>
      <w:bookmarkEnd w:id="235"/>
      <w:bookmarkEnd w:id="236"/>
    </w:p>
    <w:p w14:paraId="3F31F489">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（1）结果分析</w:t>
      </w:r>
    </w:p>
    <w:p w14:paraId="6ACC7985">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a）各阶段贡献分析</w:t>
      </w:r>
    </w:p>
    <w:p w14:paraId="249DA009">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核算方法</w:t>
      </w:r>
      <w:r>
        <w:rPr>
          <w:rFonts w:hint="eastAsia" w:ascii="仿宋_GB2312" w:hAnsi="仿宋_GB2312" w:eastAsia="仿宋_GB2312" w:cs="仿宋_GB2312"/>
          <w:b w:val="0"/>
          <w:bCs w:val="0"/>
          <w:sz w:val="32"/>
          <w:szCs w:val="32"/>
          <w:lang w:val="en-US" w:eastAsia="zh-CN"/>
        </w:rPr>
        <w:t>应</w:t>
      </w:r>
      <w:r>
        <w:rPr>
          <w:rFonts w:hint="eastAsia" w:ascii="仿宋_GB2312" w:hAnsi="仿宋_GB2312" w:eastAsia="仿宋_GB2312" w:cs="仿宋_GB2312"/>
          <w:b w:val="0"/>
          <w:bCs w:val="0"/>
          <w:sz w:val="32"/>
          <w:szCs w:val="32"/>
          <w:highlight w:val="none"/>
          <w:lang w:val="en-US" w:eastAsia="zh-CN"/>
        </w:rPr>
        <w:t>要求基于量化结果对产品全生命周期各阶段或服务各流程的碳排放量、占比及排放热点进行分析和识别。</w:t>
      </w:r>
    </w:p>
    <w:p w14:paraId="18A4BEEC">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b）重点碳排放环节识别</w:t>
      </w:r>
    </w:p>
    <w:p w14:paraId="7956005A">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应</w:t>
      </w:r>
      <w:r>
        <w:rPr>
          <w:rFonts w:hint="eastAsia" w:ascii="仿宋_GB2312" w:hAnsi="仿宋_GB2312" w:eastAsia="仿宋_GB2312" w:cs="仿宋_GB2312"/>
          <w:b w:val="0"/>
          <w:bCs w:val="0"/>
          <w:sz w:val="32"/>
          <w:szCs w:val="32"/>
          <w:highlight w:val="none"/>
          <w:lang w:val="en-US" w:eastAsia="zh-CN"/>
        </w:rPr>
        <w:t>要求</w:t>
      </w:r>
      <w:r>
        <w:rPr>
          <w:rFonts w:hint="eastAsia" w:ascii="仿宋_GB2312" w:hAnsi="仿宋_GB2312" w:eastAsia="仿宋_GB2312" w:cs="仿宋_GB2312"/>
          <w:b w:val="0"/>
          <w:bCs w:val="0"/>
          <w:sz w:val="32"/>
          <w:szCs w:val="32"/>
          <w:lang w:val="en-US" w:eastAsia="zh-CN"/>
        </w:rPr>
        <w:t>分析影响产品或服务碳足迹的关键因素，如能源消耗结构、生产工艺水平、原材料类型、运输方式、使用效率等，结合产业特点，识别碳足迹重点碳排放环节或阶段。</w:t>
      </w:r>
    </w:p>
    <w:p w14:paraId="104F2C71">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c）减排潜力评估</w:t>
      </w:r>
    </w:p>
    <w:p w14:paraId="211D33FD">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应</w:t>
      </w:r>
      <w:r>
        <w:rPr>
          <w:rFonts w:hint="eastAsia" w:ascii="仿宋_GB2312" w:hAnsi="仿宋_GB2312" w:eastAsia="仿宋_GB2312" w:cs="仿宋_GB2312"/>
          <w:b w:val="0"/>
          <w:bCs w:val="0"/>
          <w:sz w:val="32"/>
          <w:szCs w:val="32"/>
          <w:highlight w:val="none"/>
          <w:lang w:val="en-US" w:eastAsia="zh-CN"/>
        </w:rPr>
        <w:t>要求</w:t>
      </w:r>
      <w:r>
        <w:rPr>
          <w:rFonts w:hint="eastAsia" w:ascii="仿宋_GB2312" w:hAnsi="仿宋_GB2312" w:eastAsia="仿宋_GB2312" w:cs="仿宋_GB2312"/>
          <w:b w:val="0"/>
          <w:bCs w:val="0"/>
          <w:sz w:val="32"/>
          <w:szCs w:val="32"/>
          <w:lang w:val="en-US" w:eastAsia="zh-CN"/>
        </w:rPr>
        <w:t>针对关键排放阶段和驱动因素，评估产品或服务的碳减排潜力，提出潜在的减排措施或技术路径</w:t>
      </w:r>
      <w:r>
        <w:rPr>
          <w:rFonts w:hint="eastAsia" w:ascii="仿宋_GB2312" w:hAnsi="仿宋_GB2312" w:eastAsia="仿宋_GB2312" w:cs="仿宋_GB2312"/>
          <w:b w:val="0"/>
          <w:bCs w:val="0"/>
          <w:sz w:val="32"/>
          <w:szCs w:val="32"/>
        </w:rPr>
        <w:t>。</w:t>
      </w:r>
    </w:p>
    <w:p w14:paraId="4552D30B">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（2）不确定性评估与敏感性分析</w:t>
      </w:r>
    </w:p>
    <w:p w14:paraId="2435E7EA">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应</w:t>
      </w:r>
      <w:r>
        <w:rPr>
          <w:rFonts w:hint="eastAsia" w:ascii="仿宋_GB2312" w:hAnsi="仿宋_GB2312" w:eastAsia="仿宋_GB2312" w:cs="仿宋_GB2312"/>
          <w:b w:val="0"/>
          <w:bCs w:val="0"/>
          <w:sz w:val="32"/>
          <w:szCs w:val="32"/>
          <w:highlight w:val="none"/>
          <w:lang w:val="en-US" w:eastAsia="zh-CN"/>
        </w:rPr>
        <w:t>对数据和碳足迹量化结果的不确定性与敏感性给出评估分析，评估方法宜在附录中明确。</w:t>
      </w:r>
    </w:p>
    <w:p w14:paraId="15C3E34D">
      <w:pPr>
        <w:keepNext/>
        <w:keepLines/>
        <w:pageBreakBefore w:val="0"/>
        <w:widowControl w:val="0"/>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lang w:val="en-US" w:eastAsia="zh-CN" w:bidi="ar-SA"/>
        </w:rPr>
      </w:pPr>
      <w:bookmarkStart w:id="237" w:name="_Toc3094"/>
      <w:bookmarkStart w:id="238" w:name="_Toc1349295521"/>
      <w:bookmarkStart w:id="239" w:name="_Toc27198"/>
      <w:bookmarkStart w:id="240" w:name="_Toc6598"/>
      <w:bookmarkStart w:id="241" w:name="_Toc15702"/>
      <w:bookmarkStart w:id="242" w:name="_Toc13041"/>
      <w:bookmarkStart w:id="243" w:name="heading_40"/>
      <w:bookmarkStart w:id="244" w:name="_Toc184848054"/>
      <w:bookmarkStart w:id="245" w:name="_Toc6410"/>
      <w:r>
        <w:rPr>
          <w:rFonts w:hint="eastAsia" w:ascii="仿宋_GB2312" w:hAnsi="仿宋_GB2312" w:eastAsia="仿宋_GB2312" w:cs="仿宋_GB2312"/>
          <w:b w:val="0"/>
          <w:bCs w:val="0"/>
          <w:kern w:val="44"/>
          <w:sz w:val="32"/>
          <w:szCs w:val="32"/>
          <w:lang w:val="en-US" w:eastAsia="zh-CN" w:bidi="ar-SA"/>
        </w:rPr>
        <w:t>8.产品碳足迹报告</w:t>
      </w:r>
      <w:bookmarkEnd w:id="237"/>
      <w:bookmarkEnd w:id="238"/>
      <w:bookmarkEnd w:id="239"/>
      <w:bookmarkEnd w:id="240"/>
      <w:bookmarkEnd w:id="241"/>
      <w:bookmarkEnd w:id="242"/>
      <w:bookmarkEnd w:id="243"/>
      <w:bookmarkEnd w:id="244"/>
      <w:bookmarkEnd w:id="245"/>
    </w:p>
    <w:p w14:paraId="52B8409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宋体" w:hAnsi="宋体" w:eastAsia="宋体" w:cs="宋体"/>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核算方法</w:t>
      </w:r>
      <w:r>
        <w:rPr>
          <w:rFonts w:hint="eastAsia" w:ascii="仿宋_GB2312" w:hAnsi="仿宋_GB2312" w:eastAsia="仿宋_GB2312" w:cs="仿宋_GB2312"/>
          <w:b w:val="0"/>
          <w:bCs w:val="0"/>
          <w:sz w:val="32"/>
          <w:szCs w:val="32"/>
          <w:lang w:val="en-US" w:eastAsia="zh-CN"/>
        </w:rPr>
        <w:t>附录应明确</w:t>
      </w:r>
      <w:r>
        <w:rPr>
          <w:rFonts w:hint="eastAsia" w:ascii="仿宋_GB2312" w:hAnsi="仿宋_GB2312" w:eastAsia="仿宋_GB2312" w:cs="仿宋_GB2312"/>
          <w:b w:val="0"/>
          <w:bCs w:val="0"/>
          <w:sz w:val="32"/>
          <w:szCs w:val="32"/>
          <w:highlight w:val="none"/>
        </w:rPr>
        <w:t>碳足迹报告</w:t>
      </w:r>
      <w:r>
        <w:rPr>
          <w:rFonts w:hint="eastAsia" w:ascii="仿宋_GB2312" w:hAnsi="仿宋_GB2312" w:eastAsia="仿宋_GB2312" w:cs="仿宋_GB2312"/>
          <w:b w:val="0"/>
          <w:bCs w:val="0"/>
          <w:sz w:val="32"/>
          <w:szCs w:val="32"/>
          <w:highlight w:val="none"/>
          <w:lang w:eastAsia="zh-CN"/>
        </w:rPr>
        <w:t>模板。</w:t>
      </w:r>
      <w:r>
        <w:rPr>
          <w:rFonts w:hint="eastAsia" w:ascii="仿宋_GB2312" w:hAnsi="仿宋_GB2312" w:eastAsia="仿宋_GB2312" w:cs="仿宋_GB2312"/>
          <w:b w:val="0"/>
          <w:bCs w:val="0"/>
          <w:sz w:val="32"/>
          <w:szCs w:val="32"/>
          <w:highlight w:val="none"/>
          <w:lang w:val="en-US" w:eastAsia="zh-CN"/>
        </w:rPr>
        <w:t>碳足迹报告格式</w:t>
      </w:r>
      <w:r>
        <w:rPr>
          <w:rFonts w:hint="eastAsia" w:ascii="仿宋_GB2312" w:hAnsi="仿宋_GB2312" w:eastAsia="仿宋_GB2312" w:cs="仿宋_GB2312"/>
          <w:b w:val="0"/>
          <w:bCs w:val="0"/>
          <w:sz w:val="32"/>
          <w:szCs w:val="32"/>
          <w:highlight w:val="none"/>
        </w:rPr>
        <w:t>应符合GB/T 24067中7.3要求，同时</w:t>
      </w:r>
      <w:r>
        <w:rPr>
          <w:rFonts w:hint="eastAsia" w:ascii="仿宋_GB2312" w:hAnsi="仿宋_GB2312" w:eastAsia="仿宋_GB2312" w:cs="仿宋_GB2312"/>
          <w:b w:val="0"/>
          <w:bCs w:val="0"/>
          <w:sz w:val="32"/>
          <w:szCs w:val="32"/>
          <w:highlight w:val="none"/>
          <w:lang w:eastAsia="zh-CN"/>
        </w:rPr>
        <w:t>可</w:t>
      </w:r>
      <w:r>
        <w:rPr>
          <w:rFonts w:hint="eastAsia" w:ascii="仿宋_GB2312" w:hAnsi="仿宋_GB2312" w:eastAsia="仿宋_GB2312" w:cs="仿宋_GB2312"/>
          <w:b w:val="0"/>
          <w:bCs w:val="0"/>
          <w:sz w:val="32"/>
          <w:szCs w:val="32"/>
          <w:highlight w:val="none"/>
        </w:rPr>
        <w:t>结合实际情况增加本地化内容，确保报告的完整性、准确性、透明性和可比性。</w:t>
      </w:r>
    </w:p>
    <w:p w14:paraId="5C827AED">
      <w:pPr>
        <w:pStyle w:val="3"/>
        <w:spacing w:before="0" w:beforeLines="0" w:after="0" w:afterLines="0" w:line="560" w:lineRule="exact"/>
        <w:ind w:firstLine="640" w:firstLineChars="200"/>
        <w:jc w:val="left"/>
        <w:rPr>
          <w:rFonts w:hint="eastAsia" w:ascii="黑体" w:hAnsi="黑体" w:eastAsia="黑体" w:cs="黑体"/>
          <w:b w:val="0"/>
          <w:bCs w:val="0"/>
          <w:kern w:val="44"/>
          <w:sz w:val="32"/>
          <w:szCs w:val="32"/>
          <w:lang w:val="en-US" w:eastAsia="zh-CN" w:bidi="ar-SA"/>
        </w:rPr>
      </w:pPr>
      <w:bookmarkStart w:id="246" w:name="_Toc27468"/>
      <w:bookmarkStart w:id="247" w:name="_Toc26213"/>
      <w:bookmarkStart w:id="248" w:name="_Toc31772"/>
      <w:bookmarkStart w:id="249" w:name="_Toc22203"/>
      <w:bookmarkStart w:id="250" w:name="_Toc30287"/>
      <w:bookmarkStart w:id="251" w:name="_Toc27049"/>
      <w:bookmarkStart w:id="252" w:name="_Toc14645"/>
      <w:bookmarkStart w:id="253" w:name="_Toc27712"/>
      <w:bookmarkStart w:id="254" w:name="_Toc30940"/>
      <w:bookmarkStart w:id="255" w:name="_Toc6624"/>
      <w:bookmarkStart w:id="256" w:name="_Toc3067"/>
      <w:bookmarkStart w:id="257" w:name="_Toc4171"/>
      <w:bookmarkStart w:id="258" w:name="_Toc31276"/>
      <w:bookmarkStart w:id="259" w:name="heading_44"/>
      <w:bookmarkStart w:id="260" w:name="_Toc24395"/>
      <w:bookmarkStart w:id="261" w:name="_Toc25238"/>
      <w:bookmarkStart w:id="262" w:name="_Toc7380"/>
      <w:bookmarkStart w:id="263" w:name="_Toc32750"/>
      <w:bookmarkStart w:id="264" w:name="_Toc19464"/>
      <w:bookmarkStart w:id="265" w:name="_Toc27729"/>
      <w:bookmarkStart w:id="266" w:name="_Toc19475"/>
      <w:bookmarkStart w:id="267" w:name="_Toc10376"/>
      <w:bookmarkStart w:id="268" w:name="_Toc1870529541"/>
      <w:bookmarkStart w:id="269" w:name="_Toc24632"/>
      <w:bookmarkStart w:id="270" w:name="_Toc22777"/>
      <w:bookmarkStart w:id="271" w:name="_Toc9417"/>
      <w:bookmarkStart w:id="272" w:name="_Toc8185"/>
      <w:bookmarkStart w:id="273" w:name="_Toc22340"/>
      <w:bookmarkStart w:id="274" w:name="_Toc1278250848"/>
      <w:bookmarkStart w:id="275" w:name="_Toc2361"/>
      <w:r>
        <w:rPr>
          <w:rFonts w:hint="eastAsia" w:ascii="黑体" w:hAnsi="黑体" w:eastAsia="黑体" w:cs="黑体"/>
          <w:b w:val="0"/>
          <w:bCs w:val="0"/>
          <w:kern w:val="44"/>
          <w:sz w:val="32"/>
          <w:szCs w:val="32"/>
          <w:lang w:val="en-US" w:eastAsia="zh-CN" w:bidi="ar-SA"/>
        </w:rPr>
        <w:t>四、附则</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28FEE72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本指南由北京市生态环境局会同相关部门负责解释。</w:t>
      </w:r>
    </w:p>
    <w:p w14:paraId="1EBD695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本指南自发布之日起实施。</w:t>
      </w:r>
    </w:p>
    <w:p w14:paraId="2872D40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p>
    <w:p w14:paraId="4B31F08F">
      <w:pPr>
        <w:pageBreakBefore w:val="0"/>
        <w:widowControl w:val="0"/>
        <w:kinsoku/>
        <w:wordWrap/>
        <w:overflowPunct/>
        <w:autoSpaceDE/>
        <w:autoSpaceDN/>
        <w:bidi w:val="0"/>
        <w:snapToGrid/>
        <w:spacing w:beforeLines="0" w:afterLines="0" w:line="560" w:lineRule="exact"/>
        <w:ind w:left="1918" w:leftChars="304" w:hanging="1280" w:hangingChars="4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附：</w:t>
      </w:r>
      <w:r>
        <w:rPr>
          <w:rFonts w:hint="eastAsia" w:ascii="仿宋_GB2312" w:hAnsi="仿宋_GB2312" w:eastAsia="仿宋_GB2312" w:cs="仿宋_GB2312"/>
          <w:b w:val="0"/>
          <w:bCs w:val="0"/>
          <w:sz w:val="32"/>
          <w:szCs w:val="32"/>
          <w:lang w:val="en-US" w:eastAsia="zh-CN"/>
        </w:rPr>
        <w:t>1.北京市产品和服务碳足迹核算方法文本框架</w:t>
      </w:r>
    </w:p>
    <w:p w14:paraId="1EF65CBC">
      <w:pPr>
        <w:pageBreakBefore w:val="0"/>
        <w:widowControl w:val="0"/>
        <w:kinsoku/>
        <w:wordWrap/>
        <w:overflowPunct/>
        <w:autoSpaceDE/>
        <w:autoSpaceDN/>
        <w:bidi w:val="0"/>
        <w:snapToGrid/>
        <w:spacing w:beforeLines="0" w:afterLines="0" w:line="560" w:lineRule="exact"/>
        <w:ind w:left="1918" w:leftChars="304" w:hanging="1280" w:hangingChars="4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2.北京市产品和服务碳足迹核算方法编制说明</w:t>
      </w:r>
    </w:p>
    <w:p w14:paraId="4A9DAE3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0" w:firstLineChars="0"/>
        <w:jc w:val="left"/>
        <w:textAlignment w:val="auto"/>
        <w:outlineLvl w:val="9"/>
        <w:rPr>
          <w:rFonts w:hint="default" w:ascii="黑体" w:hAnsi="黑体" w:eastAsia="黑体" w:cs="黑体"/>
          <w:b w:val="0"/>
          <w:bCs w:val="0"/>
          <w:kern w:val="44"/>
          <w:sz w:val="32"/>
          <w:szCs w:val="32"/>
          <w:lang w:val="en-US" w:eastAsia="zh-CN" w:bidi="ar-SA"/>
        </w:rPr>
      </w:pPr>
      <w:r>
        <w:rPr>
          <w:rFonts w:hint="eastAsia" w:ascii="黑体" w:hAnsi="黑体" w:eastAsia="黑体" w:cs="黑体"/>
          <w:b w:val="0"/>
          <w:bCs w:val="0"/>
          <w:kern w:val="44"/>
          <w:sz w:val="32"/>
          <w:szCs w:val="32"/>
          <w:lang w:val="en-US" w:eastAsia="zh-CN" w:bidi="ar-SA"/>
        </w:rPr>
        <w:br w:type="page"/>
      </w:r>
      <w:r>
        <w:rPr>
          <w:rFonts w:hint="eastAsia" w:ascii="黑体" w:hAnsi="黑体" w:eastAsia="黑体" w:cs="黑体"/>
          <w:b w:val="0"/>
          <w:bCs w:val="0"/>
          <w:kern w:val="44"/>
          <w:sz w:val="32"/>
          <w:szCs w:val="32"/>
          <w:lang w:val="en-US" w:eastAsia="zh-CN" w:bidi="ar-SA"/>
        </w:rPr>
        <w:t>附1</w:t>
      </w:r>
    </w:p>
    <w:p w14:paraId="18F34F3A">
      <w:pPr>
        <w:pageBreakBefore w:val="0"/>
        <w:widowControl w:val="0"/>
        <w:kinsoku/>
        <w:wordWrap/>
        <w:overflowPunct/>
        <w:autoSpaceDE/>
        <w:autoSpaceDN/>
        <w:bidi w:val="0"/>
        <w:snapToGrid/>
        <w:spacing w:beforeLines="0" w:afterLines="0" w:line="560" w:lineRule="exact"/>
        <w:ind w:left="0" w:firstLine="640" w:firstLineChars="200"/>
        <w:jc w:val="center"/>
        <w:textAlignment w:val="auto"/>
        <w:rPr>
          <w:rFonts w:hint="eastAsia" w:ascii="黑体" w:hAnsi="黑体" w:eastAsia="黑体" w:cs="黑体"/>
          <w:b w:val="0"/>
          <w:bCs w:val="0"/>
          <w:sz w:val="32"/>
          <w:szCs w:val="32"/>
          <w:lang w:eastAsia="zh-CN"/>
        </w:rPr>
      </w:pPr>
    </w:p>
    <w:p w14:paraId="7A651F11">
      <w:pPr>
        <w:pageBreakBefore w:val="0"/>
        <w:widowControl w:val="0"/>
        <w:kinsoku/>
        <w:wordWrap/>
        <w:overflowPunct/>
        <w:autoSpaceDE/>
        <w:autoSpaceDN/>
        <w:bidi w:val="0"/>
        <w:snapToGrid/>
        <w:spacing w:beforeLines="0" w:afterLines="0" w:line="560" w:lineRule="exact"/>
        <w:ind w:left="0"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北京市</w:t>
      </w:r>
      <w:r>
        <w:rPr>
          <w:rFonts w:hint="eastAsia" w:ascii="方正小标宋简体" w:hAnsi="方正小标宋简体" w:eastAsia="方正小标宋简体" w:cs="方正小标宋简体"/>
          <w:b w:val="0"/>
          <w:bCs w:val="0"/>
          <w:sz w:val="44"/>
          <w:szCs w:val="44"/>
        </w:rPr>
        <w:t>产品</w:t>
      </w:r>
      <w:r>
        <w:rPr>
          <w:rFonts w:hint="eastAsia" w:ascii="方正小标宋简体" w:hAnsi="方正小标宋简体" w:eastAsia="方正小标宋简体" w:cs="方正小标宋简体"/>
          <w:b w:val="0"/>
          <w:bCs w:val="0"/>
          <w:sz w:val="44"/>
          <w:szCs w:val="44"/>
          <w:lang w:eastAsia="zh-CN"/>
        </w:rPr>
        <w:t>和服务</w:t>
      </w:r>
      <w:r>
        <w:rPr>
          <w:rFonts w:hint="eastAsia" w:ascii="方正小标宋简体" w:hAnsi="方正小标宋简体" w:eastAsia="方正小标宋简体" w:cs="方正小标宋简体"/>
          <w:b w:val="0"/>
          <w:bCs w:val="0"/>
          <w:sz w:val="44"/>
          <w:szCs w:val="44"/>
        </w:rPr>
        <w:t>碳足迹</w:t>
      </w:r>
      <w:r>
        <w:rPr>
          <w:rFonts w:hint="eastAsia" w:ascii="方正小标宋简体" w:hAnsi="方正小标宋简体" w:eastAsia="方正小标宋简体" w:cs="方正小标宋简体"/>
          <w:b w:val="0"/>
          <w:bCs w:val="0"/>
          <w:sz w:val="44"/>
          <w:szCs w:val="44"/>
          <w:lang w:val="en-US" w:eastAsia="zh-CN"/>
        </w:rPr>
        <w:t>核算</w:t>
      </w:r>
      <w:r>
        <w:rPr>
          <w:rFonts w:hint="eastAsia" w:ascii="方正小标宋简体" w:hAnsi="方正小标宋简体" w:eastAsia="方正小标宋简体" w:cs="方正小标宋简体"/>
          <w:b w:val="0"/>
          <w:bCs w:val="0"/>
          <w:sz w:val="44"/>
          <w:szCs w:val="44"/>
          <w:lang w:eastAsia="zh-CN"/>
        </w:rPr>
        <w:t>方法</w:t>
      </w:r>
    </w:p>
    <w:p w14:paraId="1D05CD57">
      <w:pPr>
        <w:pageBreakBefore w:val="0"/>
        <w:widowControl w:val="0"/>
        <w:kinsoku/>
        <w:wordWrap/>
        <w:overflowPunct/>
        <w:autoSpaceDE/>
        <w:autoSpaceDN/>
        <w:bidi w:val="0"/>
        <w:snapToGrid/>
        <w:spacing w:beforeLines="0" w:afterLines="0" w:line="560" w:lineRule="exact"/>
        <w:ind w:left="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文本</w:t>
      </w:r>
      <w:r>
        <w:rPr>
          <w:rFonts w:hint="eastAsia" w:ascii="方正小标宋简体" w:hAnsi="方正小标宋简体" w:eastAsia="方正小标宋简体" w:cs="方正小标宋简体"/>
          <w:b w:val="0"/>
          <w:bCs w:val="0"/>
          <w:sz w:val="44"/>
          <w:szCs w:val="44"/>
        </w:rPr>
        <w:t>框架</w:t>
      </w:r>
    </w:p>
    <w:p w14:paraId="29180AA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宋体" w:hAnsi="宋体" w:eastAsia="宋体" w:cs="宋体"/>
          <w:b w:val="0"/>
          <w:bCs w:val="0"/>
          <w:sz w:val="32"/>
          <w:szCs w:val="32"/>
        </w:rPr>
      </w:pPr>
    </w:p>
    <w:p w14:paraId="181CA18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碳足迹</w:t>
      </w:r>
      <w:r>
        <w:rPr>
          <w:rFonts w:hint="eastAsia" w:ascii="仿宋_GB2312" w:hAnsi="仿宋_GB2312" w:eastAsia="仿宋_GB2312" w:cs="仿宋_GB2312"/>
          <w:b w:val="0"/>
          <w:bCs w:val="0"/>
          <w:sz w:val="32"/>
          <w:szCs w:val="32"/>
          <w:lang w:val="en-US" w:eastAsia="zh-CN"/>
        </w:rPr>
        <w:t>核算</w:t>
      </w:r>
      <w:r>
        <w:rPr>
          <w:rFonts w:hint="eastAsia" w:ascii="仿宋_GB2312" w:hAnsi="仿宋_GB2312" w:eastAsia="仿宋_GB2312" w:cs="仿宋_GB2312"/>
          <w:b w:val="0"/>
          <w:bCs w:val="0"/>
          <w:sz w:val="32"/>
          <w:szCs w:val="32"/>
          <w:lang w:eastAsia="zh-CN"/>
        </w:rPr>
        <w:t>标准或技术规范</w:t>
      </w:r>
      <w:r>
        <w:rPr>
          <w:rFonts w:hint="eastAsia" w:ascii="仿宋_GB2312" w:hAnsi="仿宋_GB2312" w:eastAsia="仿宋_GB2312" w:cs="仿宋_GB2312"/>
          <w:b w:val="0"/>
          <w:bCs w:val="0"/>
          <w:sz w:val="32"/>
          <w:szCs w:val="32"/>
        </w:rPr>
        <w:t>包括以下内容。</w:t>
      </w:r>
    </w:p>
    <w:p w14:paraId="14F5D4F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 </w:t>
      </w:r>
      <w:r>
        <w:rPr>
          <w:rFonts w:hint="eastAsia" w:ascii="仿宋_GB2312" w:hAnsi="仿宋_GB2312" w:eastAsia="仿宋_GB2312" w:cs="仿宋_GB2312"/>
          <w:b w:val="0"/>
          <w:bCs w:val="0"/>
          <w:sz w:val="32"/>
          <w:szCs w:val="32"/>
        </w:rPr>
        <w:t>范围</w:t>
      </w:r>
    </w:p>
    <w:p w14:paraId="35957C2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sz w:val="32"/>
          <w:szCs w:val="32"/>
        </w:rPr>
        <w:t xml:space="preserve"> 标准的主要内容</w:t>
      </w:r>
      <w:r>
        <w:rPr>
          <w:rFonts w:hint="eastAsia" w:ascii="仿宋_GB2312" w:hAnsi="仿宋_GB2312" w:eastAsia="仿宋_GB2312" w:cs="仿宋_GB2312"/>
          <w:b w:val="0"/>
          <w:bCs w:val="0"/>
          <w:sz w:val="32"/>
          <w:szCs w:val="32"/>
          <w:lang w:eastAsia="zh-CN"/>
        </w:rPr>
        <w:t>；</w:t>
      </w:r>
    </w:p>
    <w:p w14:paraId="67BBC40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 xml:space="preserve"> 适用的产品和服务范围。</w:t>
      </w:r>
    </w:p>
    <w:p w14:paraId="6B63242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2 </w:t>
      </w:r>
      <w:r>
        <w:rPr>
          <w:rFonts w:hint="eastAsia" w:ascii="仿宋_GB2312" w:hAnsi="仿宋_GB2312" w:eastAsia="仿宋_GB2312" w:cs="仿宋_GB2312"/>
          <w:b w:val="0"/>
          <w:bCs w:val="0"/>
          <w:sz w:val="32"/>
          <w:szCs w:val="32"/>
        </w:rPr>
        <w:t>规范性引用文件</w:t>
      </w:r>
    </w:p>
    <w:p w14:paraId="146AC3D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3 </w:t>
      </w:r>
      <w:r>
        <w:rPr>
          <w:rFonts w:hint="eastAsia" w:ascii="仿宋_GB2312" w:hAnsi="仿宋_GB2312" w:eastAsia="仿宋_GB2312" w:cs="仿宋_GB2312"/>
          <w:b w:val="0"/>
          <w:bCs w:val="0"/>
          <w:sz w:val="32"/>
          <w:szCs w:val="32"/>
        </w:rPr>
        <w:t>术语和定义</w:t>
      </w:r>
    </w:p>
    <w:p w14:paraId="2A3D139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4 </w:t>
      </w:r>
      <w:r>
        <w:rPr>
          <w:rFonts w:hint="eastAsia" w:ascii="仿宋_GB2312" w:hAnsi="仿宋_GB2312" w:eastAsia="仿宋_GB2312" w:cs="仿宋_GB2312"/>
          <w:b w:val="0"/>
          <w:bCs w:val="0"/>
          <w:sz w:val="32"/>
          <w:szCs w:val="32"/>
        </w:rPr>
        <w:t>量化目的</w:t>
      </w:r>
    </w:p>
    <w:p w14:paraId="2B457EA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4.1 </w:t>
      </w:r>
      <w:r>
        <w:rPr>
          <w:rFonts w:hint="eastAsia" w:ascii="仿宋_GB2312" w:hAnsi="仿宋_GB2312" w:eastAsia="仿宋_GB2312" w:cs="仿宋_GB2312"/>
          <w:b w:val="0"/>
          <w:bCs w:val="0"/>
          <w:sz w:val="32"/>
          <w:szCs w:val="32"/>
        </w:rPr>
        <w:t>应用意图</w:t>
      </w:r>
      <w:r>
        <w:rPr>
          <w:rFonts w:hint="eastAsia" w:ascii="仿宋_GB2312" w:hAnsi="仿宋_GB2312" w:eastAsia="仿宋_GB2312" w:cs="仿宋_GB2312"/>
          <w:b w:val="0"/>
          <w:bCs w:val="0"/>
          <w:sz w:val="32"/>
          <w:szCs w:val="32"/>
          <w:lang w:eastAsia="zh-CN"/>
        </w:rPr>
        <w:t>；</w:t>
      </w:r>
    </w:p>
    <w:p w14:paraId="24AD580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4.2 </w:t>
      </w:r>
      <w:r>
        <w:rPr>
          <w:rFonts w:hint="eastAsia" w:ascii="仿宋_GB2312" w:hAnsi="仿宋_GB2312" w:eastAsia="仿宋_GB2312" w:cs="仿宋_GB2312"/>
          <w:b w:val="0"/>
          <w:bCs w:val="0"/>
          <w:sz w:val="32"/>
          <w:szCs w:val="32"/>
        </w:rPr>
        <w:t>开展产品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碳足迹研究的理由</w:t>
      </w:r>
      <w:r>
        <w:rPr>
          <w:rFonts w:hint="eastAsia" w:ascii="仿宋_GB2312" w:hAnsi="仿宋_GB2312" w:eastAsia="仿宋_GB2312" w:cs="仿宋_GB2312"/>
          <w:b w:val="0"/>
          <w:bCs w:val="0"/>
          <w:sz w:val="32"/>
          <w:szCs w:val="32"/>
          <w:lang w:eastAsia="zh-CN"/>
        </w:rPr>
        <w:t>；</w:t>
      </w:r>
    </w:p>
    <w:p w14:paraId="375425B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4.3</w:t>
      </w:r>
      <w:r>
        <w:rPr>
          <w:rFonts w:hint="eastAsia" w:ascii="仿宋_GB2312" w:hAnsi="仿宋_GB2312" w:eastAsia="仿宋_GB2312" w:cs="仿宋_GB2312"/>
          <w:b w:val="0"/>
          <w:bCs w:val="0"/>
          <w:sz w:val="32"/>
          <w:szCs w:val="32"/>
        </w:rPr>
        <w:t>目标受众</w:t>
      </w:r>
      <w:r>
        <w:rPr>
          <w:rFonts w:hint="eastAsia" w:ascii="仿宋_GB2312" w:hAnsi="仿宋_GB2312" w:eastAsia="仿宋_GB2312" w:cs="仿宋_GB2312"/>
          <w:b w:val="0"/>
          <w:bCs w:val="0"/>
          <w:sz w:val="32"/>
          <w:szCs w:val="32"/>
          <w:lang w:eastAsia="zh-CN"/>
        </w:rPr>
        <w:t>；</w:t>
      </w:r>
    </w:p>
    <w:p w14:paraId="504B8D3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4.4 </w:t>
      </w:r>
      <w:r>
        <w:rPr>
          <w:rFonts w:hint="eastAsia" w:ascii="仿宋_GB2312" w:hAnsi="仿宋_GB2312" w:eastAsia="仿宋_GB2312" w:cs="仿宋_GB2312"/>
          <w:b w:val="0"/>
          <w:bCs w:val="0"/>
          <w:sz w:val="32"/>
          <w:szCs w:val="32"/>
        </w:rPr>
        <w:t>符合GB/T 24026‑2026《环境标志和声明 足迹信息交流的原则、要求和指南》，计划交流的产品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碳足迹或部分碳足迹的信息(如有)。</w:t>
      </w:r>
    </w:p>
    <w:p w14:paraId="76BBAEB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5 </w:t>
      </w:r>
      <w:r>
        <w:rPr>
          <w:rFonts w:hint="eastAsia" w:ascii="仿宋_GB2312" w:hAnsi="仿宋_GB2312" w:eastAsia="仿宋_GB2312" w:cs="仿宋_GB2312"/>
          <w:b w:val="0"/>
          <w:bCs w:val="0"/>
          <w:sz w:val="32"/>
          <w:szCs w:val="32"/>
        </w:rPr>
        <w:t>量化范围</w:t>
      </w:r>
    </w:p>
    <w:p w14:paraId="1C4E69A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5.1 </w:t>
      </w:r>
      <w:r>
        <w:rPr>
          <w:rFonts w:hint="eastAsia" w:ascii="仿宋_GB2312" w:hAnsi="仿宋_GB2312" w:eastAsia="仿宋_GB2312" w:cs="仿宋_GB2312"/>
          <w:b w:val="0"/>
          <w:bCs w:val="0"/>
          <w:sz w:val="32"/>
          <w:szCs w:val="32"/>
        </w:rPr>
        <w:t>功能单位或声明单位</w:t>
      </w:r>
    </w:p>
    <w:p w14:paraId="6CBC5D7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 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说明，包括功能和技术参数</w:t>
      </w:r>
      <w:r>
        <w:rPr>
          <w:rFonts w:hint="eastAsia" w:ascii="仿宋_GB2312" w:hAnsi="仿宋_GB2312" w:eastAsia="仿宋_GB2312" w:cs="仿宋_GB2312"/>
          <w:b w:val="0"/>
          <w:bCs w:val="0"/>
          <w:sz w:val="32"/>
          <w:szCs w:val="32"/>
          <w:lang w:eastAsia="zh-CN"/>
        </w:rPr>
        <w:t>；</w:t>
      </w:r>
    </w:p>
    <w:p w14:paraId="2D659DE8">
      <w:pPr>
        <w:pageBreakBefore w:val="0"/>
        <w:widowControl w:val="0"/>
        <w:kinsoku/>
        <w:wordWrap/>
        <w:overflowPunct/>
        <w:autoSpaceDE/>
        <w:autoSpaceDN/>
        <w:bidi w:val="0"/>
        <w:snapToGrid/>
        <w:spacing w:beforeLines="0" w:afterLines="0" w:line="560" w:lineRule="exact"/>
        <w:ind w:lef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 功能单位或声明单位以及基准流。</w:t>
      </w:r>
    </w:p>
    <w:p w14:paraId="416AB73C">
      <w:pPr>
        <w:pageBreakBefore w:val="0"/>
        <w:widowControl w:val="0"/>
        <w:kinsoku/>
        <w:wordWrap/>
        <w:overflowPunct/>
        <w:autoSpaceDE/>
        <w:autoSpaceDN/>
        <w:bidi w:val="0"/>
        <w:snapToGrid/>
        <w:spacing w:beforeLines="0" w:afterLines="0" w:line="560" w:lineRule="exact"/>
        <w:ind w:lef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5.2</w:t>
      </w:r>
      <w:r>
        <w:rPr>
          <w:rFonts w:hint="eastAsia" w:ascii="仿宋_GB2312" w:hAnsi="仿宋_GB2312" w:eastAsia="仿宋_GB2312" w:cs="仿宋_GB2312"/>
          <w:b w:val="0"/>
          <w:bCs w:val="0"/>
          <w:sz w:val="32"/>
          <w:szCs w:val="32"/>
        </w:rPr>
        <w:t xml:space="preserve"> 系统边界</w:t>
      </w:r>
    </w:p>
    <w:p w14:paraId="57A416E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 产品和服务的系统边界涵盖其生命周期阶段及系统边界图</w:t>
      </w:r>
      <w:r>
        <w:rPr>
          <w:rFonts w:hint="eastAsia" w:ascii="仿宋_GB2312" w:hAnsi="仿宋_GB2312" w:eastAsia="仿宋_GB2312" w:cs="仿宋_GB2312"/>
          <w:b w:val="0"/>
          <w:bCs w:val="0"/>
          <w:sz w:val="32"/>
          <w:szCs w:val="32"/>
          <w:lang w:eastAsia="zh-CN"/>
        </w:rPr>
        <w:t>；</w:t>
      </w:r>
    </w:p>
    <w:p w14:paraId="2B8E7D8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 取舍准则(如适用)</w:t>
      </w:r>
      <w:r>
        <w:rPr>
          <w:rFonts w:hint="eastAsia" w:ascii="仿宋_GB2312" w:hAnsi="仿宋_GB2312" w:eastAsia="仿宋_GB2312" w:cs="仿宋_GB2312"/>
          <w:b w:val="0"/>
          <w:bCs w:val="0"/>
          <w:sz w:val="32"/>
          <w:szCs w:val="32"/>
          <w:lang w:eastAsia="zh-CN"/>
        </w:rPr>
        <w:t>；</w:t>
      </w:r>
    </w:p>
    <w:p w14:paraId="36ACC68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rPr>
        <w:t>) 生命周期各阶段的描述，包括对选定的使用阶段和生命末期阶段假设情景的描述(如适用)。</w:t>
      </w:r>
    </w:p>
    <w:p w14:paraId="3AED4B2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6 </w:t>
      </w:r>
      <w:r>
        <w:rPr>
          <w:rFonts w:hint="eastAsia" w:ascii="仿宋_GB2312" w:hAnsi="仿宋_GB2312" w:eastAsia="仿宋_GB2312" w:cs="仿宋_GB2312"/>
          <w:b w:val="0"/>
          <w:bCs w:val="0"/>
          <w:sz w:val="32"/>
          <w:szCs w:val="32"/>
        </w:rPr>
        <w:t>清单分析</w:t>
      </w:r>
    </w:p>
    <w:p w14:paraId="42C2F2C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6.1</w:t>
      </w:r>
      <w:r>
        <w:rPr>
          <w:rFonts w:hint="eastAsia" w:ascii="仿宋_GB2312" w:hAnsi="仿宋_GB2312" w:eastAsia="仿宋_GB2312" w:cs="仿宋_GB2312"/>
          <w:b w:val="0"/>
          <w:bCs w:val="0"/>
          <w:sz w:val="32"/>
          <w:szCs w:val="32"/>
        </w:rPr>
        <w:t xml:space="preserve"> 数据收集和审定</w:t>
      </w:r>
    </w:p>
    <w:p w14:paraId="3D09CCB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 初级数据收集和审定</w:t>
      </w:r>
      <w:r>
        <w:rPr>
          <w:rFonts w:hint="eastAsia" w:ascii="仿宋_GB2312" w:hAnsi="仿宋_GB2312" w:eastAsia="仿宋_GB2312" w:cs="仿宋_GB2312"/>
          <w:b w:val="0"/>
          <w:bCs w:val="0"/>
          <w:sz w:val="32"/>
          <w:szCs w:val="32"/>
          <w:lang w:eastAsia="zh-CN"/>
        </w:rPr>
        <w:t>；</w:t>
      </w:r>
    </w:p>
    <w:p w14:paraId="3321098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 次级数据收集和审定</w:t>
      </w:r>
      <w:r>
        <w:rPr>
          <w:rFonts w:hint="eastAsia" w:ascii="仿宋_GB2312" w:hAnsi="仿宋_GB2312" w:eastAsia="仿宋_GB2312" w:cs="仿宋_GB2312"/>
          <w:b w:val="0"/>
          <w:bCs w:val="0"/>
          <w:sz w:val="32"/>
          <w:szCs w:val="32"/>
          <w:lang w:eastAsia="zh-CN"/>
        </w:rPr>
        <w:t>。</w:t>
      </w:r>
    </w:p>
    <w:p w14:paraId="638F2E9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6.2 </w:t>
      </w:r>
      <w:r>
        <w:rPr>
          <w:rFonts w:hint="eastAsia" w:ascii="仿宋_GB2312" w:hAnsi="仿宋_GB2312" w:eastAsia="仿宋_GB2312" w:cs="仿宋_GB2312"/>
          <w:b w:val="0"/>
          <w:bCs w:val="0"/>
          <w:sz w:val="32"/>
          <w:szCs w:val="32"/>
        </w:rPr>
        <w:t>将数据关联到单元过程和功能单位或声明单位</w:t>
      </w:r>
      <w:r>
        <w:rPr>
          <w:rFonts w:hint="eastAsia" w:ascii="仿宋_GB2312" w:hAnsi="仿宋_GB2312" w:eastAsia="仿宋_GB2312" w:cs="仿宋_GB2312"/>
          <w:b w:val="0"/>
          <w:bCs w:val="0"/>
          <w:sz w:val="32"/>
          <w:szCs w:val="32"/>
          <w:lang w:eastAsia="zh-CN"/>
        </w:rPr>
        <w:t>；</w:t>
      </w:r>
    </w:p>
    <w:p w14:paraId="607BBA0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6.3</w:t>
      </w:r>
      <w:r>
        <w:rPr>
          <w:rFonts w:hint="eastAsia" w:ascii="仿宋_GB2312" w:hAnsi="仿宋_GB2312" w:eastAsia="仿宋_GB2312" w:cs="仿宋_GB2312"/>
          <w:b w:val="0"/>
          <w:bCs w:val="0"/>
          <w:sz w:val="32"/>
          <w:szCs w:val="32"/>
        </w:rPr>
        <w:t>系统边界调整</w:t>
      </w:r>
      <w:r>
        <w:rPr>
          <w:rFonts w:hint="eastAsia" w:ascii="仿宋_GB2312" w:hAnsi="仿宋_GB2312" w:eastAsia="仿宋_GB2312" w:cs="仿宋_GB2312"/>
          <w:b w:val="0"/>
          <w:bCs w:val="0"/>
          <w:sz w:val="32"/>
          <w:szCs w:val="32"/>
          <w:lang w:eastAsia="zh-CN"/>
        </w:rPr>
        <w:t>；</w:t>
      </w:r>
    </w:p>
    <w:p w14:paraId="20B6B87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6.4 </w:t>
      </w:r>
      <w:r>
        <w:rPr>
          <w:rFonts w:hint="eastAsia" w:ascii="仿宋_GB2312" w:hAnsi="仿宋_GB2312" w:eastAsia="仿宋_GB2312" w:cs="仿宋_GB2312"/>
          <w:b w:val="0"/>
          <w:bCs w:val="0"/>
          <w:sz w:val="32"/>
          <w:szCs w:val="32"/>
        </w:rPr>
        <w:t>分配原则。</w:t>
      </w:r>
    </w:p>
    <w:p w14:paraId="76DFF76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 碳足迹</w:t>
      </w:r>
      <w:r>
        <w:rPr>
          <w:rFonts w:hint="eastAsia" w:ascii="仿宋_GB2312" w:hAnsi="仿宋_GB2312" w:eastAsia="仿宋_GB2312" w:cs="仿宋_GB2312"/>
          <w:b w:val="0"/>
          <w:bCs w:val="0"/>
          <w:sz w:val="32"/>
          <w:szCs w:val="32"/>
        </w:rPr>
        <w:t>影响评价</w:t>
      </w:r>
    </w:p>
    <w:p w14:paraId="2B93905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7.1 </w:t>
      </w:r>
      <w:r>
        <w:rPr>
          <w:rFonts w:hint="eastAsia" w:ascii="仿宋_GB2312" w:hAnsi="仿宋_GB2312" w:eastAsia="仿宋_GB2312" w:cs="仿宋_GB2312"/>
          <w:b w:val="0"/>
          <w:bCs w:val="0"/>
          <w:sz w:val="32"/>
          <w:szCs w:val="32"/>
        </w:rPr>
        <w:t>碳足迹计算方法</w:t>
      </w:r>
      <w:r>
        <w:rPr>
          <w:rFonts w:hint="eastAsia" w:ascii="仿宋_GB2312" w:hAnsi="仿宋_GB2312" w:eastAsia="仿宋_GB2312" w:cs="仿宋_GB2312"/>
          <w:b w:val="0"/>
          <w:bCs w:val="0"/>
          <w:sz w:val="32"/>
          <w:szCs w:val="32"/>
          <w:lang w:val="en-US" w:eastAsia="zh-CN"/>
        </w:rPr>
        <w:t>;</w:t>
      </w:r>
    </w:p>
    <w:p w14:paraId="16F44F7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 xml:space="preserve">2 </w:t>
      </w:r>
      <w:r>
        <w:rPr>
          <w:rFonts w:hint="eastAsia" w:ascii="仿宋_GB2312" w:hAnsi="仿宋_GB2312" w:eastAsia="仿宋_GB2312" w:cs="仿宋_GB2312"/>
          <w:b w:val="0"/>
          <w:bCs w:val="0"/>
          <w:sz w:val="32"/>
          <w:szCs w:val="32"/>
          <w:lang w:eastAsia="zh-CN"/>
        </w:rPr>
        <w:t>计算</w:t>
      </w:r>
      <w:r>
        <w:rPr>
          <w:rFonts w:hint="eastAsia" w:ascii="仿宋_GB2312" w:hAnsi="仿宋_GB2312" w:eastAsia="仿宋_GB2312" w:cs="仿宋_GB2312"/>
          <w:b w:val="0"/>
          <w:bCs w:val="0"/>
          <w:sz w:val="32"/>
          <w:szCs w:val="32"/>
        </w:rPr>
        <w:t>参数</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选取。</w:t>
      </w:r>
    </w:p>
    <w:p w14:paraId="03C6D69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 xml:space="preserve"> 结果解释，包括具体产品和服务碳足迹研究结果解释阶段的步骤和内容要求。</w:t>
      </w:r>
    </w:p>
    <w:p w14:paraId="5B99028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9 </w:t>
      </w:r>
      <w:r>
        <w:rPr>
          <w:rFonts w:hint="eastAsia" w:ascii="仿宋_GB2312" w:hAnsi="仿宋_GB2312" w:eastAsia="仿宋_GB2312" w:cs="仿宋_GB2312"/>
          <w:b w:val="0"/>
          <w:bCs w:val="0"/>
          <w:sz w:val="32"/>
          <w:szCs w:val="32"/>
        </w:rPr>
        <w:t>产品和服务碳足迹报告。</w:t>
      </w:r>
    </w:p>
    <w:p w14:paraId="405BD3F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10 </w:t>
      </w:r>
      <w:r>
        <w:rPr>
          <w:rFonts w:hint="eastAsia" w:ascii="仿宋_GB2312" w:hAnsi="仿宋_GB2312" w:eastAsia="仿宋_GB2312" w:cs="仿宋_GB2312"/>
          <w:b w:val="0"/>
          <w:bCs w:val="0"/>
          <w:sz w:val="32"/>
          <w:szCs w:val="32"/>
        </w:rPr>
        <w:t>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碳足迹声明。</w:t>
      </w:r>
    </w:p>
    <w:p w14:paraId="5A0CA18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11 </w:t>
      </w:r>
      <w:r>
        <w:rPr>
          <w:rFonts w:hint="eastAsia" w:ascii="仿宋_GB2312" w:hAnsi="仿宋_GB2312" w:eastAsia="仿宋_GB2312" w:cs="仿宋_GB2312"/>
          <w:b w:val="0"/>
          <w:bCs w:val="0"/>
          <w:sz w:val="32"/>
          <w:szCs w:val="32"/>
        </w:rPr>
        <w:t>附录</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A(资料性)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产品和服务碳足迹量化数据收集表。</w:t>
      </w:r>
    </w:p>
    <w:p w14:paraId="389B93F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12 </w:t>
      </w:r>
      <w:r>
        <w:rPr>
          <w:rFonts w:hint="eastAsia" w:ascii="仿宋_GB2312" w:hAnsi="仿宋_GB2312" w:eastAsia="仿宋_GB2312" w:cs="仿宋_GB2312"/>
          <w:b w:val="0"/>
          <w:bCs w:val="0"/>
          <w:sz w:val="32"/>
          <w:szCs w:val="32"/>
        </w:rPr>
        <w:t>附录</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B(资料性)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碳足迹报告。</w:t>
      </w:r>
    </w:p>
    <w:p w14:paraId="01151D7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13</w:t>
      </w:r>
      <w:r>
        <w:rPr>
          <w:rFonts w:hint="eastAsia" w:ascii="仿宋_GB2312" w:hAnsi="仿宋_GB2312" w:eastAsia="仿宋_GB2312" w:cs="仿宋_GB2312"/>
          <w:b w:val="0"/>
          <w:bCs w:val="0"/>
          <w:sz w:val="32"/>
          <w:szCs w:val="32"/>
        </w:rPr>
        <w:t>附录</w:t>
      </w:r>
      <w:r>
        <w:rPr>
          <w:rFonts w:hint="eastAsia" w:ascii="仿宋_GB2312" w:hAnsi="仿宋_GB2312" w:eastAsia="仿宋_GB2312" w:cs="仿宋_GB2312"/>
          <w:b w:val="0"/>
          <w:bCs w:val="0"/>
          <w:sz w:val="32"/>
          <w:szCs w:val="32"/>
          <w:lang w:val="en-US" w:eastAsia="zh-CN"/>
        </w:rPr>
        <w:t xml:space="preserve"> C</w:t>
      </w:r>
      <w:r>
        <w:rPr>
          <w:rFonts w:hint="eastAsia" w:ascii="仿宋_GB2312" w:hAnsi="仿宋_GB2312" w:eastAsia="仿宋_GB2312" w:cs="仿宋_GB2312"/>
          <w:b w:val="0"/>
          <w:bCs w:val="0"/>
          <w:sz w:val="32"/>
          <w:szCs w:val="32"/>
        </w:rPr>
        <w:t>(资料性)产品和服务碳足迹</w:t>
      </w:r>
      <w:r>
        <w:rPr>
          <w:rFonts w:hint="eastAsia" w:ascii="仿宋_GB2312" w:hAnsi="仿宋_GB2312" w:eastAsia="仿宋_GB2312" w:cs="仿宋_GB2312"/>
          <w:b w:val="0"/>
          <w:bCs w:val="0"/>
          <w:sz w:val="32"/>
          <w:szCs w:val="32"/>
          <w:highlight w:val="none"/>
          <w:lang w:val="en-US" w:eastAsia="zh-CN"/>
        </w:rPr>
        <w:t>不确定性与敏感性评估方法</w:t>
      </w:r>
    </w:p>
    <w:p w14:paraId="4FDC96E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14其他附录</w:t>
      </w:r>
    </w:p>
    <w:p w14:paraId="772D7A72">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firstLine="0" w:firstLineChars="0"/>
        <w:jc w:val="left"/>
        <w:textAlignment w:val="auto"/>
        <w:outlineLvl w:val="9"/>
        <w:rPr>
          <w:rFonts w:hint="default" w:ascii="黑体" w:hAnsi="黑体" w:eastAsia="黑体" w:cs="黑体"/>
          <w:b w:val="0"/>
          <w:bCs w:val="0"/>
          <w:kern w:val="44"/>
          <w:sz w:val="32"/>
          <w:szCs w:val="32"/>
          <w:lang w:val="en-US" w:eastAsia="zh-CN" w:bidi="ar-SA"/>
        </w:rPr>
      </w:pPr>
      <w:r>
        <w:rPr>
          <w:rFonts w:hint="eastAsia" w:ascii="宋体" w:hAnsi="宋体" w:eastAsia="宋体" w:cs="宋体"/>
          <w:b w:val="0"/>
          <w:bCs w:val="0"/>
          <w:sz w:val="32"/>
          <w:szCs w:val="32"/>
        </w:rPr>
        <w:br w:type="page"/>
      </w:r>
      <w:r>
        <w:rPr>
          <w:rFonts w:hint="eastAsia" w:ascii="黑体" w:hAnsi="黑体" w:eastAsia="黑体" w:cs="黑体"/>
          <w:b w:val="0"/>
          <w:bCs w:val="0"/>
          <w:kern w:val="44"/>
          <w:sz w:val="32"/>
          <w:szCs w:val="32"/>
          <w:lang w:val="en-US" w:eastAsia="zh-CN" w:bidi="ar-SA"/>
        </w:rPr>
        <w:t>附2</w:t>
      </w:r>
    </w:p>
    <w:p w14:paraId="07EB92B7">
      <w:pPr>
        <w:pageBreakBefore w:val="0"/>
        <w:widowControl w:val="0"/>
        <w:kinsoku/>
        <w:wordWrap/>
        <w:overflowPunct/>
        <w:autoSpaceDE/>
        <w:autoSpaceDN/>
        <w:bidi w:val="0"/>
        <w:snapToGrid/>
        <w:spacing w:beforeLines="0" w:afterLines="0" w:line="560" w:lineRule="exact"/>
        <w:ind w:left="0" w:firstLine="880" w:firstLineChars="200"/>
        <w:jc w:val="center"/>
        <w:textAlignment w:val="auto"/>
        <w:rPr>
          <w:rFonts w:hint="eastAsia" w:ascii="方正小标宋简体" w:hAnsi="方正小标宋简体" w:eastAsia="方正小标宋简体" w:cs="方正小标宋简体"/>
          <w:b w:val="0"/>
          <w:bCs w:val="0"/>
          <w:sz w:val="44"/>
          <w:szCs w:val="44"/>
          <w:lang w:eastAsia="zh-CN"/>
        </w:rPr>
      </w:pPr>
    </w:p>
    <w:p w14:paraId="4C3E1567">
      <w:pPr>
        <w:pageBreakBefore w:val="0"/>
        <w:widowControl w:val="0"/>
        <w:kinsoku/>
        <w:wordWrap/>
        <w:overflowPunct/>
        <w:autoSpaceDE/>
        <w:autoSpaceDN/>
        <w:bidi w:val="0"/>
        <w:snapToGrid/>
        <w:spacing w:beforeLines="0" w:afterLines="0" w:line="560" w:lineRule="exact"/>
        <w:ind w:left="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北京市</w:t>
      </w:r>
      <w:r>
        <w:rPr>
          <w:rFonts w:hint="eastAsia" w:ascii="方正小标宋简体" w:hAnsi="方正小标宋简体" w:eastAsia="方正小标宋简体" w:cs="方正小标宋简体"/>
          <w:b w:val="0"/>
          <w:bCs w:val="0"/>
          <w:sz w:val="44"/>
          <w:szCs w:val="44"/>
        </w:rPr>
        <w:t>产品</w:t>
      </w:r>
      <w:r>
        <w:rPr>
          <w:rFonts w:hint="eastAsia" w:ascii="方正小标宋简体" w:hAnsi="方正小标宋简体" w:eastAsia="方正小标宋简体" w:cs="方正小标宋简体"/>
          <w:b w:val="0"/>
          <w:bCs w:val="0"/>
          <w:sz w:val="44"/>
          <w:szCs w:val="44"/>
          <w:lang w:eastAsia="zh-CN"/>
        </w:rPr>
        <w:t>和服务</w:t>
      </w:r>
      <w:r>
        <w:rPr>
          <w:rFonts w:hint="eastAsia" w:ascii="方正小标宋简体" w:hAnsi="方正小标宋简体" w:eastAsia="方正小标宋简体" w:cs="方正小标宋简体"/>
          <w:b w:val="0"/>
          <w:bCs w:val="0"/>
          <w:sz w:val="44"/>
          <w:szCs w:val="44"/>
        </w:rPr>
        <w:t>碳足迹</w:t>
      </w:r>
      <w:r>
        <w:rPr>
          <w:rFonts w:hint="eastAsia" w:ascii="方正小标宋简体" w:hAnsi="方正小标宋简体" w:eastAsia="方正小标宋简体" w:cs="方正小标宋简体"/>
          <w:b w:val="0"/>
          <w:bCs w:val="0"/>
          <w:sz w:val="44"/>
          <w:szCs w:val="44"/>
          <w:lang w:val="en-US" w:eastAsia="zh-CN"/>
        </w:rPr>
        <w:t>核算</w:t>
      </w:r>
      <w:r>
        <w:rPr>
          <w:rFonts w:hint="eastAsia" w:ascii="方正小标宋简体" w:hAnsi="方正小标宋简体" w:eastAsia="方正小标宋简体" w:cs="方正小标宋简体"/>
          <w:b w:val="0"/>
          <w:bCs w:val="0"/>
          <w:sz w:val="44"/>
          <w:szCs w:val="44"/>
          <w:lang w:eastAsia="zh-CN"/>
        </w:rPr>
        <w:t>方法</w:t>
      </w:r>
    </w:p>
    <w:p w14:paraId="7E7C650C">
      <w:pPr>
        <w:pageBreakBefore w:val="0"/>
        <w:widowControl w:val="0"/>
        <w:kinsoku/>
        <w:wordWrap/>
        <w:overflowPunct/>
        <w:autoSpaceDE/>
        <w:autoSpaceDN/>
        <w:bidi w:val="0"/>
        <w:snapToGrid/>
        <w:spacing w:beforeLines="0" w:afterLines="0" w:line="560" w:lineRule="exact"/>
        <w:ind w:left="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编制说明</w:t>
      </w:r>
    </w:p>
    <w:p w14:paraId="79368D7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宋体" w:hAnsi="宋体" w:eastAsia="宋体" w:cs="宋体"/>
          <w:b w:val="0"/>
          <w:bCs w:val="0"/>
          <w:sz w:val="32"/>
          <w:szCs w:val="32"/>
        </w:rPr>
      </w:pPr>
    </w:p>
    <w:p w14:paraId="5286DDA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一、工作简况</w:t>
      </w:r>
    </w:p>
    <w:p w14:paraId="29ADE79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（一）任务来源</w:t>
      </w:r>
    </w:p>
    <w:p w14:paraId="409BCC0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说明碳足迹核算方法编制工作委托缘由。</w:t>
      </w:r>
    </w:p>
    <w:p w14:paraId="54360A4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（二）工作背景和意义</w:t>
      </w:r>
    </w:p>
    <w:p w14:paraId="2CE4BDC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sz w:val="32"/>
          <w:szCs w:val="32"/>
          <w:lang w:val="en-US" w:eastAsia="zh-CN"/>
        </w:rPr>
        <w:t>阐述行业背景和现状、存在的痛点和难点，说明编制的目标和必要性。</w:t>
      </w:r>
    </w:p>
    <w:p w14:paraId="001C927E">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应满足北京市“双碳”目标管理需求，根据北京市</w:t>
      </w:r>
      <w:r>
        <w:rPr>
          <w:rFonts w:hint="eastAsia" w:ascii="仿宋_GB2312" w:hAnsi="仿宋_GB2312" w:eastAsia="仿宋_GB2312" w:cs="仿宋_GB2312"/>
          <w:b w:val="0"/>
          <w:bCs w:val="0"/>
          <w:sz w:val="32"/>
          <w:szCs w:val="32"/>
          <w:lang w:eastAsia="zh-CN"/>
        </w:rPr>
        <w:t>先进制造业、现代服务业、</w:t>
      </w:r>
      <w:r>
        <w:rPr>
          <w:rFonts w:hint="eastAsia" w:ascii="仿宋_GB2312" w:hAnsi="仿宋_GB2312" w:eastAsia="仿宋_GB2312" w:cs="仿宋_GB2312"/>
          <w:b w:val="0"/>
          <w:bCs w:val="0"/>
          <w:sz w:val="32"/>
          <w:szCs w:val="32"/>
          <w:lang w:val="en-US" w:eastAsia="zh-CN"/>
        </w:rPr>
        <w:t>区域特色产业</w:t>
      </w:r>
      <w:r>
        <w:rPr>
          <w:rFonts w:hint="eastAsia" w:ascii="仿宋_GB2312" w:hAnsi="仿宋_GB2312" w:eastAsia="仿宋_GB2312" w:cs="仿宋_GB2312"/>
          <w:b w:val="0"/>
          <w:bCs w:val="0"/>
          <w:sz w:val="32"/>
          <w:szCs w:val="32"/>
          <w:lang w:eastAsia="zh-CN"/>
        </w:rPr>
        <w:t>发展</w:t>
      </w:r>
      <w:r>
        <w:rPr>
          <w:rFonts w:hint="eastAsia" w:ascii="仿宋_GB2312" w:hAnsi="仿宋_GB2312" w:eastAsia="仿宋_GB2312" w:cs="仿宋_GB2312"/>
          <w:b w:val="0"/>
          <w:bCs w:val="0"/>
          <w:sz w:val="32"/>
          <w:szCs w:val="32"/>
        </w:rPr>
        <w:t>需求，</w:t>
      </w:r>
      <w:r>
        <w:rPr>
          <w:rFonts w:hint="eastAsia" w:ascii="仿宋_GB2312" w:hAnsi="仿宋_GB2312" w:eastAsia="仿宋_GB2312" w:cs="仿宋_GB2312"/>
          <w:b w:val="0"/>
          <w:bCs w:val="0"/>
          <w:sz w:val="32"/>
          <w:szCs w:val="32"/>
          <w:lang w:val="en-US" w:eastAsia="zh-CN"/>
        </w:rPr>
        <w:t>重点</w:t>
      </w:r>
      <w:r>
        <w:rPr>
          <w:rFonts w:hint="eastAsia" w:ascii="仿宋_GB2312" w:hAnsi="仿宋_GB2312" w:eastAsia="仿宋_GB2312" w:cs="仿宋_GB2312"/>
          <w:b w:val="0"/>
          <w:bCs w:val="0"/>
          <w:sz w:val="32"/>
          <w:szCs w:val="32"/>
        </w:rPr>
        <w:t>聚焦新一代信息技术、智能网联汽车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医药健康、</w:t>
      </w:r>
      <w:r>
        <w:rPr>
          <w:rFonts w:hint="eastAsia" w:ascii="仿宋_GB2312" w:hAnsi="仿宋_GB2312" w:eastAsia="仿宋_GB2312" w:cs="仿宋_GB2312"/>
          <w:b w:val="0"/>
          <w:bCs w:val="0"/>
          <w:sz w:val="32"/>
          <w:szCs w:val="32"/>
          <w:lang w:val="en-US" w:eastAsia="zh-CN"/>
        </w:rPr>
        <w:t>电子电器</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人工智能、数据中心与算力服务、</w:t>
      </w:r>
      <w:r>
        <w:rPr>
          <w:rFonts w:hint="eastAsia" w:ascii="仿宋_GB2312" w:hAnsi="仿宋_GB2312" w:eastAsia="仿宋_GB2312" w:cs="仿宋_GB2312"/>
          <w:b w:val="0"/>
          <w:bCs w:val="0"/>
          <w:sz w:val="32"/>
          <w:szCs w:val="32"/>
          <w:lang w:val="en-US" w:eastAsia="zh-CN"/>
        </w:rPr>
        <w:t>特色农业、物流、会展、金融等</w:t>
      </w:r>
      <w:r>
        <w:rPr>
          <w:rFonts w:hint="eastAsia" w:ascii="仿宋_GB2312" w:hAnsi="仿宋_GB2312" w:eastAsia="仿宋_GB2312" w:cs="仿宋_GB2312"/>
          <w:b w:val="0"/>
          <w:bCs w:val="0"/>
          <w:sz w:val="32"/>
          <w:szCs w:val="32"/>
        </w:rPr>
        <w:t>领域。</w:t>
      </w:r>
      <w:r>
        <w:rPr>
          <w:rFonts w:hint="eastAsia" w:ascii="仿宋_GB2312" w:hAnsi="仿宋_GB2312" w:eastAsia="仿宋_GB2312" w:cs="仿宋_GB2312"/>
          <w:b w:val="0"/>
          <w:bCs w:val="0"/>
          <w:sz w:val="32"/>
          <w:szCs w:val="32"/>
          <w:lang w:val="en-US" w:eastAsia="zh-CN"/>
        </w:rPr>
        <w:t>需</w:t>
      </w:r>
      <w:r>
        <w:rPr>
          <w:rFonts w:hint="eastAsia" w:ascii="仿宋_GB2312" w:hAnsi="仿宋_GB2312" w:eastAsia="仿宋_GB2312" w:cs="仿宋_GB2312"/>
          <w:b w:val="0"/>
          <w:bCs w:val="0"/>
          <w:sz w:val="32"/>
          <w:szCs w:val="32"/>
        </w:rPr>
        <w:t>结合北京市产业特点和产品功能特性分析</w:t>
      </w:r>
      <w:r>
        <w:rPr>
          <w:rFonts w:hint="eastAsia" w:ascii="仿宋_GB2312" w:hAnsi="仿宋_GB2312" w:eastAsia="仿宋_GB2312" w:cs="仿宋_GB2312"/>
          <w:b w:val="0"/>
          <w:bCs w:val="0"/>
          <w:sz w:val="32"/>
          <w:szCs w:val="32"/>
          <w:lang w:eastAsia="zh-CN"/>
        </w:rPr>
        <w:t>相关</w:t>
      </w:r>
      <w:r>
        <w:rPr>
          <w:rFonts w:hint="eastAsia" w:ascii="仿宋_GB2312" w:hAnsi="仿宋_GB2312" w:eastAsia="仿宋_GB2312" w:cs="仿宋_GB2312"/>
          <w:b w:val="0"/>
          <w:bCs w:val="0"/>
          <w:sz w:val="32"/>
          <w:szCs w:val="32"/>
        </w:rPr>
        <w:t>产品的市场规模、</w:t>
      </w:r>
      <w:r>
        <w:rPr>
          <w:rFonts w:hint="eastAsia" w:ascii="仿宋_GB2312" w:hAnsi="仿宋_GB2312" w:eastAsia="仿宋_GB2312" w:cs="仿宋_GB2312"/>
          <w:b w:val="0"/>
          <w:bCs w:val="0"/>
          <w:sz w:val="32"/>
          <w:szCs w:val="32"/>
          <w:lang w:eastAsia="zh-CN"/>
        </w:rPr>
        <w:t>产业链覆盖率</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上下游配套企业数量、</w:t>
      </w:r>
      <w:r>
        <w:rPr>
          <w:rFonts w:hint="eastAsia" w:ascii="仿宋_GB2312" w:hAnsi="仿宋_GB2312" w:eastAsia="仿宋_GB2312" w:cs="仿宋_GB2312"/>
          <w:b w:val="0"/>
          <w:bCs w:val="0"/>
          <w:sz w:val="32"/>
          <w:szCs w:val="32"/>
        </w:rPr>
        <w:t>数据可获得性、减排潜力等</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详细说明核算方法编制的背景及必要性，以及对绿色低碳高质量发展的促进作用，尽可能用政策依据和量化数据做支撑</w:t>
      </w:r>
      <w:r>
        <w:rPr>
          <w:rFonts w:hint="eastAsia" w:ascii="仿宋_GB2312" w:hAnsi="仿宋_GB2312" w:eastAsia="仿宋_GB2312" w:cs="仿宋_GB2312"/>
          <w:b w:val="0"/>
          <w:bCs w:val="0"/>
          <w:sz w:val="32"/>
          <w:szCs w:val="32"/>
        </w:rPr>
        <w:t>。</w:t>
      </w:r>
    </w:p>
    <w:p w14:paraId="52068DB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（三）主要编制过程</w:t>
      </w:r>
    </w:p>
    <w:p w14:paraId="5796762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1.前期准备阶段</w:t>
      </w:r>
    </w:p>
    <w:p w14:paraId="00FF90B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需求分析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开展碳足迹管理需求调研，分析重点行业、重点产品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的碳排放特征及管理痛点，结合产业结构调整、绿色产品认证、碳市场建设、绿色供应链管理等工作需求，明确拟</w:t>
      </w:r>
      <w:r>
        <w:rPr>
          <w:rFonts w:hint="eastAsia" w:ascii="仿宋_GB2312" w:hAnsi="仿宋_GB2312" w:eastAsia="仿宋_GB2312" w:cs="仿宋_GB2312"/>
          <w:b w:val="0"/>
          <w:bCs w:val="0"/>
          <w:sz w:val="32"/>
          <w:szCs w:val="32"/>
          <w:lang w:eastAsia="zh-CN"/>
        </w:rPr>
        <w:t>编制核算方法</w:t>
      </w:r>
      <w:r>
        <w:rPr>
          <w:rFonts w:hint="eastAsia" w:ascii="仿宋_GB2312" w:hAnsi="仿宋_GB2312" w:eastAsia="仿宋_GB2312" w:cs="仿宋_GB2312"/>
          <w:b w:val="0"/>
          <w:bCs w:val="0"/>
          <w:sz w:val="32"/>
          <w:szCs w:val="32"/>
        </w:rPr>
        <w:t>的产品种类、适用范围和核心目标。</w:t>
      </w:r>
    </w:p>
    <w:p w14:paraId="734AFE2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现状评估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梳理国家及地方相关法律法规、政策文件、标准规范，评估现有国家产品碳足迹标准的适用性，分析北京市已发布的温室气体排放核算标准、行业污染控制标准等与拟制定碳足迹标准的衔接点和差异点。同时，调研北京市相关行业的生产工艺水平、能源资源消耗情况、碳排放控制技术现状及数据收集能力，识别</w:t>
      </w:r>
      <w:r>
        <w:rPr>
          <w:rFonts w:hint="eastAsia" w:ascii="仿宋_GB2312" w:hAnsi="仿宋_GB2312" w:eastAsia="仿宋_GB2312" w:cs="仿宋_GB2312"/>
          <w:b w:val="0"/>
          <w:bCs w:val="0"/>
          <w:sz w:val="32"/>
          <w:szCs w:val="32"/>
          <w:lang w:eastAsia="zh-CN"/>
        </w:rPr>
        <w:t>方法</w:t>
      </w:r>
      <w:r>
        <w:rPr>
          <w:rFonts w:hint="eastAsia" w:ascii="仿宋_GB2312" w:hAnsi="仿宋_GB2312" w:eastAsia="仿宋_GB2312" w:cs="仿宋_GB2312"/>
          <w:b w:val="0"/>
          <w:bCs w:val="0"/>
          <w:sz w:val="32"/>
          <w:szCs w:val="32"/>
        </w:rPr>
        <w:t>编制中的关键技术问题和难点。</w:t>
      </w:r>
    </w:p>
    <w:p w14:paraId="3B6B1FA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rPr>
        <w:t>组建编制团队</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说明起草团队成员及分工情况</w:t>
      </w:r>
      <w:r>
        <w:rPr>
          <w:rFonts w:hint="eastAsia" w:ascii="仿宋_GB2312" w:hAnsi="仿宋_GB2312" w:eastAsia="仿宋_GB2312" w:cs="仿宋_GB2312"/>
          <w:b w:val="0"/>
          <w:bCs w:val="0"/>
          <w:sz w:val="32"/>
          <w:szCs w:val="32"/>
        </w:rPr>
        <w:t>等。</w:t>
      </w:r>
    </w:p>
    <w:p w14:paraId="5DCE9F8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2.数据调研与收集分析</w:t>
      </w:r>
    </w:p>
    <w:p w14:paraId="58546D4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行业数据收集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收集相关产品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的行业发展报告、统计年鉴、产能产量数据、生产工艺资料、能源资源消耗统计数据、污染物排放数据等，分析行业整体碳排放水平和特征。</w:t>
      </w:r>
    </w:p>
    <w:p w14:paraId="4D83B0E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企业调研数据收集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根据产品生产工艺类型、产品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的规模、区域分布、市场占比等因素，筛选具有代表性的企业开展现场调研。</w:t>
      </w:r>
      <w:r>
        <w:rPr>
          <w:rFonts w:hint="eastAsia" w:ascii="仿宋_GB2312" w:hAnsi="仿宋_GB2312" w:eastAsia="仿宋_GB2312" w:cs="仿宋_GB2312"/>
          <w:b w:val="0"/>
          <w:bCs w:val="0"/>
          <w:sz w:val="32"/>
          <w:szCs w:val="32"/>
          <w:lang w:eastAsia="zh-CN"/>
        </w:rPr>
        <w:t>介绍调研基本情况和主要成果</w:t>
      </w:r>
      <w:r>
        <w:rPr>
          <w:rFonts w:hint="eastAsia" w:ascii="仿宋_GB2312" w:hAnsi="仿宋_GB2312" w:eastAsia="仿宋_GB2312" w:cs="仿宋_GB2312"/>
          <w:b w:val="0"/>
          <w:bCs w:val="0"/>
          <w:sz w:val="32"/>
          <w:szCs w:val="32"/>
        </w:rPr>
        <w:t>。</w:t>
      </w:r>
    </w:p>
    <w:p w14:paraId="71C756B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rPr>
        <w:t>数据</w:t>
      </w:r>
      <w:r>
        <w:rPr>
          <w:rFonts w:hint="eastAsia" w:ascii="仿宋_GB2312" w:hAnsi="仿宋_GB2312" w:eastAsia="仿宋_GB2312" w:cs="仿宋_GB2312"/>
          <w:b w:val="0"/>
          <w:bCs w:val="0"/>
          <w:sz w:val="32"/>
          <w:szCs w:val="32"/>
          <w:lang w:val="en-US" w:eastAsia="zh-CN"/>
        </w:rPr>
        <w:t>分析</w:t>
      </w:r>
      <w:r>
        <w:rPr>
          <w:rFonts w:hint="eastAsia" w:ascii="仿宋_GB2312" w:hAnsi="仿宋_GB2312" w:eastAsia="仿宋_GB2312" w:cs="仿宋_GB2312"/>
          <w:b w:val="0"/>
          <w:bCs w:val="0"/>
          <w:sz w:val="32"/>
          <w:szCs w:val="32"/>
        </w:rPr>
        <w:t>验证</w:t>
      </w:r>
      <w:r>
        <w:rPr>
          <w:rFonts w:hint="eastAsia" w:ascii="仿宋_GB2312" w:hAnsi="仿宋_GB2312" w:eastAsia="仿宋_GB2312" w:cs="仿宋_GB2312"/>
          <w:b w:val="0"/>
          <w:bCs w:val="0"/>
          <w:sz w:val="32"/>
          <w:szCs w:val="32"/>
          <w:lang w:eastAsia="zh-CN"/>
        </w:rPr>
        <w:t>情况。说明分析验证的依据、方法，调研数据分析结果以及存疑数据的处理方式，</w:t>
      </w:r>
      <w:r>
        <w:rPr>
          <w:rFonts w:hint="eastAsia" w:ascii="仿宋_GB2312" w:hAnsi="仿宋_GB2312" w:eastAsia="仿宋_GB2312" w:cs="仿宋_GB2312"/>
          <w:b w:val="0"/>
          <w:bCs w:val="0"/>
          <w:sz w:val="32"/>
          <w:szCs w:val="32"/>
        </w:rPr>
        <w:t>确保数据的真实性和准确性。</w:t>
      </w:r>
    </w:p>
    <w:p w14:paraId="5B3DD1E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lang w:val="en-US" w:eastAsia="zh-CN" w:bidi="ar-SA"/>
        </w:rPr>
        <w:t>3.</w:t>
      </w:r>
      <w:r>
        <w:rPr>
          <w:rFonts w:hint="eastAsia" w:ascii="仿宋_GB2312" w:hAnsi="仿宋_GB2312" w:eastAsia="仿宋_GB2312" w:cs="仿宋_GB2312"/>
          <w:b w:val="0"/>
          <w:bCs w:val="0"/>
          <w:kern w:val="0"/>
          <w:sz w:val="32"/>
          <w:szCs w:val="32"/>
          <w:highlight w:val="none"/>
          <w:lang w:val="en-US" w:eastAsia="zh-CN" w:bidi="ar-SA"/>
        </w:rPr>
        <w:t>征求意见情况</w:t>
      </w:r>
    </w:p>
    <w:p w14:paraId="7F87F0A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征求意见</w:t>
      </w:r>
      <w:r>
        <w:rPr>
          <w:rFonts w:hint="eastAsia" w:ascii="仿宋_GB2312" w:hAnsi="仿宋_GB2312" w:eastAsia="仿宋_GB2312" w:cs="仿宋_GB2312"/>
          <w:b w:val="0"/>
          <w:bCs w:val="0"/>
          <w:sz w:val="32"/>
          <w:szCs w:val="32"/>
          <w:highlight w:val="none"/>
          <w:lang w:val="en-US" w:eastAsia="zh-CN"/>
        </w:rPr>
        <w:t>相关情况说明</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组织召开征求意见</w:t>
      </w:r>
      <w:r>
        <w:rPr>
          <w:rFonts w:hint="eastAsia" w:ascii="仿宋_GB2312" w:hAnsi="仿宋_GB2312" w:eastAsia="仿宋_GB2312" w:cs="仿宋_GB2312"/>
          <w:b w:val="0"/>
          <w:bCs w:val="0"/>
          <w:sz w:val="32"/>
          <w:szCs w:val="32"/>
          <w:highlight w:val="none"/>
          <w:lang w:val="en-US" w:eastAsia="zh-CN"/>
        </w:rPr>
        <w:t>研讨</w:t>
      </w:r>
      <w:r>
        <w:rPr>
          <w:rFonts w:hint="eastAsia" w:ascii="仿宋_GB2312" w:hAnsi="仿宋_GB2312" w:eastAsia="仿宋_GB2312" w:cs="仿宋_GB2312"/>
          <w:b w:val="0"/>
          <w:bCs w:val="0"/>
          <w:sz w:val="32"/>
          <w:szCs w:val="32"/>
          <w:highlight w:val="none"/>
        </w:rPr>
        <w:t>会，邀请</w:t>
      </w:r>
      <w:r>
        <w:rPr>
          <w:rFonts w:hint="eastAsia" w:ascii="仿宋_GB2312" w:hAnsi="仿宋_GB2312" w:eastAsia="仿宋_GB2312" w:cs="仿宋_GB2312"/>
          <w:b w:val="0"/>
          <w:bCs w:val="0"/>
          <w:sz w:val="32"/>
          <w:szCs w:val="32"/>
          <w:highlight w:val="none"/>
          <w:lang w:eastAsia="zh-CN"/>
        </w:rPr>
        <w:t>行业</w:t>
      </w:r>
      <w:r>
        <w:rPr>
          <w:rFonts w:hint="eastAsia" w:ascii="仿宋_GB2312" w:hAnsi="仿宋_GB2312" w:eastAsia="仿宋_GB2312" w:cs="仿宋_GB2312"/>
          <w:b w:val="0"/>
          <w:bCs w:val="0"/>
          <w:sz w:val="32"/>
          <w:szCs w:val="32"/>
          <w:highlight w:val="none"/>
        </w:rPr>
        <w:t>重点企业、行业专家等进行集中讨论。对收集到的意见进行分类整理</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对不采纳的意见，说明理由并形成意见处理情况说明。</w:t>
      </w:r>
    </w:p>
    <w:p w14:paraId="5BB5EDD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二、核算方法内容说明</w:t>
      </w:r>
    </w:p>
    <w:p w14:paraId="5BCB816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（一）产品种类及适用范围</w:t>
      </w:r>
    </w:p>
    <w:p w14:paraId="658A535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基于需求分析和行业调研，明确</w:t>
      </w:r>
      <w:r>
        <w:rPr>
          <w:rFonts w:hint="eastAsia" w:ascii="仿宋_GB2312" w:hAnsi="仿宋_GB2312" w:eastAsia="仿宋_GB2312" w:cs="仿宋_GB2312"/>
          <w:b w:val="0"/>
          <w:bCs w:val="0"/>
          <w:sz w:val="32"/>
          <w:szCs w:val="32"/>
          <w:lang w:eastAsia="zh-CN"/>
        </w:rPr>
        <w:t>核算方法</w:t>
      </w:r>
      <w:r>
        <w:rPr>
          <w:rFonts w:hint="eastAsia" w:ascii="仿宋_GB2312" w:hAnsi="仿宋_GB2312" w:eastAsia="仿宋_GB2312" w:cs="仿宋_GB2312"/>
          <w:b w:val="0"/>
          <w:bCs w:val="0"/>
          <w:sz w:val="32"/>
          <w:szCs w:val="32"/>
        </w:rPr>
        <w:t>产品种类，明确适用</w:t>
      </w:r>
      <w:r>
        <w:rPr>
          <w:rFonts w:hint="eastAsia" w:ascii="仿宋_GB2312" w:hAnsi="仿宋_GB2312" w:eastAsia="仿宋_GB2312" w:cs="仿宋_GB2312"/>
          <w:b w:val="0"/>
          <w:bCs w:val="0"/>
          <w:sz w:val="32"/>
          <w:szCs w:val="32"/>
          <w:lang w:val="en-US" w:eastAsia="zh-CN"/>
        </w:rPr>
        <w:t>范围、适用</w:t>
      </w:r>
      <w:r>
        <w:rPr>
          <w:rFonts w:hint="eastAsia" w:ascii="仿宋_GB2312" w:hAnsi="仿宋_GB2312" w:eastAsia="仿宋_GB2312" w:cs="仿宋_GB2312"/>
          <w:b w:val="0"/>
          <w:bCs w:val="0"/>
          <w:sz w:val="32"/>
          <w:szCs w:val="32"/>
        </w:rPr>
        <w:t>场景、应用方向及不适用情况。</w:t>
      </w:r>
    </w:p>
    <w:p w14:paraId="273FF2C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（二）量化目的和范围</w:t>
      </w:r>
    </w:p>
    <w:p w14:paraId="67286AAE">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确定量化目的，细化量化范围，</w:t>
      </w:r>
      <w:r>
        <w:rPr>
          <w:rFonts w:hint="eastAsia" w:ascii="仿宋_GB2312" w:hAnsi="仿宋_GB2312" w:eastAsia="仿宋_GB2312" w:cs="仿宋_GB2312"/>
          <w:b w:val="0"/>
          <w:bCs w:val="0"/>
          <w:sz w:val="32"/>
          <w:szCs w:val="32"/>
          <w:lang w:eastAsia="zh-CN"/>
        </w:rPr>
        <w:t>说明</w:t>
      </w:r>
      <w:r>
        <w:rPr>
          <w:rFonts w:hint="eastAsia" w:ascii="仿宋_GB2312" w:hAnsi="仿宋_GB2312" w:eastAsia="仿宋_GB2312" w:cs="仿宋_GB2312"/>
          <w:b w:val="0"/>
          <w:bCs w:val="0"/>
          <w:sz w:val="32"/>
          <w:szCs w:val="32"/>
        </w:rPr>
        <w:t>功能单位/声明单位、系统边界、时间范围、取舍准则等</w:t>
      </w:r>
      <w:r>
        <w:rPr>
          <w:rFonts w:hint="eastAsia" w:ascii="仿宋_GB2312" w:hAnsi="仿宋_GB2312" w:eastAsia="仿宋_GB2312" w:cs="仿宋_GB2312"/>
          <w:b w:val="0"/>
          <w:bCs w:val="0"/>
          <w:sz w:val="32"/>
          <w:szCs w:val="32"/>
          <w:lang w:eastAsia="zh-CN"/>
        </w:rPr>
        <w:t>的合理性</w:t>
      </w:r>
      <w:r>
        <w:rPr>
          <w:rFonts w:hint="eastAsia" w:ascii="仿宋_GB2312" w:hAnsi="仿宋_GB2312" w:eastAsia="仿宋_GB2312" w:cs="仿宋_GB2312"/>
          <w:b w:val="0"/>
          <w:bCs w:val="0"/>
          <w:sz w:val="32"/>
          <w:szCs w:val="32"/>
        </w:rPr>
        <w:t>。</w:t>
      </w:r>
    </w:p>
    <w:p w14:paraId="685B8A2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（三）生命周期清单分析流程</w:t>
      </w:r>
    </w:p>
    <w:p w14:paraId="72A89CF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说明</w:t>
      </w:r>
      <w:r>
        <w:rPr>
          <w:rFonts w:hint="eastAsia" w:ascii="仿宋_GB2312" w:hAnsi="仿宋_GB2312" w:eastAsia="仿宋_GB2312" w:cs="仿宋_GB2312"/>
          <w:b w:val="0"/>
          <w:bCs w:val="0"/>
          <w:sz w:val="32"/>
          <w:szCs w:val="32"/>
        </w:rPr>
        <w:t>数据收集</w:t>
      </w:r>
      <w:r>
        <w:rPr>
          <w:rFonts w:hint="eastAsia" w:ascii="仿宋_GB2312" w:hAnsi="仿宋_GB2312" w:eastAsia="仿宋_GB2312" w:cs="仿宋_GB2312"/>
          <w:b w:val="0"/>
          <w:bCs w:val="0"/>
          <w:sz w:val="32"/>
          <w:szCs w:val="32"/>
          <w:lang w:val="en-US" w:eastAsia="zh-CN"/>
        </w:rPr>
        <w:t>获取</w:t>
      </w:r>
      <w:r>
        <w:rPr>
          <w:rFonts w:hint="eastAsia" w:ascii="仿宋_GB2312" w:hAnsi="仿宋_GB2312" w:eastAsia="仿宋_GB2312" w:cs="仿宋_GB2312"/>
          <w:b w:val="0"/>
          <w:bCs w:val="0"/>
          <w:sz w:val="32"/>
          <w:szCs w:val="32"/>
        </w:rPr>
        <w:t>和使用要求、数据质量评价指标及方法、碳足迹因子选取优先级、数据审定流程、分配规则等</w:t>
      </w:r>
      <w:r>
        <w:rPr>
          <w:rFonts w:hint="eastAsia" w:ascii="仿宋_GB2312" w:hAnsi="仿宋_GB2312" w:eastAsia="仿宋_GB2312" w:cs="仿宋_GB2312"/>
          <w:b w:val="0"/>
          <w:bCs w:val="0"/>
          <w:sz w:val="32"/>
          <w:szCs w:val="32"/>
          <w:lang w:eastAsia="zh-CN"/>
        </w:rPr>
        <w:t>考虑和依据</w:t>
      </w:r>
      <w:r>
        <w:rPr>
          <w:rFonts w:hint="eastAsia" w:ascii="仿宋_GB2312" w:hAnsi="仿宋_GB2312" w:eastAsia="仿宋_GB2312" w:cs="仿宋_GB2312"/>
          <w:b w:val="0"/>
          <w:bCs w:val="0"/>
          <w:sz w:val="32"/>
          <w:szCs w:val="32"/>
        </w:rPr>
        <w:t>。</w:t>
      </w:r>
    </w:p>
    <w:p w14:paraId="4CCBAAC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（四）生命周期影响评价流程</w:t>
      </w:r>
    </w:p>
    <w:p w14:paraId="4EC606A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说明</w:t>
      </w:r>
      <w:r>
        <w:rPr>
          <w:rFonts w:hint="eastAsia" w:ascii="仿宋_GB2312" w:hAnsi="仿宋_GB2312" w:eastAsia="仿宋_GB2312" w:cs="仿宋_GB2312"/>
          <w:b w:val="0"/>
          <w:bCs w:val="0"/>
          <w:sz w:val="32"/>
          <w:szCs w:val="32"/>
        </w:rPr>
        <w:t>温室气体排放与清除的计算模型</w:t>
      </w:r>
      <w:r>
        <w:rPr>
          <w:rFonts w:hint="eastAsia" w:ascii="仿宋_GB2312" w:hAnsi="仿宋_GB2312" w:eastAsia="仿宋_GB2312" w:cs="仿宋_GB2312"/>
          <w:b w:val="0"/>
          <w:bCs w:val="0"/>
          <w:sz w:val="32"/>
          <w:szCs w:val="32"/>
          <w:lang w:eastAsia="zh-CN"/>
        </w:rPr>
        <w:t>选取的理由</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阐述</w:t>
      </w:r>
      <w:r>
        <w:rPr>
          <w:rFonts w:hint="eastAsia" w:ascii="仿宋_GB2312" w:hAnsi="仿宋_GB2312" w:eastAsia="仿宋_GB2312" w:cs="仿宋_GB2312"/>
          <w:b w:val="0"/>
          <w:bCs w:val="0"/>
          <w:sz w:val="32"/>
          <w:szCs w:val="32"/>
        </w:rPr>
        <w:t>排放源识别、参数选取、计算过程等环节技术要求</w:t>
      </w:r>
      <w:r>
        <w:rPr>
          <w:rFonts w:hint="eastAsia" w:ascii="仿宋_GB2312" w:hAnsi="仿宋_GB2312" w:eastAsia="仿宋_GB2312" w:cs="仿宋_GB2312"/>
          <w:b w:val="0"/>
          <w:bCs w:val="0"/>
          <w:sz w:val="32"/>
          <w:szCs w:val="32"/>
          <w:lang w:eastAsia="zh-CN"/>
        </w:rPr>
        <w:t>的考虑和依据</w:t>
      </w:r>
      <w:r>
        <w:rPr>
          <w:rFonts w:hint="eastAsia" w:ascii="仿宋_GB2312" w:hAnsi="仿宋_GB2312" w:eastAsia="仿宋_GB2312" w:cs="仿宋_GB2312"/>
          <w:b w:val="0"/>
          <w:bCs w:val="0"/>
          <w:sz w:val="32"/>
          <w:szCs w:val="32"/>
        </w:rPr>
        <w:t>。</w:t>
      </w:r>
    </w:p>
    <w:p w14:paraId="5289AE1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（五）产品或服务碳足迹报告</w:t>
      </w:r>
    </w:p>
    <w:p w14:paraId="46BBF03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产品碳足迹报告</w:t>
      </w:r>
      <w:r>
        <w:rPr>
          <w:rFonts w:hint="eastAsia" w:ascii="仿宋_GB2312" w:hAnsi="仿宋_GB2312" w:eastAsia="仿宋_GB2312" w:cs="仿宋_GB2312"/>
          <w:b w:val="0"/>
          <w:bCs w:val="0"/>
          <w:sz w:val="32"/>
          <w:szCs w:val="32"/>
          <w:highlight w:val="none"/>
          <w:lang w:val="en-US" w:eastAsia="zh-CN"/>
        </w:rPr>
        <w:t>如与</w:t>
      </w:r>
      <w:r>
        <w:rPr>
          <w:rFonts w:hint="eastAsia" w:ascii="仿宋_GB2312" w:hAnsi="仿宋_GB2312" w:eastAsia="仿宋_GB2312" w:cs="仿宋_GB2312"/>
          <w:b w:val="0"/>
          <w:bCs w:val="0"/>
          <w:sz w:val="32"/>
          <w:szCs w:val="32"/>
          <w:highlight w:val="none"/>
        </w:rPr>
        <w:t>GB/T 24067中7.3要求</w:t>
      </w:r>
      <w:r>
        <w:rPr>
          <w:rFonts w:hint="eastAsia" w:ascii="仿宋_GB2312" w:hAnsi="仿宋_GB2312" w:eastAsia="仿宋_GB2312" w:cs="仿宋_GB2312"/>
          <w:b w:val="0"/>
          <w:bCs w:val="0"/>
          <w:sz w:val="32"/>
          <w:szCs w:val="32"/>
          <w:highlight w:val="none"/>
          <w:lang w:eastAsia="zh-CN"/>
        </w:rPr>
        <w:t>不一致或增加了本地化内容，请说明</w:t>
      </w:r>
      <w:r>
        <w:rPr>
          <w:rFonts w:hint="eastAsia" w:ascii="仿宋_GB2312" w:hAnsi="仿宋_GB2312" w:eastAsia="仿宋_GB2312" w:cs="仿宋_GB2312"/>
          <w:b w:val="0"/>
          <w:bCs w:val="0"/>
          <w:sz w:val="32"/>
          <w:szCs w:val="32"/>
          <w:highlight w:val="none"/>
        </w:rPr>
        <w:t>。</w:t>
      </w:r>
    </w:p>
    <w:p w14:paraId="055F993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三、核算方法编制原则和编制依据</w:t>
      </w:r>
    </w:p>
    <w:p w14:paraId="13A0251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（一）编制原则</w:t>
      </w:r>
    </w:p>
    <w:p w14:paraId="09AEED4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明确编制遵守的原则，规范编制逻辑。</w:t>
      </w:r>
    </w:p>
    <w:p w14:paraId="13CBCB3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（二）编制依据</w:t>
      </w:r>
    </w:p>
    <w:p w14:paraId="583C4B1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列明编制参考的法律法规、政策、相关标准及行业文件等。</w:t>
      </w:r>
    </w:p>
    <w:p w14:paraId="2E3E128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四、与有关现行法律法规和标准的关系</w:t>
      </w:r>
    </w:p>
    <w:p w14:paraId="54D0A2D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与现有法律法规、标准（国家标准、行业标准、地方标准、团体标准等）对比，是否有冲突，以及协调性的说明。</w:t>
      </w:r>
    </w:p>
    <w:p w14:paraId="6928528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五、主要试验验证分析、技术经济论证、预期的经济效果</w:t>
      </w:r>
    </w:p>
    <w:p w14:paraId="17FE5C3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（一）典型企业试算、验证</w:t>
      </w:r>
    </w:p>
    <w:p w14:paraId="583FAD7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说明企业选取的考虑，企业基本情况，核算方法应用的产品和服务基本情况，数据比对、方法合理性验证、误差分析等。</w:t>
      </w:r>
    </w:p>
    <w:p w14:paraId="027EA33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（二）低碳转型、贸易壁垒应对、绿色供应链等其他场景的应用潜力、预期效果分析。</w:t>
      </w:r>
    </w:p>
    <w:p w14:paraId="736EFDC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六、重大分歧意见处理情况</w:t>
      </w:r>
    </w:p>
    <w:p w14:paraId="6EEDEF5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针对边界、因子、取舍规则等的争议点及其说明处理方式。</w:t>
      </w:r>
    </w:p>
    <w:p w14:paraId="0F50B0A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七、贯彻核算方法的要求和措施建议</w:t>
      </w:r>
    </w:p>
    <w:p w14:paraId="799C216E">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包括组织措施、技术措施、过渡办法以及实施时间、宣贯培训、配套工具、数据库建设、试点应用建议。</w:t>
      </w:r>
    </w:p>
    <w:p w14:paraId="224D5CB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八、代替、废止相关标准的建议</w:t>
      </w:r>
    </w:p>
    <w:p w14:paraId="7BF7188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说明有无替代与废止的标准情况。</w:t>
      </w:r>
    </w:p>
    <w:p w14:paraId="08B2A69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九、其他应予说明的事项</w:t>
      </w:r>
    </w:p>
    <w:p w14:paraId="64F4C3E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eastAsia="仿宋_GB2312"/>
          <w:sz w:val="2"/>
          <w:szCs w:val="2"/>
        </w:rPr>
      </w:pPr>
      <w:r>
        <w:rPr>
          <w:rFonts w:hint="eastAsia" w:ascii="仿宋_GB2312" w:hAnsi="仿宋_GB2312" w:eastAsia="仿宋_GB2312" w:cs="仿宋_GB2312"/>
          <w:b w:val="0"/>
          <w:bCs w:val="0"/>
          <w:sz w:val="32"/>
          <w:szCs w:val="32"/>
          <w:lang w:val="en-US" w:eastAsia="zh-CN"/>
        </w:rPr>
        <w:t>知识产权、免责说明、附录说明等。</w:t>
      </w:r>
    </w:p>
    <w:p w14:paraId="7181E007"/>
    <w:sectPr>
      <w:pgSz w:w="11906" w:h="16838"/>
      <w:pgMar w:top="1814" w:right="1474" w:bottom="124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汉仪中黑简">
    <w:altName w:val="黑体"/>
    <w:panose1 w:val="02010600000101010101"/>
    <w:charset w:val="86"/>
    <w:family w:val="modern"/>
    <w:pitch w:val="default"/>
    <w:sig w:usb0="00000000" w:usb1="00000000" w:usb2="00000002"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CFF4D1"/>
    <w:multiLevelType w:val="singleLevel"/>
    <w:tmpl w:val="5FCFF4D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7F70B4"/>
    <w:rsid w:val="13FD1F2D"/>
    <w:rsid w:val="17614581"/>
    <w:rsid w:val="21207866"/>
    <w:rsid w:val="227F7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widowControl w:val="0"/>
      <w:suppressLineNumbers w:val="0"/>
      <w:snapToGrid w:val="0"/>
      <w:spacing w:before="340" w:beforeAutospacing="0" w:after="330" w:afterAutospacing="0" w:line="576" w:lineRule="auto"/>
      <w:ind w:left="0" w:right="0"/>
      <w:jc w:val="both"/>
      <w:outlineLvl w:val="0"/>
    </w:pPr>
    <w:rPr>
      <w:rFonts w:hint="default" w:ascii="Calibri" w:hAnsi="Calibri" w:eastAsia="仿宋_GB2312" w:cs="Times New Roman"/>
      <w:b/>
      <w:kern w:val="44"/>
      <w:sz w:val="4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customStyle="1" w:styleId="6">
    <w:name w:val="标准标题"/>
    <w:qFormat/>
    <w:uiPriority w:val="0"/>
    <w:pPr>
      <w:widowControl w:val="0"/>
      <w:topLinePunct/>
      <w:adjustRightInd w:val="0"/>
      <w:spacing w:before="2500"/>
      <w:jc w:val="center"/>
    </w:pPr>
    <w:rPr>
      <w:rFonts w:ascii="Arial" w:hAnsi="Arial" w:eastAsia="汉仪中黑简" w:cs="Times New Roman"/>
      <w:color w:val="000000"/>
      <w:kern w:val="52"/>
      <w:sz w:val="5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2026-09-09T09:00:00Z</dcterms:created>
  <dc:creator>Scorpio°</dc:creator>
  <cp:lastModifiedBy>Scorpio°</cp:lastModifiedBy>
  <dcterms:modified xsi:type="dcterms:W3CDTF">2026-09-09T09:07:36Z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19CFFC117408420C8DA53FC16438D2B5_11</vt:lpwstr>
  </property>
  <property fmtid="{D5CDD505-2E9C-101B-9397-08002B2CF9AE}" pid="4" name="KSOTemplateDocerSaveRecord">
    <vt:lpwstr>eyJoZGlkIjoiN2YzNjBkOTgyNWQ1YTMxYzM3MzMwNWFiODNmOWIzYWMiLCJ1c2VySWQiOiI2Mjk2MjA4MjgifQ==</vt:lpwstr>
  </property>
</Properties>
</file>